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LEGITIMACY VERSUS EFFECTIVENESS: DOES BROADER COPUOS PARTICIPATION PRODUCE WEAKE</w:t>
      </w:r>
    </w:p>
    <w:p>
      <w:pPr>
        <w:jc w:val="center"/>
      </w:pPr>
    </w:p>
    <w:p>
      <w:pPr>
        <w:jc w:val="center"/>
      </w:pPr>
      <w:r>
        <w:rPr>
          <w:rFonts w:ascii="Times New Roman" w:hAnsi="Times New Roman"/>
          <w:sz w:val="24"/>
        </w:rPr>
        <w:t>by</w:t>
      </w:r>
    </w:p>
    <w:p>
      <w:pPr>
        <w:jc w:val="center"/>
      </w:pPr>
      <w:r>
        <w:rPr>
          <w:rFonts w:ascii="Times New Roman" w:hAnsi="Times New Roman"/>
          <w:b/>
          <w:sz w:val="28"/>
        </w:rPr>
        <w:t>Aisha Carrington</w:t>
      </w:r>
    </w:p>
    <w:p>
      <w:pPr>
        <w:jc w:val="center"/>
      </w:pPr>
      <w:r>
        <w:rPr>
          <w:rFonts w:ascii="Times New Roman" w:hAnsi="Times New Roman"/>
          <w:sz w:val="24"/>
        </w:rPr>
        <w:t>1B-IGV-225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Space governance rarely announces its own weaknesses. The distinction matters. It records them slowly, in the drift of committee language, in the widening gap between what a forum says and what operators actually do, and in the way a single crowded meeting can produce a document that offends no one and binds no one. The dissertation,</w:t>
      </w:r>
      <w:r>
        <w:t xml:space="preserve"> </w:t>
      </w:r>
      <w:r>
        <w:rPr>
          <w:i/>
          <w:iCs/>
        </w:rPr>
        <w:t xml:space="preserve">Legitimacy Versus Effectiveness: Does Broader COPUOS Participation Produce Weaker Governance Outputs?</w:t>
      </w:r>
      <w:r>
        <w:t xml:space="preserve">, takes that slow record seriously. It asks whether the growth of participation in the United Nations Committee on the Peaceful Uses of Outer Space carries a price, and whether that price is visible in evidence a doctoral reader can inspect instead of in the confident intuitions that circulate at conferences. The evidence trail is concrete here: the question matters. It shapes how the international community should design the next generation of space rules. Two commitments pull against each other. The first is legitimacy: a rule commands more authority when more of the affected states help write it, and inclusion has become the moral default of multilateral practice. The second is effectiveness: a rule does more work when it is precise, demanding, and enforceable, and precision tends to survive best when a small number of aligned drafters control the pen. Broad participation may buy legitimacy at the cost of effectiveness. Or the two may be complements, with inclusion generating the buy-in that makes strong rules stick. The field asserts both claims often and tests neither carefully.</w:t>
      </w:r>
    </w:p>
    <w:p>
      <w:pPr>
        <w:pStyle w:val="BodyText"/>
        <w:spacing w:line="480" w:lineRule="auto"/>
        <w:ind w:firstLine="720"/>
      </w:pPr>
      <w:r>
        <w:t xml:space="preserve">I did not set out to settle that debate with a single regression. The record is explicit. I set out to do something narrower and more honest. This is a design-stage dissertation. Its purpose is to convert a large, contested policy intuition into a falsifiable document-level test, to run that test on evidence the candidate actually holds, and to report the result with the limits it deserves. The evidence here is a source-traced corpus of thirty records drawn from the space governance, space-law, space-sustainability, and space-economy literatures, together with two deterministic empirical workbooks that model how the candidate topic is distributed across that corpus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Start w:id="61" w:name="the-stakes"/>
    <w:p>
      <w:pPr>
        <w:pStyle w:val="Heading2"/>
        <w:spacing w:line="480" w:lineRule="auto"/>
      </w:pPr>
      <w:r>
        <w:t xml:space="preserve">The stakes</w:t>
      </w:r>
    </w:p>
    <w:p>
      <w:pPr>
        <w:pStyle w:val="FirstParagraph"/>
        <w:spacing w:line="480" w:lineRule="auto"/>
      </w:pPr>
      <w:r>
        <w:t xml:space="preserve">The stakes are concrete. The claim remains testable. Consider what is at risk when the legitimacy-effectiveness tradeoff is guessed instead of measured. Debris mitigation guidelines, long-term sustainability principles, and emerging norms on active removal and on-orbit servicing all pass through consensus bodies where every added delegation is another veto point</w:t>
      </w:r>
      <w:r>
        <w:t xml:space="preserve"> </w:t>
      </w:r>
      <w:hyperlink w:anchor="ref-4">
        <w:r>
          <w:rPr>
            <w:rStyle w:val="Hyperlink"/>
          </w:rPr>
          <w:t xml:space="preserve">[4]</w:t>
        </w:r>
      </w:hyperlink>
      <w:r>
        <w:t xml:space="preserve"> </w:t>
      </w:r>
      <w:hyperlink w:anchor="ref-5">
        <w:r>
          <w:rPr>
            <w:rStyle w:val="Hyperlink"/>
          </w:rPr>
          <w:t xml:space="preserve">[5]</w:t>
        </w:r>
      </w:hyperlink>
      <w:r>
        <w:t xml:space="preserve">. If wider participation genuinely dilutes governance outputs, then the reflexive push toward universality could be quietly manufacturing the toothless instruments that critics of soft law already lament. If wider participation does not dilute outputs, then the fear of dilution is being used, consciously or not, to justify exclusionary drafting clubs that the broader membership has every reason to resent. Either way, a wrong belief about the tradeoff misallocates diplomatic effort for years. The archival record matters here: the space domain sharpens the stakes further. Technical practice, commercial behavior, and public authority in orbit move at three different speeds, and the fastest of the three is not the rulemaking one</w:t>
      </w:r>
      <w:r>
        <w:t xml:space="preserve"> </w:t>
      </w:r>
      <w:hyperlink w:anchor="ref-3">
        <w:r>
          <w:rPr>
            <w:rStyle w:val="Hyperlink"/>
          </w:rPr>
          <w:t xml:space="preserve">[3]</w:t>
        </w:r>
      </w:hyperlink>
      <w:r>
        <w:t xml:space="preserve">. Decentralized information-sharing arrangements, industry best-practice continuums, and private data-model modernization have repeatedly outrun the formal committee process</w:t>
      </w:r>
      <w:r>
        <w:t xml:space="preserve"> </w:t>
      </w:r>
      <w:hyperlink w:anchor="ref-3">
        <w:r>
          <w:rPr>
            <w:rStyle w:val="Hyperlink"/>
          </w:rPr>
          <w:t xml:space="preserve">[3]</w:t>
        </w:r>
      </w:hyperlink>
      <w:r>
        <w:t xml:space="preserve"> </w:t>
      </w:r>
      <w:hyperlink w:anchor="ref-8">
        <w:r>
          <w:rPr>
            <w:rStyle w:val="Hyperlink"/>
          </w:rPr>
          <w:t xml:space="preserve">[8]</w:t>
        </w:r>
      </w:hyperlink>
      <w:r>
        <w:t xml:space="preserve">. When governance lags, the question of whether the committee’s own composition is part of the lag stops being academic. It becomes a design parameter that architects of the next arrangement have to set deliberately.</w:t>
      </w:r>
    </w:p>
    <w:bookmarkEnd w:id="61"/>
    <w:bookmarkStart w:id="62" w:name="the-falsifiable-contribution"/>
    <w:p>
      <w:pPr>
        <w:pStyle w:val="Heading2"/>
        <w:spacing w:line="480" w:lineRule="auto"/>
      </w:pPr>
      <w:r>
        <w:t xml:space="preserve">The falsifiable contribution</w:t>
      </w:r>
    </w:p>
    <w:p>
      <w:pPr>
        <w:pStyle w:val="FirstParagraph"/>
        <w:spacing w:line="480" w:lineRule="auto"/>
      </w:pPr>
      <w:r>
        <w:t xml:space="preserve">For a replicator, one contribution, then. The coding choice is visible. The dissertation offers it deliberately small enough to be wrong. I claim that the visibility of the legitimacy-versus-effectiveness topic inside a retrievable, source-traced corpus can be measured, and that the structure of that visibility can be read against two competing accounts. The first account says the topic is systematically organized by the features of the literature that carries it: how recent a source is, how much citation attention it has drawn, and which venue family published it. The second account says the topic’s visibility is essentially unstructured, so that recency, citation attention, and venue family tell us little.</w:t>
      </w:r>
    </w:p>
    <w:p>
      <w:pPr>
        <w:pStyle w:val="BodyText"/>
        <w:spacing w:line="480" w:lineRule="auto"/>
        <w:ind w:firstLine="720"/>
      </w:pPr>
      <w:r>
        <w:t xml:space="preserve">Stated as a testable pair, the contribution reduces to two null hypotheses that the empirical spine of the dissertation confronts directly.</w:t>
      </w:r>
    </w:p>
    <w:p>
      <w:pPr>
        <w:pStyle w:val="BodyText"/>
        <w:spacing w:line="480" w:lineRule="auto"/>
        <w:ind w:firstLine="720"/>
      </w:pPr>
      <w:r>
        <w:t xml:space="preserve">For the cross-sectional structure of the corpus, the null holds that the composite topic-signal score attached to each record is unrelated to publication recency, citation attention, and venue family. That is the empirical boundary. For the temporal structure, the null holds that citation accumulation is unrelated to how old a record is. Rejecting or failing to reject each null is a documented, reproducible act. Nothing in the argument requires the reader to trust the author’s judgment about the corpus; the reader can open the workbook and recompute the coefficient.</w:t>
      </w:r>
    </w:p>
    <w:p>
      <w:pPr>
        <w:pStyle w:val="BodyText"/>
        <w:spacing w:line="480" w:lineRule="auto"/>
        <w:ind w:firstLine="720"/>
      </w:pPr>
      <w:r>
        <w:t xml:space="preserve">The chapter treats this as an empirical claim: that posture has a cost, and I accept it plainly.</w:t>
      </w:r>
    </w:p>
    <w:p>
      <w:pPr>
        <w:pStyle w:val="BodyText"/>
        <w:spacing w:line="480" w:lineRule="auto"/>
        <w:ind w:firstLine="720"/>
      </w:pPr>
      <w:r>
        <w:t xml:space="preserve">A corpus screen is not a direct measurement of governance-output quality. It cannot, by itself, tell a diplomat whether the 2019 long-term sustainability guidelines are weaker than they would have been with fewer drafters. What it can do is discipline the evidentiary chain: it establishes which parts of the legitimacy-effectiveness question are already visible and measurable in the available literature, and which parts still require a purpose-built coding of governance instruments that this design names but does not yet execute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62"/>
    <w:bookmarkStart w:id="63" w:name="why-documentary-evidence-and-why-now"/>
    <w:p>
      <w:pPr>
        <w:pStyle w:val="Heading2"/>
        <w:spacing w:line="480" w:lineRule="auto"/>
      </w:pPr>
      <w:r>
        <w:t xml:space="preserve">Why documentary evidence, and why now</w:t>
      </w:r>
    </w:p>
    <w:p>
      <w:pPr>
        <w:pStyle w:val="FirstParagraph"/>
        <w:spacing w:line="480" w:lineRule="auto"/>
      </w:pPr>
      <w:r>
        <w:t xml:space="preserve">The data construction is deliberately visible: there is a temptation, in a topic this politically charged, to write a persuasive essay and dress it in citations.</w:t>
      </w:r>
    </w:p>
    <w:p>
      <w:pPr>
        <w:pStyle w:val="BodyText"/>
        <w:spacing w:line="480" w:lineRule="auto"/>
        <w:ind w:firstLine="720"/>
      </w:pPr>
      <w:r>
        <w:t xml:space="preserve">I have tried to resist that. The result is narrow. The design commits to a specific chain: from a retained source record, to a documented variable definition, to an estimator with reported standard errors, to an interpretation that never claims more than the estimator supports. Each link is inspectable. If the chain is weak somewhere, the weakness is a finding instead of something to be hidden behind fluent prose. The timing is not incidental. The committee’s membership has grown steadily, new spacefaring and aspiring states have arrived with their own priorities, and the volume of space-governance scholarship has expanded fast enough that its own structure is now a legitimate object of study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When a literature grows this quickly, the way attention distributes across recency, venue, and citation becomes a readable signal about where the field thinks the action is. Reading that signal is a modest first step, but it is a step that can be taken now, with evidence that exists now.</w:t>
      </w:r>
    </w:p>
    <w:bookmarkEnd w:id="63"/>
    <w:bookmarkStart w:id="64" w:name="roadmap"/>
    <w:p>
      <w:pPr>
        <w:pStyle w:val="Heading2"/>
        <w:spacing w:line="480" w:lineRule="auto"/>
      </w:pPr>
      <w:r>
        <w:t xml:space="preserve">Roadmap</w:t>
      </w:r>
    </w:p>
    <w:p>
      <w:pPr>
        <w:pStyle w:val="FirstParagraph"/>
        <w:spacing w:line="480" w:lineRule="auto"/>
      </w:pPr>
      <w:r>
        <w:t xml:space="preserve">The remaining chapters build the argument in order. The distinction matters. Chapter 2 situates the dissertation against the prior work on legitimacy, effectiveness, soft law, and the measurement of governance and of scholarly attention, and it identifies the specific gap this project fills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3 states the mechanism formally and derives the testable predictions, distinguishing cross-sectional structure from temporal accumulation. Chapter 4 sets out the two estimators, an ordinary least squares model and a log-log learning-curve model, and explains why each identifies the effect it is asked to identify under stated assumptions. Chapter 5 documents the data file itself: the thirty records, the venue families, the construction of every variable, and the provenance that keeps the workbook auditable. Chapter 6 reports the estimator output exactly as the workbooks produced it and interprets the signs and magnitudes without embellishment. Chapter 7 discusses what the findings mean for the legitimacy-effectiveness debate, states the threats to validity honestly, and marks the boundary of what the corpus can and cannot show. Chapter 8 draws the conclusions, connects them to governance and program practice, and specifies the next design that would carry the question past its present limits</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For the empirical reader, a reader who wants only the headline can have it early. The record is explicit. The corpus screen finds one strong, precise regularity and several null ones, and it finds essentially no temporal accumulation structure. Those results are not a verdict on the committee. They are a disciplined map of where the evidence currently lives, drawn carefully enough that the next researcher can extend it instead of start over.</w:t>
      </w:r>
    </w:p>
    <w:bookmarkEnd w:id="64"/>
    <w:bookmarkStart w:id="65" w:name="Xa2c9193f0b1ae2e9e7ac0013ce6f14b04e2396f"/>
    <w:p>
      <w:pPr>
        <w:pStyle w:val="Heading2"/>
        <w:spacing w:line="480" w:lineRule="auto"/>
      </w:pPr>
      <w:r>
        <w:t xml:space="preserve">The intuition this dissertation refuses to trust</w:t>
      </w:r>
    </w:p>
    <w:p>
      <w:pPr>
        <w:pStyle w:val="FirstParagraph"/>
        <w:spacing w:line="480" w:lineRule="auto"/>
      </w:pPr>
      <w:r>
        <w:t xml:space="preserve">The evidence trail is concrete here: it is worth naming the intuition plainly, since most of the field carries it without examination. The claim remains testable. The intuition runs like this. When a drafting body was small and aligned, its instruments were sharp. As the body grew to include states with divergent priorities, capabilities, and threat perceptions, each new voice added a reason to soften the text, and the instruments blurred toward the lowest common denominator that everyone could accept. The outer-space outer-treaty framework, on this telling, was written by a handful of spacefaring powers and has ossified precisely as the membership expanded and unanimity became harder to reach. The intuition is intuitive since it fits a familiar story about committees everywhere. The problem is that the intuition is also compatible with the opposite dynamic, and nothing in the anecdote tells you which is operating. A larger membership could produce weaker text, or a larger membership could produce text that is weaker on paper but stronger in practice since more states feel bound by it. Diffusion studies of national space law show states voluntarily transposing international guidance into domestic statute, which is a form of effectiveness that a precision-only scorecard would miss entirely</w:t>
      </w:r>
      <w:r>
        <w:t xml:space="preserve"> </w:t>
      </w:r>
      <w:hyperlink w:anchor="ref-2">
        <w:r>
          <w:rPr>
            <w:rStyle w:val="Hyperlink"/>
          </w:rPr>
          <w:t xml:space="preserve">[2]</w:t>
        </w:r>
      </w:hyperlink>
      <w:r>
        <w:t xml:space="preserve">. The same expansion that dilutes the words can deepen the compliance. A design that only counts the sharpness of the language will systematically misjudge a regime whose strength lives in adoption instead of in enforcement</w:t>
      </w:r>
      <w:r>
        <w:t xml:space="preserve"> </w:t>
      </w:r>
      <w:hyperlink w:anchor="ref-5">
        <w:r>
          <w:rPr>
            <w:rStyle w:val="Hyperlink"/>
          </w:rPr>
          <w:t xml:space="preserve">[5]</w:t>
        </w:r>
      </w:hyperlink>
      <w:r>
        <w:t xml:space="preserve">.</w:t>
      </w:r>
    </w:p>
    <w:p>
      <w:pPr>
        <w:pStyle w:val="BodyText"/>
        <w:spacing w:line="480" w:lineRule="auto"/>
        <w:ind w:firstLine="720"/>
      </w:pPr>
      <w:r>
        <w:t xml:space="preserve">For the program record, the dissertation for that reason treats the intuition as a hypothesis instead of a premise, and it goes one careful step further. The coding choice is visible. Rather than assert that it can measure governance-output quality directly, which it cannot from the available evidence, it asks the prior and more tractable question of whether the debate itself is even structured in the documentary record. If the legitimacy-effectiveness tension were a dead controversy, it would leave a flat, unstructured trace, and there would be little point building an expensive instrument-coding study to test it. If the tension is live, its trace should be organized in ways the screen can detect</w:t>
      </w:r>
      <w:r>
        <w:t xml:space="preserve"> </w:t>
      </w:r>
      <w:hyperlink w:anchor="ref-3">
        <w:r>
          <w:rPr>
            <w:rStyle w:val="Hyperlink"/>
          </w:rPr>
          <w:t xml:space="preserve">[3]</w:t>
        </w:r>
      </w:hyperlink>
      <w:r>
        <w:t xml:space="preserve"> </w:t>
      </w:r>
      <w:hyperlink w:anchor="ref-4">
        <w:r>
          <w:rPr>
            <w:rStyle w:val="Hyperlink"/>
          </w:rPr>
          <w:t xml:space="preserve">[4]</w:t>
        </w:r>
      </w:hyperlink>
      <w:r>
        <w:t xml:space="preserve">. Establishing that prior is the modest but genuine service this project performs.</w:t>
      </w:r>
    </w:p>
    <w:bookmarkEnd w:id="65"/>
    <w:bookmarkStart w:id="66" w:name="X4756a0922807e346ce61eb7ccc57120ad76e913"/>
    <w:p>
      <w:pPr>
        <w:pStyle w:val="Heading2"/>
        <w:spacing w:line="480" w:lineRule="auto"/>
      </w:pPr>
      <w:r>
        <w:t xml:space="preserve">The unit of analysis and the level of the claim</w:t>
      </w:r>
    </w:p>
    <w:p>
      <w:pPr>
        <w:pStyle w:val="FirstParagraph"/>
        <w:spacing w:line="480" w:lineRule="auto"/>
      </w:pPr>
      <w:r>
        <w:t xml:space="preserve">The archival record matters here: a recurring source of confusion in governance research is a mismatch between the unit at which a claim is made and the unit at which evidence is gathered. That is the empirical boundary. Claims about the committee are claims about an institution. Evidence in this design is gathered at the level of individual documents. Those two levels are not the same, and the dissertation is careful never to let a document-level regularity masquerade as an institution-level finding. What a document-level screen can support is a statement about how a topic is distributed across a literature. What it cannot support, without a further and explicit inferential step, is a statement about what an institution produced or why</w:t>
      </w:r>
      <w:r>
        <w:t xml:space="preserve"> </w:t>
      </w:r>
      <w:hyperlink w:anchor="ref-6">
        <w:r>
          <w:rPr>
            <w:rStyle w:val="Hyperlink"/>
          </w:rPr>
          <w:t xml:space="preserve">[6]</w:t>
        </w:r>
      </w:hyperlink>
      <w:r>
        <w:t xml:space="preserve"> </w:t>
      </w:r>
      <w:hyperlink w:anchor="ref-8">
        <w:r>
          <w:rPr>
            <w:rStyle w:val="Hyperlink"/>
          </w:rPr>
          <w:t xml:space="preserve">[8]</w:t>
        </w:r>
      </w:hyperlink>
      <w:r>
        <w:t xml:space="preserve">. Holding that distinction is not pedantry. It is the difference between a defensible contribution and an overreach that a committee of examiners would rightly reject. Throughout the chapters that follow, when I write that the corpus is structured by venue, I mean exactly that documents differ across venue families in their metadata engagement with the theme. I do not mean, and will not imply, that the committee’s outputs differ across anything. The bridge from the document level to the institution level is the central piece of future work this design specifies, and refusing to walk it prematurely is what keeps the present claims honest</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66"/>
    <w:bookmarkStart w:id="67" w:name="a-note-on-scope-and-humility"/>
    <w:p>
      <w:pPr>
        <w:pStyle w:val="Heading2"/>
        <w:spacing w:line="480" w:lineRule="auto"/>
      </w:pPr>
      <w:r>
        <w:t xml:space="preserve">A note on scope and humility</w:t>
      </w:r>
    </w:p>
    <w:p>
      <w:pPr>
        <w:pStyle w:val="FirstParagraph"/>
        <w:spacing w:line="480" w:lineRule="auto"/>
      </w:pPr>
      <w:r>
        <w:t xml:space="preserve">Design-stage work invites two opposite failures. The result is narrow. The first is to apologize so thoroughly for the limits that the reader wonders why the study was run at all. The second is to smuggle in the strong conclusion through confident phrasing while formally disclaiming it. I have tried to avoid both. The screen is worth running since it converts a slogan into a checkable claim and since its nulls are as useful as its hits for anyone deciding where to spend the next research dollar</w:t>
      </w:r>
      <w:r>
        <w:t xml:space="preserve"> </w:t>
      </w:r>
      <w:hyperlink w:anchor="ref-7">
        <w:r>
          <w:rPr>
            <w:rStyle w:val="Hyperlink"/>
          </w:rPr>
          <w:t xml:space="preserve">[7]</w:t>
        </w:r>
      </w:hyperlink>
      <w:r>
        <w:t xml:space="preserve">. And the screen is reported without inflation since the entire value of a reproducible design evaporates the moment its author leans on rhetoric the numbers do not support</w:t>
      </w:r>
      <w:r>
        <w:t xml:space="preserve"> </w:t>
      </w:r>
      <w:hyperlink w:anchor="ref-9">
        <w:r>
          <w:rPr>
            <w:rStyle w:val="Hyperlink"/>
          </w:rPr>
          <w:t xml:space="preserve">[9]</w:t>
        </w:r>
      </w:hyperlink>
      <w:r>
        <w:t xml:space="preserve">. The chapters ahead try to hold that balance on every page: ambitious about method, disciplined about inference, and explicit at every turn about the distance still to travel.</w:t>
      </w:r>
    </w:p>
    <w:bookmarkEnd w:id="67"/>
    <w:bookmarkStart w:id="68" w:name="X7ff96cefd2084ae723f9f67e5d6b9dd34c7fdf5"/>
    <w:p>
      <w:pPr>
        <w:pStyle w:val="Heading2"/>
        <w:spacing w:line="480" w:lineRule="auto"/>
      </w:pPr>
      <w:r>
        <w:t xml:space="preserve">Situating the committee among governance bodies</w:t>
      </w:r>
    </w:p>
    <w:p>
      <w:pPr>
        <w:pStyle w:val="FirstParagraph"/>
        <w:spacing w:line="480" w:lineRule="auto"/>
      </w:pPr>
      <w:r>
        <w:t xml:space="preserve">A word is owed on why the committee, specifically, anchors the framing even though the empirical corpus is broader than any single institution. The distinction matters. The committee is the closest thing outer-space governance has to a universal legislature, and it is the venue where the legitimacy-effectiveness tension is most visible since its consensus procedure makes the tradeoff structural instead of incidental. Other arrangements exist alongside it: voluntary information-sharing consortia, industry best-practice continuums, and bilateral or plurilateral understandings that route around the formal body when it stalls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Those alternatives are not rivals to the committee so much as pressure valves, and their prominence in the corpus is itself part of the story. When a formal body’s outputs soften, the governance work does not vanish; it relocates to arrangements that trade universality for tractability</w:t>
      </w:r>
      <w:r>
        <w:t xml:space="preserve"> </w:t>
      </w:r>
      <w:hyperlink w:anchor="ref-8">
        <w:r>
          <w:rPr>
            <w:rStyle w:val="Hyperlink"/>
          </w:rPr>
          <w:t xml:space="preserve">[8]</w:t>
        </w:r>
      </w:hyperlink>
      <w:r>
        <w:t xml:space="preserve">. The data construction is deliberately visible: that relocation is why a study of the surrounding literature can illuminate the committee even without coding the committee’s own texts. The discourse that grows up around a stalled or diluted instrument is partly a discourse about the workarounds, and those workarounds leave a documentary trace in exactly the venues this corpus samples</w:t>
      </w:r>
      <w:r>
        <w:t xml:space="preserve"> </w:t>
      </w:r>
      <w:hyperlink w:anchor="ref-4">
        <w:r>
          <w:rPr>
            <w:rStyle w:val="Hyperlink"/>
          </w:rPr>
          <w:t xml:space="preserve">[4]</w:t>
        </w:r>
      </w:hyperlink>
      <w:r>
        <w:t xml:space="preserve">. Reading that trace is not the same as scoring the committee’s instruments, and the dissertation never confuses the two, but it is a legitimate way to ask whether the tension the committee embodies is live enough to be organizing the literature at all.</w:t>
      </w:r>
    </w:p>
    <w:bookmarkEnd w:id="68"/>
    <w:bookmarkStart w:id="69" w:name="Xa0f6a2dc410f0b9663337d46353b8e77e5e53d4"/>
    <w:p>
      <w:pPr>
        <w:pStyle w:val="Heading2"/>
        <w:spacing w:line="480" w:lineRule="auto"/>
      </w:pPr>
      <w:r>
        <w:t xml:space="preserve">What success and failure would each look like</w:t>
      </w:r>
    </w:p>
    <w:p>
      <w:pPr>
        <w:pStyle w:val="FirstParagraph"/>
        <w:spacing w:line="480" w:lineRule="auto"/>
      </w:pPr>
      <w:r>
        <w:t xml:space="preserve">The operational question is narrower: to keep the project honest from its first page, it helps to state in advance what a successful screen and a failed one would each look like, so that neither outcome can be reframed after the fact. The record is explicit. A successful screen returns a legible pattern: some dimension of the corpus is structured with enough precision to be worth a follow-on study, and the nulls on other dimensions draw usable boundaries. A failed screen returns uniform noise, every coefficient imprecise and the joint test unable to reject no-structure, which would suggest either that the tension is dormant in this literature or that the corpus is too small to see anything. Both outcomes are publishable, since both inform the next design, but they are different outcomes and the dissertation commits to reporting whichever one the data produce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results, disclosed in Chapter 6 and previewed above, fall into the first category instead of the second, and by a specific margin: one dimension is sharply structured, the rest are not, and the temporal model is flat. That is neither the triumphant confirmation the structured account hoped for nor the uniform noise that would have suggested a dead question. It is a partial, legible result, which is the most a design-stage screen on thirty records could honestly have promised, and it is enough to price and aim the study that should come next</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69"/>
    <w:bookmarkStart w:id="70" w:name="X9b1188942ddc15a61ad078ae25ba6f762a4ee8c"/>
    <w:p>
      <w:pPr>
        <w:pStyle w:val="Heading2"/>
        <w:spacing w:line="480" w:lineRule="auto"/>
      </w:pPr>
      <w:r>
        <w:t xml:space="preserve">The reader this dissertation is written for</w:t>
      </w:r>
    </w:p>
    <w:p>
      <w:pPr>
        <w:pStyle w:val="FirstParagraph"/>
        <w:spacing w:line="480" w:lineRule="auto"/>
      </w:pPr>
      <w:r>
        <w:t xml:space="preserve">I have written for two readers at once, and it is worth saying so, since the dual audience shapes the prose. The claim remains testable. The first reader is a governance practitioner who needs to know whether the participation question is worth an expensive study and where the evidence currently stands. For that reader the findings are a decision input: the venue result is a lead, the nulls are boundaries, and the causal question remains open, and its openness tells them what a fair test would cost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second reader is a methodologist who cares less about outer space than about whether the design is sound. For that reader the value is the reproducible pipeline, the pre-committed failure portrait, and the honest reporting of nulls, which together demonstrate that a contested policy intuition can be handled as a checkable claim</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evidence trail is concrete here: serving both readers imposes a discipline that runs through every chapter. Claims are stated in plain units a practitioner can act on, and they are backed by an apparatus a methodologist can inspect. Where the two audiences would pull the prose in different directions, I have chosen clarity for the practitioner and put the technical qualification in a sentence the methodologist can find. The result is a dissertation that tries to be useful before it is finished being rigorous, on the theory that a bounded, honest, usable result serves the field better than an impressive one that cannot be trusted</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70"/>
    <w:bookmarkEnd w:id="71"/>
    <w:bookmarkStart w:id="83" w:name="chapter-2.-literature-review"/>
    <w:p>
      <w:pPr>
        <w:pStyle w:val="Heading1"/>
        <w:spacing w:line="480" w:lineRule="auto"/>
      </w:pPr>
      <w:r>
        <w:t xml:space="preserve">Chapter 2. Literature Review</w:t>
      </w:r>
    </w:p>
    <w:p>
      <w:pPr>
        <w:pStyle w:val="FirstParagraph"/>
        <w:spacing w:line="480" w:lineRule="auto"/>
      </w:pPr>
      <w:r>
        <w:t xml:space="preserve">The debate this dissertation joins has been running, under different names, since the first multilateral regimes were built.</w:t>
      </w:r>
    </w:p>
    <w:p>
      <w:pPr>
        <w:pStyle w:val="BodyText"/>
        <w:spacing w:line="480" w:lineRule="auto"/>
        <w:ind w:firstLine="720"/>
      </w:pPr>
      <w:r>
        <w:t xml:space="preserve">Political theorists call it the tension between input legitimacy and output legitimacy. The coding choice is visible. International lawyers call it the tradeoff between participation and precision. Space policy has inherited the whole argument without inheriting a way to measure it. The chapter reads the relevant literatures against one another, marks where they agree, and locates the narrow place where a source-traced corpus screen can add something the existing work has not supplied.</w:t>
      </w:r>
    </w:p>
    <w:bookmarkStart w:id="72" w:name="legitimacy-as-an-input-value"/>
    <w:p>
      <w:pPr>
        <w:pStyle w:val="Heading2"/>
        <w:spacing w:line="480" w:lineRule="auto"/>
      </w:pPr>
      <w:r>
        <w:t xml:space="preserve">Legitimacy as an input value</w:t>
      </w:r>
    </w:p>
    <w:p>
      <w:pPr>
        <w:pStyle w:val="FirstParagraph"/>
        <w:spacing w:line="480" w:lineRule="auto"/>
      </w:pPr>
      <w:r>
        <w:t xml:space="preserve">Start with legitimacy. That is the empirical boundary. The first body of work treats it as a property of who was in the room. A rule written by a broad and representative membership is held to command more voluntary compliance, since the states that helped author it have both ownership of the text and reputational stakes in honoring it. Applied to outer space, this view carries obvious appeal. The orbital commons belongs to no state, the externalities of debris and interference fall on everyone, and the moral case for universal participation is close to unanswerable</w:t>
      </w:r>
      <w:r>
        <w:t xml:space="preserve"> </w:t>
      </w:r>
      <w:hyperlink w:anchor="ref-5">
        <w:r>
          <w:rPr>
            <w:rStyle w:val="Hyperlink"/>
          </w:rPr>
          <w:t xml:space="preserve">[5]</w:t>
        </w:r>
      </w:hyperlink>
      <w:r>
        <w:t xml:space="preserve">. Work on the lessons of the Montreal Protocol pushes this logic hard, arguing that broad buy-in was not a drag on the ozone regime but the very thing that let it tighten over time</w:t>
      </w:r>
      <w:r>
        <w:t xml:space="preserve"> </w:t>
      </w:r>
      <w:hyperlink w:anchor="ref-5">
        <w:r>
          <w:rPr>
            <w:rStyle w:val="Hyperlink"/>
          </w:rPr>
          <w:t xml:space="preserve">[5]</w:t>
        </w:r>
      </w:hyperlink>
      <w:r>
        <w:t xml:space="preserve">.</w:t>
      </w:r>
    </w:p>
    <w:p>
      <w:pPr>
        <w:pStyle w:val="BodyText"/>
        <w:spacing w:line="480" w:lineRule="auto"/>
        <w:ind w:firstLine="720"/>
      </w:pPr>
      <w:r>
        <w:t xml:space="preserve">For the program record, the trouble is that the space literature tends to assume this benefit instead of demonstrate it.</w:t>
      </w:r>
    </w:p>
    <w:p>
      <w:pPr>
        <w:pStyle w:val="BodyText"/>
        <w:spacing w:line="480" w:lineRule="auto"/>
        <w:ind w:firstLine="720"/>
      </w:pPr>
      <w:r>
        <w:t xml:space="preserve">Studies of the debris regime describe expanding participation and then infer, without a counterfactual, that the expansion strengthened the regime</w:t>
      </w:r>
      <w:r>
        <w:t xml:space="preserve"> </w:t>
      </w:r>
      <w:hyperlink w:anchor="ref-2">
        <w:r>
          <w:rPr>
            <w:rStyle w:val="Hyperlink"/>
          </w:rPr>
          <w:t xml:space="preserve">[2]</w:t>
        </w:r>
      </w:hyperlink>
      <w:r>
        <w:t xml:space="preserve">. National implementation studies, such as the estimate of Poland’s evolving space law, show states translating international guidelines into domestic instruments, which is evidence of diffusion but not evidence that broad drafting improved the underlying guideline</w:t>
      </w:r>
      <w:r>
        <w:t xml:space="preserve"> </w:t>
      </w:r>
      <w:hyperlink w:anchor="ref-2">
        <w:r>
          <w:rPr>
            <w:rStyle w:val="Hyperlink"/>
          </w:rPr>
          <w:t xml:space="preserve">[2]</w:t>
        </w:r>
      </w:hyperlink>
      <w:r>
        <w:t xml:space="preserve">. The inference from participation to quality is asserted where it ought to be estimated.</w:t>
      </w:r>
    </w:p>
    <w:bookmarkEnd w:id="72"/>
    <w:bookmarkStart w:id="73" w:name="effectiveness-as-an-output-value"/>
    <w:p>
      <w:pPr>
        <w:pStyle w:val="Heading2"/>
        <w:spacing w:line="480" w:lineRule="auto"/>
      </w:pPr>
      <w:r>
        <w:t xml:space="preserve">Effectiveness as an output value</w:t>
      </w:r>
    </w:p>
    <w:p>
      <w:pPr>
        <w:pStyle w:val="FirstParagraph"/>
        <w:spacing w:line="480" w:lineRule="auto"/>
      </w:pPr>
      <w:r>
        <w:t xml:space="preserve">The archival record matters here: now flip the lens. The result is narrow. The second body of work runs the other way. It treats a rule’s value as a property of the text: how specific its obligations are, how measurable its compliance criteria are, and how costly defection is made. On this account, precision is the scarce good, and precision is easiest to protect when a small, aligned group holds the pen. Analyses of active debris removal repeatedly find that the hard questions, liability, authority to act on another state’s object, and the legal status of removal, resist the vague consensus language that large forums tend to produce</w:t>
      </w:r>
      <w:r>
        <w:t xml:space="preserve"> </w:t>
      </w:r>
      <w:hyperlink w:anchor="ref-4">
        <w:r>
          <w:rPr>
            <w:rStyle w:val="Hyperlink"/>
          </w:rPr>
          <w:t xml:space="preserve">[4]</w:t>
        </w:r>
      </w:hyperlink>
      <w:r>
        <w:t xml:space="preserve">. Steele’s treatment of whether international law can even provide a basis for actively removing debris reads as a catalogue of the places where soft, inclusive drafting left the operative questions unanswered</w:t>
      </w:r>
      <w:r>
        <w:t xml:space="preserve"> </w:t>
      </w:r>
      <w:hyperlink w:anchor="ref-4">
        <w:r>
          <w:rPr>
            <w:rStyle w:val="Hyperlink"/>
          </w:rPr>
          <w:t xml:space="preserve">[4]</w:t>
        </w:r>
      </w:hyperlink>
      <w:r>
        <w:t xml:space="preserve">. The institutional-bottleneck framing extends this concern. Work on laser utilization in orbit describes governance that has stalled precisely where a demanding rule would have bitten, and reads the stall as a failure of the rulemaking machinery instead of of the underlying science</w:t>
      </w:r>
      <w:r>
        <w:t xml:space="preserve"> </w:t>
      </w:r>
      <w:hyperlink w:anchor="ref-10">
        <w:r>
          <w:rPr>
            <w:rStyle w:val="Hyperlink"/>
          </w:rPr>
          <w:t xml:space="preserve">[10]</w:t>
        </w:r>
      </w:hyperlink>
      <w:r>
        <w:t xml:space="preserve">. Studies of asteroid-mining regulation and of how to evaluate space-resource markets make the same move: they show that the interesting governance action lives in the precise, contested provisions that consensus bodies are structurally reluctant to write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output camp, then, has a mechanism, but it too lacks a measurement that separates the effect of composition from every other cause of vagueness.</w:t>
      </w:r>
    </w:p>
    <w:bookmarkEnd w:id="73"/>
    <w:bookmarkStart w:id="74" w:name="soft-law-and-the-space-normative-order"/>
    <w:p>
      <w:pPr>
        <w:pStyle w:val="Heading2"/>
        <w:spacing w:line="480" w:lineRule="auto"/>
      </w:pPr>
      <w:r>
        <w:t xml:space="preserve">Soft law and the space normative order</w:t>
      </w:r>
    </w:p>
    <w:p>
      <w:pPr>
        <w:pStyle w:val="FirstParagraph"/>
        <w:spacing w:line="480" w:lineRule="auto"/>
      </w:pPr>
      <w:r>
        <w:t xml:space="preserve">A third literature sits between the first two and is where space governance actually operates.</w:t>
      </w:r>
    </w:p>
    <w:p>
      <w:pPr>
        <w:pStyle w:val="BodyText"/>
        <w:spacing w:line="480" w:lineRule="auto"/>
        <w:ind w:firstLine="720"/>
      </w:pPr>
      <w:r>
        <w:t xml:space="preserve">Much of the orbital rulebook is soft law: guidelines, principles, and best-practice continuums that bind reputationally instead of legally. Reed and colleagues describe decentralized information-sharing as a trust-preserving arrangement that grew up alongside, and partly in place of, formal instruments</w:t>
      </w:r>
      <w:r>
        <w:t xml:space="preserve"> </w:t>
      </w:r>
      <w:hyperlink w:anchor="ref-3">
        <w:r>
          <w:rPr>
            <w:rStyle w:val="Hyperlink"/>
          </w:rPr>
          <w:t xml:space="preserve">[3]</w:t>
        </w:r>
      </w:hyperlink>
      <w:r>
        <w:t xml:space="preserve">. Related work on best-practice continuums in global space governance treats the soft-law layer as the real site of coordination, with the hard-law forums lagging behind</w:t>
      </w:r>
      <w:r>
        <w:t xml:space="preserve"> </w:t>
      </w:r>
      <w:hyperlink w:anchor="ref-3">
        <w:r>
          <w:rPr>
            <w:rStyle w:val="Hyperlink"/>
          </w:rPr>
          <w:t xml:space="preserve">[3]</w:t>
        </w:r>
      </w:hyperlink>
      <w:r>
        <w:t xml:space="preserve">. This literature is candid that soft instruments trade enforceability for reach, which is the legitimacy-effectiveness tradeoff restated in the specific idiom of space. What it does not do is ask whether wider participation systematically pushes instruments further down the soft end of that continuum. The chapter treats this as an empirical claim: the sustainability strand adds a distinct concern about whose knowledge counts. Varughese and colleagues argue for a transdisciplinary and bi-cultural approach to space sustainability, on the ground that a narrow drafting community produces rules that are blind to whole categories of stakeholder value</w:t>
      </w:r>
      <w:r>
        <w:t xml:space="preserve"> </w:t>
      </w:r>
      <w:hyperlink w:anchor="ref-9">
        <w:r>
          <w:rPr>
            <w:rStyle w:val="Hyperlink"/>
          </w:rPr>
          <w:t xml:space="preserve">[9]</w:t>
        </w:r>
      </w:hyperlink>
      <w:r>
        <w:t xml:space="preserve">. Read against the effectiveness camp, this is not a rebuttal so much as a reframing: inclusion may lower precision on the technical axis while raising validity on the representational axis, and the two cannot be collapsed into a single quality score. The tension is real, and the present dissertation does not resolve it. It does insist that any empirical proxy for governance quality be honest about which axis it captures.</w:t>
      </w:r>
    </w:p>
    <w:bookmarkEnd w:id="74"/>
    <w:bookmarkStart w:id="75" w:name="X9a5441a821c951ce209b7e75d33c433e7cbe325"/>
    <w:p>
      <w:pPr>
        <w:pStyle w:val="Heading2"/>
        <w:spacing w:line="480" w:lineRule="auto"/>
      </w:pPr>
      <w:r>
        <w:t xml:space="preserve">Measuring governance and measuring attention</w:t>
      </w:r>
    </w:p>
    <w:p>
      <w:pPr>
        <w:pStyle w:val="FirstParagraph"/>
        <w:spacing w:line="480" w:lineRule="auto"/>
      </w:pPr>
      <w:r>
        <w:t xml:space="preserve">The data construction is deliberately visible: the fourth literature is methodological. If the substantive debate is to be tested instead of narrated, something must be counted. Two counting traditions are relevant. The first codes governance instruments directly, scoring obligation, precision, and delegation. That tradition is powerful but expensive, and it is not what this design executes; it is what this design points toward. The second reads the scholarly and documentary record as a proxy, using recency, venue, and citation attention to infer where a field’s energy is concentrated. Work on space-data-model modernization and on machine-assisted analytics shows that the metadata surrounding space documents is now rich and structured enough to support this kind of reading</w:t>
      </w:r>
      <w:r>
        <w:t xml:space="preserve"> </w:t>
      </w:r>
      <w:hyperlink w:anchor="ref-8">
        <w:r>
          <w:rPr>
            <w:rStyle w:val="Hyperlink"/>
          </w:rPr>
          <w:t xml:space="preserve">[8]</w:t>
        </w:r>
      </w:hyperlink>
      <w:r>
        <w:t xml:space="preserve">. Studies of decentralized data-sharing consortia make the same point about the availability of source-traced records</w:t>
      </w:r>
      <w:r>
        <w:t xml:space="preserve"> </w:t>
      </w:r>
      <w:hyperlink w:anchor="ref-6">
        <w:r>
          <w:rPr>
            <w:rStyle w:val="Hyperlink"/>
          </w:rPr>
          <w:t xml:space="preserve">[6]</w:t>
        </w:r>
      </w:hyperlink>
      <w:r>
        <w:t xml:space="preserve">. Bibliometric proxies carry well-known hazards. Citation counts drawn from a local index are not universal counts, recency indices can confound age with relevance, and venue coding imposes an ordinal structure on families that are only loosely ordered. Zhang and Balakrishnan’s cross-regime comparison is instructive here: it succeeds precisely since it is explicit about what its documentary evidence can and cannot license</w:t>
      </w:r>
      <w:r>
        <w:t xml:space="preserve"> </w:t>
      </w:r>
      <w:hyperlink w:anchor="ref-5">
        <w:r>
          <w:rPr>
            <w:rStyle w:val="Hyperlink"/>
          </w:rPr>
          <w:t xml:space="preserve">[5]</w:t>
        </w:r>
      </w:hyperlink>
      <w:r>
        <w:t xml:space="preserve">. The methodological lesson I take is not that documentary proxies are unusable but that they must be reported as proxies, with the estimator’s imprecision treated as information instead of as an embarrassment.</w:t>
      </w:r>
    </w:p>
    <w:bookmarkEnd w:id="75"/>
    <w:bookmarkStart w:id="76" w:name="the-gap"/>
    <w:p>
      <w:pPr>
        <w:pStyle w:val="Heading2"/>
        <w:spacing w:line="480" w:lineRule="auto"/>
      </w:pPr>
      <w:r>
        <w:t xml:space="preserve">The gap</w:t>
      </w:r>
    </w:p>
    <w:p>
      <w:pPr>
        <w:pStyle w:val="FirstParagraph"/>
        <w:spacing w:line="480" w:lineRule="auto"/>
      </w:pPr>
      <w:r>
        <w:t xml:space="preserve">The gap is sharp. Set the four literatures side by side and it comes into focus. The input camp assumes participation helps and rarely estimates it. The output camp shows where precision fails and attributes the failure to composition without isolating it. The soft-law camp maps the terrain the tradeoff plays out on but does not test the tradeoff. And the measurement camp has the tools but has not been pointed at this specific question. No prior study, to my reading of this corpus, takes the legitimacy-versus-effectiveness question about the committee, reduces it to a document-level test on a source-traced corpus, and reports the estimator output with its full imprecision on display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For the empirical reader, the dissertation fills exactly that gap and nothing wider. It does not claim to measure whether the committee’s outputs are weak. It claims to measure how the legitimacy-effectiveness topic is structured in a retrievable corpus, using recency, citation attention, and venue family as the predictors the measurement literature already validated, and it treats the result as a first-stage screen that tells later, more expensive designs where to dig</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contribution is a bridge: from a contested policy intuition to a reproducible number, built so that the number’s limits are as visible as its value.</w:t>
      </w:r>
    </w:p>
    <w:bookmarkEnd w:id="76"/>
    <w:bookmarkStart w:id="77" w:name="the-consensus-rule-and-its-discontents"/>
    <w:p>
      <w:pPr>
        <w:pStyle w:val="Heading2"/>
        <w:spacing w:line="480" w:lineRule="auto"/>
      </w:pPr>
      <w:r>
        <w:t xml:space="preserve">The consensus rule and its discontents</w:t>
      </w:r>
    </w:p>
    <w:p>
      <w:pPr>
        <w:pStyle w:val="FirstParagraph"/>
        <w:spacing w:line="480" w:lineRule="auto"/>
      </w:pPr>
      <w:r>
        <w:t xml:space="preserve">The evidence trail is concrete here: no reading of this literature is complete without confronting the consensus rule directly, since it is the mechanism through which participation breadth is supposed to bite. The committee operates by consensus, which means that in principle any single delegation can block a text. As membership grows, the number of potential blockers grows with it, and the analytical expectation is that the zone of agreement shrinks toward provisions so anodyne that no one objects. This is the formal core of the dilution intuition, and it is more defensible than the loose version since it names a specific institutional feature instead of gesturing at size in the abstract</w:t>
      </w:r>
      <w:r>
        <w:t xml:space="preserve"> </w:t>
      </w:r>
      <w:hyperlink w:anchor="ref-4">
        <w:r>
          <w:rPr>
            <w:rStyle w:val="Hyperlink"/>
          </w:rPr>
          <w:t xml:space="preserve">[4]</w:t>
        </w:r>
      </w:hyperlink>
      <w:r>
        <w:t xml:space="preserve">. Yet the consensus story has well-documented escape hatches that the effectiveness camp sometimes forgets. Consensus does not require unanimity of enthusiasm, only absence of formal objection, and skilled chairs routinely manufacture agreement through constructive ambiguity, side understandings, and the sequencing of easy items before hard ones. The debris-mitigation guidelines and the sustainability principles both emerged from crowded rooms and are not empty, which suggests that consensus procedure and weak output are correlated less tightly than the simple model predicts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literature on decentralized trust-building arrangements offers a complementary escape hatch: when the formal forum stalls, coordination migrates to voluntary information-sharing structures that achieve much of the practical work without a binding text</w:t>
      </w:r>
      <w:r>
        <w:t xml:space="preserve"> </w:t>
      </w:r>
      <w:hyperlink w:anchor="ref-3">
        <w:r>
          <w:rPr>
            <w:rStyle w:val="Hyperlink"/>
          </w:rPr>
          <w:t xml:space="preserve">[3]</w:t>
        </w:r>
      </w:hyperlink>
      <w:r>
        <w:t xml:space="preserve"> </w:t>
      </w:r>
      <w:hyperlink w:anchor="ref-6">
        <w:r>
          <w:rPr>
            <w:rStyle w:val="Hyperlink"/>
          </w:rPr>
          <w:t xml:space="preserve">[6]</w:t>
        </w:r>
      </w:hyperlink>
      <w:r>
        <w:t xml:space="preserve">. Any theory of the tradeoff has to account for these releases, and a documentary screen is at least positioned to see whether the discourse tracks the formal stalls or the informal releases.</w:t>
      </w:r>
    </w:p>
    <w:bookmarkEnd w:id="77"/>
    <w:bookmarkStart w:id="78" w:name="bibliometrics-as-a-governance-instrument"/>
    <w:p>
      <w:pPr>
        <w:pStyle w:val="Heading2"/>
        <w:spacing w:line="480" w:lineRule="auto"/>
      </w:pPr>
      <w:r>
        <w:t xml:space="preserve">Bibliometrics as a governance instrument</w:t>
      </w:r>
    </w:p>
    <w:p>
      <w:pPr>
        <w:pStyle w:val="FirstParagraph"/>
        <w:spacing w:line="480" w:lineRule="auto"/>
      </w:pPr>
      <w:r>
        <w:t xml:space="preserve">A skeptic might object that reading citations and venues to study governance is a category error, that scholarly attention and institutional output are simply different things. The objection has force, and I want to meet it instead of dodge it. The defense is not that bibliometric structure equals governance quality; it plainly does not. The defense is that in a field where instrument quality is hard and expensive to code, the surrounding literature is an early-warning layer, and its structure carries information about where the contested action is concentrated</w:t>
      </w:r>
      <w:r>
        <w:t xml:space="preserve"> </w:t>
      </w:r>
      <w:hyperlink w:anchor="ref-8">
        <w:r>
          <w:rPr>
            <w:rStyle w:val="Hyperlink"/>
          </w:rPr>
          <w:t xml:space="preserve">[8]</w:t>
        </w:r>
      </w:hyperlink>
      <w:r>
        <w:t xml:space="preserve">. When machine-assisted analytics and modernized data models make document metadata newly legible at scale, the cost of reading that early-warning layer falls far enough to make it worth reading before committing to the expensive coding</w:t>
      </w:r>
      <w:r>
        <w:t xml:space="preserve"> </w:t>
      </w:r>
      <w:hyperlink w:anchor="ref-8">
        <w:r>
          <w:rPr>
            <w:rStyle w:val="Hyperlink"/>
          </w:rPr>
          <w:t xml:space="preserve">[8]</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archival record matters here: the comparative-regimes literature supplies the template for using documentary evidence responsibly. Zhang and Balakrishnan’s ozone-to-debris comparison does not pretend that its documentary base measures compliance directly; it uses the record to establish which mechanisms plausibly transferred and which did not, and it is scrupulous about the difference</w:t>
      </w:r>
      <w:r>
        <w:t xml:space="preserve"> </w:t>
      </w:r>
      <w:hyperlink w:anchor="ref-5">
        <w:r>
          <w:rPr>
            <w:rStyle w:val="Hyperlink"/>
          </w:rPr>
          <w:t xml:space="preserve">[5]</w:t>
        </w:r>
      </w:hyperlink>
      <w:r>
        <w:t xml:space="preserve">. The sustainability scholarship makes the reciprocal move, insisting that a narrow evidentiary base can miss whole categories of value and calling for transdisciplinary and bi-cultural framings that a metadata screen would never surface on its own</w:t>
      </w:r>
      <w:r>
        <w:t xml:space="preserve"> </w:t>
      </w:r>
      <w:hyperlink w:anchor="ref-9">
        <w:r>
          <w:rPr>
            <w:rStyle w:val="Hyperlink"/>
          </w:rPr>
          <w:t xml:space="preserve">[9]</w:t>
        </w:r>
      </w:hyperlink>
      <w:r>
        <w:t xml:space="preserve">. Read together, these two strands set the terms of responsible proxy work: use the documentary record for what it can establish, name loudly what it cannot, and never let the proxy stand in for the construct it only gestures toward. That is the discipline this dissertation adopts, and Chapter 2’s survey exists to show that the discipline is inherited from the best of the prior work instead of invented to excuse a thin design</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78"/>
    <w:bookmarkStart w:id="79" w:name="where-the-fields-energy-actually-sits"/>
    <w:p>
      <w:pPr>
        <w:pStyle w:val="Heading2"/>
        <w:spacing w:line="480" w:lineRule="auto"/>
      </w:pPr>
      <w:r>
        <w:t xml:space="preserve">Where the field’s energy actually sits</w:t>
      </w:r>
    </w:p>
    <w:p>
      <w:pPr>
        <w:pStyle w:val="FirstParagraph"/>
        <w:spacing w:line="480" w:lineRule="auto"/>
      </w:pPr>
      <w:r>
        <w:t xml:space="preserve">For a replicator, one last observation from the literature motivates the empirical design that follows. The newest and most demanding governance questions in this corpus, the regulation of asteroid mining, the evaluation of space-resource markets, the institutional bottlenecks around laser utilization, and the design of situational awareness for lunar resource systems, are precisely the ones where the effectiveness camp expects consensus drafting to struggle most</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If the legitimacy-effectiveness tension is live, these frontier topics should show it, and the way their metadata engages the governance theme, and the venues in which they appear, becomes a readable test of whether the field is worrying about dilution where the theory says it should. The literature, in short, does not just leave a gap for this dissertation to fill; it points at the specific records where filling it might pay off. The chapters that follow take that pointer seriously.</w:t>
      </w:r>
    </w:p>
    <w:bookmarkEnd w:id="79"/>
    <w:bookmarkStart w:id="80" w:name="the-deterrence-and-security-strand"/>
    <w:p>
      <w:pPr>
        <w:pStyle w:val="Heading2"/>
        <w:spacing w:line="480" w:lineRule="auto"/>
      </w:pPr>
      <w:r>
        <w:t xml:space="preserve">The deterrence and security strand</w:t>
      </w:r>
    </w:p>
    <w:p>
      <w:pPr>
        <w:pStyle w:val="FirstParagraph"/>
        <w:spacing w:line="480" w:lineRule="auto"/>
      </w:pPr>
      <w:r>
        <w:t xml:space="preserve">The chapter treats this as an empirical claim: a strand of the literature that the participation debate often overlooks concerns security and escalation, and it complicates the clean legitimacy-versus-effectiveness framing in a productive way. Work on artificial intelligence and autonomy in space frames governance not primarily as a compliance problem but as a stability problem, in which the value of a rule lies in its capacity to manage risk and dampen escalation among adversaries</w:t>
      </w:r>
      <w:r>
        <w:t xml:space="preserve"> </w:t>
      </w:r>
      <w:hyperlink w:anchor="ref-1">
        <w:r>
          <w:rPr>
            <w:rStyle w:val="Hyperlink"/>
          </w:rPr>
          <w:t xml:space="preserve">[1]</w:t>
        </w:r>
      </w:hyperlink>
      <w:r>
        <w:t xml:space="preserve">. On that framing, broad participation carries a distinctive benefit the precision camp misses: a rule that includes potential adversaries as drafters can build the mutual understanding that keeps a crisis from spiraling, even if the text is vague. Legitimacy, in the security reading, is not merely fair; it is stabilizing. This complicates the tradeoff since it means effectiveness is not a single axis. A rule can be effective at coordinating routine behavior, effective at managing crisis stability, or effective at diffusing into domestic practice, and broad participation may help on some axes while hurting on others</w:t>
      </w:r>
      <w:r>
        <w:t xml:space="preserve"> </w:t>
      </w:r>
      <w:hyperlink w:anchor="ref-3">
        <w:r>
          <w:rPr>
            <w:rStyle w:val="Hyperlink"/>
          </w:rPr>
          <w:t xml:space="preserve">[3]</w:t>
        </w:r>
      </w:hyperlink>
      <w:r>
        <w:t xml:space="preserve">. The precision camp implicitly privileges the coordination axis, where sharp text matters most, and the security literature privileges the stability axis, where inclusion matters most. Any honest treatment of the participation question has to concede that the two camps are partly talking about different goods, and that a documentary screen which measures only metadata visibility cannot arbitrate between them. What the screen can do is establish whether the discourse that spans these axes is structured at all, which is the prior question the empirical chapters take up</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80"/>
    <w:bookmarkStart w:id="81" w:name="why-prior-work-did-not-run-this-test"/>
    <w:p>
      <w:pPr>
        <w:pStyle w:val="Heading2"/>
        <w:spacing w:line="480" w:lineRule="auto"/>
      </w:pPr>
      <w:r>
        <w:t xml:space="preserve">Why prior work did not run this test</w:t>
      </w:r>
    </w:p>
    <w:p>
      <w:pPr>
        <w:pStyle w:val="FirstParagraph"/>
        <w:spacing w:line="480" w:lineRule="auto"/>
      </w:pPr>
      <w:r>
        <w:t xml:space="preserve">It is fair to ask why, if the gap is this clear, no prior study filled it. The answer lies partly in the recency of the enabling conditions. The document metadata that makes a corpus screen feasible has only lately become legible at scale, as data-model modernization and machine-assisted analytics turned scattered records into structured, queryable fields</w:t>
      </w:r>
      <w:r>
        <w:t xml:space="preserve"> </w:t>
      </w:r>
      <w:hyperlink w:anchor="ref-8">
        <w:r>
          <w:rPr>
            <w:rStyle w:val="Hyperlink"/>
          </w:rPr>
          <w:t xml:space="preserve">[8]</w:t>
        </w:r>
      </w:hyperlink>
      <w:r>
        <w:t xml:space="preserve">. The consortium and information-sharing arrangements that generate source-traced records are themselves recent</w:t>
      </w:r>
      <w:r>
        <w:t xml:space="preserve"> </w:t>
      </w:r>
      <w:hyperlink w:anchor="ref-6">
        <w:r>
          <w:rPr>
            <w:rStyle w:val="Hyperlink"/>
          </w:rPr>
          <w:t xml:space="preserve">[6]</w:t>
        </w:r>
      </w:hyperlink>
      <w:r>
        <w:t xml:space="preserve">. And the volume of space-governance scholarship large enough to have an internal structure worth studying is a development of the last several years, driven by the frontier topics catalogued above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gap went unfilled not since it was uninteresting but since the evidentiary conditions for filling it cheaply did not exist until recently. The dissertation is, in that sense, a study its own moment made possible, and the survey in this chapter is meant to show that its design inherits the field’s best measurement practice while pointing that practice at a question the field had left open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81"/>
    <w:bookmarkStart w:id="82" w:name="synthesis-four-literatures-one-design"/>
    <w:p>
      <w:pPr>
        <w:pStyle w:val="Heading2"/>
        <w:spacing w:line="480" w:lineRule="auto"/>
      </w:pPr>
      <w:r>
        <w:t xml:space="preserve">Synthesis: four literatures, one design</w:t>
      </w:r>
    </w:p>
    <w:p>
      <w:pPr>
        <w:pStyle w:val="FirstParagraph"/>
        <w:spacing w:line="480" w:lineRule="auto"/>
      </w:pPr>
      <w:r>
        <w:t xml:space="preserve">Pulling the survey together, the four literatures each contribute a piece the design needs. The input camp supplies the construct of legitimacy and the warning that adoption can be a form of effectiveness that precision scoring misses</w:t>
      </w:r>
      <w:r>
        <w:t xml:space="preserve"> </w:t>
      </w:r>
      <w:hyperlink w:anchor="ref-5">
        <w:r>
          <w:rPr>
            <w:rStyle w:val="Hyperlink"/>
          </w:rPr>
          <w:t xml:space="preserve">[5]</w:t>
        </w:r>
      </w:hyperlink>
      <w:r>
        <w:t xml:space="preserve">. The output camp supplies the mechanism by which broad participation might dilute text and the catalogue of frontier provisions where dilution would bite hardest</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soft-law and sustainability strand supplies the terrain, a normative order that lives between hard rules and technical practice and that includes stakeholders a narrow drafting club would exclude</w:t>
      </w:r>
      <w:r>
        <w:t xml:space="preserve"> </w:t>
      </w:r>
      <w:hyperlink w:anchor="ref-3">
        <w:r>
          <w:rPr>
            <w:rStyle w:val="Hyperlink"/>
          </w:rPr>
          <w:t xml:space="preserve">[3]</w:t>
        </w:r>
      </w:hyperlink>
      <w:r>
        <w:t xml:space="preserve"> </w:t>
      </w:r>
      <w:hyperlink w:anchor="ref-9">
        <w:r>
          <w:rPr>
            <w:rStyle w:val="Hyperlink"/>
          </w:rPr>
          <w:t xml:space="preserve">[9]</w:t>
        </w:r>
      </w:hyperlink>
      <w:r>
        <w:t xml:space="preserve">. And the measurement strand supplies the tools, a documentary record now legible enough to screen, along with the discipline to treat its proxies as proxies</w:t>
      </w:r>
      <w:r>
        <w:t xml:space="preserve"> </w:t>
      </w:r>
      <w:hyperlink w:anchor="ref-8">
        <w:r>
          <w:rPr>
            <w:rStyle w:val="Hyperlink"/>
          </w:rPr>
          <w:t xml:space="preserve">[8]</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For the empirical reader, the design that follows is the minimal one that respects all four contributions at once. It does not measure legitimacy or effectiveness directly, since the corpus cannot, and the input and output camps both warn against faking a construct the evidence will not support. It reads the discourse the soft-law strand identifies as the real site of coordination. And it uses exactly the recency, citation, and venue predictors the measurement strand validated, reported with exactly the candor that strand demands. Where the four literatures agree, the design follows; where they pull apart, the design declines to resolve their disagreement by fiat and instead measures only what a screen can honestly measure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restraint is the through-line from this survey to the empirical chapters, and it is why the contribution can be modest without being timid: it does the one checkable thing the combined literature actually licenses, and it names the larger things it does not</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82"/>
    <w:bookmarkEnd w:id="83"/>
    <w:bookmarkStart w:id="96"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keep by telling you what each piece of evidence would mean before you look.</w:t>
      </w:r>
    </w:p>
    <w:p>
      <w:pPr>
        <w:pStyle w:val="BodyText"/>
        <w:spacing w:line="480" w:lineRule="auto"/>
        <w:ind w:firstLine="720"/>
      </w:pPr>
      <w:r>
        <w:t xml:space="preserve">The chapter builds a mechanism for the legitimacy-versus-effectiveness question and then translates that mechanism into predictions that the two empirical workbooks can confront. The mechanism is not grand. It connects a claim about how governance salience behaves to a claim about how a literature carrying that salience should look, and it does so precisely enough that a null result is as informative as a positive one.</w:t>
      </w:r>
    </w:p>
    <w:bookmarkStart w:id="84" w:name="Xcbfa6e7be0ca84453332b0c4b6cfd8f2020fa8b"/>
    <w:p>
      <w:pPr>
        <w:pStyle w:val="Heading2"/>
        <w:spacing w:line="480" w:lineRule="auto"/>
      </w:pPr>
      <w:r>
        <w:t xml:space="preserve">From governance tension to observable trace</w:t>
      </w:r>
    </w:p>
    <w:p>
      <w:pPr>
        <w:pStyle w:val="FirstParagraph"/>
        <w:spacing w:line="480" w:lineRule="auto"/>
      </w:pPr>
      <w:r>
        <w:t xml:space="preserve">Begin with the premise. It is a substantive one. When broad participation dilutes governance outputs, the dilution does not stay hidden inside committee rooms. It leaves traces in the surrounding scholarly and documentary record. Analysts write about the gaps that weak instruments leave open. Technical communities publish the workarounds that a strong rule would have made unnecessary. Legal scholars catalogue the unanswered questions</w:t>
      </w:r>
      <w:r>
        <w:t xml:space="preserve"> </w:t>
      </w:r>
      <w:hyperlink w:anchor="ref-4">
        <w:r>
          <w:rPr>
            <w:rStyle w:val="Hyperlink"/>
          </w:rPr>
          <w:t xml:space="preserve">[4]</w:t>
        </w:r>
      </w:hyperlink>
      <w:r>
        <w:t xml:space="preserve"> </w:t>
      </w:r>
      <w:hyperlink w:anchor="ref-10">
        <w:r>
          <w:rPr>
            <w:rStyle w:val="Hyperlink"/>
          </w:rPr>
          <w:t xml:space="preserve">[10]</w:t>
        </w:r>
      </w:hyperlink>
      <w:r>
        <w:t xml:space="preserve">. A live, consequential governance tension for that reason generates a literature, and the shape of that literature is a readable signal about where the tension is being felt.</w:t>
      </w:r>
    </w:p>
    <w:p>
      <w:pPr>
        <w:pStyle w:val="BodyText"/>
        <w:spacing w:line="480" w:lineRule="auto"/>
        <w:ind w:firstLine="720"/>
      </w:pPr>
      <w:r>
        <w:t xml:space="preserve">For the program record, the premise cuts both ways, which is what makes it testable.</w:t>
      </w:r>
    </w:p>
    <w:p>
      <w:pPr>
        <w:pStyle w:val="BodyText"/>
        <w:spacing w:line="480" w:lineRule="auto"/>
        <w:ind w:firstLine="720"/>
      </w:pPr>
      <w:r>
        <w:t xml:space="preserve">If the legitimacy-effectiveness tension around the committee is a real, structuring force in this corpus, then the records that carry the strongest topic signal should not be scattered at random across time, attention, and venue. They should cluster. Newer records should carry more signal, since a live tension draws current writing toward it. Higher-attention records should carry more signal, since the field rewards work that engages the contested question. And venue family should matter, since different publishing communities engage governance tensions with different intensity. If instead the tension is dormant or diffuse in this corpus, the topic signal will float free of all three features, and the predictors will return weak, imprecise associations.</w:t>
      </w:r>
    </w:p>
    <w:bookmarkEnd w:id="84"/>
    <w:bookmarkStart w:id="85" w:name="the-two-competing-accounts"/>
    <w:p>
      <w:pPr>
        <w:pStyle w:val="Heading2"/>
        <w:spacing w:line="480" w:lineRule="auto"/>
      </w:pPr>
      <w:r>
        <w:t xml:space="preserve">The two competing accounts</w:t>
      </w:r>
    </w:p>
    <w:p>
      <w:pPr>
        <w:pStyle w:val="FirstParagraph"/>
        <w:spacing w:line="480" w:lineRule="auto"/>
      </w:pPr>
      <w:r>
        <w:t xml:space="preserve">The archival record matters here: i frame the theory as a contest between two accounts instead of as a single hypothesis to be confirmed.</w:t>
      </w:r>
    </w:p>
    <w:p>
      <w:pPr>
        <w:pStyle w:val="BodyText"/>
        <w:spacing w:line="480" w:lineRule="auto"/>
        <w:ind w:firstLine="720"/>
      </w:pPr>
      <w:r>
        <w:t xml:space="preserve">The structured account holds that the topic-signal score is systematically organized by the features of the literature. The unstructured account holds that it is not. This framing matters since it forces the design to treat a null result as a substantive finding about the corpus, not as a failure of the study. A field can be important and still be unstructured in a small retrieved sample; saying so honestly is part of the contribution. The structured account further splits along two axes that the corpus can distinguish. One axis is cross-sectional: at a single moment, do the records that engage the topic most intensely differ systematically in recency, citation attention, and venue from those that engage it weakly? The other axis is temporal: as records age, does the attention they attract accumulate along a measurable curve, the way learning-curve models describe cost falling with cumulative experience? These are different empirical stories. A corpus can show cross-sectional structure with no temporal structure, or the reverse, and conflating them would hide exactly the distinction a careful design should preserve</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85"/>
    <w:bookmarkStart w:id="86" w:name="cross-sectional-predictions"/>
    <w:p>
      <w:pPr>
        <w:pStyle w:val="Heading2"/>
        <w:spacing w:line="480" w:lineRule="auto"/>
      </w:pPr>
      <w:r>
        <w:t xml:space="preserve">Cross-sectional predictions</w:t>
      </w:r>
    </w:p>
    <w:p>
      <w:pPr>
        <w:pStyle w:val="FirstParagraph"/>
        <w:spacing w:line="480" w:lineRule="auto"/>
      </w:pPr>
      <w:r>
        <w:t xml:space="preserve">The first empirical paper tests the cross-sectional account with an ordinary least squares model. Its outcome is the composite topic-signal score built for each record; its predictors are a publication-recency index, a local citation count, and an ordinal venue-family score. The mechanism yields directional expectations. Under the structured account, recency should carry a positive coefficient, since a live tension pulls newer writing toward it. Citation attention should carry a positive coefficient, since engaged work draws engagement. Venue family is less obviously signed in advance, since the ordering from conference proceedings through journal articles to economy studies encodes format and audience as much as governance intensity, and either direction is theoretically admissible. The chapter treats this as an empirical claim: stated formally, the first null and its alternative are these. H0: the topic-signal score is unrelated to publication recency, citation attention, and venue family. H1: the topic-signal score is systematically related to those features, with recency and citation attention entering positively. The test is not whether every coefficient is significant. The test is whether the fitted specification as a whole, and each term within it, behaves as a structuring force would predict. A single precise coefficient against a background of null ones is itself a result: it says the corpus is organized on one dimension and not the others, which is a sharper claim than either account made on its own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86"/>
    <w:bookmarkStart w:id="87" w:name="temporal-predictions"/>
    <w:p>
      <w:pPr>
        <w:pStyle w:val="Heading2"/>
        <w:spacing w:line="480" w:lineRule="auto"/>
      </w:pPr>
      <w:r>
        <w:t xml:space="preserve">Temporal predictions</w:t>
      </w:r>
    </w:p>
    <w:p>
      <w:pPr>
        <w:pStyle w:val="FirstParagraph"/>
        <w:spacing w:line="480" w:lineRule="auto"/>
      </w:pPr>
      <w:r>
        <w:t xml:space="preserve">The data construction is deliberately visible: now the temporal test. The second empirical paper uses a log-log learning-curve model. Its outcome is citation count plus one, logged so the transformation is defined for uncited records; its single predictor is a document-age index, also logged. The learning-curve form is borrowed deliberately. In its original setting it describes how unit cost falls by a constant fraction each time cumulative output doubles, and the elasticity on the logged predictor is the parameter of interest. Ported to citations, the fitted specification asks whether attention accumulates with age at a constant proportional rate. The mechanism gives a clear prediction and an equally clear null. Under the structured account, older records should have had more time to accumulate citations, so the age elasticity should be positive and precise, and the implied doubling ratio should exceed one. Under the unstructured account, citation counts are dominated by a few idiosyncratic records and are otherwise flat, so the age elasticity should be small and imprecise, and the doubling ratio should sit near one. Formally, H0: citation accumulation is unrelated to article age in the retrieved topic literature. H1: citation accumulation follows a measurable age-based attention curve. A near-zero elasticity here would not mean citations are random in the world; it would mean that within this small, governance-focused corpus, age does not organize attention, which is a meaningful boundary on what the corpus can support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7"/>
    <w:bookmarkStart w:id="88" w:name="why-the-mechanism-stays-modest"/>
    <w:p>
      <w:pPr>
        <w:pStyle w:val="Heading2"/>
        <w:spacing w:line="480" w:lineRule="auto"/>
      </w:pPr>
      <w:r>
        <w:t xml:space="preserve">Why the mechanism stays modest</w:t>
      </w:r>
    </w:p>
    <w:p>
      <w:pPr>
        <w:pStyle w:val="FirstParagraph"/>
        <w:spacing w:line="480" w:lineRule="auto"/>
      </w:pPr>
      <w:r>
        <w:t xml:space="preserve">I want to be explicit about what the mechanism does not claim, since overclaiming is the standing hazard of proxy-based work. The mechanism does not assert that a strong topic signal proves governance outputs are weak. It asserts only that a live legitimacy-effectiveness tension should structure the surrounding literature, and it specifies how. The link from literature structure to actual instrument quality is a separate inferential step that this design names and defers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Keeping the mechanism modest is what lets the empirical results be trusted: every prediction is one the workbooks can adjudicate, and every adjudication, positive or null, feeds back into a bounded, honest reading of what the corpus reveals about the question.</w:t>
      </w:r>
    </w:p>
    <w:bookmarkEnd w:id="88"/>
    <w:bookmarkStart w:id="89" w:name="X37fec04382b135a078a9b176d3f60baad082fc9"/>
    <w:p>
      <w:pPr>
        <w:pStyle w:val="Heading2"/>
        <w:spacing w:line="480" w:lineRule="auto"/>
      </w:pPr>
      <w:r>
        <w:t xml:space="preserve">The microfoundation: why writers write where they write</w:t>
      </w:r>
    </w:p>
    <w:p>
      <w:pPr>
        <w:pStyle w:val="FirstParagraph"/>
        <w:spacing w:line="480" w:lineRule="auto"/>
      </w:pPr>
      <w:r>
        <w:t xml:space="preserve">The mechanism rests on a claim about author behavior, and it is worth making that claim explicit since it is where a critic would press. Why should a live governance tension produce a structured literature at all? The answer is that scholars and practitioners allocate scarce attention toward unresolved, consequential questions, and they choose venues that fit both the maturity of their argument and the audience they need to reach. A fast, argument-forward claim about an institutional gap goes to a conference, where it can provoke discussion before the gap is settled</w:t>
      </w:r>
      <w:r>
        <w:t xml:space="preserve"> </w:t>
      </w:r>
      <w:hyperlink w:anchor="ref-1">
        <w:r>
          <w:rPr>
            <w:rStyle w:val="Hyperlink"/>
          </w:rPr>
          <w:t xml:space="preserve">[1]</w:t>
        </w:r>
      </w:hyperlink>
      <w:r>
        <w:t xml:space="preserve"> </w:t>
      </w:r>
      <w:hyperlink w:anchor="ref-3">
        <w:r>
          <w:rPr>
            <w:rStyle w:val="Hyperlink"/>
          </w:rPr>
          <w:t xml:space="preserve">[3]</w:t>
        </w:r>
      </w:hyperlink>
      <w:r>
        <w:t xml:space="preserve">. A matured, evidence-heavy treatment goes to a journal, where it will be cited over a longer horizon</w:t>
      </w:r>
      <w:r>
        <w:t xml:space="preserve"> </w:t>
      </w:r>
      <w:hyperlink w:anchor="ref-10">
        <w:r>
          <w:rPr>
            <w:rStyle w:val="Hyperlink"/>
          </w:rPr>
          <w:t xml:space="preserve">[10]</w:t>
        </w:r>
      </w:hyperlink>
      <w:r>
        <w:t xml:space="preserve">. A policy-and-market analysis goes to an economy study, where its audience is analysts and decision-makers instead of the technical community. Venue choice, in this account, is not noise; it is a decision that encodes where in its life cycle an argument sits.</w:t>
      </w:r>
    </w:p>
    <w:p>
      <w:pPr>
        <w:pStyle w:val="BodyText"/>
        <w:spacing w:line="480" w:lineRule="auto"/>
        <w:ind w:firstLine="720"/>
      </w:pPr>
      <w:r>
        <w:t xml:space="preserve">The evidence trail is concrete here: if that microfoundation holds, then venue family should carry information about how directly a record engages a live governance tension, since the fast venues host the arguments that are still contested and the slower venues host arguments after they have cooled into technical or economic questions. The prediction is not that one venue is better than another. It is that the governance-theme metadata should concentrate where the contested arguments concentrate, and the design leaves the direction of that concentration to the data instead of assuming it</w:t>
      </w:r>
      <w:r>
        <w:t xml:space="preserve"> </w:t>
      </w:r>
      <w:hyperlink w:anchor="ref-8">
        <w:r>
          <w:rPr>
            <w:rStyle w:val="Hyperlink"/>
          </w:rPr>
          <w:t xml:space="preserve">[8]</w:t>
        </w:r>
      </w:hyperlink>
      <w:r>
        <w:t xml:space="preserve"> </w:t>
      </w:r>
      <w:hyperlink w:anchor="ref-9">
        <w:r>
          <w:rPr>
            <w:rStyle w:val="Hyperlink"/>
          </w:rPr>
          <w:t xml:space="preserve">[9]</w:t>
        </w:r>
      </w:hyperlink>
      <w:r>
        <w:t xml:space="preserve">. This is why the venue coefficient is the one term the mechanism deliberately declines to sign in advance: the microfoundation predicts structure without predicting its direction.</w:t>
      </w:r>
    </w:p>
    <w:bookmarkEnd w:id="89"/>
    <w:bookmarkStart w:id="90" w:name="distinguishing-the-two-null-worlds"/>
    <w:p>
      <w:pPr>
        <w:pStyle w:val="Heading2"/>
        <w:spacing w:line="480" w:lineRule="auto"/>
      </w:pPr>
      <w:r>
        <w:t xml:space="preserve">Distinguishing the two null worlds</w:t>
      </w:r>
    </w:p>
    <w:p>
      <w:pPr>
        <w:pStyle w:val="FirstParagraph"/>
        <w:spacing w:line="480" w:lineRule="auto"/>
      </w:pPr>
      <w:r>
        <w:t xml:space="preserve">For the program record, a subtle point separates the two ways the corpus could fail to show structure, and the design is built to tell them apart. In one null world, the legitimacy-effectiveness tension is genuinely dormant, and no feature of the literature organizes the topic signal since there is no live controversy driving writers toward it. In the other null world, the tension is live but the corpus is simply too small or too narrowly retrieved to resolve the structure, so the predictors return imprecise coefficients not since the world is flat but since thirty records cannot see the pattern. These two null worlds have the same surface appearance, weak coefficients, but very different implications for what to do next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design cannot fully separate them from within a single small sample, and I will not pretend otherwise. What it can do is read the pattern of nulls against the one positive result. If every predictor were null, the dormant-tension reading would gain plausibility. If instead one predictor is precise while others are null, the small-sample reading gains ground, since a genuinely dormant topic would be unlikely to produce even one sharp regularity</w:t>
      </w:r>
      <w:r>
        <w:t xml:space="preserve"> </w:t>
      </w:r>
      <w:hyperlink w:anchor="ref-4">
        <w:r>
          <w:rPr>
            <w:rStyle w:val="Hyperlink"/>
          </w:rPr>
          <w:t xml:space="preserve">[4]</w:t>
        </w:r>
      </w:hyperlink>
      <w:r>
        <w:t xml:space="preserve">. The mechanism thus makes the joint pattern of results interpretable where no single coefficient would be, and Chapter 6’s task is to report that joint pattern so the reader can weigh the two null worlds for themselves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90"/>
    <w:bookmarkStart w:id="91" w:name="Xce9d7f5f670c6d354b536194310486fe8870f02"/>
    <w:p>
      <w:pPr>
        <w:pStyle w:val="Heading2"/>
        <w:spacing w:line="480" w:lineRule="auto"/>
      </w:pPr>
      <w:r>
        <w:t xml:space="preserve">From predictions to a falsification standard</w:t>
      </w:r>
    </w:p>
    <w:p>
      <w:pPr>
        <w:pStyle w:val="FirstParagraph"/>
        <w:spacing w:line="480" w:lineRule="auto"/>
      </w:pPr>
      <w:r>
        <w:t xml:space="preserve">A theory that cannot be embarrassed by data is not worth testing, so the framework commits in advance to what would count as failure. The cross-sectional account fails if none of recency, citation attention, or venue family reaches significance and the joint F-test cannot reject the no-structure null; in that case the structured account is simply not supported by this corpus. The account is partially supported if some predictors are precise and others are not, and the pattern of which survive is itself the finding. The temporal account fails if the age elasticity is small and imprecise and the implied doubling ratio sits near one, which would say attention does not accumulate with age in the retrieved literature</w:t>
      </w:r>
      <w:r>
        <w:t xml:space="preserve"> </w:t>
      </w:r>
      <w:hyperlink w:anchor="ref-5">
        <w:r>
          <w:rPr>
            <w:rStyle w:val="Hyperlink"/>
          </w:rPr>
          <w:t xml:space="preserve">[5]</w:t>
        </w:r>
      </w:hyperlink>
      <w:r>
        <w:t xml:space="preserve">. Naming these standards before the estimates arrive is what keeps the interpretation in Chapter 6 from sliding toward whatever the numbers happened to show. The predictions are on the record; the data will either meet them or not.</w:t>
      </w:r>
    </w:p>
    <w:bookmarkEnd w:id="91"/>
    <w:bookmarkStart w:id="92" w:name="Xef85d3254f6362f99aca50e26f90788ceab9ab6"/>
    <w:p>
      <w:pPr>
        <w:pStyle w:val="Heading2"/>
        <w:spacing w:line="480" w:lineRule="auto"/>
      </w:pPr>
      <w:r>
        <w:t xml:space="preserve">The construct and its proxies, stated carefully</w:t>
      </w:r>
    </w:p>
    <w:p>
      <w:pPr>
        <w:pStyle w:val="FirstParagraph"/>
        <w:spacing w:line="480" w:lineRule="auto"/>
      </w:pPr>
      <w:r>
        <w:t xml:space="preserve">The framework rests on a chain of constructs, and a rigorous theory chapter should lay that chain out link by link so the reader can see where the inferential weight sits. The ultimate construct of interest is governance-output quality, whether the committee’s instruments are strong or weak. The dissertation does not measure that construct. One rung down is the liveness of the legitimacy-effectiveness tension, whether the tradeoff is an active controversy. The dissertation approaches this rung indirectly. One rung further down is the structure of the surrounding literature, which the dissertation measures directly through the topic-signal score and its predictors</w:t>
      </w:r>
      <w:r>
        <w:t xml:space="preserve"> </w:t>
      </w:r>
      <w:hyperlink w:anchor="ref-2">
        <w:r>
          <w:rPr>
            <w:rStyle w:val="Hyperlink"/>
          </w:rPr>
          <w:t xml:space="preserve">[2]</w:t>
        </w:r>
      </w:hyperlink>
      <w:r>
        <w:t xml:space="preserve"> </w:t>
      </w:r>
      <w:hyperlink w:anchor="ref-8">
        <w:r>
          <w:rPr>
            <w:rStyle w:val="Hyperlink"/>
          </w:rPr>
          <w:t xml:space="preserve">[8]</w:t>
        </w:r>
      </w:hyperlink>
      <w:r>
        <w:t xml:space="preserve">. Each downward step trades proximity to the question for measurability, and the theory’s job is to make the trades explicit instead of to hide them behind a single confident label. The chapter treats this as an empirical claim: the topic-signal score is the proxy that carries the most weight, and it proxies for something specific: how visibly a record’s metadata engages the governance theme. It does not proxy for the record’s importance, its quality, or its policy influence. A theory that forgot this would let a metadata count masquerade as a measure of significance, and the whole chain would rot from that one bad link</w:t>
      </w:r>
      <w:r>
        <w:t xml:space="preserve"> </w:t>
      </w:r>
      <w:hyperlink w:anchor="ref-9">
        <w:r>
          <w:rPr>
            <w:rStyle w:val="Hyperlink"/>
          </w:rPr>
          <w:t xml:space="preserve">[9]</w:t>
        </w:r>
      </w:hyperlink>
      <w:r>
        <w:t xml:space="preserve">. By fixing the proxy’s meaning precisely, the framework ensures that when Chapter 6 reports a coefficient on the signal score, the reader knows exactly which construct is being related to recency, citation, and venue, and which constructs remain untouched two rungs up the chain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2"/>
    <w:bookmarkStart w:id="93" w:name="X6c696e8d279070162a020ea6d5889f7be282f4e"/>
    <w:p>
      <w:pPr>
        <w:pStyle w:val="Heading2"/>
        <w:spacing w:line="480" w:lineRule="auto"/>
      </w:pPr>
      <w:r>
        <w:t xml:space="preserve">How the mechanism would look if it were wrong</w:t>
      </w:r>
    </w:p>
    <w:p>
      <w:pPr>
        <w:pStyle w:val="FirstParagraph"/>
        <w:spacing w:line="480" w:lineRule="auto"/>
      </w:pPr>
      <w:r>
        <w:t xml:space="preserve">The data construction is deliberately visible: the most useful thing a mechanism can do is describe the world in which it is false, so the reader can check for that world in the results. If the legitimacy-effectiveness tension does not structure this literature, several signatures should appear together. The topic-signal score should be uncorrelated with every predictor, floating free of recency, citation, and venue alike. The joint F-test should fail to reject. The temporal elasticity should sit near zero with a doubling ratio near one. And the constant should be modest, indicating that the corpus carries only a scattered, incidental engagement with the theme instead of a substantial baseline presence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That is the full portrait of the mechanism being wrong, and stating it here means Chapter 6 can be read as a direct check against it. Where the results match this portrait, the mechanism is disconfirmed on that dimension; where they depart from it, the mechanism finds support. Either way, the theory has told the reader what to look for before the looking begins, which is the discipline a hypothesis chapter exists to impose</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93"/>
    <w:bookmarkStart w:id="94" w:name="the-two-hypotheses-as-a-single-system"/>
    <w:p>
      <w:pPr>
        <w:pStyle w:val="Heading2"/>
        <w:spacing w:line="480" w:lineRule="auto"/>
      </w:pPr>
      <w:r>
        <w:t xml:space="preserve">The two hypotheses as a single system</w:t>
      </w:r>
    </w:p>
    <w:p>
      <w:pPr>
        <w:pStyle w:val="FirstParagraph"/>
        <w:spacing w:line="480" w:lineRule="auto"/>
      </w:pPr>
      <w:r>
        <w:t xml:space="preserve">The operational question is narrower: although the cross-sectional and temporal hypotheses are estimated separately, the framework treats them as one system, since their joint pattern carries more meaning than either alone. Four combinations are possible. Structure on both axes would say the discourse is organized across records and accumulates with age, the strongest form of the structured account. Structure on neither would point toward a dormant tension or an inert corpus. Cross-sectional structure without temporal structure would say the corpus is organized by its features at a moment but does not build attention over time, which fits a fast-moving governance discourse where recent arguments displace older ones. Temporal structure without cross-sectional structure would say attention accumulates with age even though no measured feature organizes the signal, which would be surprising and would point to an unmeasured driver</w:t>
      </w:r>
      <w:r>
        <w:t xml:space="preserve"> </w:t>
      </w:r>
      <w:hyperlink w:anchor="ref-5">
        <w:r>
          <w:rPr>
            <w:rStyle w:val="Hyperlink"/>
          </w:rPr>
          <w:t xml:space="preserve">[5]</w:t>
        </w:r>
      </w:hyperlink>
      <w:r>
        <w:t xml:space="preserve"> </w:t>
      </w:r>
      <w:hyperlink w:anchor="ref-8">
        <w:r>
          <w:rPr>
            <w:rStyle w:val="Hyperlink"/>
          </w:rPr>
          <w:t xml:space="preserve">[8]</w:t>
        </w:r>
      </w:hyperlink>
      <w:r>
        <w:t xml:space="preserve">. Laying out the four combinations in advance means the actual result, whichever it is, arrives already interpreted. The framework does not have to improvise a story after seeing the numbers, since it has pre-assigned a meaning to each cell of the two-by-two</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This is the same discipline the failure portrait imposes, extended to the joint space of the two hypotheses, and it is what lets Chapter 6 read the combined result as a coherent finding instead of as two disconnected coefficients that happen to share a corpus</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94"/>
    <w:bookmarkStart w:id="95" w:name="scope-conditions-on-the-mechanism"/>
    <w:p>
      <w:pPr>
        <w:pStyle w:val="Heading2"/>
        <w:spacing w:line="480" w:lineRule="auto"/>
      </w:pPr>
      <w:r>
        <w:t xml:space="preserve">Scope conditions on the mechanism</w:t>
      </w:r>
    </w:p>
    <w:p>
      <w:pPr>
        <w:pStyle w:val="FirstParagraph"/>
        <w:spacing w:line="480" w:lineRule="auto"/>
      </w:pPr>
      <w:r>
        <w:t xml:space="preserve">Every mechanism holds only under conditions, and stating those conditions is part of building an honest theory. The mechanism here assumes that authors and practitioners are free to choose venues and topics in response to where the live governance tension sits, that the metadata attached to their records genuinely reflects that engagement, and that the retrieval process which assembled the corpus did not itself impose the structure the estimators then find</w:t>
      </w:r>
      <w:r>
        <w:t xml:space="preserve"> </w:t>
      </w:r>
      <w:hyperlink w:anchor="ref-3">
        <w:r>
          <w:rPr>
            <w:rStyle w:val="Hyperlink"/>
          </w:rPr>
          <w:t xml:space="preserve">[3]</w:t>
        </w:r>
      </w:hyperlink>
      <w:r>
        <w:t xml:space="preserve"> </w:t>
      </w:r>
      <w:hyperlink w:anchor="ref-7">
        <w:r>
          <w:rPr>
            <w:rStyle w:val="Hyperlink"/>
          </w:rPr>
          <w:t xml:space="preserve">[7]</w:t>
        </w:r>
      </w:hyperlink>
      <w:r>
        <w:t xml:space="preserve">. Where these conditions hold, a structured literature is evidence of a live tension. Where they fail, the inference breaks, and the framework has to concede the break instead of paper over it. The evidence trail is concrete here: the most fragile condition is the last. If the corpus was assembled by a search that favored certain venues or themes, then any structure the estimators detect could be an artifact of the retrieval instead of a property of the field</w:t>
      </w:r>
      <w:r>
        <w:t xml:space="preserve"> </w:t>
      </w:r>
      <w:hyperlink w:anchor="ref-9">
        <w:r>
          <w:rPr>
            <w:rStyle w:val="Hyperlink"/>
          </w:rPr>
          <w:t xml:space="preserve">[9]</w:t>
        </w:r>
      </w:hyperlink>
      <w:r>
        <w:t xml:space="preserve">. The framework cannot eliminate this fragility from within a single corpus, but it can hold the venue result to a lower confidence since of it, and it can name the independent-coding check that would test it. Scope conditions stated this plainly do not weaken the theory; they define the region in which its predictions are meant to be trusted, and they mark the boundary a follow-on study would need to secure before the mechanism’s inference could be relied on</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95"/>
    <w:bookmarkEnd w:id="96"/>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The first is an ordinary least squares regression that tests cross-sectional structure. The second is a log-log learning-curve regression that tests temporal accumulation. Neither pretends to randomized assignment, and neither is asked to deliver a causal effect it cannot support. The chapter states each estimator precisely, explains what it identifies under what assumptions, and defends the choice against the obvious alternatives. The governing principle is that an estimator should be exactly as ambitious as the data warrant and no more.</w:t>
      </w:r>
    </w:p>
    <w:bookmarkStart w:id="97" w:name="the-cross-sectional-estimator"/>
    <w:p>
      <w:pPr>
        <w:pStyle w:val="Heading2"/>
        <w:spacing w:line="480" w:lineRule="auto"/>
      </w:pPr>
      <w:r>
        <w:t xml:space="preserve">The cross-sectional estimator</w:t>
      </w:r>
    </w:p>
    <w:p>
      <w:pPr>
        <w:pStyle w:val="FirstParagraph"/>
        <w:spacing w:line="480" w:lineRule="auto"/>
      </w:pPr>
      <w:r>
        <w:t xml:space="preserve">Consider the first model. The first paper fits the linear specification recorded in its configuration file:</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is the composite topic-signal score for record i. The three predictors are the publication-recency index, the local citation count, and the ordinal venue-family score. Estimation is by ordinary least squares with heteroskedasticity-robust HC1 standard errors. The robust covariance choice is deliberate instead of reflexive. A corpus that mixes conference proceedings, journal articles, and economy studies almost certainly has error variance that changes across venue families and across the range of signal scores, and the classical homoskedastic standard error would understate uncertainty exactly where the design most needs honest uncertainty. HC1 buys robustness to that heteroskedasticity at a small finite-sample cost, which is the right trade at N = 30</w:t>
      </w:r>
      <w:r>
        <w:t xml:space="preserve"> </w:t>
      </w:r>
      <w:hyperlink w:anchor="ref-8">
        <w:r>
          <w:rPr>
            <w:rStyle w:val="Hyperlink"/>
          </w:rPr>
          <w:t xml:space="preserve">[8]</w:t>
        </w:r>
      </w:hyperlink>
      <w:r>
        <w:t xml:space="preserve">. The archival record matters here: what does this model identify? Under the assumption that the three predictors are uncorrelated with the error term, each coefficient identifies the partial association between that predictor and the topic-signal score, holding the other two fixed. I am careful to call these associations, not effects. The design has no instrument, no exogenous shock, and no panel structure, so the coefficients describe how the retrieved corpus is organized, not how a manipulation of recency or citation would move the signal. The venue-family coefficient, in particular, identifies a between-family difference in mean signal, conditional on recency and citation attention, and it is the one term the mechanism did not sign in advance</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Ordinary least squares is the appropriate workhorse here for reasons beyond convention. The outcome is a bounded count-like composite, but it takes enough distinct values across the sample to be treated as continuous without serious distortion, and a linear model keeps the coefficients directly interpretable in the units the reader cares about. A more elaborate count model would buy little at this sample size and would obscure the partial associations behind link functions that the audience for a governance dissertation would have to decode. Simplicity here is a virtue, not a shortcut, since the whole point of the screen is that a reader can reproduce and interrogate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97"/>
    <w:bookmarkStart w:id="98" w:name="the-temporal-estimator"/>
    <w:p>
      <w:pPr>
        <w:pStyle w:val="Heading2"/>
        <w:spacing w:line="480" w:lineRule="auto"/>
      </w:pPr>
      <w:r>
        <w:t xml:space="preserve">The temporal estimator</w:t>
      </w:r>
    </w:p>
    <w:p>
      <w:pPr>
        <w:pStyle w:val="FirstParagraph"/>
        <w:spacing w:line="480" w:lineRule="auto"/>
      </w:pPr>
      <w:r>
        <w:t xml:space="preserve">Turn to the second model. The second paper fits the log-log specification recorded in its configuration file:</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natural log of citation count plus one; the predictor is the natural log of the document-age index.</w:t>
      </w:r>
    </w:p>
    <w:p>
      <w:pPr>
        <w:pStyle w:val="BodyText"/>
        <w:spacing w:line="480" w:lineRule="auto"/>
        <w:ind w:firstLine="720"/>
      </w:pPr>
      <w:r>
        <w:t xml:space="preserve">Estimation is again ordinary least squares with HC1 robust standard errors. The plus-one transformation is not cosmetic. A large share of the corpus is uncited in the local index, and the log of zero is undefined, so adding one before logging keeps every record in the sample instead of silently dropping the uncited majority, which would bias the estimate toward the handful of heavily cited outliers. Retaining the zeros is what makes the estimate representative of the corpus instead of of its tail</w:t>
      </w:r>
      <w:r>
        <w:t xml:space="preserve"> </w:t>
      </w:r>
      <w:hyperlink w:anchor="ref-6">
        <w:r>
          <w:rPr>
            <w:rStyle w:val="Hyperlink"/>
          </w:rPr>
          <w:t xml:space="preserve">[6]</w:t>
        </w:r>
      </w:hyperlink>
      <w:r>
        <w:t xml:space="preserve">. The data construction is deliberately visible: the learning-curve form identifies an elasticity. The coefficient on the logged age index is the percentage change in citations-plus-one associated with a one-percent change in age, and it maps directly to a progress ratio of two raised to that coefficient, the factor by which citations scale each time age doubles. A positive elasticity above zero, with a doubling ratio above one, would identify genuine age-based accumulation. A near-zero elasticity would identify its absence. Under the maintained assumption that age is uncorrelated with the error, the estimate is the average log-linear relationship between age and attention across the retrieved records, and nothing more. It does not identify why any single influential paper was cited, and it does not project future citation growth for a new record</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98"/>
    <w:bookmarkStart w:id="99" w:name="why-these-identify-the-intended-contrast"/>
    <w:p>
      <w:pPr>
        <w:pStyle w:val="Heading2"/>
        <w:spacing w:line="480" w:lineRule="auto"/>
      </w:pPr>
      <w:r>
        <w:t xml:space="preserve">Why these identify the intended contrast</w:t>
      </w:r>
    </w:p>
    <w:p>
      <w:pPr>
        <w:pStyle w:val="FirstParagraph"/>
        <w:spacing w:line="480" w:lineRule="auto"/>
      </w:pPr>
      <w:r>
        <w:t xml:space="preserve">The operational question is narrower: the two estimators together identify the distinction the theory demanded: cross-sectional structure versus temporal structure.</w:t>
      </w:r>
    </w:p>
    <w:p>
      <w:pPr>
        <w:pStyle w:val="BodyText"/>
        <w:spacing w:line="480" w:lineRule="auto"/>
        <w:ind w:firstLine="720"/>
      </w:pPr>
      <w:r>
        <w:t xml:space="preserve">They do so since they place the burden on different variation. The first model exploits variation across records at a point in the corpus, asking whether records that differ in recency, citation, and venue also differ in topic signal. The second model exploits variation in age, asking whether older records have accumulated more attention. Because the two draw on separate sources of variation, a positive result in one and a null in the other is coherent and informative instead of contradictory, and the design is built so that either pattern can emerge and be read</w:t>
      </w:r>
      <w:r>
        <w:t xml:space="preserve"> </w:t>
      </w:r>
      <w:hyperlink w:anchor="ref-1">
        <w:r>
          <w:rPr>
            <w:rStyle w:val="Hyperlink"/>
          </w:rPr>
          <w:t xml:space="preserve">[1]</w:t>
        </w:r>
      </w:hyperlink>
      <w:r>
        <w:t xml:space="preserve"> </w:t>
      </w:r>
      <w:hyperlink w:anchor="ref-8">
        <w:r>
          <w:rPr>
            <w:rStyle w:val="Hyperlink"/>
          </w:rPr>
          <w:t xml:space="preserve">[8]</w:t>
        </w:r>
      </w:hyperlink>
      <w:r>
        <w:t xml:space="preserve">. Identification rests on assumptions I state instead of assume away. The predictors must be exogenous to the signal-construction process, which holds by construction since recency, citation count, and venue family are read from source metadata that is fixed before the topic-signal score is computed. The functional forms must be adequate, which the diagnostics in Chapter 6 examine through fit statistics and the behavior of the residual structure. And the sample must be the population of interest, which it is: the target is the candidate’s retrieved corpus, not the universe of all space-governance writing, and the estimator answers a question about that corpus exactly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9"/>
    <w:bookmarkStart w:id="100" w:name="what-the-design-deliberately-forgoes"/>
    <w:p>
      <w:pPr>
        <w:pStyle w:val="Heading2"/>
        <w:spacing w:line="480" w:lineRule="auto"/>
      </w:pPr>
      <w:r>
        <w:t xml:space="preserve">What the design deliberately forgoes</w:t>
      </w:r>
    </w:p>
    <w:p>
      <w:pPr>
        <w:pStyle w:val="FirstParagraph"/>
        <w:spacing w:line="480" w:lineRule="auto"/>
      </w:pPr>
      <w:r>
        <w:t xml:space="preserve">An honest methods chapter also lists the estimators it did not use and why.</w:t>
      </w:r>
    </w:p>
    <w:p>
      <w:pPr>
        <w:pStyle w:val="BodyText"/>
        <w:spacing w:line="480" w:lineRule="auto"/>
        <w:ind w:firstLine="720"/>
      </w:pPr>
      <w:r>
        <w:t xml:space="preserve">I do not fit a matched-comparison or difference-in-differences design, since there is no treatment assignment, real or natural, to exploit; the committee’s composition change is not observed at the record level in this corpus. I do not fit a survival model, since the outcome of interest is signal intensity and citation attention, not time to an event. And I do not attempt a structural model of governance-output quality, since the corpus contains no direct measure of instrument strength that such a model would require. Each of these would be a more ambitious design, and each would be dishonest at this data stage, promising identification the evidence cannot deliver. The two chosen estimators are the most that thirty source-traced records can support while keeping every inference inspectable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00"/>
    <w:bookmarkStart w:id="101" w:name="inference-under-a-small-sample"/>
    <w:p>
      <w:pPr>
        <w:pStyle w:val="Heading2"/>
        <w:spacing w:line="480" w:lineRule="auto"/>
      </w:pPr>
      <w:r>
        <w:t xml:space="preserve">Inference under a small sample</w:t>
      </w:r>
    </w:p>
    <w:p>
      <w:pPr>
        <w:pStyle w:val="FirstParagraph"/>
        <w:spacing w:line="480" w:lineRule="auto"/>
      </w:pPr>
      <w:r>
        <w:t xml:space="preserve">Thirty observations is a real constraint, and the methodology has to reckon with it instead of wish it away. Two consequences follow. The first is that statistical power is limited: a true association of modest size can easily fail to reach significance, so a null coefficient here is weaker evidence against an effect than the same null would be in a large sample. I for that reason read nulls as boundaries on what this corpus can reveal, not as proof that the underlying relationship is zero</w:t>
      </w:r>
      <w:r>
        <w:t xml:space="preserve"> </w:t>
      </w:r>
      <w:hyperlink w:anchor="ref-5">
        <w:r>
          <w:rPr>
            <w:rStyle w:val="Hyperlink"/>
          </w:rPr>
          <w:t xml:space="preserve">[5]</w:t>
        </w:r>
      </w:hyperlink>
      <w:r>
        <w:t xml:space="preserve">. The second consequence is that individual influential records can move a coefficient, particularly for the citation variable, whose nonzero values belong to a handful of journal articles. The robust covariance estimator does not immunize the point estimate against that leverage; it only ensures the reported uncertainty reflects the heteroskedasticity such leverage induces</w:t>
      </w:r>
      <w:r>
        <w:t xml:space="preserve"> </w:t>
      </w:r>
      <w:hyperlink w:anchor="ref-8">
        <w:r>
          <w:rPr>
            <w:rStyle w:val="Hyperlink"/>
          </w:rPr>
          <w:t xml:space="preserve">[8]</w:t>
        </w:r>
      </w:hyperlink>
      <w:r>
        <w:t xml:space="preserve">. For the program record, because of these consequences I lean on the joint F-test and on the full pattern of coefficients instead of on any single term read in isolation. A model that rejects the no-structure null jointly while showing one precise term and two imprecise ones is telling a coherent story about where structure lives, and that story is more credible than any lone coefficient would be. The design’s inferential weight rests on the configuration of results, which is exactly what a small-sample screen should offer: a shape, not a pinpoint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01"/>
    <w:bookmarkStart w:id="102" w:name="functional-form-and-its-diagnostics"/>
    <w:p>
      <w:pPr>
        <w:pStyle w:val="Heading2"/>
        <w:spacing w:line="480" w:lineRule="auto"/>
      </w:pPr>
      <w:r>
        <w:t xml:space="preserve">Functional form and its diagnostics</w:t>
      </w:r>
    </w:p>
    <w:p>
      <w:pPr>
        <w:pStyle w:val="FirstParagraph"/>
        <w:spacing w:line="480" w:lineRule="auto"/>
      </w:pPr>
      <w:r>
        <w:t xml:space="preserve">The archival record matters here: both estimators impose functional-form assumptions, and a defensible methodology states how it would know if they failed. The linear cross-sectional model assumes that the partial associations are additive and constant across the range of each predictor. If the true relationship between venue family and signal were sharply non-monotonic, the linear venue term would average over the bends and could misrepresent the pattern; Chapter 6 for that reason reports the venue result as a between-family mean difference instead of as a per-step slope, which is the reading the ordinal coding actually licenses</w:t>
      </w:r>
      <w:r>
        <w:t xml:space="preserve"> </w:t>
      </w:r>
      <w:hyperlink w:anchor="ref-9">
        <w:r>
          <w:rPr>
            <w:rStyle w:val="Hyperlink"/>
          </w:rPr>
          <w:t xml:space="preserve">[9]</w:t>
        </w:r>
      </w:hyperlink>
      <w:r>
        <w:t xml:space="preserve">. The log-log temporal model assumes a constant elasticity, which is the whole point of the learning-curve form, and its adequacy is judged by whether the fit statistic and the residual behavior are consistent with a proportional relationship or instead betray a citation distribution dominated by a few outliers</w:t>
      </w:r>
      <w:r>
        <w:t xml:space="preserve"> </w:t>
      </w:r>
      <w:hyperlink w:anchor="ref-13">
        <w:r>
          <w:rPr>
            <w:rStyle w:val="Hyperlink"/>
          </w:rPr>
          <w:t xml:space="preserve">[13]</w:t>
        </w:r>
      </w:hyperlink>
      <w:r>
        <w:t xml:space="preserve">. The plus-one transformation in the temporal model carries its own diagnostic burden. By shifting every citation count up by one before logging, the transformation compresses the difference between an uncited record and a lightly cited one, which is defensible when the substantive question is proportional accumulation but which also means the fitted specification cannot distinguish sharply among the uncited majority. I accept that compression since the alternative, dropping the zeros, would estimate the curve off the cited tail alone and would answer a different and less representative question</w:t>
      </w:r>
      <w:r>
        <w:t xml:space="preserve"> </w:t>
      </w:r>
      <w:hyperlink w:anchor="ref-6">
        <w:r>
          <w:rPr>
            <w:rStyle w:val="Hyperlink"/>
          </w:rPr>
          <w:t xml:space="preserve">[6]</w:t>
        </w:r>
      </w:hyperlink>
      <w:r>
        <w:t xml:space="preserve"> </w:t>
      </w:r>
      <w:hyperlink w:anchor="ref-16">
        <w:r>
          <w:rPr>
            <w:rStyle w:val="Hyperlink"/>
          </w:rPr>
          <w:t xml:space="preserve">[16]</w:t>
        </w:r>
      </w:hyperlink>
      <w:r>
        <w:t xml:space="preserve">. The methodology’s honesty here lies in naming the transformation’s effect instead of presenting the logged outcome as if it were the raw one.</w:t>
      </w:r>
    </w:p>
    <w:bookmarkEnd w:id="102"/>
    <w:bookmarkStart w:id="103" w:name="X65685639466ccbbe7bd8f3bae1c0b653277f32d"/>
    <w:p>
      <w:pPr>
        <w:pStyle w:val="Heading2"/>
        <w:spacing w:line="480" w:lineRule="auto"/>
      </w:pPr>
      <w:r>
        <w:t xml:space="preserve">The standard of proof this design accepts</w:t>
      </w:r>
    </w:p>
    <w:p>
      <w:pPr>
        <w:pStyle w:val="FirstParagraph"/>
        <w:spacing w:line="480" w:lineRule="auto"/>
      </w:pPr>
      <w:r>
        <w:t xml:space="preserve">Different research goals warrant different standards of proof, and a design-stage screen should say which standard it is holding itself to. The dissertation does not claim the standard appropriate to a causal effect that would guide a binding policy choice; it holds the lower standard appropriate to establishing whether a question is structured enough in obtainable evidence to justify a costlier follow-on study</w:t>
      </w:r>
      <w:r>
        <w:t xml:space="preserve"> </w:t>
      </w:r>
      <w:hyperlink w:anchor="ref-4">
        <w:r>
          <w:rPr>
            <w:rStyle w:val="Hyperlink"/>
          </w:rPr>
          <w:t xml:space="preserve">[4]</w:t>
        </w:r>
      </w:hyperlink>
      <w:r>
        <w:t xml:space="preserve"> </w:t>
      </w:r>
      <w:hyperlink w:anchor="ref-7">
        <w:r>
          <w:rPr>
            <w:rStyle w:val="Hyperlink"/>
          </w:rPr>
          <w:t xml:space="preserve">[7]</w:t>
        </w:r>
      </w:hyperlink>
      <w:r>
        <w:t xml:space="preserve">. Under that standard, a precise coefficient is credited as a lead worth pursuing, a joint rejection of no-structure is credited as evidence the corpus is organized, and a clean null is credited as a boundary that redirects effort. None of these is a claim about the committee’s outputs, and the methodology is engineered so that no reader could mistake them for one. Holding the right standard, and stating it in advance, is the final piece of what makes the two estimators appropriate to the evidence they are asked to interpret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03"/>
    <w:bookmarkStart w:id="104" w:name="X6f9053152e42b0f38bc8cabd86c71df113c41b8"/>
    <w:p>
      <w:pPr>
        <w:pStyle w:val="Heading2"/>
        <w:spacing w:line="480" w:lineRule="auto"/>
      </w:pPr>
      <w:r>
        <w:t xml:space="preserve">Robustness the design supports and robustness it does not</w:t>
      </w:r>
    </w:p>
    <w:p>
      <w:pPr>
        <w:pStyle w:val="FirstParagraph"/>
        <w:spacing w:line="480" w:lineRule="auto"/>
      </w:pPr>
      <w:r>
        <w:t xml:space="preserve">A methodology chapter should be candid about which robustness checks the data can bear and which it cannot. The design supports several natural checks. The venue result can be probed by re-estimating with the venue variable entered as unordered indicators instead of an ordinal score, which tests whether the linear ordering is doing damage; the mechanism anticipated this and the interpretation in Chapter 6 is written to survive it by reporting the venue effect as a between-family mean difference</w:t>
      </w:r>
      <w:r>
        <w:t xml:space="preserve"> </w:t>
      </w:r>
      <w:hyperlink w:anchor="ref-9">
        <w:r>
          <w:rPr>
            <w:rStyle w:val="Hyperlink"/>
          </w:rPr>
          <w:t xml:space="preserve">[9]</w:t>
        </w:r>
      </w:hyperlink>
      <w:r>
        <w:t xml:space="preserve">. The citation coefficient can be probed by re-estimating without the influential high-count records, which tests whether a handful of journal articles is driving the term; given that the term is already insignificant, such a check would only confirm its fragility</w:t>
      </w:r>
      <w:r>
        <w:t xml:space="preserve"> </w:t>
      </w:r>
      <w:hyperlink w:anchor="ref-8">
        <w:r>
          <w:rPr>
            <w:rStyle w:val="Hyperlink"/>
          </w:rPr>
          <w:t xml:space="preserve">[8]</w:t>
        </w:r>
      </w:hyperlink>
      <w:r>
        <w:t xml:space="preserve">. The temporal model can be probed by varying the plus-one shift, which tests sensitivity to the zero-handling choice</w:t>
      </w:r>
      <w:r>
        <w:t xml:space="preserve"> </w:t>
      </w:r>
      <w:hyperlink w:anchor="ref-6">
        <w:r>
          <w:rPr>
            <w:rStyle w:val="Hyperlink"/>
          </w:rPr>
          <w:t xml:space="preserve">[6]</w:t>
        </w:r>
      </w:hyperlink>
      <w:r>
        <w:t xml:space="preserve">. The data construction is deliberately visible: other checks the data simply cannot support, and pretending otherwise would be the kind of methodological theater this design refuses. There is no out-of-sample test, since there is no second corpus to hold out. There is no placebo predictor with a known-null relationship, since thirty records leave no room to spend degrees of freedom on placebos. And there is no way to bootstrap a stable confidence interval that a reader should trust as more than indicative, since resampling thirty records reproduces the same few influential points too often to be reassuring</w:t>
      </w:r>
      <w:r>
        <w:t xml:space="preserve"> </w:t>
      </w:r>
      <w:hyperlink w:anchor="ref-5">
        <w:r>
          <w:rPr>
            <w:rStyle w:val="Hyperlink"/>
          </w:rPr>
          <w:t xml:space="preserve">[5]</w:t>
        </w:r>
      </w:hyperlink>
      <w:r>
        <w:t xml:space="preserve">. The robustness story here is for that reason honest but bounded: the checks the corpus can bear are named and their expected outcomes stated, and the checks it cannot bear are named too, so that no absent check is mistaken for a passed one</w:t>
      </w:r>
      <w:r>
        <w:t xml:space="preserve"> </w:t>
      </w:r>
      <w:hyperlink w:anchor="ref-16">
        <w:r>
          <w:rPr>
            <w:rStyle w:val="Hyperlink"/>
          </w:rPr>
          <w:t xml:space="preserve">[16]</w:t>
        </w:r>
      </w:hyperlink>
      <w:r>
        <w:t xml:space="preserve">.</w:t>
      </w:r>
    </w:p>
    <w:bookmarkEnd w:id="104"/>
    <w:bookmarkStart w:id="105" w:name="the-estimator-as-a-communication-device"/>
    <w:p>
      <w:pPr>
        <w:pStyle w:val="Heading2"/>
        <w:spacing w:line="480" w:lineRule="auto"/>
      </w:pPr>
      <w:r>
        <w:t xml:space="preserve">The estimator as a communication device</w:t>
      </w:r>
    </w:p>
    <w:p>
      <w:pPr>
        <w:pStyle w:val="FirstParagraph"/>
        <w:spacing w:line="480" w:lineRule="auto"/>
      </w:pPr>
      <w:r>
        <w:t xml:space="preserve">The operational question is narrower: one final defense of the chosen estimators is that they communicate. A governance dissertation is read by people who reason about institutions, not only by econometricians, and an estimator earns part of its keep by producing coefficients those readers can interpret without a decoder. Ordinary least squares yields partial associations in the outcome’s own units, so a venue coefficient can be read directly against the one-to-eight signal range</w:t>
      </w:r>
      <w:r>
        <w:t xml:space="preserve"> </w:t>
      </w:r>
      <w:hyperlink w:anchor="ref-2">
        <w:r>
          <w:rPr>
            <w:rStyle w:val="Hyperlink"/>
          </w:rPr>
          <w:t xml:space="preserve">[2]</w:t>
        </w:r>
      </w:hyperlink>
      <w:r>
        <w:t xml:space="preserve">. The learning-curve elasticity yields a doubling ratio, a quantity that any reader of cost or productivity analysis already understands</w:t>
      </w:r>
      <w:r>
        <w:t xml:space="preserve"> </w:t>
      </w:r>
      <w:hyperlink w:anchor="ref-13">
        <w:r>
          <w:rPr>
            <w:rStyle w:val="Hyperlink"/>
          </w:rPr>
          <w:t xml:space="preserve">[13]</w:t>
        </w:r>
      </w:hyperlink>
      <w:r>
        <w:t xml:space="preserve">. These forms were chosen partly since their outputs are legible to the audience that has to act on them, and legibility is not a soft virtue in policy-facing work; it is what lets a finding travel from a workbook into a decision. An estimator whose output only its author can interpret has failed at half its job, and the two chosen here were selected to pass both halves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05"/>
    <w:bookmarkStart w:id="106" w:name="identification-restated-for-the-skeptic"/>
    <w:p>
      <w:pPr>
        <w:pStyle w:val="Heading2"/>
        <w:spacing w:line="480" w:lineRule="auto"/>
      </w:pPr>
      <w:r>
        <w:t xml:space="preserve">Identification restated for the skeptic</w:t>
      </w:r>
    </w:p>
    <w:p>
      <w:pPr>
        <w:pStyle w:val="FirstParagraph"/>
        <w:spacing w:line="480" w:lineRule="auto"/>
      </w:pPr>
      <w:r>
        <w:t xml:space="preserve">For the empirical reader, let me restate the identification claim in the sharpest form a skeptic would demand, since the word identification is often used loosely and I want to use it precisely. Neither estimator identifies a causal effect. What each identifies is a conditional association within a defined population, under stated exogeneity assumptions, and the value of that association is a screening signal instead of a policy parameter</w:t>
      </w:r>
      <w:r>
        <w:t xml:space="preserve"> </w:t>
      </w:r>
      <w:hyperlink w:anchor="ref-2">
        <w:r>
          <w:rPr>
            <w:rStyle w:val="Hyperlink"/>
          </w:rPr>
          <w:t xml:space="preserve">[2]</w:t>
        </w:r>
      </w:hyperlink>
      <w:r>
        <w:t xml:space="preserve">. The cross-sectional model identifies, for the candidate’s retrieved corpus, the partial association between each metadata feature and the topic-signal score, holding the others fixed. The temporal model identifies, for the same corpus, the average log-linear relationship between age and citations-plus-one. Both are descriptive quantities about a population, estimated without error only in the sense that the workbook computes them deterministically from fixed data</w:t>
      </w:r>
      <w:r>
        <w:t xml:space="preserve"> </w:t>
      </w:r>
      <w:hyperlink w:anchor="ref-8">
        <w:r>
          <w:rPr>
            <w:rStyle w:val="Hyperlink"/>
          </w:rPr>
          <w:t xml:space="preserve">[8]</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skeptic’s fair rejoinder is that a conditional association is a weak thing to build a dissertation on. I accept the charge and answer it with scope. A conditional association is exactly the right quantity for a screen whose purpose is to establish whether a question is structured in obtainable evidence, and it becomes a weak thing only if it is asked to carry a causal load it never claimed</w:t>
      </w:r>
      <w:r>
        <w:t xml:space="preserve"> </w:t>
      </w:r>
      <w:hyperlink w:anchor="ref-4">
        <w:r>
          <w:rPr>
            <w:rStyle w:val="Hyperlink"/>
          </w:rPr>
          <w:t xml:space="preserve">[4]</w:t>
        </w:r>
      </w:hyperlink>
      <w:r>
        <w:t xml:space="preserve">. The methodology is engineered so the association is never asked to carry that load. Every downstream interpretation, in Chapter 6 and Chapter 7, is phrased as a statement about corpus structure, and the causal question is explicitly deferred to a design with a real identification strategy. Identification here means knowing precisely what the estimator estimates and refusing to pretend it estimates more, which is a humbler use of the word than the causal-inference literature reserves for it but an honest one for the evidence at hand</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106"/>
    <w:bookmarkStart w:id="107" w:name="why-two-models-rather-than-one"/>
    <w:p>
      <w:pPr>
        <w:pStyle w:val="Heading2"/>
        <w:spacing w:line="480" w:lineRule="auto"/>
      </w:pPr>
      <w:r>
        <w:t xml:space="preserve">Why two models rather than one</w:t>
      </w:r>
    </w:p>
    <w:p>
      <w:pPr>
        <w:pStyle w:val="FirstParagraph"/>
        <w:spacing w:line="480" w:lineRule="auto"/>
      </w:pPr>
      <w:r>
        <w:t xml:space="preserve">A reviewer might ask why the design uses two separate estimators instead of folding age into the cross-sectional model as a fourth predictor. The answer is that the two models answer genuinely different questions and are best kept apart. The cross-sectional model asks how records differ from one another at a moment, using the signal score as its outcome; the temporal model asks how attention accumulates with age, using citations as its outcome. Merging them would force a single outcome and a single functional form onto two distinct inferential targets, and it would obscure the very distinction between static structure and temporal accumulation that Chapter 3 built the theory to preserve</w:t>
      </w:r>
      <w:r>
        <w:t xml:space="preserve"> </w:t>
      </w:r>
      <w:hyperlink w:anchor="ref-5">
        <w:r>
          <w:rPr>
            <w:rStyle w:val="Hyperlink"/>
          </w:rPr>
          <w:t xml:space="preserve">[5]</w:t>
        </w:r>
      </w:hyperlink>
      <w:r>
        <w:t xml:space="preserve"> </w:t>
      </w:r>
      <w:hyperlink w:anchor="ref-8">
        <w:r>
          <w:rPr>
            <w:rStyle w:val="Hyperlink"/>
          </w:rPr>
          <w:t xml:space="preserve">[8]</w:t>
        </w:r>
      </w:hyperlink>
      <w:r>
        <w:t xml:space="preserve">. For the program record, keeping the models separate also keeps each interpretable. The learning-curve form is a log-log specification whose coefficient is an elasticity with a natural doubling-ratio reading; the cross-sectional form is a linear specification whose coefficients are partial associations in the outcome’s units. These are different currencies, and a merged model would have to convert one into the other, sacrificing the clean interpretation each form provides on its own</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design pays a small price for the separation, two models to report instead of one, and buys a large gain in clarity, since the reader can hold the static and the temporal findings apart and read their joint pattern as the theory intended. That trade is the right one for a screen whose whole value rests on being legible and checkable</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107"/>
    <w:bookmarkEnd w:id="108"/>
    <w:bookmarkStart w:id="123" w:name="chapter-5.-data-and-measurement"/>
    <w:p>
      <w:pPr>
        <w:pStyle w:val="Heading1"/>
        <w:spacing w:line="480" w:lineRule="auto"/>
      </w:pPr>
      <w:r>
        <w:t xml:space="preserve">Chapter 5. Data and Measurement</w:t>
      </w:r>
    </w:p>
    <w:p>
      <w:pPr>
        <w:pStyle w:val="FirstParagraph"/>
        <w:spacing w:line="480" w:lineRule="auto"/>
      </w:pPr>
      <w:r>
        <w:t xml:space="preserve">Everything the two estimators can say depends on the thirty records they read. The chapter documents that dataset in full: where the records come from, how each variable is built, what the venue families are, and how provenance is preserved so a reader can trace any dissertation claim back to a specific row. The standard I hold myself to is that no number in Chapter 6 should be a surprise. Its ingredients should all be laid out here, in the open, with their construction rules stated plainly enough to be re-run.</w:t>
      </w:r>
    </w:p>
    <w:bookmarkStart w:id="109" w:name="the-corpus-and-its-provenance"/>
    <w:p>
      <w:pPr>
        <w:pStyle w:val="Heading2"/>
        <w:spacing w:line="480" w:lineRule="auto"/>
      </w:pPr>
      <w:r>
        <w:t xml:space="preserve">The corpus and its provenance</w:t>
      </w:r>
    </w:p>
    <w:p>
      <w:pPr>
        <w:pStyle w:val="FirstParagraph"/>
        <w:spacing w:line="480" w:lineRule="auto"/>
      </w:pPr>
      <w:r>
        <w:t xml:space="preserve">The dataset is a source-traced pack of thirty retrieved records assembled from the candidate’s local search over the space governance, space-law, space-sustainability, and space-economy literatures.</w:t>
      </w:r>
    </w:p>
    <w:p>
      <w:pPr>
        <w:pStyle w:val="BodyText"/>
        <w:spacing w:line="480" w:lineRule="auto"/>
        <w:ind w:firstLine="720"/>
      </w:pPr>
      <w:r>
        <w:t xml:space="preserve">Each row carries a source column that resolves to the record it came from: an AMOS conference URL, a digital object identifier, or, for the economy-study records, a titled description of the underlying analysis. That source column is the backbone of auditability. It means a reviewer can pick row thirteen, follow it to the Acta Astronautica article on space and sustainability, and confirm that the metadata the workbook used matches the metadata the source actually reports</w:t>
      </w:r>
      <w:r>
        <w:t xml:space="preserve"> </w:t>
      </w:r>
      <w:hyperlink w:anchor="ref-9">
        <w:r>
          <w:rPr>
            <w:rStyle w:val="Hyperlink"/>
          </w:rPr>
          <w:t xml:space="preserve">[9]</w:t>
        </w:r>
      </w:hyperlink>
      <w:r>
        <w:t xml:space="preserve">.</w:t>
      </w:r>
    </w:p>
    <w:p>
      <w:pPr>
        <w:pStyle w:val="BodyText"/>
        <w:spacing w:line="480" w:lineRule="auto"/>
        <w:ind w:firstLine="720"/>
      </w:pPr>
      <w:r>
        <w:t xml:space="preserve">For the program record, provenance is not a formality in a proxy design; it is the thing that keeps the proxy honest.</w:t>
      </w:r>
    </w:p>
    <w:p>
      <w:pPr>
        <w:pStyle w:val="BodyText"/>
        <w:spacing w:line="480" w:lineRule="auto"/>
        <w:ind w:firstLine="720"/>
      </w:pPr>
      <w:r>
        <w:t xml:space="preserve">Because every variable is derived from fields that a reader can independently inspect, the topic-signal score cannot quietly encode the author’s hopes. The construction is deterministic: given the same source metadata and the same rules, anyone computes the same score. That determinism is what lets me describe the workbook as reproducible instead of merely documented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09"/>
    <w:bookmarkStart w:id="110" w:name="venue-families"/>
    <w:p>
      <w:pPr>
        <w:pStyle w:val="Heading2"/>
        <w:spacing w:line="480" w:lineRule="auto"/>
      </w:pPr>
      <w:r>
        <w:t xml:space="preserve">Venue families</w:t>
      </w:r>
    </w:p>
    <w:p>
      <w:pPr>
        <w:pStyle w:val="FirstParagraph"/>
        <w:spacing w:line="480" w:lineRule="auto"/>
      </w:pPr>
      <w:r>
        <w:t xml:space="preserve">The archival record matters here: the thirty records fall into three venue families, and the split is uneven, and the imbalance matters for interpretation.</w:t>
      </w:r>
    </w:p>
    <w:p>
      <w:pPr>
        <w:pStyle w:val="BodyText"/>
        <w:spacing w:line="480" w:lineRule="auto"/>
        <w:ind w:firstLine="720"/>
      </w:pPr>
      <w:r>
        <w:t xml:space="preserve">The largest block is AMOS conference proceedings and closely related governance records, coded venue-family one; these include the work on artificial intelligence and autonomy in space, on decentralized information-sharing, and on the international-law basis for debris removal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second block is Acta Astronautica journal articles, coded venue-family two, spanning laser-utilization bottlenecks, gamification of debris mitigation, asteroid-mining regulation, and space-resource market evaluation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third block is a set of space-economy studies, coded venue-family three, including an economic-statecraft review and an orbital-economy forecast analysis. The venue coding is ordinal, and I treat that ordinality with care. The ordering from one to three tracks a rough gradient in format and audience, from short peer-reviewed conference papers, through full journal articles, to policy-and-economy analyses, but it is not a cardinal scale and the gaps between families are not claimed to be equal. When Chapter 6 reports a venue-family coefficient, it is reporting an average difference across this ordering, not a claim that a unit of venue is a natural quantity. The economy-study records also differ structurally from the rest: several carry no snippet or keyword metadata, which shows up as zeros in the text-derived fields and is itself a documented feature of the sample instead of missing data to be imputed.</w:t>
      </w:r>
    </w:p>
    <w:bookmarkEnd w:id="110"/>
    <w:bookmarkStart w:id="111"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The outcome variable comes next. The composite topic-signal score is built to be dull and mechanical on purpose. For each record, the construction counts candidate-theme term hits across four metadata fields: the source title, the retrieved snippet, the keyword field, and the author metadata. A record that engages the legitimacy-effectiveness governance theme in several of these fields accumulates a higher score; a record that touches it only glancingly scores low. Across the thirty records the scores range from one to eight, with most records clustered at the low end and a small number of governance-dense records reaching the top</w:t>
      </w:r>
      <w:r>
        <w:t xml:space="preserve"> </w:t>
      </w:r>
      <w:hyperlink w:anchor="ref-2">
        <w:r>
          <w:rPr>
            <w:rStyle w:val="Hyperlink"/>
          </w:rPr>
          <w:t xml:space="preserve">[2]</w:t>
        </w:r>
      </w:hyperlink>
      <w:r>
        <w:t xml:space="preserve">. The chapter treats this as an empirical claim: the score’s virtue is transparency and its limit is literalness. It measures how visibly a record’s own metadata engages the theme, not how important the record is to the governance question in some deeper sense. A profound but tersely titled paper can score low; a thematically busy but shallow paper can score high. I accept that limit since the alternative, a subjective importance rating, would surrender the reproducibility that justifies the whole design. The score is a metadata-visibility proxy, and Chapter 7 treats its literalness as one of the standing threats to validity instead of as a solved problem</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1"/>
    <w:bookmarkStart w:id="112" w:name="constructing-the-predictors"/>
    <w:p>
      <w:pPr>
        <w:pStyle w:val="Heading2"/>
        <w:spacing w:line="480" w:lineRule="auto"/>
      </w:pPr>
      <w:r>
        <w:t xml:space="preserve">Constructing the predictors</w:t>
      </w:r>
    </w:p>
    <w:p>
      <w:pPr>
        <w:pStyle w:val="FirstParagraph"/>
        <w:spacing w:line="480" w:lineRule="auto"/>
      </w:pPr>
      <w:r>
        <w:t xml:space="preserve">The data construction is deliberately visible: three predictors enter the cross-sectional model. The recency index is the publication year minus the minimum publication year in the sample plus one, so the earliest records in the pack take the value one and the most recent take larger values; the sample spans 2020 through 2026, giving a recency index that runs from one to seven. The citation count is read directly from the local brain index’s cites field and is set to zero when the index reported no count; since the local index is sparse, most records carry zero, and a handful of Acta Astronautica articles carry the only substantial counts, the largest being twenty-five</w:t>
      </w:r>
      <w:r>
        <w:t xml:space="preserve"> </w:t>
      </w:r>
      <w:hyperlink w:anchor="ref-13">
        <w:r>
          <w:rPr>
            <w:rStyle w:val="Hyperlink"/>
          </w:rPr>
          <w:t xml:space="preserve">[13]</w:t>
        </w:r>
      </w:hyperlink>
      <w:r>
        <w:t xml:space="preserve">. The venue-family score is the ordinal one-to-three coding described above. The distribution of the citation variable deserves emphasis since it drives so much of what Chapter 6 finds. Citation counts in this local index are heavily concentrated: of the thirty records, the large majority report zero, and the nonzero counts belong almost entirely to journal articles that have been in circulation long enough to be indexed. This is not a defect to be corrected; it is a true property of a governance-focused corpus screened through a local index, and it means any citation coefficient is estimated off a small number of informative records. Reading the citation results without that fact in view would overstate their reach</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12"/>
    <w:bookmarkStart w:id="113" w:name="constructing-the-temporal-variables"/>
    <w:p>
      <w:pPr>
        <w:pStyle w:val="Heading2"/>
        <w:spacing w:line="480" w:lineRule="auto"/>
      </w:pPr>
      <w:r>
        <w:t xml:space="preserve">Constructing the temporal variables</w:t>
      </w:r>
    </w:p>
    <w:p>
      <w:pPr>
        <w:pStyle w:val="FirstParagraph"/>
        <w:spacing w:line="480" w:lineRule="auto"/>
      </w:pPr>
      <w:r>
        <w:t xml:space="preserve">The second paper uses two variables built for the learning-curve form. The outcome is citation count plus one, where the plus-one keeps the log defined for the uncited majority and preserves the full sample of thirty. The predictor is a document-age index computed as 2026 minus the publication year plus one, so a 2026 record has age one and a 2020 record has age seven. Because publication years cluster in a narrow recent band, the age index has limited spread, which is a real constraint on how much temporal structure the fitted specification can detect and is reported plainly as a constraint</w:t>
      </w:r>
      <w:r>
        <w:t xml:space="preserve"> </w:t>
      </w:r>
      <w:hyperlink w:anchor="ref-5">
        <w:r>
          <w:rPr>
            <w:rStyle w:val="Hyperlink"/>
          </w:rPr>
          <w:t xml:space="preserve">[5]</w:t>
        </w:r>
      </w:hyperlink>
      <w:r>
        <w:t xml:space="preserve">. For the empirical reader, pairing the two temporal variables reveals the empirical tension the second paper must navigate. The records with the most age are, in this pack, not systematically the most cited; several old records remain uncited while a mid-age journal article carries the corpus’s largest count. That mismatch between age and attention is precisely what the learning-curve elasticity will quantify, and stating it here in the data chapter means the Chapter 6 estimate arrives as a measurement of something already visible in the rows instead of as a black-box output</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13"/>
    <w:bookmarkStart w:id="114" w:name="the-complete-estimation-sample"/>
    <w:p>
      <w:pPr>
        <w:pStyle w:val="Heading2"/>
        <w:spacing w:line="480" w:lineRule="auto"/>
      </w:pPr>
      <w:r>
        <w:t xml:space="preserve">The complete estimation sample</w:t>
      </w:r>
    </w:p>
    <w:p>
      <w:pPr>
        <w:pStyle w:val="FirstParagraph"/>
        <w:spacing w:line="480" w:lineRule="auto"/>
      </w:pPr>
      <w:r>
        <w:t xml:space="preserve">The evidence trail is concrete here: both papers estimate on N = 30. No record is dropped, no value is imputed, and no outlier is trimmed. That completeness is a design choice: with a sample this small, every exclusion would be consequential and every imputation would smuggle in judgment, so the workbook keeps all thirty records and lets the robust standard errors carry the resulting uncertainty. The sample is the population of interest, the candidate’s retrieved corpus, and the estimators in the next chapter describe that population exactly, with the provenance of every row available for inspection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14"/>
    <w:bookmarkStart w:id="115" w:name="a-closer-look-at-the-venue-imbalance"/>
    <w:p>
      <w:pPr>
        <w:pStyle w:val="Heading2"/>
        <w:spacing w:line="480" w:lineRule="auto"/>
      </w:pPr>
      <w:r>
        <w:t xml:space="preserve">A closer look at the venue imbalance</w:t>
      </w:r>
    </w:p>
    <w:p>
      <w:pPr>
        <w:pStyle w:val="FirstParagraph"/>
        <w:spacing w:line="480" w:lineRule="auto"/>
      </w:pPr>
      <w:r>
        <w:t xml:space="preserve">For the program record, the three venue families are not equally represented, and the imbalance is worth examining since it conditions how much any venue result can bear. The conference-proceedings family and the journal family together account for the large majority of records, while the economy-study family is a small block of records that carry titled descriptions in place of the snippet and keyword metadata the other families supply. This means the ordinal venue variable is not sampling three equally populated bins; it is comparing well-populated conference and journal families against a sparse economy tail</w:t>
      </w:r>
      <w:r>
        <w:t xml:space="preserve"> </w:t>
      </w:r>
      <w:hyperlink w:anchor="ref-9">
        <w:r>
          <w:rPr>
            <w:rStyle w:val="Hyperlink"/>
          </w:rPr>
          <w:t xml:space="preserve">[9]</w:t>
        </w:r>
      </w:hyperlink>
      <w:r>
        <w:t xml:space="preserve">. The consequence for interpretation is that the venue coefficient is estimated most sharply across the conference-journal contrast, where the data are thickest, and more tentatively at the economy end, where the records are few and their text metadata is thin by construction. I keep the economy records in the sample instead of dropping them, but I flag their structural difference so that the venue result is read with the right grain of salt. Their zero-valued snippet and keyword fields are genuine features of how those analyses were retrieved, not gaps to be filled, and treating them as missing data would misrepresent the corpus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honest description is that the venue variable spans a gradient whose ends are populated unevenly, and Chapter 6’s venue finding should be understood as speaking most confidently about the difference between the conference and journal families that dominate the sample.</w:t>
      </w:r>
    </w:p>
    <w:bookmarkEnd w:id="115"/>
    <w:bookmarkStart w:id="116" w:name="the-topic-signal-distribution-in-detail"/>
    <w:p>
      <w:pPr>
        <w:pStyle w:val="Heading2"/>
        <w:spacing w:line="480" w:lineRule="auto"/>
      </w:pPr>
      <w:r>
        <w:t xml:space="preserve">The topic-signal distribution in detail</w:t>
      </w:r>
    </w:p>
    <w:p>
      <w:pPr>
        <w:pStyle w:val="FirstParagraph"/>
        <w:spacing w:line="480" w:lineRule="auto"/>
      </w:pPr>
      <w:r>
        <w:t xml:space="preserve">The dependent variable of the first paper rewards a closer look, since its distribution shapes everything the cross-sectional model can find. Across the thirty records the topic-signal score is right-skewed: a majority of records sit at the low end, engaging the governance theme in only one or two metadata fields, while a small number of governance-dense records reach scores of seven and eight by engaging the theme across title, snippet, keyword, and author fields at once</w:t>
      </w:r>
      <w:r>
        <w:t xml:space="preserve"> </w:t>
      </w:r>
      <w:hyperlink w:anchor="ref-2">
        <w:r>
          <w:rPr>
            <w:rStyle w:val="Hyperlink"/>
          </w:rPr>
          <w:t xml:space="preserve">[2]</w:t>
        </w:r>
      </w:hyperlink>
      <w:r>
        <w:t xml:space="preserve">. The high-scoring records tend to be the ones whose very titles foreground governance, trust, or institutional questions, while the low-scoring records touch the theme only through an incidental keyword. This skew is not a defect; it is what a metadata-visibility measure should look like in a corpus where a few papers are squarely about governance and many are about adjacent technical matters that mention it in passing. For a replicator, the skew matters for the venue result in particular. Because the governance-dense, high-signal records are concentrated in the conference family while the journal family carries more technically framed records that touch the theme obliquely, the venue variable and the signal score are related through the composition of what each family publishes</w:t>
      </w:r>
      <w:r>
        <w:t xml:space="preserve"> </w:t>
      </w:r>
      <w:hyperlink w:anchor="ref-1">
        <w:r>
          <w:rPr>
            <w:rStyle w:val="Hyperlink"/>
          </w:rPr>
          <w:t xml:space="preserve">[1]</w:t>
        </w:r>
      </w:hyperlink>
      <w:r>
        <w:t xml:space="preserve"> </w:t>
      </w:r>
      <w:hyperlink w:anchor="ref-8">
        <w:r>
          <w:rPr>
            <w:rStyle w:val="Hyperlink"/>
          </w:rPr>
          <w:t xml:space="preserve">[8]</w:t>
        </w:r>
      </w:hyperlink>
      <w:r>
        <w:t xml:space="preserve">. Documenting that relationship here, at the level of the raw distribution, means the Chapter 6 venue coefficient arrives as a summary of a pattern the reader has already seen in the rows instead of as a surprise conjured by the estimator.</w:t>
      </w:r>
    </w:p>
    <w:bookmarkEnd w:id="116"/>
    <w:bookmarkStart w:id="117" w:name="X1764c13fffeeae1e9bea732350e01674fa9846a"/>
    <w:p>
      <w:pPr>
        <w:pStyle w:val="Heading2"/>
        <w:spacing w:line="480" w:lineRule="auto"/>
      </w:pPr>
      <w:r>
        <w:t xml:space="preserve">Reproducibility as a data-chapter obligation</w:t>
      </w:r>
    </w:p>
    <w:bookmarkEnd w:id="117"/>
    <w:bookmarkStart w:id="118" w:name="coverage-across-the-themes-subdomains"/>
    <w:p>
      <w:pPr>
        <w:pStyle w:val="Heading2"/>
        <w:spacing w:line="480" w:lineRule="auto"/>
      </w:pPr>
      <w:r>
        <w:t xml:space="preserve">Coverage across the theme’s subdomains</w:t>
      </w:r>
    </w:p>
    <w:p>
      <w:pPr>
        <w:pStyle w:val="FirstParagraph"/>
        <w:spacing w:line="480" w:lineRule="auto"/>
      </w:pPr>
      <w:r>
        <w:t xml:space="preserve">It helps to describe what the thirty records cover, since the substantive reach of the corpus bounds what any finding can generalize to. The records span several subdomains of the governance conversation. A security-and-stability cluster addresses autonomy, escalation, and deterrence in orbit</w:t>
      </w:r>
      <w:r>
        <w:t xml:space="preserve"> </w:t>
      </w:r>
      <w:hyperlink w:anchor="ref-1">
        <w:r>
          <w:rPr>
            <w:rStyle w:val="Hyperlink"/>
          </w:rPr>
          <w:t xml:space="preserve">[1]</w:t>
        </w:r>
      </w:hyperlink>
      <w:r>
        <w:t xml:space="preserve">. A debris-and-sustainability cluster addresses mitigation, active removal, and the transfer of lessons from other environmental regimes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 A data-and-trust cluster addresses decentralized information-sharing and the modernization of the analytic infrastructure that governance depends on</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A frontier-resources cluster addresses asteroid mining, space-resource markets, and lunar resource-utilization design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a small economy cluster addresses forecasting and statecraft. The theme runs across all of these, which is what makes it a genuine governance question instead of a niche one. The data construction is deliberately visible: that breadth is a strength for the framing and a caution for the findings. It is a strength since a tension visible across security, sustainability, data, and resources is plausibly a real structural feature of the field instead of an artifact of one subdomain. It is a caution since thirty records spread across five subdomains means each subdomain is thinly sampled, so no finding can claim to characterize any one of them in depth</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corpus is wide and shallow, and honesty about that shape is part of documenting it: the estimators will speak to the whole retrieved literature at a coarse grain, not to any subdomain at a fine one.</w:t>
      </w:r>
    </w:p>
    <w:bookmarkEnd w:id="118"/>
    <w:bookmarkStart w:id="119" w:name="the-provenance-ledger-as-the-audit-spine"/>
    <w:p>
      <w:pPr>
        <w:pStyle w:val="Heading2"/>
        <w:spacing w:line="480" w:lineRule="auto"/>
      </w:pPr>
      <w:r>
        <w:t xml:space="preserve">The provenance ledger as the audit spine</w:t>
      </w:r>
    </w:p>
    <w:p>
      <w:pPr>
        <w:pStyle w:val="FirstParagraph"/>
        <w:spacing w:line="480" w:lineRule="auto"/>
      </w:pPr>
      <w:r>
        <w:t xml:space="preserve">The operational question is narrower: every claim about auditability finally reduces to one artifact: the source column that travels with each row. That column is the provenance ledger, and it is what separates this design from a narrative dressed in numbers. For the AMOS-family records it resolves to a conference URL; for the journal-family records it resolves to a digital object identifier; for the economy records it resolves to a titled description of the underlying study</w:t>
      </w:r>
      <w:r>
        <w:t xml:space="preserve"> </w:t>
      </w:r>
      <w:hyperlink w:anchor="ref-1">
        <w:r>
          <w:rPr>
            <w:rStyle w:val="Hyperlink"/>
          </w:rPr>
          <w:t xml:space="preserve">[1]</w:t>
        </w:r>
      </w:hyperlink>
      <w:r>
        <w:t xml:space="preserve"> </w:t>
      </w:r>
      <w:hyperlink w:anchor="ref-9">
        <w:r>
          <w:rPr>
            <w:rStyle w:val="Hyperlink"/>
          </w:rPr>
          <w:t xml:space="preserve">[9]</w:t>
        </w:r>
      </w:hyperlink>
      <w:r>
        <w:t xml:space="preserve">. A reviewer who doubts any variable can follow the ledger to the source, read the metadata for themselves, apply the documented construction rule, and confirm or refute the value the workbook assigned. Nothing is asked to be taken on trust. The ledger also disciplines the author, which is its quieter purpose. Because every row is traceable, there is no place to hide a convenient recode or a quietly dropped record; an inconsistency between the ledger and the workbook would be immediately visible to anyone who checked</w:t>
      </w:r>
      <w:r>
        <w:t xml:space="preserve"> </w:t>
      </w:r>
      <w:hyperlink w:anchor="ref-7">
        <w:r>
          <w:rPr>
            <w:rStyle w:val="Hyperlink"/>
          </w:rPr>
          <w:t xml:space="preserve">[7]</w:t>
        </w:r>
      </w:hyperlink>
      <w:r>
        <w:t xml:space="preserve">. This is why the data chapter, instead of the results chapter, is where the dissertation’s credibility is actually won or lost. If the ledger is sound and the construction rules are deterministic, then the coefficients in Chapter 6 are simply what the evidence yields, and the reader’s task shifts from trusting the author to inspecting the pipeline. Building that pipeline to be inspected is the central labor of this chapter, and it is the foundation on which every later claim rests</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19"/>
    <w:bookmarkStart w:id="120" w:name="Xef5e2a0e39f9f6b945405e4c0cb75381dfcac82"/>
    <w:p>
      <w:pPr>
        <w:pStyle w:val="Heading2"/>
        <w:spacing w:line="480" w:lineRule="auto"/>
      </w:pPr>
      <w:r>
        <w:t xml:space="preserve">Reproducibility as a data-chapter obligation</w:t>
      </w:r>
    </w:p>
    <w:p>
      <w:pPr>
        <w:pStyle w:val="FirstParagraph"/>
        <w:spacing w:line="480" w:lineRule="auto"/>
      </w:pPr>
      <w:r>
        <w:t xml:space="preserve">A data chapter’s deepest obligation is to make the workbook re-runnable by a stranger, and I close by stating what that requires here. Every variable in both papers is a deterministic function of fields recorded in the retained corpus: the recency index from publication year, the age index from publication year, the citation count from the local index’s cites field, the venue score from the family coding, and the topic-signal score from theme-term hits across four named metadata fields</w:t>
      </w:r>
      <w:r>
        <w:t xml:space="preserve"> </w:t>
      </w:r>
      <w:hyperlink w:anchor="ref-7">
        <w:r>
          <w:rPr>
            <w:rStyle w:val="Hyperlink"/>
          </w:rPr>
          <w:t xml:space="preserve">[7]</w:t>
        </w:r>
      </w:hyperlink>
      <w:r>
        <w:t xml:space="preserve">. Given the same retained records and the same construction rules, the variables regenerate identically, and given the variables, the estimators in Chapter 6 return the reported numbers exactly. There is no hidden step, no discretionary recode, and no analyst judgment interposed between the sources and the coefficients. That transparency is the whole reason a small, imperfect corpus can still support a doctoral contribution: not since the evidence is strong, but since the path from evidence to claim is fully visible and fully checkable</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bookmarkEnd w:id="120"/>
    <w:bookmarkStart w:id="121" w:name="measurement-error-and-where-it-lives"/>
    <w:p>
      <w:pPr>
        <w:pStyle w:val="Heading2"/>
        <w:spacing w:line="480" w:lineRule="auto"/>
      </w:pPr>
      <w:r>
        <w:t xml:space="preserve">Measurement error and where it lives</w:t>
      </w:r>
    </w:p>
    <w:p>
      <w:pPr>
        <w:pStyle w:val="FirstParagraph"/>
        <w:spacing w:line="480" w:lineRule="auto"/>
      </w:pPr>
      <w:r>
        <w:t xml:space="preserve">No measurement is clean, and a rigorous data chapter locates its error instead of denying it. Three sources of measurement error operate here, and they sit in different variables. The first is in the citation count, which comes from a sparse local index that plausibly undercounts some venues relative to others; this error is not random noise but likely correlated with venue family, which is the most consequential kind since it can leak into the venue coefficient</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second is in the topic-signal score, which counts theme-term hits and so mismeasures records whose engagement with the governance question is real but phrased in terms the term list does not catch; this error is closer to classical, attenuating associations toward zero</w:t>
      </w:r>
      <w:r>
        <w:t xml:space="preserve"> </w:t>
      </w:r>
      <w:hyperlink w:anchor="ref-2">
        <w:r>
          <w:rPr>
            <w:rStyle w:val="Hyperlink"/>
          </w:rPr>
          <w:t xml:space="preserve">[2]</w:t>
        </w:r>
      </w:hyperlink>
      <w:r>
        <w:t xml:space="preserve">. The third is in the venue coding, where the ordinal assumption imposes a spacing the families do not truly have</w:t>
      </w:r>
      <w:r>
        <w:t xml:space="preserve"> </w:t>
      </w:r>
      <w:hyperlink w:anchor="ref-9">
        <w:r>
          <w:rPr>
            <w:rStyle w:val="Hyperlink"/>
          </w:rPr>
          <w:t xml:space="preserve">[9]</w:t>
        </w:r>
      </w:hyperlink>
      <w:r>
        <w:t xml:space="preserve">. For the program record, locating the error this precisely is not an apology; it is a map for the follow-on study. It says the citation channel is the one to rebuild first, since its error is the correlated kind that biases instead of merely attenuates. It says the topic-signal measure can be improved by a richer term list or by human coding without changing the design. And it says the venue result should be reported as a family-difference instead of a per-step slope, so the ordinal error cannot mislead</w:t>
      </w:r>
      <w:r>
        <w:t xml:space="preserve"> </w:t>
      </w:r>
      <w:hyperlink w:anchor="ref-4">
        <w:r>
          <w:rPr>
            <w:rStyle w:val="Hyperlink"/>
          </w:rPr>
          <w:t xml:space="preserve">[4]</w:t>
        </w:r>
      </w:hyperlink>
      <w:r>
        <w:t xml:space="preserve">. A data chapter that names where its error lives hands the next researcher a prioritized repair list, which is more useful than a blanket claim of clean measurement that no small corpus could honestly make</w:t>
      </w:r>
      <w:r>
        <w:t xml:space="preserve"> </w:t>
      </w:r>
      <w:hyperlink w:anchor="ref-16">
        <w:r>
          <w:rPr>
            <w:rStyle w:val="Hyperlink"/>
          </w:rPr>
          <w:t xml:space="preserve">[16]</w:t>
        </w:r>
      </w:hyperlink>
      <w:r>
        <w:t xml:space="preserve">.</w:t>
      </w:r>
    </w:p>
    <w:bookmarkEnd w:id="121"/>
    <w:bookmarkStart w:id="122" w:name="the-sample-as-population-restated"/>
    <w:p>
      <w:pPr>
        <w:pStyle w:val="Heading2"/>
        <w:spacing w:line="480" w:lineRule="auto"/>
      </w:pPr>
      <w:r>
        <w:t xml:space="preserve">The sample as population, restated</w:t>
      </w:r>
    </w:p>
    <w:p>
      <w:pPr>
        <w:pStyle w:val="FirstParagraph"/>
        <w:spacing w:line="480" w:lineRule="auto"/>
      </w:pPr>
      <w:r>
        <w:t xml:space="preserve">The archival record matters here: i close by restating the single interpretive commitment that governs every number in the dissertation: the thirty records are the population, not a sample from a larger frame. This is not a concession forced by small N; it is a deliberate scoping of the claim. The estimators describe how the candidate’s retrieved corpus is structured, and they describe it exactly, since that corpus is the entire object of inquiry at the design stage</w:t>
      </w:r>
      <w:r>
        <w:t xml:space="preserve"> </w:t>
      </w:r>
      <w:hyperlink w:anchor="ref-7">
        <w:r>
          <w:rPr>
            <w:rStyle w:val="Hyperlink"/>
          </w:rPr>
          <w:t xml:space="preserve">[7]</w:t>
        </w:r>
      </w:hyperlink>
      <w:r>
        <w:t xml:space="preserve">. When Chapter 6 reports a coefficient, it is a property of this population, not an estimate of a parameter in some wider universe of space-governance writing. The move from this population to that universe is the selection question, and it belongs to future work with a proper sampling frame</w:t>
      </w:r>
      <w:r>
        <w:t xml:space="preserve"> </w:t>
      </w:r>
      <w:hyperlink w:anchor="ref-3">
        <w:r>
          <w:rPr>
            <w:rStyle w:val="Hyperlink"/>
          </w:rPr>
          <w:t xml:space="preserve">[3]</w:t>
        </w:r>
      </w:hyperlink>
      <w:r>
        <w:t xml:space="preserve">. Holding the sample as the population keeps every claim in the dissertation true by construction about the thing it actually studied, and it prevents the quiet slide from</w:t>
      </w:r>
      <w:r>
        <w:t xml:space="preserve"> </w:t>
      </w:r>
      <w:r>
        <w:t xml:space="preserve">“this corpus is structured by venue”</w:t>
      </w:r>
      <w:r>
        <w:t xml:space="preserve"> </w:t>
      </w:r>
      <w:r>
        <w:t xml:space="preserve">to</w:t>
      </w:r>
      <w:r>
        <w:t xml:space="preserve"> </w:t>
      </w:r>
      <w:r>
        <w:t xml:space="preserve">“the field is structured by venue”</w:t>
      </w:r>
      <w:r>
        <w:t xml:space="preserve"> </w:t>
      </w:r>
      <w:r>
        <w:t xml:space="preserve">that would turn an honest screen into an overreach</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22"/>
    <w:bookmarkEnd w:id="123"/>
    <w:bookmarkStart w:id="135" w:name="chapter-6.-results"/>
    <w:p>
      <w:pPr>
        <w:pStyle w:val="Heading1"/>
        <w:spacing w:line="480" w:lineRule="auto"/>
      </w:pPr>
      <w:r>
        <w:t xml:space="preserve">Chapter 6. Results</w:t>
      </w:r>
    </w:p>
    <w:p>
      <w:pPr>
        <w:pStyle w:val="FirstParagraph"/>
        <w:spacing w:line="480" w:lineRule="auto"/>
      </w:pPr>
      <w:r>
        <w:t xml:space="preserve">The chapter reports what the two workbooks produced, exactly as they produced it, and then interprets the signs and magnitudes.</w:t>
      </w:r>
    </w:p>
    <w:p>
      <w:pPr>
        <w:pStyle w:val="BodyText"/>
        <w:spacing w:line="480" w:lineRule="auto"/>
        <w:ind w:firstLine="720"/>
      </w:pPr>
      <w:r>
        <w:t xml:space="preserve">I report every figure the estimators returned, including the ones that failed to reach significance, since in a screen of this kind a null coefficient is evidence about the corpus and not a result to be quietly dropped. The order follows the theory: first the cross-sectional model, then the temporal model, then the joint reading.</w:t>
      </w:r>
    </w:p>
    <w:bookmarkStart w:id="124" w:name="paper-1-the-cross-sectional-model"/>
    <w:p>
      <w:pPr>
        <w:pStyle w:val="Heading2"/>
        <w:spacing w:line="480" w:lineRule="auto"/>
      </w:pPr>
      <w:r>
        <w:t xml:space="preserve">Paper 1: the cross-sectional model</w:t>
      </w:r>
    </w:p>
    <w:p>
      <w:pPr>
        <w:pStyle w:val="FirstParagraph"/>
        <w:spacing w:line="480" w:lineRule="auto"/>
      </w:pPr>
      <w:r>
        <w:t xml:space="preserve">The first paper estimates the ordinary least squares model of topic-signal score on recency, citation attention, and venue family, with HC1 robust standard errors, on all thirty records.</w:t>
      </w:r>
    </w:p>
    <w:p>
      <w:pPr>
        <w:pStyle w:val="BodyText"/>
        <w:spacing w:line="480" w:lineRule="auto"/>
        <w:ind w:firstLine="720"/>
      </w:pPr>
      <w:r>
        <w:t xml:space="preserve">The overall fit is as follows. N = 30. R-squared = 0.2017. Adjusted R-squared = 0.1096. The model F-statistic is 4.8870 with a p-value of 0.00796. So the three predictors together account for roughly twenty percent of the variation in the topic-signal score, and the joint test rejects the hypothesis that all slopes are zero at conventional levels. The model as a whole is doing real work, even though, as the term-level results show, that work is concentrated in a single predictor. For the program record, the term-level estimates are these. The constant has a coefficient of 4.4382 with a p-value of 5.31e-05, so the baseline signal level is precisely estimated and far from zero. The recency index has a coefficient of 0.0460 with a p-value of 0.7236. The citation count has a coefficient of 0.00896 with a p-value of 0.8832. The venue-family score has a coefficient of -1.1117 with a p-value of 0.0025.</w:t>
      </w:r>
    </w:p>
    <w:p>
      <w:pPr>
        <w:pStyle w:val="BodyText"/>
        <w:spacing w:line="480" w:lineRule="auto"/>
        <w:ind w:firstLine="720"/>
      </w:pPr>
      <w:r>
        <w:t xml:space="preserve">Read those four lines carefully. They tell a sharper story than any single one alone. Two of the three substantive predictors, recency and citation attention, are indistinguishable from zero. Recency carries a p-value of 0.7236 and citation attention a p-value of 0.8832; neither comes close to any threshold at which the design would credit a stable association. The signs are both faintly positive, which is the direction the structured account predicted, but the imprecision is so large that the signs carry no evidentiary weight. The corpus, in other words, does not organize topic signal by how recent a record is or by how much local citation attention it has drawn. The archival record matters here: one term breaks the pattern. The venue-family term is the exception, and it is a strong one. Its coefficient of -1.1117 is negative and its p-value of 0.0025 clears a demanding bar. Holding recency and citation attention fixed, moving up one step in the ordinal venue ordering, from AMOS proceedings toward Acta Astronautica and then toward the economy studies, is associated with a topic-signal score more than one point lower on average. That is a large effect relative to the one-to-eight range of the outcome, and it is the single regularity the cross-sectional model finds. The legitimacy-effectiveness governance theme is most metadata-visible in the conference-proceedings family and fades as one moves toward the journal and economy families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I resist over-reading even this precise coefficient. The venue ordering is ordinal and confounds format with audience, so the finding is best stated as a between-family difference in metadata visibility, not as a claim that journal publishing suppresses governance content. The AMOS records in this pack are governance-and-operations conference papers whose titles and keywords foreground the theme directly, while several Acta Astronautica articles engage adjacent technical or regulatory questions whose metadata touches the governance theme more obliquely, and the economy studies carry sparse text metadata by construction</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venue coefficient is real, and it is also a statement about where in the publishing ecosystem this theme wears its metadata on its sleeve. For a replicator, the fit statistics reinforce the reading. An adjusted R-squared of 0.1096 is modest, and it should be: one strong predictor and two null ones, on thirty records, is not a model that explains most of the variance, and the design never promised that it would. What the fitted specification delivers is a clean separation between the dimension on which the corpus is structured, venue, and the dimensions on which it is not, recency and citation. That separation is the finding</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4"/>
    <w:bookmarkStart w:id="125" w:name="paper-2-the-temporal-model"/>
    <w:p>
      <w:pPr>
        <w:pStyle w:val="Heading2"/>
        <w:spacing w:line="480" w:lineRule="auto"/>
      </w:pPr>
      <w:r>
        <w:t xml:space="preserve">Paper 2: the temporal model</w:t>
      </w:r>
    </w:p>
    <w:p>
      <w:pPr>
        <w:pStyle w:val="FirstParagraph"/>
        <w:spacing w:line="480" w:lineRule="auto"/>
      </w:pPr>
      <w:r>
        <w:t xml:space="preserve">The chapter treats this as an empirical claim: the second paper estimates the log-log learning-curve model of citations-plus-one on the document-age index, with HC1 robust standard errors, again on all thirty records.</w:t>
      </w:r>
    </w:p>
    <w:p>
      <w:pPr>
        <w:pStyle w:val="BodyText"/>
        <w:spacing w:line="480" w:lineRule="auto"/>
        <w:ind w:firstLine="720"/>
      </w:pPr>
      <w:r>
        <w:t xml:space="preserve">The fit is as follows. N = 30. R-squared = 0.000845. The estimated age elasticity is -0.04548, and the implied progress ratio, two raised to that elasticity, is 0.9690. The term-level estimates are these. The constant has a coefficient of 0.5568 with a p-value of 0.0792. The logged age index has a coefficient of -0.04548 with a p-value of 0.8162. The data construction is deliberately visible: this model finds essentially nothing. The nothing is precise enough to be informative. An R-squared of 0.000845 means the age index explains under one tenth of one percent of the variation in logged citations; the predictor is, for practical purposes, inert. The age elasticity of -0.04548 is not merely insignificant at a p-value of 0.8162, it is also economically negligible: the progress ratio of 0.9690 says that doubling a record’s age is associated with citations changing by about three percent, in the wrong direction for an accumulation story, and with an uncertainty band that swamps even that tiny point estimate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negative sign deserves a plain explanation instead of a strained one. Under a genuine accumulation process, older records would carry more citations, and the elasticity would be positive. Here it is faintly negative since, in this particular pack, the most-cited records are not the oldest. The corpus’s largest citation counts belong to mid-age Acta Astronautica articles indexed while several of the oldest records remain uncited in the local index</w:t>
      </w:r>
      <w:r>
        <w:t xml:space="preserve"> </w:t>
      </w:r>
      <w:hyperlink w:anchor="ref-13">
        <w:r>
          <w:rPr>
            <w:rStyle w:val="Hyperlink"/>
          </w:rPr>
          <w:t xml:space="preserve">[13]</w:t>
        </w:r>
      </w:hyperlink>
      <w:r>
        <w:t xml:space="preserve">. Age simply does not organize attention in this sample. The learning-curve form, borrowed from settings where cumulative experience reliably drives an outcome, finds no analogous curve in these thirty governance records.</w:t>
      </w:r>
    </w:p>
    <w:bookmarkEnd w:id="125"/>
    <w:bookmarkStart w:id="126" w:name="reading-the-two-results-together"/>
    <w:p>
      <w:pPr>
        <w:pStyle w:val="Heading2"/>
        <w:spacing w:line="480" w:lineRule="auto"/>
      </w:pPr>
      <w:r>
        <w:t xml:space="preserve">Reading the two results together</w:t>
      </w:r>
    </w:p>
    <w:p>
      <w:pPr>
        <w:pStyle w:val="FirstParagraph"/>
        <w:spacing w:line="480" w:lineRule="auto"/>
      </w:pPr>
      <w:r>
        <w:t xml:space="preserve">Set side by side, the two models draw a clear and asymmetric map. The cross-sectional model finds structure on exactly one dimension, venue family, and none on recency or citation. The temporal model finds no structure at all. The corpus is organized by where a record is published and by nothing else the design measured. That is a more specific claim than either the structured or the unstructured account offered in advance, and it is the kind of claim a screen exists to produce</w:t>
      </w:r>
      <w:r>
        <w:t xml:space="preserve"> </w:t>
      </w:r>
      <w:hyperlink w:anchor="ref-1">
        <w:r>
          <w:rPr>
            <w:rStyle w:val="Hyperlink"/>
          </w:rPr>
          <w:t xml:space="preserve">[1]</w:t>
        </w:r>
      </w:hyperlink>
      <w:r>
        <w:t xml:space="preserve"> </w:t>
      </w:r>
      <w:hyperlink w:anchor="ref-8">
        <w:r>
          <w:rPr>
            <w:rStyle w:val="Hyperlink"/>
          </w:rPr>
          <w:t xml:space="preserve">[8]</w:t>
        </w:r>
      </w:hyperlink>
      <w:r>
        <w:t xml:space="preserve">. For the empirical reader, the joint reading also disciplines what comes next. The one precise result, the venue coefficient, is the thread worth pulling, and it points a follow-on design toward the question of why governance-theme metadata concentrates in the conference family. The null results on recency, citation, and age are not dead ends; they are boundaries. They tell a later, more expensive design not to expect this small local corpus to reveal temporal accumulation or attention-driven salience, and to bring either a larger sample with real citation spread or a direct coding of governance instruments if those dimensions are to be tested at all</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numbers are modest. Their honesty is the point.</w:t>
      </w:r>
    </w:p>
    <w:bookmarkEnd w:id="126"/>
    <w:bookmarkStart w:id="127" w:name="magnitude-in-context"/>
    <w:p>
      <w:pPr>
        <w:pStyle w:val="Heading2"/>
        <w:spacing w:line="480" w:lineRule="auto"/>
      </w:pPr>
      <w:r>
        <w:t xml:space="preserve">Magnitude in context</w:t>
      </w:r>
    </w:p>
    <w:p>
      <w:pPr>
        <w:pStyle w:val="FirstParagraph"/>
        <w:spacing w:line="480" w:lineRule="auto"/>
      </w:pPr>
      <w:r>
        <w:t xml:space="preserve">The evidence trail is concrete here: a significance test tells you whether a coefficient is distinguishable from zero; it does not tell you whether the coefficient matters. So consider the venue result on its own terms. The topic-signal score ranges from one to eight across the corpus, and the venue coefficient of -1.1117 says that a one-step move up the ordinal venue ordering is associated with a signal lower by more than a full point. Against an outcome whose entire spread is seven points, a shift of over one point per venue step is not a rounding-error effect; it is a substantial fraction of the available range</w:t>
      </w:r>
      <w:r>
        <w:t xml:space="preserve"> </w:t>
      </w:r>
      <w:hyperlink w:anchor="ref-1">
        <w:r>
          <w:rPr>
            <w:rStyle w:val="Hyperlink"/>
          </w:rPr>
          <w:t xml:space="preserve">[1]</w:t>
        </w:r>
      </w:hyperlink>
      <w:r>
        <w:t xml:space="preserve">. The regularity the fitted specification found is not only precise but sizable, which is why it survives as the finding worth carrying forward instead of as a statistically significant triviality. Set that against the two null predictors and the contrast sharpens. The recency coefficient of 0.0460 is not merely imprecise; even taken at face value it is tiny, implying that moving across the full seven-point recency span would shift the signal by roughly three tenths of a point, a change dwarfed by its own standard error</w:t>
      </w:r>
      <w:r>
        <w:t xml:space="preserve"> </w:t>
      </w:r>
      <w:hyperlink w:anchor="ref-2">
        <w:r>
          <w:rPr>
            <w:rStyle w:val="Hyperlink"/>
          </w:rPr>
          <w:t xml:space="preserve">[2]</w:t>
        </w:r>
      </w:hyperlink>
      <w:r>
        <w:t xml:space="preserve">. The citation coefficient of 0.00896 is smaller still, implying that even the corpus’s largest citation count of twenty-five would move the signal by under a quarter of a point. Both are economically negligible as well as statistically insignificant. The model is not failing to detect large effects that happen to be noisy; it is detecting that these two channels carry essentially no signal in this corpus at all</w:t>
      </w:r>
      <w:r>
        <w:t xml:space="preserve"> </w:t>
      </w:r>
      <w:hyperlink w:anchor="ref-6">
        <w:r>
          <w:rPr>
            <w:rStyle w:val="Hyperlink"/>
          </w:rPr>
          <w:t xml:space="preserve">[6]</w:t>
        </w:r>
      </w:hyperlink>
      <w:r>
        <w:t xml:space="preserve">.</w:t>
      </w:r>
    </w:p>
    <w:bookmarkEnd w:id="127"/>
    <w:bookmarkStart w:id="128" w:name="reading-the-constant"/>
    <w:p>
      <w:pPr>
        <w:pStyle w:val="Heading2"/>
        <w:spacing w:line="480" w:lineRule="auto"/>
      </w:pPr>
      <w:r>
        <w:t xml:space="preserve">Reading the constant</w:t>
      </w:r>
    </w:p>
    <w:p>
      <w:pPr>
        <w:pStyle w:val="FirstParagraph"/>
        <w:spacing w:line="480" w:lineRule="auto"/>
      </w:pPr>
      <w:r>
        <w:t xml:space="preserve">The constant coefficient of 4.4382, precise at a p-value of 5.31e-05, deserves a sentence of its own, since it anchors the interpretation of every slope. It represents the expected topic-signal score for a hypothetical record at the baseline of all three predictors, and its size confirms that the corpus carries a substantial governance-theme presence on average instead of a scattering of incidental mentions</w:t>
      </w:r>
      <w:r>
        <w:t xml:space="preserve"> </w:t>
      </w:r>
      <w:hyperlink w:anchor="ref-3">
        <w:r>
          <w:rPr>
            <w:rStyle w:val="Hyperlink"/>
          </w:rPr>
          <w:t xml:space="preserve">[3]</w:t>
        </w:r>
      </w:hyperlink>
      <w:r>
        <w:t xml:space="preserve">. The venue slope then describes how that baseline presence declines as one moves away from the conference family. Reading the constant and the venue term together gives the cleanest summary of the cross-sectional model: a corpus with a real and precisely estimated governance-theme baseline, whose variation is organized by venue and by nothing else the design measured</w:t>
      </w:r>
      <w:r>
        <w:t xml:space="preserve"> </w:t>
      </w:r>
      <w:hyperlink w:anchor="ref-8">
        <w:r>
          <w:rPr>
            <w:rStyle w:val="Hyperlink"/>
          </w:rPr>
          <w:t xml:space="preserve">[8]</w:t>
        </w:r>
      </w:hyperlink>
      <w:r>
        <w:t xml:space="preserve">.</w:t>
      </w:r>
    </w:p>
    <w:bookmarkEnd w:id="128"/>
    <w:bookmarkStart w:id="129" w:name="the-temporal-null-examined"/>
    <w:p>
      <w:pPr>
        <w:pStyle w:val="Heading2"/>
        <w:spacing w:line="480" w:lineRule="auto"/>
      </w:pPr>
      <w:r>
        <w:t xml:space="preserve">The temporal null examined</w:t>
      </w:r>
    </w:p>
    <w:p>
      <w:pPr>
        <w:pStyle w:val="FirstParagraph"/>
        <w:spacing w:line="480" w:lineRule="auto"/>
      </w:pPr>
      <w:r>
        <w:t xml:space="preserve">It would be easy to report the temporal model’s R-squared of 0.000845 and move on, but the near-total absence of fit is itself worth dwelling on, since a result this flat is rare enough to be informative. When a predictor explains under one tenth of one percent of an outcome’s variation, the outcome is, for that predictor, essentially random. The age index carries no purchase on logged citations in this corpus</w:t>
      </w:r>
      <w:r>
        <w:t xml:space="preserve"> </w:t>
      </w:r>
      <w:hyperlink w:anchor="ref-5">
        <w:r>
          <w:rPr>
            <w:rStyle w:val="Hyperlink"/>
          </w:rPr>
          <w:t xml:space="preserve">[5]</w:t>
        </w:r>
      </w:hyperlink>
      <w:r>
        <w:t xml:space="preserve">. The elasticity of -0.04548 and its progress ratio of 0.9690 quantify the direction and size of that non-relationship: doubling a record’s age is associated with citations moving by about three percent downward, a point estimate so small that its sign is not worth defending and whose p-value of 0.8162 places it squarely in the region of pure noise</w:t>
      </w:r>
      <w:r>
        <w:t xml:space="preserve"> </w:t>
      </w:r>
      <w:hyperlink w:anchor="ref-13">
        <w:r>
          <w:rPr>
            <w:rStyle w:val="Hyperlink"/>
          </w:rPr>
          <w:t xml:space="preserve">[13]</w:t>
        </w:r>
      </w:hyperlink>
      <w:r>
        <w:t xml:space="preserve">. For a replicator, the reason is legible in the data instead of mysterious. A genuine accumulation curve requires that older records, having had more time to be cited, actually carry more citations. In this pack the correspondence breaks: the heaviest citation counts belong to mid-age journal articles, while several of the oldest records remain uncited in the local index</w:t>
      </w:r>
      <w:r>
        <w:t xml:space="preserve"> </w:t>
      </w:r>
      <w:hyperlink w:anchor="ref-16">
        <w:r>
          <w:rPr>
            <w:rStyle w:val="Hyperlink"/>
          </w:rPr>
          <w:t xml:space="preserve">[16]</w:t>
        </w:r>
      </w:hyperlink>
      <w:r>
        <w:t xml:space="preserve">. Age and attention are, in this corpus, close to orthogonal, and the learning-curve estimator faithfully reports that orthogonality as a near-zero elasticity. The model behaved exactly as a well-specified estimator should when handed data with no underlying curve to find: it found none, and it said so precisely</w:t>
      </w:r>
      <w:r>
        <w:t xml:space="preserve"> </w:t>
      </w:r>
      <w:hyperlink w:anchor="ref-6">
        <w:r>
          <w:rPr>
            <w:rStyle w:val="Hyperlink"/>
          </w:rPr>
          <w:t xml:space="preserve">[6]</w:t>
        </w:r>
      </w:hyperlink>
      <w:r>
        <w:t xml:space="preserve">.</w:t>
      </w:r>
    </w:p>
    <w:bookmarkEnd w:id="129"/>
    <w:bookmarkStart w:id="130" w:name="what-the-results-do-not-license"/>
    <w:p>
      <w:pPr>
        <w:pStyle w:val="Heading2"/>
        <w:spacing w:line="480" w:lineRule="auto"/>
      </w:pPr>
      <w:r>
        <w:t xml:space="preserve">What the results do not license</w:t>
      </w:r>
    </w:p>
    <w:p>
      <w:pPr>
        <w:pStyle w:val="FirstParagraph"/>
        <w:spacing w:line="480" w:lineRule="auto"/>
      </w:pPr>
      <w:r>
        <w:t xml:space="preserve">The chapter treats this as an empirical claim: before closing the chapter I want to fence off the readings the numbers cannot support, since the discipline of a results chapter is as much about restraint as about reporting. The venue coefficient does not license a claim that journal publishing suppresses governance thought; it licenses only a claim about metadata visibility across families in this corpus</w:t>
      </w:r>
      <w:r>
        <w:t xml:space="preserve"> </w:t>
      </w:r>
      <w:hyperlink w:anchor="ref-9">
        <w:r>
          <w:rPr>
            <w:rStyle w:val="Hyperlink"/>
          </w:rPr>
          <w:t xml:space="preserve">[9]</w:t>
        </w:r>
      </w:hyperlink>
      <w:r>
        <w:t xml:space="preserve">. The null recency result does not license a claim that the governance theme is timeless; it licenses only a claim that recency does not organize its metadata visibility here</w:t>
      </w:r>
      <w:r>
        <w:t xml:space="preserve"> </w:t>
      </w:r>
      <w:hyperlink w:anchor="ref-2">
        <w:r>
          <w:rPr>
            <w:rStyle w:val="Hyperlink"/>
          </w:rPr>
          <w:t xml:space="preserve">[2]</w:t>
        </w:r>
      </w:hyperlink>
      <w:r>
        <w:t xml:space="preserve">. And the flat temporal model does not license a claim that citations are random in the world; it licenses only a claim that within this small, compressed-age corpus, age does not organize attention</w:t>
      </w:r>
      <w:r>
        <w:t xml:space="preserve"> </w:t>
      </w:r>
      <w:hyperlink w:anchor="ref-5">
        <w:r>
          <w:rPr>
            <w:rStyle w:val="Hyperlink"/>
          </w:rPr>
          <w:t xml:space="preserve">[5]</w:t>
        </w:r>
      </w:hyperlink>
      <w:r>
        <w:t xml:space="preserve">. Every one of these boundaries is drawn tightly on purpose, so that Chapter 7 can discuss meaning and threats without first having to walk back an overclaim the results themselves never made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30"/>
    <w:bookmarkStart w:id="131" w:name="Xba06115b0446a94765cd3a44044f860d51754ef"/>
    <w:p>
      <w:pPr>
        <w:pStyle w:val="Heading2"/>
        <w:spacing w:line="480" w:lineRule="auto"/>
      </w:pPr>
      <w:r>
        <w:t xml:space="preserve">Checking the results against the theory’s failure portrait</w:t>
      </w:r>
    </w:p>
    <w:p>
      <w:pPr>
        <w:pStyle w:val="FirstParagraph"/>
        <w:spacing w:line="480" w:lineRule="auto"/>
      </w:pPr>
      <w:r>
        <w:t xml:space="preserve">The data construction is deliberately visible: chapter 3 committed the theory to a portrait of what the world would look like if the mechanism were false: every predictor null, the joint test unable to reject, the temporal elasticity near zero with a doubling ratio near one, and a modest constant. Holding the results against that portrait is the cleanest way to say what was learned. The match is partial and informative. The constant is not modest; at 4.4382 it is substantial and precise, so the corpus carries a real governance-theme baseline instead of scattered incidental mentions</w:t>
      </w:r>
      <w:r>
        <w:t xml:space="preserve"> </w:t>
      </w:r>
      <w:hyperlink w:anchor="ref-3">
        <w:r>
          <w:rPr>
            <w:rStyle w:val="Hyperlink"/>
          </w:rPr>
          <w:t xml:space="preserve">[3]</w:t>
        </w:r>
      </w:hyperlink>
      <w:r>
        <w:t xml:space="preserve">. The joint test does reject, with an F of 4.8870 at a p-value of 0.00796, so the corpus is not uniform noise</w:t>
      </w:r>
      <w:r>
        <w:t xml:space="preserve"> </w:t>
      </w:r>
      <w:hyperlink w:anchor="ref-1">
        <w:r>
          <w:rPr>
            <w:rStyle w:val="Hyperlink"/>
          </w:rPr>
          <w:t xml:space="preserve">[1]</w:t>
        </w:r>
      </w:hyperlink>
      <w:r>
        <w:t xml:space="preserve">. Those two features alone rule out the fully dormant-tension reading. But the match to the failure portrait is exact on the temporal side and on two of three cross-sectional predictors. The age elasticity of -0.04548 with its doubling ratio of 0.9690 is precisely the flat signature the theory said would indicate no accumulation</w:t>
      </w:r>
      <w:r>
        <w:t xml:space="preserve"> </w:t>
      </w:r>
      <w:hyperlink w:anchor="ref-5">
        <w:r>
          <w:rPr>
            <w:rStyle w:val="Hyperlink"/>
          </w:rPr>
          <w:t xml:space="preserve">[5]</w:t>
        </w:r>
      </w:hyperlink>
      <w:r>
        <w:t xml:space="preserve">. Recency at 0.0460 and citation at 0.00896 are precisely the null signatures the theory said would indicate those channels do not organize the signal</w:t>
      </w:r>
      <w:r>
        <w:t xml:space="preserve"> </w:t>
      </w:r>
      <w:hyperlink w:anchor="ref-2">
        <w:r>
          <w:rPr>
            <w:rStyle w:val="Hyperlink"/>
          </w:rPr>
          <w:t xml:space="preserve">[2]</w:t>
        </w:r>
      </w:hyperlink>
      <w:r>
        <w:t xml:space="preserve"> </w:t>
      </w:r>
      <w:hyperlink w:anchor="ref-6">
        <w:r>
          <w:rPr>
            <w:rStyle w:val="Hyperlink"/>
          </w:rPr>
          <w:t xml:space="preserve">[6]</w:t>
        </w:r>
      </w:hyperlink>
      <w:r>
        <w:t xml:space="preserve">. So the corpus disconfirms the mechanism on recency, citation, and age, and confirms it on venue and on the existence of a structured baseline. That split verdict is not a muddle; it is the specific, legible result the design was built to produce, and reading it against the pre-committed portrait is what keeps the reading honest instead of opportunistic</w:t>
      </w:r>
      <w:r>
        <w:t xml:space="preserve"> </w:t>
      </w:r>
      <w:hyperlink w:anchor="ref-8">
        <w:r>
          <w:rPr>
            <w:rStyle w:val="Hyperlink"/>
          </w:rPr>
          <w:t xml:space="preserve">[8]</w:t>
        </w:r>
      </w:hyperlink>
      <w:r>
        <w:t xml:space="preserve">.</w:t>
      </w:r>
    </w:p>
    <w:bookmarkEnd w:id="131"/>
    <w:bookmarkStart w:id="132" w:name="Xbd95d93460d9f03190417d09756f3eadd1c18a7"/>
    <w:p>
      <w:pPr>
        <w:pStyle w:val="Heading2"/>
        <w:spacing w:line="480" w:lineRule="auto"/>
      </w:pPr>
      <w:r>
        <w:t xml:space="preserve">Why the split verdict is the most credible outcome</w:t>
      </w:r>
    </w:p>
    <w:p>
      <w:pPr>
        <w:pStyle w:val="FirstParagraph"/>
        <w:spacing w:line="480" w:lineRule="auto"/>
      </w:pPr>
      <w:r>
        <w:t xml:space="preserve">A screen that confirmed every prediction would invite suspicion that the design was tuned to succeed, and a screen that confirmed none would suggest the corpus was inert or the theory empty. The split verdict here is more credible than either extreme precisely since it shows the estimators discriminating. They found the one dimension the data could support, venue, and refused the three they could not, recency, citation, and age</w:t>
      </w:r>
      <w:r>
        <w:t xml:space="preserve"> </w:t>
      </w:r>
      <w:hyperlink w:anchor="ref-4">
        <w:r>
          <w:rPr>
            <w:rStyle w:val="Hyperlink"/>
          </w:rPr>
          <w:t xml:space="preserve">[4]</w:t>
        </w:r>
      </w:hyperlink>
      <w:r>
        <w:t xml:space="preserve"> </w:t>
      </w:r>
      <w:hyperlink w:anchor="ref-9">
        <w:r>
          <w:rPr>
            <w:rStyle w:val="Hyperlink"/>
          </w:rPr>
          <w:t xml:space="preserve">[9]</w:t>
        </w:r>
      </w:hyperlink>
      <w:r>
        <w:t xml:space="preserve">. That discrimination is evidence that the coefficients are tracking real features of the corpus instead of reflecting either the author’s hopes or pure noise. A reader weighing whether to fund the expensive follow-on should take more assurance from this mixed result than from a clean sweep, since a mixed result is what an honest instrument returns when handed a small, structured, imperfect body of evidence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32"/>
    <w:bookmarkStart w:id="133" w:name="Xa3549511768ba061ac001d847f2b34bbf4e747e"/>
    <w:p>
      <w:pPr>
        <w:pStyle w:val="Heading2"/>
        <w:spacing w:line="480" w:lineRule="auto"/>
      </w:pPr>
      <w:r>
        <w:t xml:space="preserve">The results as a table the reader can rebuild</w:t>
      </w:r>
    </w:p>
    <w:p>
      <w:pPr>
        <w:pStyle w:val="FirstParagraph"/>
        <w:spacing w:line="480" w:lineRule="auto"/>
      </w:pPr>
      <w:r>
        <w:t xml:space="preserve">For clarity, let me restate the full set of estimator outputs in one place, so a reader can carry the numbers forward without hunting through the prose. From the first paper: N is 30, R-squared is 0.2017, adjusted R-squared is 0.1096, the F-statistic is 4.8870 and its p-value is 0.00796; the constant coefficient is 4.4382 at p-value 5.31e-05, recency is 0.0460 at p-value 0.7236, citation is 0.00896 at p-value 0.8832, and venue is -1.1117 at p-value 0.0025. From the second paper: N is 30, R-squared is 0.000845, the age elasticity is -0.04548 and the progress ratio is 0.9690; the constant coefficient is 0.5568 at p-value 0.0792 and the logged age coefficient is -0.04548 at p-value 0.8162</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evidence trail is concrete here: every one of these numbers is a deterministic output of the workbooks described in Chapter 5, and every one can be regenerated from the retained records and the construction rules. There is no figure here that the author supplied by hand or adjusted by judgment</w:t>
      </w:r>
      <w:r>
        <w:t xml:space="preserve"> </w:t>
      </w:r>
      <w:hyperlink w:anchor="ref-8">
        <w:r>
          <w:rPr>
            <w:rStyle w:val="Hyperlink"/>
          </w:rPr>
          <w:t xml:space="preserve">[8]</w:t>
        </w:r>
      </w:hyperlink>
      <w:r>
        <w:t xml:space="preserve">. Restating them together is not padding; it is the courtesy a results chapter owes a reader who may want to check the interpretation against the raw estimates, or who may carry these values into a follow-on design that starts where this one stopped</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33"/>
    <w:bookmarkStart w:id="134" w:name="the-one-finding-stated-for-a-policymaker"/>
    <w:p>
      <w:pPr>
        <w:pStyle w:val="Heading2"/>
        <w:spacing w:line="480" w:lineRule="auto"/>
      </w:pPr>
      <w:r>
        <w:t xml:space="preserve">The one finding, stated for a policymaker</w:t>
      </w:r>
    </w:p>
    <w:p>
      <w:pPr>
        <w:pStyle w:val="FirstParagraph"/>
        <w:spacing w:line="480" w:lineRule="auto"/>
      </w:pPr>
      <w:r>
        <w:t xml:space="preserve">For the program record, if a policymaker read only one sentence of this chapter, it should be this: within the retrieved corpus, the legitimacy-effectiveness governance theme is substantially and significantly more visible in the conference-proceedings literature than in the journal or economy literatures, while how recent a record is, how much it has been cited, and how old it is do not organize that visibility at all</w:t>
      </w:r>
      <w:r>
        <w:t xml:space="preserve"> </w:t>
      </w:r>
      <w:hyperlink w:anchor="ref-2">
        <w:r>
          <w:rPr>
            <w:rStyle w:val="Hyperlink"/>
          </w:rPr>
          <w:t xml:space="preserve">[2]</w:t>
        </w:r>
      </w:hyperlink>
      <w:r>
        <w:t xml:space="preserve"> </w:t>
      </w:r>
      <w:hyperlink w:anchor="ref-9">
        <w:r>
          <w:rPr>
            <w:rStyle w:val="Hyperlink"/>
          </w:rPr>
          <w:t xml:space="preserve">[9]</w:t>
        </w:r>
      </w:hyperlink>
      <w:r>
        <w:t xml:space="preserve">. That sentence is defensible in full, it is bounded to the corpus, and it makes no claim about the committee’s outputs. It is the honest headline of a design-stage screen, and the surrounding analysis in this chapter exists to make sure a reader who wants more than the headline understands exactly how much more the evidence can and cannot give</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34"/>
    <w:bookmarkEnd w:id="135"/>
    <w:bookmarkStart w:id="147"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the temptation now is to inflate them. I want to do the opposite: to say precisely what the two models license about the legitimacy-versus-effectiveness question, to name the threats that could undo even those bounded claims, and to mark cleanly the line between what this corpus shows and what it cannot. A screen earns trust by policing its own reach, and this chapter is that policing.</w:t>
      </w:r>
    </w:p>
    <w:bookmarkStart w:id="136" w:name="what-the-findings-mean"/>
    <w:p>
      <w:pPr>
        <w:pStyle w:val="Heading2"/>
        <w:spacing w:line="480" w:lineRule="auto"/>
      </w:pPr>
      <w:r>
        <w:t xml:space="preserve">What the findings mean</w:t>
      </w:r>
    </w:p>
    <w:p>
      <w:pPr>
        <w:pStyle w:val="FirstParagraph"/>
        <w:spacing w:line="480" w:lineRule="auto"/>
      </w:pPr>
      <w:r>
        <w:t xml:space="preserve">Start with what is solid. Begin with the one precise result. The venue-family coefficient of -1.1117, significant at a p-value of 0.0025, says that the legitimacy-effectiveness governance theme is most visible in the metadata of the conference-proceedings family and fades toward the journal and economy families. For the substantive debate, this is a clue about where the tension is being worked out in writing, not a verdict on whether the committee’s outputs are weak. Conference venues, particularly the operations-and-governance proceedings in this pack, host the fast, argument-forward papers that engage live institutional gaps head-on</w:t>
      </w:r>
      <w:r>
        <w:t xml:space="preserve"> </w:t>
      </w:r>
      <w:hyperlink w:anchor="ref-1">
        <w:r>
          <w:rPr>
            <w:rStyle w:val="Hyperlink"/>
          </w:rPr>
          <w:t xml:space="preserve">[1]</w:t>
        </w:r>
      </w:hyperlink>
      <w:r>
        <w:t xml:space="preserve"> </w:t>
      </w:r>
      <w:hyperlink w:anchor="ref-3">
        <w:r>
          <w:rPr>
            <w:rStyle w:val="Hyperlink"/>
          </w:rPr>
          <w:t xml:space="preserve">[3]</w:t>
        </w:r>
      </w:hyperlink>
      <w:r>
        <w:t xml:space="preserve">. Journals and economy studies engage the same terrain more obliquely, folding governance concerns into technical, legal, or market analyses whose metadata foregrounds other things</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finding, then, locates the discourse instead of scoring the rules.</w:t>
      </w:r>
    </w:p>
    <w:p>
      <w:pPr>
        <w:pStyle w:val="BodyText"/>
        <w:spacing w:line="480" w:lineRule="auto"/>
        <w:ind w:firstLine="720"/>
      </w:pPr>
      <w:r>
        <w:t xml:space="preserve">For the program record, the null results carry their own meaning, and I decline to treat them as failures.</w:t>
      </w:r>
    </w:p>
    <w:p>
      <w:pPr>
        <w:pStyle w:val="BodyText"/>
        <w:spacing w:line="480" w:lineRule="auto"/>
        <w:ind w:firstLine="720"/>
      </w:pPr>
      <w:r>
        <w:t xml:space="preserve">Recency does not organize topic signal in this corpus, which tells us the legitimacy-effectiveness theme is not a sudden arrival concentrated in the newest records; it runs across the whole 2020-to-2026 span at roughly even metadata intensity</w:t>
      </w:r>
      <w:r>
        <w:t xml:space="preserve"> </w:t>
      </w:r>
      <w:hyperlink w:anchor="ref-2">
        <w:r>
          <w:rPr>
            <w:rStyle w:val="Hyperlink"/>
          </w:rPr>
          <w:t xml:space="preserve">[2]</w:t>
        </w:r>
      </w:hyperlink>
      <w:r>
        <w:t xml:space="preserve">. Citation attention does not organize it either, which tells us that within this local index the theme’s visibility is not driven by the handful of heavily cited papers. And the temporal model’s near-zero elasticity tells us that attention in this pack does not accumulate with age along any measurable curve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Each null is a boundary drawn on the map, and boundaries are what let the next researcher avoid wasted effort.</w:t>
      </w:r>
    </w:p>
    <w:p>
      <w:pPr>
        <w:pStyle w:val="BodyText"/>
        <w:spacing w:line="480" w:lineRule="auto"/>
        <w:ind w:firstLine="720"/>
      </w:pPr>
      <w:r>
        <w:t xml:space="preserve">Taken together, the results speak to the larger debate in a deliberately limited voice.</w:t>
      </w:r>
    </w:p>
    <w:p>
      <w:pPr>
        <w:pStyle w:val="BodyText"/>
        <w:spacing w:line="480" w:lineRule="auto"/>
        <w:ind w:firstLine="720"/>
      </w:pPr>
      <w:r>
        <w:t xml:space="preserve">They do not confirm that broad participation weakens governance outputs, and they do not refute it. What they establish is that the surrounding literature, as captured in this corpus, is structured by publishing venue and by nothing else the design measured, which means the direct test of the dilution hypothesis has to be built on instrument-level coding instead of on documentary proxies alone</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36"/>
    <w:bookmarkStart w:id="137" w:name="threats-to-validity"/>
    <w:p>
      <w:pPr>
        <w:pStyle w:val="Heading2"/>
        <w:spacing w:line="480" w:lineRule="auto"/>
      </w:pPr>
      <w:r>
        <w:t xml:space="preserve">Threats to validity</w:t>
      </w:r>
    </w:p>
    <w:p>
      <w:pPr>
        <w:pStyle w:val="FirstParagraph"/>
        <w:spacing w:line="480" w:lineRule="auto"/>
      </w:pPr>
      <w:r>
        <w:t xml:space="preserve">Several threats could undermine even these bounded readings. Each deserves a straight answer.</w:t>
      </w:r>
    </w:p>
    <w:p>
      <w:pPr>
        <w:pStyle w:val="BodyText"/>
        <w:spacing w:line="480" w:lineRule="auto"/>
        <w:ind w:firstLine="720"/>
      </w:pPr>
      <w:r>
        <w:t xml:space="preserve">For a replicator, the first is construct validity in the outcome. The topic-signal score measures metadata visibility, not governance importance, and a record that matters deeply to the debate can score low if its title and keywords are terse. If metadata visibility and true governance relevance diverge systematically across venue families, then the venue coefficient is partly an artifact of how different communities write titles and choose keywords, not a fact about the governance discourse itself</w:t>
      </w:r>
      <w:r>
        <w:t xml:space="preserve"> </w:t>
      </w:r>
      <w:hyperlink w:anchor="ref-8">
        <w:r>
          <w:rPr>
            <w:rStyle w:val="Hyperlink"/>
          </w:rPr>
          <w:t xml:space="preserve">[8]</w:t>
        </w:r>
      </w:hyperlink>
      <w:r>
        <w:t xml:space="preserve"> </w:t>
      </w:r>
      <w:hyperlink w:anchor="ref-9">
        <w:r>
          <w:rPr>
            <w:rStyle w:val="Hyperlink"/>
          </w:rPr>
          <w:t xml:space="preserve">[9]</w:t>
        </w:r>
      </w:hyperlink>
      <w:r>
        <w:t xml:space="preserve">. I cannot rule this out with the present data. It is the single most important reason the venue finding should be treated as a lead for further coding instead of as a settled result. The second is the citation measure. The counts come from a local brain index, not a universal citation database, and they are sparse: most records report zero, and the nonzero counts belong to a few journal articles. A coefficient estimated off so few informative records is fragile, and the local index may undercount conference proceedings relative to journals in ways that correlate with venue family, which would contaminate both the citation term and the venue term</w:t>
      </w:r>
      <w:r>
        <w:t xml:space="preserve"> </w:t>
      </w:r>
      <w:hyperlink w:anchor="ref-6">
        <w:r>
          <w:rPr>
            <w:rStyle w:val="Hyperlink"/>
          </w:rPr>
          <w:t xml:space="preserve">[6]</w:t>
        </w:r>
      </w:hyperlink>
      <w:r>
        <w:t xml:space="preserve">. The robust standard errors register the resulting uncertainty on the citation coefficient honestly, but they cannot repair a measure that is systematically incomplete.</w:t>
      </w:r>
    </w:p>
    <w:p>
      <w:pPr>
        <w:pStyle w:val="BodyText"/>
        <w:spacing w:line="480" w:lineRule="auto"/>
        <w:ind w:firstLine="720"/>
      </w:pPr>
      <w:r>
        <w:t xml:space="preserve">The chapter treats this as an empirical claim: the third is the ordinal venue coding.</w:t>
      </w:r>
    </w:p>
    <w:p>
      <w:pPr>
        <w:pStyle w:val="BodyText"/>
        <w:spacing w:line="480" w:lineRule="auto"/>
        <w:ind w:firstLine="720"/>
      </w:pPr>
      <w:r>
        <w:t xml:space="preserve">Assigning one, two, and three to the three families imposes an ordering and an implicit spacing that the families do not naturally possess. If the true relationship between family and signal is non-monotonic, a single linear venue coefficient will average over it and could mislead. The finding survives as a statement that AMOS-family records carry more theme metadata than the others, but the precise linear magnitude should not be over-interpreted as a per-step quantity</w:t>
      </w:r>
      <w:r>
        <w:t xml:space="preserve"> </w:t>
      </w:r>
      <w:hyperlink w:anchor="ref-9">
        <w:r>
          <w:rPr>
            <w:rStyle w:val="Hyperlink"/>
          </w:rPr>
          <w:t xml:space="preserve">[9]</w:t>
        </w:r>
      </w:hyperlink>
      <w:r>
        <w:t xml:space="preserve">. The fourth is sample size and range. Thirty records is a small sample, and the predictors have limited spread: the recency index spans seven values and the age index clusters in a narrow recent band. Limited spread mechanically limits the power to detect temporal structure, so the near-zero age elasticity is partly a statement about what a compressed age range can reveal, not only about the world. A larger, longer-baseline corpus could in principle recover an accumulation curve that this pack is simply too short to see</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data construction is deliberately visible: the fifth is selection into the corpus. The thirty records are what the candidate’s search retrieved, and the retrieval process itself shapes every downstream result. If the search over-weighted conference governance papers, the venue finding partly reflects the retrieval instead of the underlying literature. Provenance keeps this inspectable, since every row’s source is recorded, but inspectability is not the same as correction, and a differently tuned search could return a differently structured corpus</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37"/>
    <w:bookmarkStart w:id="138" w:name="what-the-data-cannot-show"/>
    <w:p>
      <w:pPr>
        <w:pStyle w:val="Heading2"/>
        <w:spacing w:line="480" w:lineRule="auto"/>
      </w:pPr>
      <w:r>
        <w:t xml:space="preserve">What the data cannot show</w:t>
      </w:r>
    </w:p>
    <w:p>
      <w:pPr>
        <w:pStyle w:val="FirstParagraph"/>
        <w:spacing w:line="480" w:lineRule="auto"/>
      </w:pPr>
      <w:r>
        <w:t xml:space="preserve">The operational question is narrower: some limits are not threats to be mitigated but hard walls the design does not cross. The corpus contains no direct measure of governance-output quality, so nothing here can score whether a given instrument is weak or strong, and for that reason nothing here can test the dilution hypothesis directly. The corpus contains no measure of committee composition at the record level, so it cannot relate participation breadth to anything at all; the connection to the committee lives in the framing, not in a variable. And the design has no exogenous variation, so every coefficient is an association within a retrieved sample, never an effect that would survive manipulation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I state these walls since a reader is owed clarity about what a design-stage screen is for. It is for establishing which parts of a contested question are already visible and measurable in obtainable evidence, and which parts require the more expensive machinery of instrument coding, longitudinal sampling, or a genuine identification strategy. The dissertation completes the first task and specifies the second. The venue result is worth carrying forward; the null results tell the next design where not to look; and the dilution hypothesis itself remains open, now with a clearer sense of the evidence a fair test of it would demand</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38"/>
    <w:bookmarkStart w:id="139" w:name="positioning-against-the-literature"/>
    <w:p>
      <w:pPr>
        <w:pStyle w:val="Heading2"/>
        <w:spacing w:line="480" w:lineRule="auto"/>
      </w:pPr>
      <w:r>
        <w:t xml:space="preserve">Positioning against the literature</w:t>
      </w:r>
    </w:p>
    <w:p>
      <w:pPr>
        <w:pStyle w:val="FirstParagraph"/>
        <w:spacing w:line="480" w:lineRule="auto"/>
      </w:pPr>
      <w:r>
        <w:t xml:space="preserve">The findings sit comfortably beside the prior work without pretending to extend it further than they can. The output camp’s claim that precision fails where consensus drafting dominates is consistent with a discourse that concentrates its governance-theme metadata in the fast conference venues, though consistency is not confirmation</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 input camp’s optimism about broad participation is neither supported nor damaged, since this corpus cannot see participation. And the soft-law literature’s picture of a normative order that lives between hard rules and technical practice fits a corpus in which the governance theme is spread across venues at even recency intensity instead of spiking with any single instrument’s arrival</w:t>
      </w:r>
      <w:r>
        <w:t xml:space="preserve"> </w:t>
      </w:r>
      <w:hyperlink w:anchor="ref-3">
        <w:r>
          <w:rPr>
            <w:rStyle w:val="Hyperlink"/>
          </w:rPr>
          <w:t xml:space="preserve">[3]</w:t>
        </w:r>
      </w:hyperlink>
      <w:r>
        <w:t xml:space="preserve">. The contribution is to have made those relationships checkable, which is a smaller thing than resolving them and a more durable one.</w:t>
      </w:r>
    </w:p>
    <w:bookmarkEnd w:id="139"/>
    <w:bookmarkStart w:id="140" w:name="X21555b162aeb8b2ee88943166a2274c48f6816e"/>
    <w:p>
      <w:pPr>
        <w:pStyle w:val="Heading2"/>
        <w:spacing w:line="480" w:lineRule="auto"/>
      </w:pPr>
      <w:r>
        <w:t xml:space="preserve">Competing explanations for the venue result</w:t>
      </w:r>
    </w:p>
    <w:p>
      <w:pPr>
        <w:pStyle w:val="FirstParagraph"/>
        <w:spacing w:line="480" w:lineRule="auto"/>
      </w:pPr>
      <w:r>
        <w:t xml:space="preserve">Intellectual honesty demands that I hold the one positive finding to the same scrutiny as the nulls, and that means canvassing the explanations that compete with my preferred reading. My preferred reading is substantive: the governance-theme discourse concentrates in the conference family since that is where live institutional arguments are worked out before they cool. But at least two rival explanations fit the same coefficient. The first is stylistic: conference titles and keyword lists may simply be written to foreground themes more aggressively than journal titles, so the venue effect could be an artifact of naming conventions instead of of governance substance</w:t>
      </w:r>
      <w:r>
        <w:t xml:space="preserve"> </w:t>
      </w:r>
      <w:hyperlink w:anchor="ref-8">
        <w:r>
          <w:rPr>
            <w:rStyle w:val="Hyperlink"/>
          </w:rPr>
          <w:t xml:space="preserve">[8]</w:t>
        </w:r>
      </w:hyperlink>
      <w:r>
        <w:t xml:space="preserve">. The second is retrieval-driven: if the candidate’s search favored governance-labeled conference papers, the concentration could reflect the search’s shape instead of the literature’s</w:t>
      </w:r>
      <w:r>
        <w:t xml:space="preserve"> </w:t>
      </w:r>
      <w:hyperlink w:anchor="ref-3">
        <w:r>
          <w:rPr>
            <w:rStyle w:val="Hyperlink"/>
          </w:rPr>
          <w:t xml:space="preserve">[3]</w:t>
        </w:r>
      </w:hyperlink>
      <w:r>
        <w:t xml:space="preserve"> </w:t>
      </w:r>
      <w:hyperlink w:anchor="ref-7">
        <w:r>
          <w:rPr>
            <w:rStyle w:val="Hyperlink"/>
          </w:rPr>
          <w:t xml:space="preserve">[7]</w:t>
        </w:r>
      </w:hyperlink>
      <w:r>
        <w:t xml:space="preserve">. For the program record, i cannot adjudicate cleanly among these three explanations from within the present data, and I will not pretend the substantive reading has won. What I can say is that all three are checkable by a follow-on study that codes a random sample of records for governance substance independent of their metadata and re-estimates. That check is exactly the kind of next step a screen is supposed to motivate. The venue result is valuable not since it is settled but since it is sharp enough to be worth contesting with better data</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bookmarkEnd w:id="140"/>
    <w:bookmarkStart w:id="141" w:name="the-nulls-and-the-risk-of-false-comfort"/>
    <w:p>
      <w:pPr>
        <w:pStyle w:val="Heading2"/>
        <w:spacing w:line="480" w:lineRule="auto"/>
      </w:pPr>
      <w:r>
        <w:t xml:space="preserve">The nulls and the risk of false comfort</w:t>
      </w:r>
    </w:p>
    <w:p>
      <w:pPr>
        <w:pStyle w:val="FirstParagraph"/>
        <w:spacing w:line="480" w:lineRule="auto"/>
      </w:pPr>
      <w:r>
        <w:t xml:space="preserve">The archival record matters here: there is a specific danger in null results that this chapter must name: the temptation to read absence of evidence as evidence of absence. The flat temporal model and the insignificant recency and citation terms could tempt a reader to conclude that time and attention simply do not matter to the governance discourse. That conclusion would overreach in the opposite direction from the usual overclaim</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honest reading is narrower. Within a corpus of thirty records spanning a compressed recent age range and screened through a sparse local citation index, these channels do not organize the topic signal, and the most likely reasons are as much about the sample’s size and range as about the world. A larger and longer corpus could recover structure these estimators had no power to see. The nulls redirect effort; they do not close questions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41"/>
    <w:bookmarkStart w:id="142" w:name="X49fee1140f31834d40864bc3ab1105e62f3385e"/>
    <w:p>
      <w:pPr>
        <w:pStyle w:val="Heading2"/>
        <w:spacing w:line="480" w:lineRule="auto"/>
      </w:pPr>
      <w:r>
        <w:t xml:space="preserve">Implications for how the debate should proceed</w:t>
      </w:r>
    </w:p>
    <w:p>
      <w:pPr>
        <w:pStyle w:val="FirstParagraph"/>
        <w:spacing w:line="480" w:lineRule="auto"/>
      </w:pPr>
      <w:r>
        <w:t xml:space="preserve">For a replicator, stepping back from the specific coefficients, the discussion has an implication for the conduct of the legitimacy-effectiveness debate itself. The debate has run for years on assertion since the direct measurement, coding instruments for obligation and precision and relating those scores to participation breadth, is expensive and no one had established that it was worth the cost. This screen offers a partial answer to that prior question. It shows that the surrounding discourse is structured, at least on the venue dimension, which is weak but real evidence that a live controversy is leaving traces worth coding</w:t>
      </w:r>
      <w:r>
        <w:t xml:space="preserve"> </w:t>
      </w:r>
      <w:hyperlink w:anchor="ref-4">
        <w:r>
          <w:rPr>
            <w:rStyle w:val="Hyperlink"/>
          </w:rPr>
          <w:t xml:space="preserve">[4]</w:t>
        </w:r>
      </w:hyperlink>
      <w:r>
        <w:t xml:space="preserve">. It also shows that the cheap documentary proxies cannot reach the causal question on their own, which removes the excuse to keep substituting proxies for the harder study</w:t>
      </w:r>
      <w:r>
        <w:t xml:space="preserve"> </w:t>
      </w:r>
      <w:hyperlink w:anchor="ref-2">
        <w:r>
          <w:rPr>
            <w:rStyle w:val="Hyperlink"/>
          </w:rPr>
          <w:t xml:space="preserve">[2]</w:t>
        </w:r>
      </w:hyperlink>
      <w:r>
        <w:t xml:space="preserve">. The discussion’s contribution to the field, then, is to have priced the next step: it is worth taking, and it cannot be skipped.</w:t>
      </w:r>
    </w:p>
    <w:bookmarkEnd w:id="142"/>
    <w:bookmarkStart w:id="143" w:name="X4e600570f1f78d4979d06cb99f9529a551c9d43"/>
    <w:p>
      <w:pPr>
        <w:pStyle w:val="Heading2"/>
        <w:spacing w:line="480" w:lineRule="auto"/>
      </w:pPr>
      <w:r>
        <w:t xml:space="preserve">Two axes of effectiveness the results cannot separate</w:t>
      </w:r>
    </w:p>
    <w:p>
      <w:pPr>
        <w:pStyle w:val="FirstParagraph"/>
        <w:spacing w:line="480" w:lineRule="auto"/>
      </w:pPr>
      <w:r>
        <w:t xml:space="preserve">The chapter treats this as an empirical claim: chapter 2 drew a distinction the results now force back into view: effectiveness is not one good but several. A rule can coordinate routine behavior, stabilize crises, or diffuse into domestic practice, and broad participation plausibly helps on the stability and diffusion axes while hurting on the coordination axis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corpus screen cannot separate these axes, since the topic-signal score measures metadata visibility undifferentiated by which kind of effectiveness a record engages. A high-signal record about escalation stability and a high-signal record about drafting precision count the same in the outcome, even though they speak to opposite sides of the participation tradeoff. This is a genuine limitation of the construct, not a flaw in the estimation, and it shapes how the venue finding should be read. The concentration of governance-theme metadata in the conference family could reflect the coordination axis, where sharp arguments about precision live, or the stability axis, where inclusion arguments live, or both at once</w:t>
      </w:r>
      <w:r>
        <w:t xml:space="preserve"> </w:t>
      </w:r>
      <w:hyperlink w:anchor="ref-3">
        <w:r>
          <w:rPr>
            <w:rStyle w:val="Hyperlink"/>
          </w:rPr>
          <w:t xml:space="preserve">[3]</w:t>
        </w:r>
      </w:hyperlink>
      <w:r>
        <w:t xml:space="preserve">. The screen cannot tell them apart, and any follow-on that wants to test the tradeoff will have to code records for which axis of effectiveness they engage before the participation question can be posed cleanly. Naming this limitation is part of the discussion’s job, since a reader who took the venue result as speaking to precision alone would be reading in a distinction the data do not contain</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43"/>
    <w:bookmarkStart w:id="144" w:name="the-generalizability-question"/>
    <w:p>
      <w:pPr>
        <w:pStyle w:val="Heading2"/>
        <w:spacing w:line="480" w:lineRule="auto"/>
      </w:pPr>
      <w:r>
        <w:t xml:space="preserve">The generalizability question</w:t>
      </w:r>
    </w:p>
    <w:p>
      <w:pPr>
        <w:pStyle w:val="FirstParagraph"/>
        <w:spacing w:line="480" w:lineRule="auto"/>
      </w:pPr>
      <w:r>
        <w:t xml:space="preserve">How far do these findings reach beyond the thirty records that produced them? The honest answer is: not far, and deliberately so. The estimators describe the candidate’s retrieved corpus, which is the population of interest for a design-stage screen, but that population is not a random sample of all space-governance writing</w:t>
      </w:r>
      <w:r>
        <w:t xml:space="preserve"> </w:t>
      </w:r>
      <w:hyperlink w:anchor="ref-7">
        <w:r>
          <w:rPr>
            <w:rStyle w:val="Hyperlink"/>
          </w:rPr>
          <w:t xml:space="preserve">[7]</w:t>
        </w:r>
      </w:hyperlink>
      <w:r>
        <w:t xml:space="preserve">. It is a wide, shallow, recency-weighted retrieval spanning several subdomains, and its shape reflects the search that produced it. A differently constructed corpus, drawn with different search terms or a longer time baseline, could return a different venue distribution and a different structure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findings for that reason generalize to the question</w:t>
      </w:r>
      <w:r>
        <w:t xml:space="preserve"> </w:t>
      </w:r>
      <w:r>
        <w:t xml:space="preserve">“how is this retrieved literature organized”</w:t>
      </w:r>
      <w:r>
        <w:t xml:space="preserve"> </w:t>
      </w:r>
      <w:r>
        <w:t xml:space="preserve">and not to the question</w:t>
      </w:r>
      <w:r>
        <w:t xml:space="preserve"> </w:t>
      </w:r>
      <w:r>
        <w:t xml:space="preserve">“how is the field organized,”</w:t>
      </w:r>
      <w:r>
        <w:t xml:space="preserve"> </w:t>
      </w:r>
      <w:r>
        <w:t xml:space="preserve">and the gap between those two questions is exactly the selection threat named above. A reader who wants the second, broader claim has to wait for a study built on a sampling frame that supports it, which this design names as future work instead of pretending to deliver</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144"/>
    <w:bookmarkStart w:id="145" w:name="Xfe90447f80737d88161ace92eef5df01b98affe"/>
    <w:p>
      <w:pPr>
        <w:pStyle w:val="Heading2"/>
        <w:spacing w:line="480" w:lineRule="auto"/>
      </w:pPr>
      <w:r>
        <w:t xml:space="preserve">What a diplomat should and should not take from this</w:t>
      </w:r>
    </w:p>
    <w:p>
      <w:pPr>
        <w:pStyle w:val="FirstParagraph"/>
        <w:spacing w:line="480" w:lineRule="auto"/>
      </w:pPr>
      <w:r>
        <w:t xml:space="preserve">Because the framing invokes a live diplomatic question, it is worth being concrete about how a delegation should and should not use these findings. A delegation should take the venue result as a hint about where the contested governance discourse currently concentrates, and weight its literature scan toward the fast conference venues accordingly</w:t>
      </w:r>
      <w:r>
        <w:t xml:space="preserve"> </w:t>
      </w:r>
      <w:hyperlink w:anchor="ref-1">
        <w:r>
          <w:rPr>
            <w:rStyle w:val="Hyperlink"/>
          </w:rPr>
          <w:t xml:space="preserve">[1]</w:t>
        </w:r>
      </w:hyperlink>
      <w:r>
        <w:t xml:space="preserve"> </w:t>
      </w:r>
      <w:hyperlink w:anchor="ref-3">
        <w:r>
          <w:rPr>
            <w:rStyle w:val="Hyperlink"/>
          </w:rPr>
          <w:t xml:space="preserve">[3]</w:t>
        </w:r>
      </w:hyperlink>
      <w:r>
        <w:t xml:space="preserve">. A delegation should take the nulls as a warning that neither the recency nor the citation profile of the literature can be read as a barometer of where the tension is heating up, so those signals should not drive attention allocation. And a delegation should take the whole screen as evidence that the dilution question, however intuitive, is not yet settled by obtainable documentary evidence and should not be treated as settled in negotiation</w:t>
      </w:r>
      <w:r>
        <w:t xml:space="preserve"> </w:t>
      </w:r>
      <w:hyperlink w:anchor="ref-4">
        <w:r>
          <w:rPr>
            <w:rStyle w:val="Hyperlink"/>
          </w:rPr>
          <w:t xml:space="preserve">[4]</w:t>
        </w:r>
      </w:hyperlink>
      <w:r>
        <w:t xml:space="preserve">. For the empirical reader, a delegation should not take any of this as showing that broad participation weakens outputs, since nothing here measures participation or output quality, and a diplomat who cited this dissertation for that proposition would be misreading it</w:t>
      </w:r>
      <w:r>
        <w:t xml:space="preserve"> </w:t>
      </w:r>
      <w:hyperlink w:anchor="ref-2">
        <w:r>
          <w:rPr>
            <w:rStyle w:val="Hyperlink"/>
          </w:rPr>
          <w:t xml:space="preserve">[2]</w:t>
        </w:r>
      </w:hyperlink>
      <w:r>
        <w:t xml:space="preserve">. Nor should a delegation read the venue concentration as a normative signal that journal or economy scholarship is less serious about governance; the finding is about metadata visibility, and the more oblique engagement in those venues may be more rigorous instead of less</w:t>
      </w:r>
      <w:r>
        <w:t xml:space="preserve"> </w:t>
      </w:r>
      <w:hyperlink w:anchor="ref-9">
        <w:r>
          <w:rPr>
            <w:rStyle w:val="Hyperlink"/>
          </w:rPr>
          <w:t xml:space="preserve">[9]</w:t>
        </w:r>
      </w:hyperlink>
      <w:r>
        <w:t xml:space="preserve">. The value of the screen for practice is real but narrow: it sharpens where to look and it disciplines what to claim, and it does not, and cannot, hand a negotiator the causal answer the debate has been waiting for</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145"/>
    <w:bookmarkStart w:id="146" w:name="Xcedf40002c2c0391f3a288b55550a8a0c283a3d"/>
    <w:p>
      <w:pPr>
        <w:pStyle w:val="Heading2"/>
        <w:spacing w:line="480" w:lineRule="auto"/>
      </w:pPr>
      <w:r>
        <w:t xml:space="preserve">The limitations as a research design in waiting</w:t>
      </w:r>
    </w:p>
    <w:p>
      <w:pPr>
        <w:pStyle w:val="FirstParagraph"/>
        <w:spacing w:line="480" w:lineRule="auto"/>
      </w:pPr>
      <w:r>
        <w:t xml:space="preserve">The evidence trail is concrete here: the threats catalogued in this chapter are not only cautions; read together they compose the specification for the study that should come next. The construct-validity threat says: code governance substance directly instead of through metadata. The citation-measure threat says: use a universal index. The ordinal-coding threat says: enter venue as unordered families. The sample-size-and-range threat says: enlarge the corpus and lengthen the baseline. The selection threat says: build a real sampling frame. And the missing-participation variable says: assemble instrument-level data on drafting breadth</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Each limitation names its own remedy, and the remedies together describe a coherent follow-on design. That is the most productive thing a limitations section can do: turn every acknowledged weakness into a line item on the next study’s agenda, so the honesty about what this corpus cannot show becomes the design for the evidence that could</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46"/>
    <w:bookmarkEnd w:id="147"/>
    <w:bookmarkStart w:id="190"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to convert a large, contested policy intuition into something a doctoral reader could check.</w:t>
      </w:r>
    </w:p>
    <w:p>
      <w:pPr>
        <w:pStyle w:val="BodyText"/>
        <w:spacing w:line="480" w:lineRule="auto"/>
        <w:ind w:firstLine="720"/>
      </w:pPr>
      <w:r>
        <w:t xml:space="preserve">The intuition was that broader participation in the United Nations Committee on the Peaceful Uses of Outer Space might weaken its governance outputs. The check was a document-level screen of a thirty-record, source-traced corpus, run through two estimators and reported with its imprecision on display. This closing chapter states what was accomplished, what it means for governance and program practice, and what the next design must do to carry the question past its present limits.</w:t>
      </w:r>
    </w:p>
    <w:bookmarkStart w:id="148" w:name="the-contribution-restated"/>
    <w:p>
      <w:pPr>
        <w:pStyle w:val="Heading2"/>
        <w:spacing w:line="480" w:lineRule="auto"/>
      </w:pPr>
      <w:r>
        <w:t xml:space="preserve">The contribution restated</w:t>
      </w:r>
    </w:p>
    <w:p>
      <w:pPr>
        <w:pStyle w:val="FirstParagraph"/>
        <w:spacing w:line="480" w:lineRule="auto"/>
      </w:pPr>
      <w:r>
        <w:t xml:space="preserve">The contribution is narrow by design. It is, I hope, durable for the same reason. I did not measure whether the committee’s outputs are weak. I measured how the legitimacy-effectiveness governance theme is structured in a retrievable corpus, and I did so reproducibly, so that the finding rests on an inspectable workbook instead of on the author’s persuasive powers. Two estimators carried the load. The cross-sectional model found that topic-signal visibility is organized by publishing venue, with a precise negative venue coefficient of -1.1117 at a p-value of 0.0025, and is not organized by recency, with a coefficient of 0.0460 at a p-value of 0.7236, or by citation attention, with a coefficient of 0.00896 at a p-value of 0.8832</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temporal model found no age-based accumulation, with a near-zero elasticity of -0.04548 at a p-value of 0.8162 and an R-squared of 0.000845</w:t>
      </w:r>
      <w:r>
        <w:t xml:space="preserve"> </w:t>
      </w:r>
      <w:hyperlink w:anchor="ref-5">
        <w:r>
          <w:rPr>
            <w:rStyle w:val="Hyperlink"/>
          </w:rPr>
          <w:t xml:space="preserve">[5]</w:t>
        </w:r>
      </w:hyperlink>
      <w:r>
        <w:t xml:space="preserve">.</w:t>
      </w:r>
    </w:p>
    <w:p>
      <w:pPr>
        <w:pStyle w:val="BodyText"/>
        <w:spacing w:line="480" w:lineRule="auto"/>
        <w:ind w:firstLine="720"/>
      </w:pPr>
      <w:r>
        <w:t xml:space="preserve">For the program record, those results are not interchangeable, and their value is cumulative.</w:t>
      </w:r>
    </w:p>
    <w:p>
      <w:pPr>
        <w:pStyle w:val="BodyText"/>
        <w:spacing w:line="480" w:lineRule="auto"/>
        <w:ind w:firstLine="720"/>
      </w:pPr>
      <w:r>
        <w:t xml:space="preserve">One establishes that a single structural regularity exists in the corpus, on the venue dimension, and locates it precisely. The other establishes that a different kind of structure, temporal accumulation, is absent. A screen that returned only positive results would be less trustworthy than this one, since it would give the reader no sense of the design’s ability to return a clean null. Here the design returned both, and the pattern it drew is sharper than the hypotheses it started from</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48"/>
    <w:bookmarkStart w:id="149" w:name="Xc155ed2cb57c24ac03e33b2e81254e989ac544a"/>
    <w:p>
      <w:pPr>
        <w:pStyle w:val="Heading2"/>
        <w:spacing w:line="480" w:lineRule="auto"/>
      </w:pPr>
      <w:r>
        <w:t xml:space="preserve">Why the method matters as much as the finding</w:t>
      </w:r>
    </w:p>
    <w:p>
      <w:pPr>
        <w:pStyle w:val="FirstParagraph"/>
        <w:spacing w:line="480" w:lineRule="auto"/>
      </w:pPr>
      <w:r>
        <w:t xml:space="preserve">The archival record matters here: the substantive map is useful, but the method may be the more transferable contribution.</w:t>
      </w:r>
    </w:p>
    <w:p>
      <w:pPr>
        <w:pStyle w:val="BodyText"/>
        <w:spacing w:line="480" w:lineRule="auto"/>
        <w:ind w:firstLine="720"/>
      </w:pPr>
      <w:r>
        <w:t xml:space="preserve">Many space-governance and program questions begin exactly where this one did: with a strong intuition, a contested literature, and no finished dataset. The instinct in that situation is to write persuasively and cite widely. The alternative demonstrated here is to reduce the intuition to a document-level test, build every variable from inspectable metadata, run an estimator whose standard errors are honest about small samples, and report the nulls alongside the hits. That chain turns a policy argument into a reproducible claim, and it does so at a cost cheap enough to run early, before committing to expensive instrument coding</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method also enforces a discipline that governance analysis often lacks: it makes the boundary between evidence and inference explicit. When the venue coefficient is precise, the design credits it, and when the recency and citation coefficients are not, the design refuses to credit their signs no matter how much the structured account would have liked them</w:t>
      </w:r>
      <w:r>
        <w:t xml:space="preserve"> </w:t>
      </w:r>
      <w:hyperlink w:anchor="ref-4">
        <w:r>
          <w:rPr>
            <w:rStyle w:val="Hyperlink"/>
          </w:rPr>
          <w:t xml:space="preserve">[4]</w:t>
        </w:r>
      </w:hyperlink>
      <w:r>
        <w:t xml:space="preserve">. That refusal is not timidity. It is the thing that lets a later researcher build on the result instead of having to first clear away the overclaims of the earlier one.</w:t>
      </w:r>
    </w:p>
    <w:bookmarkEnd w:id="149"/>
    <w:bookmarkStart w:id="150" w:name="governance-and-program-relevance"/>
    <w:p>
      <w:pPr>
        <w:pStyle w:val="Heading2"/>
        <w:spacing w:line="480" w:lineRule="auto"/>
      </w:pPr>
      <w:r>
        <w:t xml:space="preserve">Governance and program relevance</w:t>
      </w:r>
    </w:p>
    <w:p>
      <w:pPr>
        <w:pStyle w:val="FirstParagraph"/>
        <w:spacing w:line="480" w:lineRule="auto"/>
      </w:pPr>
      <w:r>
        <w:t xml:space="preserve">For the governance conversation, the practical value is a template for reasoning under partial evidence. Committees, operators, standards bodies, and international forums routinely have to act before perfect data exist, and the choice is not between waiting and guessing. It is between guessing loudly and screening honestly</w:t>
      </w:r>
      <w:r>
        <w:t xml:space="preserve"> </w:t>
      </w:r>
      <w:hyperlink w:anchor="ref-3">
        <w:r>
          <w:rPr>
            <w:rStyle w:val="Hyperlink"/>
          </w:rPr>
          <w:t xml:space="preserve">[3]</w:t>
        </w:r>
      </w:hyperlink>
      <w:r>
        <w:t xml:space="preserve"> </w:t>
      </w:r>
      <w:hyperlink w:anchor="ref-4">
        <w:r>
          <w:rPr>
            <w:rStyle w:val="Hyperlink"/>
          </w:rPr>
          <w:t xml:space="preserve">[4]</w:t>
        </w:r>
      </w:hyperlink>
      <w:r>
        <w:t xml:space="preserve">. A first-stage screen like this one can tell a delegation which parts of a contested design question are already visible in the documentary record and which parts are still dark, so that scarce diplomatic and analytic effort goes where evidence is thinnest instead of where argument is loudest. The chapter treats this as an empirical claim: the venue finding, in particular, has a modest programmatic use. If the governance-theme discourse concentrates in the fast conference venues and thins in the journal and economy literatures, then an institution trying to track where the legitimacy-effectiveness tension is being actively contested should weight the proceedings literature accordingly, instead of assuming the journal record captures the live argument</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That is a small operational hint, appropriately sized to the evidence behind it.</w:t>
      </w:r>
    </w:p>
    <w:p>
      <w:pPr>
        <w:pStyle w:val="BodyText"/>
        <w:spacing w:line="480" w:lineRule="auto"/>
        <w:ind w:firstLine="720"/>
      </w:pPr>
      <w:r>
        <w:t xml:space="preserve">For program practice inside research organizations, the transferable lesson is architectural. A dissertation, an assessment, or a capture analysis can be built so that its evidentiary chain is auditable end to end, with every claim resolving to a source-traced row and every number resolving to a workbook. That architecture costs discipline up front and repays it whenever a result is challenged, since the answer to a challenge is not an argument but a recomputation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50"/>
    <w:bookmarkStart w:id="151" w:name="future-work"/>
    <w:p>
      <w:pPr>
        <w:pStyle w:val="Heading2"/>
        <w:spacing w:line="480" w:lineRule="auto"/>
      </w:pPr>
      <w:r>
        <w:t xml:space="preserve">Future work</w:t>
      </w:r>
    </w:p>
    <w:p>
      <w:pPr>
        <w:pStyle w:val="FirstParagraph"/>
        <w:spacing w:line="480" w:lineRule="auto"/>
      </w:pPr>
      <w:r>
        <w:t xml:space="preserve">The clearest next step is the one this design named and deferred: a direct coding of governance instruments. To test the dilution hypothesis itself, a follow-on study would score committee outputs on obligation, precision, and delegation, relate those scores to a real measure of participation breadth at the time of drafting, and pursue an identification strategy that isolates composition from the many other causes of vagueness</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That study is expensive, and the present screen exists partly to justify the expense by showing that the documentary proxies alone cannot reach the question. The operational question is narrower: two intermediate steps would strengthen the bridge. First, enlarge the corpus and lengthen its baseline, so the temporal model has enough age spread to detect an accumulation curve if one exists; the near-zero elasticity here is partly a verdict on a compressed age range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Second, replace the local citation index with a universal one and re-estimate, so the citation coefficient is no longer hostage to a sparse local count that may correlate with venue</w:t>
      </w:r>
      <w:r>
        <w:t xml:space="preserve"> </w:t>
      </w:r>
      <w:hyperlink w:anchor="ref-6">
        <w:r>
          <w:rPr>
            <w:rStyle w:val="Hyperlink"/>
          </w:rPr>
          <w:t xml:space="preserve">[6]</w:t>
        </w:r>
      </w:hyperlink>
      <w:r>
        <w:t xml:space="preserve">. Each step is feasible, each addresses a named threat from Chapter 7, and each leaves the reproducible architecture intact.</w:t>
      </w:r>
    </w:p>
    <w:p>
      <w:pPr>
        <w:pStyle w:val="BodyText"/>
        <w:spacing w:line="480" w:lineRule="auto"/>
        <w:ind w:firstLine="720"/>
      </w:pPr>
      <w:r>
        <w:t xml:space="preserve">A third step would sharpen the one positive finding directly. Because the venue result admits a substantive, a stylistic, and a retrieval-driven explanation, a follow-on should code a sample of records for governance substance independent of their metadata, then re-estimate to see whether the venue effect survives controlling for actual content</w:t>
      </w:r>
      <w:r>
        <w:t xml:space="preserve"> </w:t>
      </w:r>
      <w:hyperlink w:anchor="ref-8">
        <w:r>
          <w:rPr>
            <w:rStyle w:val="Hyperlink"/>
          </w:rPr>
          <w:t xml:space="preserve">[8]</w:t>
        </w:r>
      </w:hyperlink>
      <w:r>
        <w:t xml:space="preserve"> </w:t>
      </w:r>
      <w:hyperlink w:anchor="ref-9">
        <w:r>
          <w:rPr>
            <w:rStyle w:val="Hyperlink"/>
          </w:rPr>
          <w:t xml:space="preserve">[9]</w:t>
        </w:r>
      </w:hyperlink>
      <w:r>
        <w:t xml:space="preserve">. If it survives, the substantive reading gains real support; if it dissolves, the effect was an artifact of naming conventions or search shape, and the field learns not to chase it. Either outcome advances the question, which is the mark of a well-posed next step.</w:t>
      </w:r>
    </w:p>
    <w:bookmarkEnd w:id="151"/>
    <w:bookmarkStart w:id="152" w:name="the-measurement-agenda-for-participation"/>
    <w:p>
      <w:pPr>
        <w:pStyle w:val="Heading2"/>
        <w:spacing w:line="480" w:lineRule="auto"/>
      </w:pPr>
      <w:r>
        <w:t xml:space="preserve">The measurement agenda for participation</w:t>
      </w:r>
    </w:p>
    <w:p>
      <w:pPr>
        <w:pStyle w:val="FirstParagraph"/>
        <w:spacing w:line="480" w:lineRule="auto"/>
      </w:pPr>
      <w:r>
        <w:t xml:space="preserve">The deepest gap this dissertation leaves is that its corpus cannot see participation at all; the connection to the committee’s breadth lives in the framing, not in a variable</w:t>
      </w:r>
      <w:r>
        <w:t xml:space="preserve"> </w:t>
      </w:r>
      <w:hyperlink w:anchor="ref-4">
        <w:r>
          <w:rPr>
            <w:rStyle w:val="Hyperlink"/>
          </w:rPr>
          <w:t xml:space="preserve">[4]</w:t>
        </w:r>
      </w:hyperlink>
      <w:r>
        <w:t xml:space="preserve">. Closing that gap is the central item on the future agenda. A decisive study would assemble a panel of governance instruments, record the participation breadth in force at each instrument’s drafting, score each instrument on obligation, precision, and delegation, and relate the scores to breadth with a design that isolates composition from confounds</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That is a large undertaking, and the present screen exists in part to justify it: by showing that the surrounding discourse is structured and that proxies alone cannot reach the causal question, the screen converts the expensive study from an open-ended gamble into a targeted investment with a known payoff</w:t>
      </w:r>
      <w:r>
        <w:t xml:space="preserve"> </w:t>
      </w:r>
      <w:hyperlink w:anchor="ref-15">
        <w:r>
          <w:rPr>
            <w:rStyle w:val="Hyperlink"/>
          </w:rPr>
          <w:t xml:space="preserve">[15]</w:t>
        </w:r>
      </w:hyperlink>
      <w:r>
        <w:t xml:space="preserve">. The evidence trail is concrete here: along the way, the participation variable itself will need careful construction, since breadth is not one thing. It can mean the count of member states, the diversity of their space capabilities, the heterogeneity of their strategic interests, or the balance between established and aspiring powers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Each operationalization tests a slightly different version of the dilution hypothesis, and a mature research program would distinguish them instead of collapse them into a single membership count. The present dissertation cannot take that step, but it can name it precisely enough that the next researcher does not have to rediscover the distinction from scratch</w:t>
      </w:r>
      <w:r>
        <w:t xml:space="preserve"> </w:t>
      </w:r>
      <w:hyperlink w:anchor="ref-16">
        <w:r>
          <w:rPr>
            <w:rStyle w:val="Hyperlink"/>
          </w:rPr>
          <w:t xml:space="preserve">[16]</w:t>
        </w:r>
      </w:hyperlink>
      <w:r>
        <w:t xml:space="preserve">.</w:t>
      </w:r>
    </w:p>
    <w:bookmarkEnd w:id="152"/>
    <w:bookmarkStart w:id="153" w:name="Xa02248f523ff60c1e883be4348b70792a94626c"/>
    <w:p>
      <w:pPr>
        <w:pStyle w:val="Heading2"/>
        <w:spacing w:line="480" w:lineRule="auto"/>
      </w:pPr>
      <w:r>
        <w:t xml:space="preserve">What a doctoral contribution looks like at design stage</w:t>
      </w:r>
    </w:p>
    <w:bookmarkEnd w:id="153"/>
    <w:bookmarkStart w:id="154" w:name="closing"/>
    <w:p>
      <w:pPr>
        <w:pStyle w:val="Heading2"/>
        <w:spacing w:line="480" w:lineRule="auto"/>
      </w:pPr>
      <w:r>
        <w:t xml:space="preserve">Closing</w:t>
      </w:r>
    </w:p>
    <w:bookmarkEnd w:id="154"/>
    <w:bookmarkStart w:id="155" w:name="X8abe90953175a4e1013f7a1e892c34ccd2699a9"/>
    <w:p>
      <w:pPr>
        <w:pStyle w:val="Heading2"/>
        <w:spacing w:line="480" w:lineRule="auto"/>
      </w:pPr>
      <w:r>
        <w:t xml:space="preserve">What a doctoral contribution looks like at design stage</w:t>
      </w:r>
    </w:p>
    <w:p>
      <w:pPr>
        <w:pStyle w:val="FirstParagraph"/>
        <w:spacing w:line="480" w:lineRule="auto"/>
      </w:pPr>
      <w:r>
        <w:t xml:space="preserve">The archival record matters here: there is a fair question a reader might raise: is a screen that leaves the central question open really a doctoral contribution? I think it is, and the reason is worth stating since it defines the standard this project asks to be judged against. A doctorate demonstrates that its author can pose a question precisely, design an honest test, execute it reproducibly, and interpret the result without inflation. The dissertation does all four on a question the field has mostly handled by assertion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It does not manufacture a false verdict to look decisive. It establishes what obtainable evidence can and cannot support, which is itself new knowledge, and it hands the next researcher a sharper starting point than the one it inherited</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alternative, a confident causal claim resting on thirty records and a metadata proxy, would look more impressive and be worth less. The field already has an abundance of confident claims; what it lacks is checkable ones. By choosing the checkable claim over the impressive one, the dissertation contributes exactly the thing the literature was missing, and it does so in a form that later work can extend instead of having to first tear down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55"/>
    <w:bookmarkStart w:id="156" w:name="X0cfd27a5bd7de4386a2c9a43e2d8b491f4669d6"/>
    <w:p>
      <w:pPr>
        <w:pStyle w:val="Heading2"/>
        <w:spacing w:line="480" w:lineRule="auto"/>
      </w:pPr>
      <w:r>
        <w:t xml:space="preserve">Connecting the method to program practice</w:t>
      </w:r>
    </w:p>
    <w:p>
      <w:pPr>
        <w:pStyle w:val="FirstParagraph"/>
        <w:spacing w:line="480" w:lineRule="auto"/>
      </w:pPr>
      <w:r>
        <w:t xml:space="preserve">Beyond the substantive question, the reproducible architecture generalizes to a class of problems that research and program organizations face constantly. Whenever an analyst must reason about an institution or a market before a finished dataset exists, the choice between a persuasive narrative and a bounded screen recurs</w:t>
      </w:r>
      <w:r>
        <w:t xml:space="preserve"> </w:t>
      </w:r>
      <w:hyperlink w:anchor="ref-6">
        <w:r>
          <w:rPr>
            <w:rStyle w:val="Hyperlink"/>
          </w:rPr>
          <w:t xml:space="preserve">[6]</w:t>
        </w:r>
      </w:hyperlink>
      <w:r>
        <w:t xml:space="preserve">. The screen demonstrated here, a source-traced corpus, deterministic variables, robust estimators, and nulls reported alongside hits, is a portable pattern. It can be pointed at any question where documentary evidence is available and instrument-level coding is not yet affordable, and it will return the same kind of disciplined first-stage map: which dimensions are structured, which are not, and where the expensive follow-on should aim</w:t>
      </w:r>
      <w:r>
        <w:t xml:space="preserve"> </w:t>
      </w:r>
      <w:hyperlink w:anchor="ref-8">
        <w:r>
          <w:rPr>
            <w:rStyle w:val="Hyperlink"/>
          </w:rPr>
          <w:t xml:space="preserve">[8]</w:t>
        </w:r>
      </w:hyperlink>
      <w:r>
        <w:t xml:space="preserve"> </w:t>
      </w:r>
      <w:hyperlink w:anchor="ref-16">
        <w:r>
          <w:rPr>
            <w:rStyle w:val="Hyperlink"/>
          </w:rPr>
          <w:t xml:space="preserve">[16]</w:t>
        </w:r>
      </w:hyperlink>
      <w:r>
        <w:t xml:space="preserve">. The chapter treats this as an empirical claim: that portability is why the methodological contribution may outlast the substantive one. The specific finding about venue concentration is tied to this corpus. The practice of converting a contested intuition into a reproducible screen, and of treating the boundary between evidence and inference as the central object of care, applies wherever partial evidence meets a consequential question</w:t>
      </w:r>
      <w:r>
        <w:t xml:space="preserve"> </w:t>
      </w:r>
      <w:hyperlink w:anchor="ref-7">
        <w:r>
          <w:rPr>
            <w:rStyle w:val="Hyperlink"/>
          </w:rPr>
          <w:t xml:space="preserve">[7]</w:t>
        </w:r>
      </w:hyperlink>
      <w:r>
        <w:t xml:space="preserve"> </w:t>
      </w:r>
      <w:hyperlink w:anchor="ref-14">
        <w:r>
          <w:rPr>
            <w:rStyle w:val="Hyperlink"/>
          </w:rPr>
          <w:t xml:space="preserve">[14]</w:t>
        </w:r>
      </w:hyperlink>
      <w:r>
        <w:t xml:space="preserve">.</w:t>
      </w:r>
    </w:p>
    <w:bookmarkEnd w:id="156"/>
    <w:bookmarkStart w:id="157" w:name="the-honest-verdict"/>
    <w:p>
      <w:pPr>
        <w:pStyle w:val="Heading2"/>
        <w:spacing w:line="480" w:lineRule="auto"/>
      </w:pPr>
      <w:r>
        <w:t xml:space="preserve">The honest verdict</w:t>
      </w:r>
    </w:p>
    <w:p>
      <w:pPr>
        <w:pStyle w:val="FirstParagraph"/>
        <w:spacing w:line="480" w:lineRule="auto"/>
      </w:pPr>
      <w:r>
        <w:t xml:space="preserve">The data construction is deliberately visible: the verdict is honest and plain. The dissertation left the central policy question open, and did so on purpose. It converted the legitimacy-versus-effectiveness intuition into a falsifiable screen, ran the screen, and found one precise regularity and several informative nulls. It offered a map of where the evidence currently lives and a specification of the evidence a fair test would still require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In a field prone to confident claims resting on thin data, a bounded result with its limits visible is not a small thing. It is the beginning a later, decisive study can actually build on, and building on it is now a matter of collecting the evidence this design was careful enough to name.</w:t>
      </w:r>
    </w:p>
    <w:bookmarkEnd w:id="157"/>
    <w:bookmarkStart w:id="158" w:name="a-summary-of-the-whole-argument"/>
    <w:p>
      <w:pPr>
        <w:pStyle w:val="Heading2"/>
        <w:spacing w:line="480" w:lineRule="auto"/>
      </w:pPr>
      <w:r>
        <w:t xml:space="preserve">A summary of the whole argument</w:t>
      </w:r>
    </w:p>
    <w:p>
      <w:pPr>
        <w:pStyle w:val="FirstParagraph"/>
        <w:spacing w:line="480" w:lineRule="auto"/>
      </w:pPr>
      <w:r>
        <w:t xml:space="preserve">The operational question is narrower: it helps to draw the argument together in a single arc. The dissertation began from a contested intuition, that broadening participation in the committee might weaken its governance outputs, and observed that the field asserts this far more often than it tests it</w:t>
      </w:r>
      <w:r>
        <w:t xml:space="preserve"> </w:t>
      </w:r>
      <w:hyperlink w:anchor="ref-4">
        <w:r>
          <w:rPr>
            <w:rStyle w:val="Hyperlink"/>
          </w:rPr>
          <w:t xml:space="preserve">[4]</w:t>
        </w:r>
      </w:hyperlink>
      <w:r>
        <w:t xml:space="preserve">. Rather than fake a direct measurement the available evidence could not support, the design asked the tractable prior question of whether the legitimacy-effectiveness tension is even structured in a retrievable corpus, and it built a reproducible screen to answer that question on thirty source-traced records</w:t>
      </w:r>
      <w:r>
        <w:t xml:space="preserve"> </w:t>
      </w:r>
      <w:hyperlink w:anchor="ref-3">
        <w:r>
          <w:rPr>
            <w:rStyle w:val="Hyperlink"/>
          </w:rPr>
          <w:t xml:space="preserve">[3]</w:t>
        </w:r>
      </w:hyperlink>
      <w:r>
        <w:t xml:space="preserve"> </w:t>
      </w:r>
      <w:hyperlink w:anchor="ref-8">
        <w:r>
          <w:rPr>
            <w:rStyle w:val="Hyperlink"/>
          </w:rPr>
          <w:t xml:space="preserve">[8]</w:t>
        </w:r>
      </w:hyperlink>
      <w:r>
        <w:t xml:space="preserve">. Two estimators ran. The cross-sectional model found a single strong regularity, a venue coefficient of -1.1117 at a p-value of 0.0025, against null recency and citation terms, and rejected the no-structure null jointly. The temporal model found essentially nothing, an age elasticity of -0.04548 with a doubling ratio of 0.9690 and an R-squared of 0.000845</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Interpreted honestly, that pattern says the corpus is organized by publishing venue and by nothing else the design measured, and it does not accumulate attention with age. Those findings were then bounded carefully: they speak to the retrieved corpus, not the field; to metadata visibility, not governance quality; and to conditional association, not causal effect</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limitations were catalogued not as apologies but as a specification for the decisive study that should follow, and the participation question at the heart of the framing was left open, now with a clearer price and a clearer path</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That is the whole arc, and every link in it is inspectable.</w:t>
      </w:r>
    </w:p>
    <w:bookmarkEnd w:id="158"/>
    <w:bookmarkStart w:id="159" w:name="the-value-of-an-honest-open-verdict"/>
    <w:p>
      <w:pPr>
        <w:pStyle w:val="Heading2"/>
        <w:spacing w:line="480" w:lineRule="auto"/>
      </w:pPr>
      <w:r>
        <w:t xml:space="preserve">The value of an honest open verdict</w:t>
      </w:r>
    </w:p>
    <w:p>
      <w:pPr>
        <w:pStyle w:val="FirstParagraph"/>
        <w:spacing w:line="480" w:lineRule="auto"/>
      </w:pPr>
      <w:r>
        <w:t xml:space="preserve">There is a particular kind of contribution in refusing to close a question that the evidence cannot close. The field does not lack for confident answers to the participation question; it lacks for a shared, checkable understanding of what the available evidence can support</w:t>
      </w:r>
      <w:r>
        <w:t xml:space="preserve"> </w:t>
      </w:r>
      <w:hyperlink w:anchor="ref-7">
        <w:r>
          <w:rPr>
            <w:rStyle w:val="Hyperlink"/>
          </w:rPr>
          <w:t xml:space="preserve">[7]</w:t>
        </w:r>
      </w:hyperlink>
      <w:r>
        <w:t xml:space="preserve">. By delivering an open verdict backed by a reproducible screen, this dissertation adds something the confident answers cannot: a foundation that survives disagreement, since its claims are bounded tightly enough that a skeptic can check them and a proponent can build on them without first having to relitigate the framing</w:t>
      </w:r>
      <w:r>
        <w:t xml:space="preserve"> </w:t>
      </w:r>
      <w:hyperlink w:anchor="ref-6">
        <w:r>
          <w:rPr>
            <w:rStyle w:val="Hyperlink"/>
          </w:rPr>
          <w:t xml:space="preserve">[6]</w:t>
        </w:r>
      </w:hyperlink>
      <w:r>
        <w:t xml:space="preserve">. An honest open verdict is not a failure to conclude. It is a conclusion about the state of the evidence, and in a young, fast-moving governance field it may be the most durable kind of conclusion a design-stage study can reach</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59"/>
    <w:bookmarkStart w:id="160" w:name="implications-beyond-the-committee"/>
    <w:p>
      <w:pPr>
        <w:pStyle w:val="Heading2"/>
        <w:spacing w:line="480" w:lineRule="auto"/>
      </w:pPr>
      <w:r>
        <w:t xml:space="preserve">Implications beyond the committee</w:t>
      </w:r>
    </w:p>
    <w:p>
      <w:pPr>
        <w:pStyle w:val="FirstParagraph"/>
        <w:spacing w:line="480" w:lineRule="auto"/>
      </w:pPr>
      <w:r>
        <w:t xml:space="preserve">Although the framing centered on one institution, the reasoning travels to the broader problem of designing multilateral rules under a participation-precision tension. Any consensus body faces the same tradeoff the committee faces, and any such body generates a surrounding literature whose structure can be screened before the expensive instrument-coding is undertaken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pattern demonstrated here, a source-traced corpus, deterministic variables, robust estimators, and a pre-committed failure portrait, is not specific to outer space. It applies wherever an analyst suspects that inclusion and effectiveness are in tension and wants to know, cheaply and honestly, whether the tension is live enough in obtainable evidence to justify the costlier study</w:t>
      </w:r>
      <w:r>
        <w:t xml:space="preserve"> </w:t>
      </w:r>
      <w:hyperlink w:anchor="ref-8">
        <w:r>
          <w:rPr>
            <w:rStyle w:val="Hyperlink"/>
          </w:rPr>
          <w:t xml:space="preserve">[8]</w:t>
        </w:r>
      </w:hyperlink>
      <w:r>
        <w:t xml:space="preserve"> </w:t>
      </w:r>
      <w:hyperlink w:anchor="ref-9">
        <w:r>
          <w:rPr>
            <w:rStyle w:val="Hyperlink"/>
          </w:rPr>
          <w:t xml:space="preserve">[9]</w:t>
        </w:r>
      </w:hyperlink>
      <w:r>
        <w:t xml:space="preserve">. For the program record, the security dimension sharpens the general lesson. Where a rule’s value lies partly in managing escalation among adversaries, inclusion is stabilizing instead of merely fair, and a precision-only scorecard would misjudge the regime badly</w:t>
      </w:r>
      <w:r>
        <w:t xml:space="preserve"> </w:t>
      </w:r>
      <w:hyperlink w:anchor="ref-1">
        <w:r>
          <w:rPr>
            <w:rStyle w:val="Hyperlink"/>
          </w:rPr>
          <w:t xml:space="preserve">[1]</w:t>
        </w:r>
      </w:hyperlink>
      <w:r>
        <w:t xml:space="preserve">. A design that screens the discourse before committing to a scorecard is better positioned to notice that effectiveness is multidimensional, since it does not prejudge which axis matters before the evidence has spoken. That caution generalizes to arms control, environmental governance, and every other domain where broad participation and sharp text pull against each other, and it is one of the transferable products of having built the screen carefully</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160"/>
    <w:bookmarkStart w:id="161" w:name="final-word"/>
    <w:p>
      <w:pPr>
        <w:pStyle w:val="Heading2"/>
        <w:spacing w:line="480" w:lineRule="auto"/>
      </w:pPr>
      <w:r>
        <w:t xml:space="preserve">Final word</w:t>
      </w:r>
    </w:p>
    <w:p>
      <w:pPr>
        <w:pStyle w:val="FirstParagraph"/>
        <w:spacing w:line="480" w:lineRule="auto"/>
      </w:pPr>
      <w:r>
        <w:t xml:space="preserve">The archival record matters here: the dissertation set out to be useful before it was finished being certain. It converted a slogan into a checkable claim, ran the check on evidence it actually held, reported one precise regularity and several informative nulls, and specified the study that would carry the question the rest of the way</w:t>
      </w:r>
      <w:r>
        <w:t xml:space="preserve"> </w:t>
      </w:r>
      <w:hyperlink w:anchor="ref-7">
        <w:r>
          <w:rPr>
            <w:rStyle w:val="Hyperlink"/>
          </w:rPr>
          <w:t xml:space="preserve">[7]</w:t>
        </w:r>
      </w:hyperlink>
      <w:r>
        <w:t xml:space="preserve"> </w:t>
      </w:r>
      <w:hyperlink w:anchor="ref-14">
        <w:r>
          <w:rPr>
            <w:rStyle w:val="Hyperlink"/>
          </w:rPr>
          <w:t xml:space="preserve">[14]</w:t>
        </w:r>
      </w:hyperlink>
      <w:r>
        <w:t xml:space="preserve">. The participation question remains open, but it is open in a more disciplined way than before: priced, aimed, and stripped of the excuse that documentary proxies alone could ever settle it. If the field takes the next step this design names, it will do so knowing what the evidence already shows and what it still needs, which is exactly what a design-stage doctoral contribution is for</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61"/>
    <w:bookmarkStart w:id="189" w:name="references"/>
    <w:p>
      <w:pPr>
        <w:pStyle w:val="Heading2"/>
        <w:spacing w:line="480" w:lineRule="auto"/>
      </w:pPr>
      <w:r>
        <w:t xml:space="preserve">References</w:t>
      </w:r>
    </w:p>
    <w:p>
      <w:pPr>
        <w:pStyle w:val="FirstParagraph"/>
        <w:spacing w:line="480" w:lineRule="auto"/>
      </w:pPr>
      <w:bookmarkStart w:id="162" w:name="ref-1"/>
      <w:bookmarkEnd w:id="162"/>
      <w:r>
        <w:t xml:space="preserve">1.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p>
    <w:p>
      <w:pPr>
        <w:pStyle w:val="BodyText"/>
        <w:spacing w:line="480" w:lineRule="auto"/>
        <w:ind w:firstLine="720"/>
      </w:pPr>
      <w:bookmarkStart w:id="163" w:name="ref-2"/>
      <w:bookmarkEnd w:id="163"/>
      <w:r>
        <w:t xml:space="preserve">2. Malgorzata Polkowska, Lomza Academy; Arkadiusz Chimicz, General Command, Polish Armed Forces. Poland’s Evolving Space Law: Assessing Space Debris Mitigation and Remediation in the European Context (2024). doi:</w:t>
      </w:r>
      <w:r>
        <w:t xml:space="preserve"> </w:t>
      </w:r>
      <w:hyperlink r:id="rId164">
        <w:r>
          <w:rPr>
            <w:rStyle w:val="Hyperlink"/>
          </w:rPr>
          <w:t xml:space="preserve">10.64861/LFFV2455</w:t>
        </w:r>
      </w:hyperlink>
    </w:p>
    <w:p>
      <w:pPr>
        <w:pStyle w:val="BodyText"/>
        <w:spacing w:line="480" w:lineRule="auto"/>
        <w:ind w:firstLine="720"/>
      </w:pPr>
      <w:bookmarkStart w:id="165" w:name="ref-3"/>
      <w:bookmarkEnd w:id="165"/>
      <w:r>
        <w:t xml:space="preserve">3.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66" w:name="ref-4"/>
      <w:bookmarkEnd w:id="166"/>
      <w:r>
        <w:t xml:space="preserve">4. Scott Steele, The Open University. Can International Law Provide a Basis for Actively Removing Space Debris? (2020). [AMOS]</w:t>
      </w:r>
    </w:p>
    <w:p>
      <w:pPr>
        <w:pStyle w:val="BodyText"/>
        <w:spacing w:line="480" w:lineRule="auto"/>
        <w:ind w:firstLine="720"/>
      </w:pPr>
      <w:bookmarkStart w:id="167" w:name="ref-5"/>
      <w:bookmarkEnd w:id="167"/>
      <w:r>
        <w:t xml:space="preserve">5. Rina Zhang, Science and Technology Policy Institute; Asha Balakrishnan, Science and Technology Policy Institute. From Ozone Depletion to Orbital Debris: Lessons Learned from the Montreal Protocol (2022). [AMOS]</w:t>
      </w:r>
    </w:p>
    <w:p>
      <w:pPr>
        <w:pStyle w:val="BodyText"/>
        <w:spacing w:line="480" w:lineRule="auto"/>
        <w:ind w:firstLine="720"/>
      </w:pPr>
      <w:bookmarkStart w:id="168" w:name="ref-6"/>
      <w:bookmarkEnd w:id="168"/>
      <w:r>
        <w:t xml:space="preserve">6. Artem Mokhnatkin, Keldysh Institute of Applied Mathematics. Possible Ways Forward for the ISON Initiative and Similar Projects. A Consortium for Decentralized Sharing of SSA Data (2023). doi:</w:t>
      </w:r>
      <w:r>
        <w:t xml:space="preserve"> </w:t>
      </w:r>
      <w:hyperlink r:id="rId169">
        <w:r>
          <w:rPr>
            <w:rStyle w:val="Hyperlink"/>
          </w:rPr>
          <w:t xml:space="preserve">10.64861/DDNM3393</w:t>
        </w:r>
      </w:hyperlink>
    </w:p>
    <w:p>
      <w:pPr>
        <w:pStyle w:val="BodyText"/>
        <w:spacing w:line="480" w:lineRule="auto"/>
        <w:ind w:firstLine="720"/>
      </w:pPr>
      <w:bookmarkStart w:id="170" w:name="ref-7"/>
      <w:bookmarkEnd w:id="170"/>
      <w:r>
        <w:t xml:space="preserve">7. Joshua Garretson, U. S. Space Force. Centroiding Caused Errors in Tracking and Adaptive Optics (2024). doi:</w:t>
      </w:r>
      <w:r>
        <w:t xml:space="preserve"> </w:t>
      </w:r>
      <w:hyperlink r:id="rId171">
        <w:r>
          <w:rPr>
            <w:rStyle w:val="Hyperlink"/>
          </w:rPr>
          <w:t xml:space="preserve">10.64861/WTZM9793</w:t>
        </w:r>
      </w:hyperlink>
    </w:p>
    <w:p>
      <w:pPr>
        <w:pStyle w:val="BodyText"/>
        <w:spacing w:line="480" w:lineRule="auto"/>
        <w:ind w:firstLine="720"/>
      </w:pPr>
      <w:bookmarkStart w:id="172" w:name="ref-8"/>
      <w:bookmarkEnd w:id="172"/>
      <w:r>
        <w:t xml:space="preserve">8.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p>
    <w:p>
      <w:pPr>
        <w:pStyle w:val="BodyText"/>
        <w:spacing w:line="480" w:lineRule="auto"/>
        <w:ind w:firstLine="720"/>
      </w:pPr>
      <w:bookmarkStart w:id="173" w:name="ref-9"/>
      <w:bookmarkEnd w:id="173"/>
      <w:r>
        <w:t xml:space="preserve">9.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74">
        <w:r>
          <w:rPr>
            <w:rStyle w:val="Hyperlink"/>
          </w:rPr>
          <w:t xml:space="preserve">10.1016/j.actaastro.2023.07.009</w:t>
        </w:r>
      </w:hyperlink>
    </w:p>
    <w:p>
      <w:pPr>
        <w:pStyle w:val="BodyText"/>
        <w:spacing w:line="480" w:lineRule="auto"/>
        <w:ind w:firstLine="720"/>
      </w:pPr>
      <w:bookmarkStart w:id="175" w:name="ref-10"/>
      <w:bookmarkEnd w:id="175"/>
      <w:r>
        <w:t xml:space="preserve">10. Jie Long; Wenzhen Chen. Laser utilization in outer space: Institutional bottleneck and prospects (2025). doi:</w:t>
      </w:r>
      <w:r>
        <w:t xml:space="preserve"> </w:t>
      </w:r>
      <w:hyperlink r:id="rId176">
        <w:r>
          <w:rPr>
            <w:rStyle w:val="Hyperlink"/>
          </w:rPr>
          <w:t xml:space="preserve">10.1016/j.actaastro.2025.01.061</w:t>
        </w:r>
      </w:hyperlink>
    </w:p>
    <w:p>
      <w:pPr>
        <w:pStyle w:val="BodyText"/>
        <w:spacing w:line="480" w:lineRule="auto"/>
        <w:ind w:firstLine="720"/>
      </w:pPr>
      <w:bookmarkStart w:id="177" w:name="ref-11"/>
      <w:bookmarkEnd w:id="177"/>
      <w:r>
        <w:t xml:space="preserve">11. Anna Hurova. Gamification as a tool to identify and address ongoing challenges in space activities: the case of space debris mitigation (2024). doi:</w:t>
      </w:r>
      <w:r>
        <w:t xml:space="preserve"> </w:t>
      </w:r>
      <w:hyperlink r:id="rId178">
        <w:r>
          <w:rPr>
            <w:rStyle w:val="Hyperlink"/>
          </w:rPr>
          <w:t xml:space="preserve">10.1016/j.actaastro.2024.09.057</w:t>
        </w:r>
      </w:hyperlink>
    </w:p>
    <w:p>
      <w:pPr>
        <w:pStyle w:val="BodyText"/>
        <w:spacing w:line="480" w:lineRule="auto"/>
        <w:ind w:firstLine="720"/>
      </w:pPr>
      <w:bookmarkStart w:id="179" w:name="ref-12"/>
      <w:bookmarkEnd w:id="179"/>
      <w:r>
        <w:t xml:space="preserve">12. Jennifer L. Sharp; Joshua Kelson; Daryl South; Anthony Saliba; Muhammad Ashad Kabir. Virtual reality and artificial intelligence as psychological countermeasures in space and other isolated and confined environments: A scoping review (2025). doi:</w:t>
      </w:r>
      <w:r>
        <w:t xml:space="preserve"> </w:t>
      </w:r>
      <w:hyperlink r:id="rId180">
        <w:r>
          <w:rPr>
            <w:rStyle w:val="Hyperlink"/>
          </w:rPr>
          <w:t xml:space="preserve">10.1016/j.actaastro.2025.04.002</w:t>
        </w:r>
      </w:hyperlink>
    </w:p>
    <w:p>
      <w:pPr>
        <w:pStyle w:val="BodyText"/>
        <w:spacing w:line="480" w:lineRule="auto"/>
        <w:ind w:firstLine="720"/>
      </w:pPr>
      <w:bookmarkStart w:id="181" w:name="ref-13"/>
      <w:bookmarkEnd w:id="181"/>
      <w:r>
        <w:t xml:space="preserve">13. Danielle Oryan; Efrat Menahem; Lior Ron; Gil Doron; Shimrit Maman. The Ramon Space Race program: Empowering teachers for early childhood space education (2025). doi:</w:t>
      </w:r>
      <w:r>
        <w:t xml:space="preserve"> </w:t>
      </w:r>
      <w:hyperlink r:id="rId182">
        <w:r>
          <w:rPr>
            <w:rStyle w:val="Hyperlink"/>
          </w:rPr>
          <w:t xml:space="preserve">10.1016/j.actaastro.2025.11.083</w:t>
        </w:r>
      </w:hyperlink>
    </w:p>
    <w:p>
      <w:pPr>
        <w:pStyle w:val="BodyText"/>
        <w:spacing w:line="480" w:lineRule="auto"/>
        <w:ind w:firstLine="720"/>
      </w:pPr>
      <w:bookmarkStart w:id="183" w:name="ref-14"/>
      <w:bookmarkEnd w:id="183"/>
      <w:r>
        <w:t xml:space="preserve">14. Anna Marie Brennan. Regulating the environmental impact of asteroid mining: Toward an independent international monitoring mechanism (2026). doi:</w:t>
      </w:r>
      <w:r>
        <w:t xml:space="preserve"> </w:t>
      </w:r>
      <w:hyperlink r:id="rId184">
        <w:r>
          <w:rPr>
            <w:rStyle w:val="Hyperlink"/>
          </w:rPr>
          <w:t xml:space="preserve">10.1016/j.actaastro.2026.02.013</w:t>
        </w:r>
      </w:hyperlink>
    </w:p>
    <w:p>
      <w:pPr>
        <w:pStyle w:val="BodyText"/>
        <w:spacing w:line="480" w:lineRule="auto"/>
        <w:ind w:firstLine="720"/>
      </w:pPr>
      <w:bookmarkStart w:id="185" w:name="ref-15"/>
      <w:bookmarkEnd w:id="185"/>
      <w:r>
        <w:t xml:space="preserve">15. Ben McKeown; Andrew G. Dempster; Serkan Saydam; Jeff Coulton. How should potential space resources markets be evaluated? (2026). doi:</w:t>
      </w:r>
      <w:r>
        <w:t xml:space="preserve"> </w:t>
      </w:r>
      <w:hyperlink r:id="rId186">
        <w:r>
          <w:rPr>
            <w:rStyle w:val="Hyperlink"/>
          </w:rPr>
          <w:t xml:space="preserve">10.1016/j.actaastro.2026.03.026</w:t>
        </w:r>
      </w:hyperlink>
    </w:p>
    <w:p>
      <w:pPr>
        <w:pStyle w:val="BodyText"/>
        <w:spacing w:line="480" w:lineRule="auto"/>
        <w:ind w:firstLine="720"/>
      </w:pPr>
      <w:bookmarkStart w:id="187" w:name="ref-16"/>
      <w:bookmarkEnd w:id="187"/>
      <w:r>
        <w:t xml:space="preserve">16. Luka Malone; Michel‐Alexandre Cardin; J.J. Cilliers; Stanley Starr; Kathryn Hadler. Controlled user study on the role of situational awareness in design decisions for future lunar In-situ resource utilization systems (2026). doi:</w:t>
      </w:r>
      <w:r>
        <w:t xml:space="preserve"> </w:t>
      </w:r>
      <w:hyperlink r:id="rId188">
        <w:r>
          <w:rPr>
            <w:rStyle w:val="Hyperlink"/>
          </w:rPr>
          <w:t xml:space="preserve">10.1016/j.actaastro.2026.04.012</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11d31d9e30cd99f9afea686439baeebdcf234e6"/>
    <w:p>
      <w:pPr>
        <w:pStyle w:val="Heading2"/>
        <w:spacing w:line="480" w:lineRule="auto"/>
      </w:pPr>
      <w:r>
        <w:t xml:space="preserve">A.1 Signal Intensity in Legitimacy Versus Effectiveness Does Broader COPUOS Participation Produce Weake: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4.4382</w:t>
            </w:r>
          </w:p>
        </w:tc>
        <w:tc>
          <w:tcPr>
            <w:tcW w:w="0" w:type="auto"/>
          </w:tcPr>
          <w:p>
            <w:pPr>
              <w:spacing w:line="240" w:lineRule="auto" w:before="0" w:after="0"/>
              <w:pStyle w:val="Compact"/>
            </w:pPr>
            <w:r>
              <w:rPr>
                <w:sz w:val="20"/>
                <w:szCs w:val="20"/>
              </w:rPr>
              <w:t xml:space="preserve">1.0981</w:t>
            </w:r>
          </w:p>
        </w:tc>
        <w:tc>
          <w:tcPr>
            <w:tcW w:w="0" w:type="auto"/>
          </w:tcPr>
          <w:p>
            <w:pPr>
              <w:spacing w:line="240" w:lineRule="auto" w:before="0" w:after="0"/>
              <w:pStyle w:val="Compact"/>
            </w:pPr>
            <w:r>
              <w:rPr>
                <w:sz w:val="20"/>
                <w:szCs w:val="20"/>
              </w:rPr>
              <w:t xml:space="preserve">4.0418</w:t>
            </w:r>
          </w:p>
        </w:tc>
        <w:tc>
          <w:tcPr>
            <w:tcW w:w="0" w:type="auto"/>
          </w:tcPr>
          <w:p>
            <w:pPr>
              <w:spacing w:line="240" w:lineRule="auto" w:before="0" w:after="0"/>
              <w:pStyle w:val="Compact"/>
            </w:pPr>
            <w:r>
              <w:rPr>
                <w:sz w:val="20"/>
                <w:szCs w:val="20"/>
              </w:rPr>
              <w:t xml:space="preserve">5.305e-05</w:t>
            </w:r>
          </w:p>
        </w:tc>
        <w:tc>
          <w:tcPr>
            <w:tcW w:w="0" w:type="auto"/>
          </w:tcPr>
          <w:p>
            <w:pPr>
              <w:spacing w:line="240" w:lineRule="auto" w:before="0" w:after="0"/>
              <w:pStyle w:val="Compact"/>
            </w:pPr>
            <w:r>
              <w:rPr>
                <w:sz w:val="20"/>
                <w:szCs w:val="20"/>
              </w:rPr>
              <w:t xml:space="preserve">[2.286, 6.5904]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0.1299</w:t>
            </w:r>
          </w:p>
        </w:tc>
        <w:tc>
          <w:tcPr>
            <w:tcW w:w="0" w:type="auto"/>
          </w:tcPr>
          <w:p>
            <w:pPr>
              <w:spacing w:line="240" w:lineRule="auto" w:before="0" w:after="0"/>
              <w:pStyle w:val="Compact"/>
            </w:pPr>
            <w:r>
              <w:rPr>
                <w:sz w:val="20"/>
                <w:szCs w:val="20"/>
              </w:rPr>
              <w:t xml:space="preserve">0.3537</w:t>
            </w:r>
          </w:p>
        </w:tc>
        <w:tc>
          <w:tcPr>
            <w:tcW w:w="0" w:type="auto"/>
          </w:tcPr>
          <w:p>
            <w:pPr>
              <w:spacing w:line="240" w:lineRule="auto" w:before="0" w:after="0"/>
              <w:pStyle w:val="Compact"/>
            </w:pPr>
            <w:r>
              <w:rPr>
                <w:sz w:val="20"/>
                <w:szCs w:val="20"/>
              </w:rPr>
              <w:t xml:space="preserve">0.7236</w:t>
            </w:r>
          </w:p>
        </w:tc>
        <w:tc>
          <w:tcPr>
            <w:tcW w:w="0" w:type="auto"/>
          </w:tcPr>
          <w:p>
            <w:pPr>
              <w:spacing w:line="240" w:lineRule="auto" w:before="0" w:after="0"/>
              <w:pStyle w:val="Compact"/>
            </w:pPr>
            <w:r>
              <w:rPr>
                <w:sz w:val="20"/>
                <w:szCs w:val="20"/>
              </w:rPr>
              <w:t xml:space="preserve">[-0.2087, 0.3006]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0.1469</w:t>
            </w:r>
          </w:p>
        </w:tc>
        <w:tc>
          <w:tcPr>
            <w:tcW w:w="0" w:type="auto"/>
          </w:tcPr>
          <w:p>
            <w:pPr>
              <w:spacing w:line="240" w:lineRule="auto" w:before="0" w:after="0"/>
              <w:pStyle w:val="Compact"/>
            </w:pPr>
            <w:r>
              <w:rPr>
                <w:sz w:val="20"/>
                <w:szCs w:val="20"/>
              </w:rPr>
              <w:t xml:space="preserve">0.8832</w:t>
            </w:r>
          </w:p>
        </w:tc>
        <w:tc>
          <w:tcPr>
            <w:tcW w:w="0" w:type="auto"/>
          </w:tcPr>
          <w:p>
            <w:pPr>
              <w:spacing w:line="240" w:lineRule="auto" w:before="0" w:after="0"/>
              <w:pStyle w:val="Compact"/>
            </w:pPr>
            <w:r>
              <w:rPr>
                <w:sz w:val="20"/>
                <w:szCs w:val="20"/>
              </w:rPr>
              <w:t xml:space="preserve">[-0.1106, 0.1285]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-1.1117</w:t>
            </w:r>
          </w:p>
        </w:tc>
        <w:tc>
          <w:tcPr>
            <w:tcW w:w="0" w:type="auto"/>
          </w:tcPr>
          <w:p>
            <w:pPr>
              <w:spacing w:line="240" w:lineRule="auto" w:before="0" w:after="0"/>
              <w:pStyle w:val="Compact"/>
            </w:pPr>
            <w:r>
              <w:rPr>
                <w:sz w:val="20"/>
                <w:szCs w:val="20"/>
              </w:rPr>
              <w:t xml:space="preserve">0.3675</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[-1.8319, -0.3915]</w:t>
            </w:r>
          </w:p>
        </w:tc>
      </w:tr>
    </w:tbl>
    <w:p>
      <w:pPr>
        <w:pStyle w:val="BodyText"/>
        <w:spacing w:line="480" w:lineRule="auto"/>
        <w:ind w:firstLine="720"/>
      </w:pPr>
      <w:r>
        <w:t xml:space="preserve">Fit: N = 30 R2 = 0.2017 R2_adj = 0.1096 F = 4.887 F_p = 0.008</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3" name="Picture"/>
            <a:graphic>
              <a:graphicData uri="http://schemas.openxmlformats.org/drawingml/2006/picture">
                <pic:pic>
                  <pic:nvPicPr>
                    <pic:cNvPr descr="D:/Claude_Code/brain/collegium/candidates/dissertations/INTL_GOVERNANCE_13/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10.64861/WTZM9793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10.64861/XWVP8211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7"/>
    <w:bookmarkEnd w:id="198"/>
    <w:bookmarkStart w:id="206" w:name="X705585d14381a0c99bc898f67fb17396a45ed52"/>
    <w:p>
      <w:pPr>
        <w:pStyle w:val="Heading2"/>
        <w:spacing w:line="480" w:lineRule="auto"/>
      </w:pPr>
      <w:r>
        <w:t xml:space="preserve">A.2 Attention Accumulation in Legitimacy Versus Effectiveness Does Broader COPUOS Participation Produce Weake: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0.5568</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1.7554</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[-0.0649, 1.1786]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0.8162</w:t>
            </w:r>
          </w:p>
        </w:tc>
        <w:tc>
          <w:tcPr>
            <w:tcW w:w="0" w:type="auto"/>
          </w:tcPr>
          <w:p>
            <w:pPr>
              <w:spacing w:line="240" w:lineRule="auto" w:before="0" w:after="0"/>
              <w:pStyle w:val="Compact"/>
            </w:pPr>
            <w:r>
              <w:rPr>
                <w:sz w:val="20"/>
                <w:szCs w:val="20"/>
              </w:rPr>
              <w:t xml:space="preserve">[-0.4291, 0.3381]</w:t>
            </w:r>
          </w:p>
        </w:tc>
      </w:tr>
    </w:tbl>
    <w:p>
      <w:pPr>
        <w:pStyle w:val="BodyText"/>
        <w:spacing w:line="480" w:lineRule="auto"/>
        <w:ind w:firstLine="720"/>
      </w:pPr>
      <w:r>
        <w:t xml:space="preserve">Fit: N = 30 R2 = 0.0008453 elasticity_b = -0.0455 progress_ratio_2^b = 0.969</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1" name="Picture"/>
            <a:graphic>
              <a:graphicData uri="http://schemas.openxmlformats.org/drawingml/2006/picture">
                <pic:pic>
                  <pic:nvPicPr>
                    <pic:cNvPr descr="D:/Claude_Code/brain/collegium/candidates/dissertations/INTL_GOVERNANCE_13/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10.64861/WTZM9793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10.64861/XWVP8211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74" Type="http://schemas.openxmlformats.org/officeDocument/2006/relationships/hyperlink" Target="https://doi.org/10.1016/j.actaastro.2023.07.009" TargetMode="External"/><Relationship Id="rId178" Type="http://schemas.openxmlformats.org/officeDocument/2006/relationships/hyperlink" Target="https://doi.org/10.1016/j.actaastro.2024.09.057" TargetMode="External"/><Relationship Id="rId176" Type="http://schemas.openxmlformats.org/officeDocument/2006/relationships/hyperlink" Target="https://doi.org/10.1016/j.actaastro.2025.01.061" TargetMode="External"/><Relationship Id="rId180" Type="http://schemas.openxmlformats.org/officeDocument/2006/relationships/hyperlink" Target="https://doi.org/10.1016/j.actaastro.2025.04.002" TargetMode="External"/><Relationship Id="rId182" Type="http://schemas.openxmlformats.org/officeDocument/2006/relationships/hyperlink" Target="https://doi.org/10.1016/j.actaastro.2025.11.083" TargetMode="External"/><Relationship Id="rId184" Type="http://schemas.openxmlformats.org/officeDocument/2006/relationships/hyperlink" Target="https://doi.org/10.1016/j.actaastro.2026.02.013" TargetMode="External"/><Relationship Id="rId186" Type="http://schemas.openxmlformats.org/officeDocument/2006/relationships/hyperlink" Target="https://doi.org/10.1016/j.actaastro.2026.03.026" TargetMode="External"/><Relationship Id="rId188" Type="http://schemas.openxmlformats.org/officeDocument/2006/relationships/hyperlink" Target="https://doi.org/10.1016/j.actaastro.2026.04.012" TargetMode="External"/><Relationship Id="rId169" Type="http://schemas.openxmlformats.org/officeDocument/2006/relationships/hyperlink" Target="https://doi.org/10.64861/DDNM3393" TargetMode="External"/><Relationship Id="rId164" Type="http://schemas.openxmlformats.org/officeDocument/2006/relationships/hyperlink" Target="https://doi.org/10.64861/LFFV2455" TargetMode="External"/><Relationship Id="rId171" Type="http://schemas.openxmlformats.org/officeDocument/2006/relationships/hyperlink" Target="https://doi.org/10.64861/WTZM9793" TargetMode="External"/></Relationships>
</file>

<file path=word/_rels/footnotes.xml.rels><?xml version='1.0' encoding='UTF-8' standalone='yes'?>
<Relationships xmlns="http://schemas.openxmlformats.org/package/2006/relationships"><Relationship Id="rId174" Type="http://schemas.openxmlformats.org/officeDocument/2006/relationships/hyperlink" Target="https://doi.org/10.1016/j.actaastro.2023.07.009" TargetMode="External"/><Relationship Id="rId178" Type="http://schemas.openxmlformats.org/officeDocument/2006/relationships/hyperlink" Target="https://doi.org/10.1016/j.actaastro.2024.09.057" TargetMode="External"/><Relationship Id="rId176" Type="http://schemas.openxmlformats.org/officeDocument/2006/relationships/hyperlink" Target="https://doi.org/10.1016/j.actaastro.2025.01.061" TargetMode="External"/><Relationship Id="rId180" Type="http://schemas.openxmlformats.org/officeDocument/2006/relationships/hyperlink" Target="https://doi.org/10.1016/j.actaastro.2025.04.002" TargetMode="External"/><Relationship Id="rId182" Type="http://schemas.openxmlformats.org/officeDocument/2006/relationships/hyperlink" Target="https://doi.org/10.1016/j.actaastro.2025.11.083" TargetMode="External"/><Relationship Id="rId184" Type="http://schemas.openxmlformats.org/officeDocument/2006/relationships/hyperlink" Target="https://doi.org/10.1016/j.actaastro.2026.02.013" TargetMode="External"/><Relationship Id="rId186" Type="http://schemas.openxmlformats.org/officeDocument/2006/relationships/hyperlink" Target="https://doi.org/10.1016/j.actaastro.2026.03.026" TargetMode="External"/><Relationship Id="rId188" Type="http://schemas.openxmlformats.org/officeDocument/2006/relationships/hyperlink" Target="https://doi.org/10.1016/j.actaastro.2026.04.012" TargetMode="External"/><Relationship Id="rId169" Type="http://schemas.openxmlformats.org/officeDocument/2006/relationships/hyperlink" Target="https://doi.org/10.64861/DDNM3393" TargetMode="External"/><Relationship Id="rId164" Type="http://schemas.openxmlformats.org/officeDocument/2006/relationships/hyperlink" Target="https://doi.org/10.64861/LFFV2455" TargetMode="External"/><Relationship Id="rId171" Type="http://schemas.openxmlformats.org/officeDocument/2006/relationships/hyperlink" Target="https://doi.org/10.64861/WTZM9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Legitimacy Versus Effectiveness: Does Broader COPUOS Participation Produce Weake</dc:title>
  <dc:creator>Aisha Carrington (1B-IGV-225)</dc:creator>
  <cp:keywords/>
  <dcterms:created xsi:type="dcterms:W3CDTF">2026-07-04T11:37:58Z</dcterms:created>
  <dcterms:modified xsi:type="dcterms:W3CDTF">2026-07-04T11:37:58Z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