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85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3" w:name="X42ab7bb50136060d757e20707c4a6cb442a2cd4"/>
    <w:p>
      <w:pPr>
        <w:pStyle w:val="Heading1"/>
      </w:pPr>
      <w:r>
        <w:t xml:space="preserve">Capacity-Building Salience and Regulatory Text Salience in the Cited Source Corpus</w:t>
      </w:r>
    </w:p>
    <w:bookmarkStart w:id="61" w:name="abstract"/>
    <w:p>
      <w:pPr>
        <w:pStyle w:val="Heading2"/>
      </w:pPr>
      <w:r>
        <w:t xml:space="preserve">Abstract</w:t>
      </w:r>
    </w:p>
    <w:p>
      <w:pPr>
        <w:pStyle w:val="FirstParagraph"/>
      </w:pPr>
      <w:r>
        <w:t xml:space="preserve">This paper tests whether the dissertation’s source base connects space capacity-building to regulatory or institutional mechanisms. The unit is the cited source document. I code eleven AMOS and Acta sources for capacity-building salience, market-infrastructure salience, and regulatory-text salience, then estimate an OLS model with robust standard errors. Capacity-building salience is strongly associated with regulatory-text salience, coefficient 1.10 and p &lt; 0.001. Market-infrastructure salience is positive but uncertain. The result supports the prospectus logic: the cited literature gives a plausible reason to test donor capacity-building as a channel of regulatory emulation, but it does not itself estimate recipient-state legal change.</w:t>
      </w:r>
    </w:p>
    <w:bookmarkEnd w:id="61"/>
    <w:bookmarkStart w:id="62" w:name="research-question"/>
    <w:p>
      <w:pPr>
        <w:pStyle w:val="Heading2"/>
      </w:pPr>
      <w:r>
        <w:t xml:space="preserve">Research question</w:t>
      </w:r>
    </w:p>
    <w:p>
      <w:pPr>
        <w:pStyle w:val="FirstParagraph"/>
      </w:pPr>
      <w:r>
        <w:t xml:space="preserve">The dissertation asks whether donor-state space capacity-building predicts recipient-state regulatory emulation. Before building a country-year panel, the source base needs a simpler audit. Do the cited documents connect space capability to governance, law, regulation, capacity management, or institutional bottlenecks?</w:t>
      </w:r>
    </w:p>
    <w:p>
      <w:pPr>
        <w:pStyle w:val="BodyText"/>
      </w:pPr>
      <w:r>
        <w:t xml:space="preserve">This paper treats the cited sources as a corpus. Brownhall et al. connect orbital capacity assessment to transdisciplinary policy and regulatory approaches</w:t>
      </w:r>
      <w:r>
        <w:t xml:space="preserve"> </w:t>
      </w:r>
      <w:hyperlink w:anchor="ref-1">
        <m:oMathPara>
          <m:oMathParaPr>
            <m:jc m:val="center"/>
          </m:oMathParaPr>
          <m:oMath>
            <m:r>
              <m:t>1</m:t>
            </m:r>
          </m:oMath>
        </m:oMathPara>
      </w:hyperlink>
      <w:r>
        <w:t xml:space="preserve">. Young and Thadani connect LEO broadband to spectrum, licensing, ITU process, and strategic market competition</w:t>
      </w:r>
      <w:r>
        <w:t xml:space="preserve"> </w:t>
      </w:r>
      <w:hyperlink w:anchor="ref-2">
        <m:oMathPara>
          <m:oMathParaPr>
            <m:jc m:val="center"/>
          </m:oMathParaPr>
          <m:oMath>
            <m:r>
              <m:t>2</m:t>
            </m:r>
          </m:oMath>
        </m:oMathPara>
      </w:hyperlink>
      <w:r>
        <w:t xml:space="preserve">. Long and Chen frame laser use in outer space through institutional bottlenecks</w:t>
      </w:r>
      <w:r>
        <w:t xml:space="preserve"> </w:t>
      </w:r>
      <w:hyperlink w:anchor="ref-8">
        <m:oMathPara>
          <m:oMathParaPr>
            <m:jc m:val="center"/>
          </m:oMathParaPr>
          <m:oMath>
            <m:r>
              <m:t>8</m:t>
            </m:r>
          </m:oMath>
        </m:oMathPara>
      </w:hyperlink>
      <w:r>
        <w:t xml:space="preserve">. Colombo et al. connect space capacity management to STM and to policy and regulatory approaches</w:t>
      </w:r>
      <w:r>
        <w:t xml:space="preserve"> </w:t>
      </w:r>
      <w:hyperlink w:anchor="ref-9">
        <m:oMathPara>
          <m:oMathParaPr>
            <m:jc m:val="center"/>
          </m:oMathParaPr>
          <m:oMath>
            <m:r>
              <m:t>9</m:t>
            </m:r>
          </m:oMath>
        </m:oMathPara>
      </w:hyperlink>
      <w:r>
        <w:t xml:space="preserve">. Denis et al. describe Earth-observation markets where regulations and customer types shape market evolution</w:t>
      </w:r>
      <w:r>
        <w:t xml:space="preserve"> </w:t>
      </w:r>
      <w:hyperlink w:anchor="ref-10">
        <m:oMathPara>
          <m:oMathParaPr>
            <m:jc m:val="center"/>
          </m:oMathParaPr>
          <m:oMath>
            <m:r>
              <m:t>10</m:t>
            </m:r>
          </m:oMath>
        </m:oMathPara>
      </w:hyperlink>
      <w:r>
        <w:t xml:space="preserve">. Szolucha supplies the social-imaginary counterpoint, not a regulatory-emulation mechanism</w:t>
      </w:r>
      <w:r>
        <w:t xml:space="preserve"> </w:t>
      </w:r>
      <w:hyperlink w:anchor="ref-11">
        <m:oMathPara>
          <m:oMathParaPr>
            <m:jc m:val="center"/>
          </m:oMathParaPr>
          <m:oMath>
            <m:r>
              <m:t>11</m:t>
            </m:r>
          </m:oMath>
        </m:oMathPara>
      </w:hyperlink>
      <w:r>
        <w:t xml:space="preserve">.</w:t>
      </w:r>
    </w:p>
    <w:bookmarkEnd w:id="62"/>
    <w:bookmarkStart w:id="63" w:name="data-and-model"/>
    <w:p>
      <w:pPr>
        <w:pStyle w:val="Heading2"/>
      </w:pPr>
      <w:r>
        <w:t xml:space="preserve">Data and model</w:t>
      </w:r>
    </w:p>
    <w:p>
      <w:pPr>
        <w:pStyle w:val="FirstParagraph"/>
      </w:pPr>
      <w:r>
        <w:t xml:space="preserve">The dataset contains eleven source documents. Each row receives three structured coding scores from zero to five. Regulatory-text salience counts law, regulation, institutional mandate, policy coordination, traffic management, or governance bottleneck. Capacity-building salience counts tool validation, technical assistance, capability development, decision support, or management framework. Market-infrastructure salience counts broadband markets, Earth-observation markets, commercial services, customer base, launch context, or orbital infrastructure.</w:t>
      </w:r>
    </w:p>
    <w:p>
      <w:pPr>
        <w:pStyle w:val="BodyText"/>
      </w:pPr>
      <w:r>
        <w:t xml:space="preserve">The model regresses regulatory-text salience on capacity-building salience and market-infrastructure salience. It does not estimate donor influence. It tests whether the dissertation’s evidence base coherently links capacity-building language to regulatory mechanisms.</w:t>
      </w:r>
    </w:p>
    <w:bookmarkEnd w:id="63"/>
    <w:bookmarkStart w:id="64" w:name="results"/>
    <w:p>
      <w:pPr>
        <w:pStyle w:val="Heading2"/>
      </w:pPr>
      <w:r>
        <w:t xml:space="preserve">Results</w:t>
      </w:r>
    </w:p>
    <w:p>
      <w:pPr>
        <w:pStyle w:val="FirstParagraph"/>
      </w:pPr>
      <w:r>
        <w:t xml:space="preserve">The capacity-building coefficient is 1.10, with p &lt; 0.001. The model R2 is 0.678. Market-infrastructure salience is positive at 0.172 but statistically uncertain. The pattern is clear enough for design work: sources that make capacity-building or capacity-management mechanisms visible are also the sources that foreground regulatory and institutional mechanisms.</w:t>
      </w:r>
    </w:p>
    <w:p>
      <w:pPr>
        <w:pStyle w:val="BodyText"/>
      </w:pPr>
      <w:r>
        <w:t xml:space="preserve">This result is strongest for Brownhall et al., Long and Chen, and Colombo et al., where the technical problem is explicitly tied to governance or regulatory practice</w:t>
      </w:r>
      <w:r>
        <w:t xml:space="preserve"> </w:t>
      </w:r>
      <w:hyperlink w:anchor="ref-1">
        <m:oMathPara>
          <m:oMathParaPr>
            <m:jc m:val="center"/>
          </m:oMathParaPr>
          <m:oMath>
            <m:r>
              <m:t>1</m:t>
            </m:r>
          </m:oMath>
        </m:oMathPara>
      </w:hyperlink>
      <w:r>
        <w:t xml:space="preserve">,</w:t>
      </w:r>
      <w:r>
        <w:t xml:space="preserve"> </w:t>
      </w:r>
      <w:hyperlink w:anchor="ref-8">
        <m:oMathPara>
          <m:oMathParaPr>
            <m:jc m:val="center"/>
          </m:oMathParaPr>
          <m:oMath>
            <m:r>
              <m:t>8</m:t>
            </m:r>
          </m:oMath>
        </m:oMathPara>
      </w:hyperlink>
      <w:r>
        <w:t xml:space="preserve">,</w:t>
      </w:r>
      <w:r>
        <w:t xml:space="preserve"> </w:t>
      </w:r>
      <w:hyperlink w:anchor="ref-9">
        <m:oMathPara>
          <m:oMathParaPr>
            <m:jc m:val="center"/>
          </m:oMathParaPr>
          <m:oMath>
            <m:r>
              <m:t>9</m:t>
            </m:r>
          </m:oMath>
        </m:oMathPara>
      </w:hyperlink>
      <w:r>
        <w:t xml:space="preserve">. It is weaker for purely technical, sensor, or decision-support sources, which may be relevant to space capability but do not create a regulatory-emulation pathway by themselves.</w:t>
      </w:r>
    </w:p>
    <w:bookmarkEnd w:id="64"/>
    <w:bookmarkStart w:id="65" w:name="interpretation"/>
    <w:p>
      <w:pPr>
        <w:pStyle w:val="Heading2"/>
      </w:pPr>
      <w:r>
        <w:t xml:space="preserve">Interpretation</w:t>
      </w:r>
    </w:p>
    <w:p>
      <w:pPr>
        <w:pStyle w:val="FirstParagraph"/>
      </w:pPr>
      <w:r>
        <w:t xml:space="preserve">The finding supports a bounded warrant for the dissertation. Capacity-building is not just technical training in the source base; it often travels with policy, regulatory, and institutional content. That does not prove recipient emulation. It shows why recipient legal texts are a defensible outcome.</w:t>
      </w:r>
    </w:p>
    <w:p>
      <w:pPr>
        <w:pStyle w:val="BodyText"/>
      </w:pPr>
      <w:r>
        <w:t xml:space="preserve">A strong country-year claim still requires OECD CRS project records, UNOOSA program and national space-law records, donor legal corpora, and recipient legal texts. Paper 1 only audits the source logic. It provides evidence that the mechanism is plausible enough to test.</w:t>
      </w:r>
    </w:p>
    <w:bookmarkEnd w:id="65"/>
    <w:bookmarkStart w:id="83" w:name="references"/>
    <w:p>
      <w:pPr>
        <w:pStyle w:val="Heading2"/>
      </w:pPr>
      <w:r>
        <w:t xml:space="preserve">References</w:t>
      </w:r>
    </w:p>
    <w:p>
      <w:pPr>
        <w:pStyle w:val="FirstParagraph"/>
      </w:pPr>
      <w:bookmarkStart w:id="66" w:name="ref-1"/>
      <w:bookmarkEnd w:id="66"/>
      <w:r>
        <w:t xml:space="preserve">1. I. Brownhall et al.,</w:t>
      </w:r>
      <w:r>
        <w:t xml:space="preserve"> </w:t>
      </w:r>
      <w:r>
        <w:t xml:space="preserve">“Verification and Validation of Orbital Capacity Assessment Tools of Varying Fidelities,”</w:t>
      </w:r>
      <w:r>
        <w:t xml:space="preserve"> </w:t>
      </w:r>
      <w:r>
        <w:t xml:space="preserve">AMOS, 2025, doi:</w:t>
      </w:r>
      <w:r>
        <w:t xml:space="preserve"> </w:t>
      </w:r>
      <w:hyperlink r:id="rId67">
        <w:r>
          <w:rPr>
            <w:rStyle w:val="Hyperlink"/>
          </w:rPr>
          <w:t xml:space="preserve">10.64861/UHIX1013</w:t>
        </w:r>
      </w:hyperlink>
      <w:r>
        <w:t xml:space="preserve"> </w:t>
      </w:r>
      <w:bookmarkStart w:id="68" w:name="ref-2"/>
      <w:bookmarkEnd w:id="68"/>
      <w:r>
        <w:t xml:space="preserve">2. M. Young and A. Thadani,</w:t>
      </w:r>
      <w:r>
        <w:t xml:space="preserve"> </w:t>
      </w:r>
      <w:r>
        <w:t xml:space="preserve">“Low-Orbit, High Stakes: Winning the LEO Broadband Competition,”</w:t>
      </w:r>
      <w:r>
        <w:t xml:space="preserve"> </w:t>
      </w:r>
      <w:r>
        <w:t xml:space="preserve">Center for Strategic and International Studies, AMOS, 2022.</w:t>
      </w:r>
      <w:r>
        <w:t xml:space="preserve"> </w:t>
      </w:r>
      <w:bookmarkStart w:id="69" w:name="ref-3"/>
      <w:bookmarkEnd w:id="69"/>
      <w:r>
        <w:t xml:space="preserve">3. J. Iannamorelli and K. LeGrand,</w:t>
      </w:r>
      <w:r>
        <w:t xml:space="preserve"> </w:t>
      </w:r>
      <w:r>
        <w:t xml:space="preserve">“Adaptive Filtering for Multi-Sensor Maneuvering Cislunar Space Object Tracking,”</w:t>
      </w:r>
      <w:r>
        <w:t xml:space="preserve"> </w:t>
      </w:r>
      <w:r>
        <w:t xml:space="preserve">AMOS, 2023, doi:</w:t>
      </w:r>
      <w:r>
        <w:t xml:space="preserve"> </w:t>
      </w:r>
      <w:hyperlink r:id="rId70">
        <w:r>
          <w:rPr>
            <w:rStyle w:val="Hyperlink"/>
          </w:rPr>
          <w:t xml:space="preserve">10.64861/BJQM5480</w:t>
        </w:r>
      </w:hyperlink>
      <w:r>
        <w:t xml:space="preserve"> </w:t>
      </w:r>
      <w:bookmarkStart w:id="71" w:name="ref-4"/>
      <w:bookmarkEnd w:id="71"/>
      <w:r>
        <w:t xml:space="preserve">4. T. Bryan, T. MacLeod, L. Gagliano, S. Williams, and B. McCoy,</w:t>
      </w:r>
      <w:r>
        <w:t xml:space="preserve"> </w:t>
      </w:r>
      <w:r>
        <w:t xml:space="preserve">“Innovative Electrostatic Adhesion Technologies,”</w:t>
      </w:r>
      <w:r>
        <w:t xml:space="preserve"> </w:t>
      </w:r>
      <w:r>
        <w:t xml:space="preserve">AMOS, 2015.</w:t>
      </w:r>
      <w:r>
        <w:t xml:space="preserve"> </w:t>
      </w:r>
      <w:bookmarkStart w:id="72" w:name="ref-5"/>
      <w:bookmarkEnd w:id="72"/>
      <w:r>
        <w:t xml:space="preserve">5.</w:t>
      </w:r>
      <w:r>
        <w:t xml:space="preserve"> </w:t>
      </w:r>
      <w:r>
        <w:t xml:space="preserve">“Small Orbital Stereo Tracking Camera Technology Development,”</w:t>
      </w:r>
      <w:r>
        <w:t xml:space="preserve"> </w:t>
      </w:r>
      <w:r>
        <w:t xml:space="preserve">AMOS, 2015.</w:t>
      </w:r>
      <w:r>
        <w:t xml:space="preserve"> </w:t>
      </w:r>
      <w:bookmarkStart w:id="73" w:name="ref-6"/>
      <w:bookmarkEnd w:id="73"/>
      <w:r>
        <w:t xml:space="preserve">6. P. Picciano,</w:t>
      </w:r>
      <w:r>
        <w:t xml:space="preserve"> </w:t>
      </w:r>
      <w:r>
        <w:t xml:space="preserve">“Human Decision Processes: Implications for SSA support tools,”</w:t>
      </w:r>
      <w:r>
        <w:t xml:space="preserve"> </w:t>
      </w:r>
      <w:r>
        <w:t xml:space="preserve">AMOS, 2013.</w:t>
      </w:r>
      <w:r>
        <w:t xml:space="preserve"> </w:t>
      </w:r>
      <w:bookmarkStart w:id="74" w:name="ref-7"/>
      <w:bookmarkEnd w:id="74"/>
      <w:r>
        <w:t xml:space="preserve">7. P. M. Cunio et al.,</w:t>
      </w:r>
      <w:r>
        <w:t xml:space="preserve"> </w:t>
      </w:r>
      <w:r>
        <w:t xml:space="preserve">“Analysis of Orbit Residual Behavior to Determine Contact in Rendezvous and Proximity Operations at Geosynchronous Orbit,”</w:t>
      </w:r>
      <w:r>
        <w:t xml:space="preserve"> </w:t>
      </w:r>
      <w:r>
        <w:t xml:space="preserve">AMOS, 2022.</w:t>
      </w:r>
      <w:r>
        <w:t xml:space="preserve"> </w:t>
      </w:r>
      <w:bookmarkStart w:id="75" w:name="ref-8"/>
      <w:bookmarkEnd w:id="75"/>
      <w:r>
        <w:t xml:space="preserve">8. J. Long and W. Chen,</w:t>
      </w:r>
      <w:r>
        <w:t xml:space="preserve"> </w:t>
      </w:r>
      <w:r>
        <w:t xml:space="preserve">“Laser utilization in outer space: Institutional bottleneck and prospects,”</w:t>
      </w:r>
      <w:r>
        <w:t xml:space="preserve"> </w:t>
      </w:r>
      <w:r>
        <w:t xml:space="preserve">Acta Astronautica, 2025, doi:</w:t>
      </w:r>
      <w:r>
        <w:t xml:space="preserve"> </w:t>
      </w:r>
      <w:hyperlink r:id="rId76">
        <w:r>
          <w:rPr>
            <w:rStyle w:val="Hyperlink"/>
          </w:rPr>
          <w:t xml:space="preserve">10.1016/j.actaastro.2025.01.061</w:t>
        </w:r>
      </w:hyperlink>
      <w:r>
        <w:t xml:space="preserve"> </w:t>
      </w:r>
      <w:bookmarkStart w:id="77" w:name="ref-9"/>
      <w:bookmarkEnd w:id="77"/>
      <w:r>
        <w:t xml:space="preserve">9. C. Colombo et al.,</w:t>
      </w:r>
      <w:r>
        <w:t xml:space="preserve"> </w:t>
      </w:r>
      <w:r>
        <w:t xml:space="preserve">“Space capacity management and its interaction with space traffic management,”</w:t>
      </w:r>
      <w:r>
        <w:t xml:space="preserve"> </w:t>
      </w:r>
      <w:r>
        <w:t xml:space="preserve">Acta Astronautica, 2025, doi:</w:t>
      </w:r>
      <w:r>
        <w:t xml:space="preserve"> </w:t>
      </w:r>
      <w:hyperlink r:id="rId78">
        <w:r>
          <w:rPr>
            <w:rStyle w:val="Hyperlink"/>
          </w:rPr>
          <w:t xml:space="preserve">10.1016/j.actaastro.2025.01.069</w:t>
        </w:r>
      </w:hyperlink>
      <w:r>
        <w:t xml:space="preserve"> </w:t>
      </w:r>
      <w:bookmarkStart w:id="79" w:name="ref-10"/>
      <w:bookmarkEnd w:id="79"/>
      <w:r>
        <w:t xml:space="preserve">10. G. Denis et al.,</w:t>
      </w:r>
      <w:r>
        <w:t xml:space="preserve"> </w:t>
      </w:r>
      <w:r>
        <w:t xml:space="preserve">“Towards disruptions in Earth observation? New Earth Observation systems and markets evolution: Possible scenarios and impacts,”</w:t>
      </w:r>
      <w:r>
        <w:t xml:space="preserve"> </w:t>
      </w:r>
      <w:r>
        <w:t xml:space="preserve">Acta Astronautica, 2017, doi:</w:t>
      </w:r>
      <w:r>
        <w:t xml:space="preserve"> </w:t>
      </w:r>
      <w:hyperlink r:id="rId80">
        <w:r>
          <w:rPr>
            <w:rStyle w:val="Hyperlink"/>
          </w:rPr>
          <w:t xml:space="preserve">10.1016/j.actaastro.2017.04.034</w:t>
        </w:r>
      </w:hyperlink>
      <w:r>
        <w:t xml:space="preserve"> </w:t>
      </w:r>
      <w:bookmarkStart w:id="81" w:name="ref-11"/>
      <w:bookmarkEnd w:id="81"/>
      <w:r>
        <w:t xml:space="preserve">11. A. Szolucha,</w:t>
      </w:r>
      <w:r>
        <w:t xml:space="preserve"> </w:t>
      </w:r>
      <w:r>
        <w:t xml:space="preserve">“A disappearing frontier?: An ethnographic study of the labour of imagination of SpaceX fans and space creators in South Texas,”</w:t>
      </w:r>
      <w:r>
        <w:t xml:space="preserve"> </w:t>
      </w:r>
      <w:r>
        <w:t xml:space="preserve">Acta Astronautica, 2024, doi:</w:t>
      </w:r>
      <w:r>
        <w:t xml:space="preserve"> </w:t>
      </w:r>
      <w:hyperlink r:id="rId82">
        <w:r>
          <w:rPr>
            <w:rStyle w:val="Hyperlink"/>
          </w:rPr>
          <w:t xml:space="preserve">10.1016/j.actaastro.2024.06.001</w:t>
        </w:r>
      </w:hyperlink>
    </w:p>
    <w:bookmarkEnd w:id="83"/>
    <w:bookmarkStart w:id="84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r>
            <m:t>R</m:t>
          </m:r>
          <m:r>
            <m:t>e</m:t>
          </m:r>
          <m:r>
            <m:t>g</m:t>
          </m:r>
          <m:r>
            <m:t>u</m:t>
          </m:r>
          <m:r>
            <m:t>l</m:t>
          </m:r>
          <m:r>
            <m:t>a</m:t>
          </m:r>
          <m:r>
            <m:t>t</m:t>
          </m:r>
          <m:r>
            <m:t>o</m:t>
          </m:r>
          <m:r>
            <m:t>r</m:t>
          </m:r>
          <m:r>
            <m:t>y</m:t>
          </m:r>
          <m:r>
            <m:t>T</m:t>
          </m:r>
          <m:r>
            <m:t>e</m:t>
          </m:r>
          <m:r>
            <m:t>x</m:t>
          </m:r>
          <m:r>
            <m:t>t</m:t>
          </m:r>
          <m:r>
            <m:t>S</m:t>
          </m:r>
          <m:r>
            <m:t>c</m:t>
          </m:r>
          <m:r>
            <m:t>o</m:t>
          </m:r>
          <m:r>
            <m:t>r</m:t>
          </m:r>
          <m:sSub>
            <m:e>
              <m:r>
                <m:t>e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t>C</m:t>
          </m:r>
          <m:r>
            <m:t>a</m:t>
          </m:r>
          <m:r>
            <m:t>p</m:t>
          </m:r>
          <m:r>
            <m:t>a</m:t>
          </m:r>
          <m:r>
            <m:t>c</m:t>
          </m:r>
          <m:r>
            <m:t>i</m:t>
          </m:r>
          <m:r>
            <m:t>t</m:t>
          </m:r>
          <m:r>
            <m:t>y</m:t>
          </m:r>
          <m:r>
            <m:t>B</m:t>
          </m:r>
          <m:r>
            <m:t>u</m:t>
          </m:r>
          <m:r>
            <m:t>i</m:t>
          </m:r>
          <m:r>
            <m:t>l</m:t>
          </m:r>
          <m:r>
            <m:t>d</m:t>
          </m:r>
          <m:r>
            <m:t>i</m:t>
          </m:r>
          <m:r>
            <m:t>n</m:t>
          </m:r>
          <m:r>
            <m:t>g</m:t>
          </m:r>
          <m:r>
            <m:t>S</m:t>
          </m:r>
          <m:r>
            <m:t>c</m:t>
          </m:r>
          <m:r>
            <m:t>o</m:t>
          </m:r>
          <m:r>
            <m:t>r</m:t>
          </m:r>
          <m:sSub>
            <m:e>
              <m:r>
                <m:t>e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t>M</m:t>
          </m:r>
          <m:r>
            <m:t>a</m:t>
          </m:r>
          <m:r>
            <m:t>r</m:t>
          </m:r>
          <m:r>
            <m:t>k</m:t>
          </m:r>
          <m:r>
            <m:t>e</m:t>
          </m:r>
          <m:r>
            <m:t>t</m:t>
          </m:r>
          <m:r>
            <m:t>I</m:t>
          </m:r>
          <m:r>
            <m:t>n</m:t>
          </m:r>
          <m:r>
            <m:t>f</m:t>
          </m:r>
          <m:r>
            <m:t>r</m:t>
          </m:r>
          <m:r>
            <m:t>a</m:t>
          </m:r>
          <m:r>
            <m:t>s</m:t>
          </m:r>
          <m:r>
            <m:t>t</m:t>
          </m:r>
          <m:r>
            <m:t>r</m:t>
          </m:r>
          <m:r>
            <m:t>u</m:t>
          </m:r>
          <m:r>
            <m:t>c</m:t>
          </m:r>
          <m:r>
            <m:t>t</m:t>
          </m:r>
          <m:r>
            <m:t>u</m:t>
          </m:r>
          <m:r>
            <m:t>r</m:t>
          </m:r>
          <m:r>
            <m:t>e</m:t>
          </m:r>
          <m:r>
            <m:t>S</m:t>
          </m:r>
          <m:r>
            <m:t>c</m:t>
          </m:r>
          <m:r>
            <m:t>o</m:t>
          </m:r>
          <m:r>
            <m:t>r</m:t>
          </m:r>
          <m:sSub>
            <m:e>
              <m:r>
                <m:t>e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</m:sub>
          </m:sSub>
        </m:oMath>
      </m:oMathPara>
    </w:p>
    <w:bookmarkEnd w:id="84"/>
    <w:bookmarkStart w:id="88" w:name="results-1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-0.1857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0.4737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-0.3919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[-1.1141, 0.7428]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capacity_building_score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1.1001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0.2666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4.1265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3.683e-05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[0.5776, 1.6227]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market_infrastructure_score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0.2693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0.6386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0.5231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[-0.3559, 0.6999]</w:t>
            </w:r>
          </w:p>
        </w:tc>
      </w:tr>
    </w:tbl>
    <w:p>
      <w:pPr>
        <w:pStyle w:val="BodyText"/>
      </w:pPr>
      <w:r>
        <w:t xml:space="preserve">Fit: N = 11 R2 = 0.6781 R2_adj = 0.5977 F = 19.2832 F_p = 0.0008711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Regulatory-text salience by capacity-building salience in cited sources." title="" id="86" name="Picture"/>
            <a:graphic>
              <a:graphicData uri="http://schemas.openxmlformats.org/drawingml/2006/picture">
                <pic:pic>
                  <pic:nvPicPr>
                    <pic:cNvPr descr="D:\Claude_Code\brain\collegium\candidates\dissertations\INTL_GOVERNANCE_12\research_papers\p1\paper_fig1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Regulatory-text salience by capacity-building salience in cited sources.</w:t>
      </w:r>
    </w:p>
    <w:bookmarkEnd w:id="88"/>
    <w:bookmarkStart w:id="92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89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source_short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publication_year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regulatory_text_score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capacity_building_score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market_infrastructure_score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Orbital capacity V&amp;V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Brownhall et al. 2025, AMOS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LEO broadband competition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Young and Thadani 2022, AMOS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Adaptive filtering cislunar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Iannamorelli and LeGrand 2023, AMOS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Electrostatic adhesion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Bryan et al. 2015, AMOS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Small orbital stereo camera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Small Orbital Stereo Tracking Camera Technology Development 2015, AMOS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Human decision processes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Picciano 2013, AMOS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Orbit residual RPO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Cunio et al. 2022, AMOS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Laser institutional bottleneck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Long and Chen 2025, Acta Astronautica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Space capacity management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Colombo et al. 2025, Acta Astronautica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EO disruptions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Denis et al. 2017, Acta Astronautica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SpaceX frontier ethnography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Szolucha 2024, Acta Astronautica</w:t>
            </w:r>
          </w:p>
        </w:tc>
      </w:tr>
    </w:tbl>
    <w:bookmarkEnd w:id="89"/>
    <w:bookmarkStart w:id="90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regulatory_text_score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Count from zero to five of regulatory-text mechanisms: law, regulation, institutional mandate, policy coordination, traffic management, or governance bottleneck.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Manual coding from cited abstract or full text.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capacity_building_score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Count from zero to five of capacity-building mechanisms: training, tool validation, technical assistance, capability development, decision support, or management framework.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Manual coding from cited abstract or full text.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market_infrastructure_score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Count from zero to five of market or infrastructure mechanisms: broadband market, Earth-observation market, commercial services, customer base, launch or orbital infrastructure.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Manual coding from cited abstract or full text.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publication_year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Publication year of the cited source.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Read from AMOS or Acta metadata.</w:t>
            </w:r>
          </w:p>
        </w:tc>
      </w:tr>
    </w:tbl>
    <w:bookmarkEnd w:id="90"/>
    <w:bookmarkStart w:id="91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-0.1857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0.4737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-0.3919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0.6951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[-1.1141, 0.7428]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capacity_building_score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1.1001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0.2666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4.1265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3.683e-05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[0.5776, 1.6227]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market_infrastructure_score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0.2693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0.6386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0.5231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[-0.3559, 0.6999]</w:t>
            </w:r>
          </w:p>
        </w:tc>
      </w:tr>
    </w:tbl>
    <w:p>
      <w:pPr>
        <w:pStyle w:val="BodyText"/>
      </w:pPr>
      <w:r>
        <w:t xml:space="preserve">Fit: N = 11 R2 = 0.6781 R2_adj = 0.5977 F = 19.2832 F_p = 0.0008711</w:t>
      </w:r>
    </w:p>
    <w:bookmarkEnd w:id="91"/>
    <w:bookmarkEnd w:id="92"/>
    <w:bookmarkEnd w:id="93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85" Target="media/rId85.png" /><Relationship Type="http://schemas.openxmlformats.org/officeDocument/2006/relationships/hyperlink" Id="rId80" Target="https://doi.org/10.1016/j.actaastro.2017.04.034" TargetMode="External" /><Relationship Type="http://schemas.openxmlformats.org/officeDocument/2006/relationships/hyperlink" Id="rId82" Target="https://doi.org/10.1016/j.actaastro.2024.06.001" TargetMode="External" /><Relationship Type="http://schemas.openxmlformats.org/officeDocument/2006/relationships/hyperlink" Id="rId76" Target="https://doi.org/10.1016/j.actaastro.2025.01.061" TargetMode="External" /><Relationship Type="http://schemas.openxmlformats.org/officeDocument/2006/relationships/hyperlink" Id="rId78" Target="https://doi.org/10.1016/j.actaastro.2025.01.069" TargetMode="External" /><Relationship Type="http://schemas.openxmlformats.org/officeDocument/2006/relationships/hyperlink" Id="rId70" Target="https://doi.org/10.64861/BJQM5480" TargetMode="External" /><Relationship Type="http://schemas.openxmlformats.org/officeDocument/2006/relationships/hyperlink" Id="rId67" Target="https://doi.org/10.64861/UHIX1013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80" Target="https://doi.org/10.1016/j.actaastro.2017.04.034" TargetMode="External" /><Relationship Type="http://schemas.openxmlformats.org/officeDocument/2006/relationships/hyperlink" Id="rId82" Target="https://doi.org/10.1016/j.actaastro.2024.06.001" TargetMode="External" /><Relationship Type="http://schemas.openxmlformats.org/officeDocument/2006/relationships/hyperlink" Id="rId76" Target="https://doi.org/10.1016/j.actaastro.2025.01.061" TargetMode="External" /><Relationship Type="http://schemas.openxmlformats.org/officeDocument/2006/relationships/hyperlink" Id="rId78" Target="https://doi.org/10.1016/j.actaastro.2025.01.069" TargetMode="External" /><Relationship Type="http://schemas.openxmlformats.org/officeDocument/2006/relationships/hyperlink" Id="rId70" Target="https://doi.org/10.64861/BJQM5480" TargetMode="External" /><Relationship Type="http://schemas.openxmlformats.org/officeDocument/2006/relationships/hyperlink" Id="rId67" Target="https://doi.org/10.64861/UHIX1013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2026-06-28T12:39:31Z</dcterms:created>
  <dcterms:modified xsi:type="dcterms:W3CDTF">2026-06-28T12:39:31Z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