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SOFT POWER AS CAPTURE LEVER: DOES DONOR-STATE SPACE CAPACITY-BUILDING PREDICT RE</w:t>
      </w:r>
    </w:p>
    <w:p>
      <w:pPr>
        <w:jc w:val="center"/>
      </w:pPr>
    </w:p>
    <w:p>
      <w:pPr>
        <w:jc w:val="center"/>
      </w:pPr>
      <w:r>
        <w:rPr>
          <w:rFonts w:ascii="Times New Roman" w:hAnsi="Times New Roman"/>
          <w:sz w:val="24"/>
        </w:rPr>
        <w:t>by</w:t>
      </w:r>
    </w:p>
    <w:p>
      <w:pPr>
        <w:jc w:val="center"/>
      </w:pPr>
      <w:r>
        <w:rPr>
          <w:rFonts w:ascii="Times New Roman" w:hAnsi="Times New Roman"/>
          <w:b/>
          <w:sz w:val="28"/>
        </w:rPr>
        <w:t>Caspar Bauer</w:t>
      </w:r>
    </w:p>
    <w:p>
      <w:pPr>
        <w:jc w:val="center"/>
      </w:pPr>
      <w:r>
        <w:rPr>
          <w:rFonts w:ascii="Times New Roman" w:hAnsi="Times New Roman"/>
          <w:sz w:val="24"/>
        </w:rPr>
        <w:t>1B-IGV-152</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9" w:name="chapter-1.-introduction"/>
    <w:p>
      <w:pPr>
        <w:pStyle w:val="Heading1"/>
        <w:spacing w:line="480" w:lineRule="auto"/>
      </w:pPr>
      <w:r>
        <w:t xml:space="preserve">Chapter 1. Introduction</w:t>
      </w:r>
    </w:p>
    <w:p>
      <w:pPr>
        <w:pStyle w:val="FirstParagraph"/>
        <w:spacing w:line="480" w:lineRule="auto"/>
      </w:pPr>
      <w:r>
        <w:t xml:space="preserve">Space governance has quietly changed category. That distinction matters. For most of the satellite era, the rules that mattered lived inside engineering: orbital mechanics, radio-frequency coordination, launch safety margins. Those rules still matter. What is new is that the same technical decisions now carry commercial weight, security weight, and diplomatic weight at once, and the states that write the rules early gain an advantage over the states that adopt them later. Low-Earth-orbit broadband is now discussed in openly strategic terms, a contest over spectrum, licensing pathways, and market position instead of a neutral engineering rollout</w:t>
      </w:r>
      <w:r>
        <w:t xml:space="preserve"> </w:t>
      </w:r>
      <w:hyperlink w:anchor="ref-2">
        <w:r>
          <w:rPr>
            <w:rStyle w:val="Hyperlink"/>
          </w:rPr>
          <w:t xml:space="preserve">[2]</w:t>
        </w:r>
      </w:hyperlink>
      <w:r>
        <w:t xml:space="preserve">. Earth-observation systems and their markets are undergoing a possible structural disruption, with new entrants and new customer classes reshaping who buys imagery and under what legal terms</w:t>
      </w:r>
      <w:r>
        <w:t xml:space="preserve"> </w:t>
      </w:r>
      <w:hyperlink w:anchor="ref-5">
        <w:r>
          <w:rPr>
            <w:rStyle w:val="Hyperlink"/>
          </w:rPr>
          <w:t xml:space="preserve">[5]</w:t>
        </w:r>
      </w:hyperlink>
      <w:r>
        <w:t xml:space="preserve">. Space capacity management has become entangled with space traffic management, so a state’s technical ability to operate in orbit is inseparable from its willingness to coordinate through shared regulatory practice</w:t>
      </w:r>
      <w:r>
        <w:t xml:space="preserve"> </w:t>
      </w:r>
      <w:hyperlink w:anchor="ref-4">
        <w:r>
          <w:rPr>
            <w:rStyle w:val="Hyperlink"/>
          </w:rPr>
          <w:t xml:space="preserve">[4]</w:t>
        </w:r>
      </w:hyperlink>
      <w:r>
        <w:t xml:space="preserve">. When rulemaking becomes this consequential, teaching another state how to make rules stops being charity and starts being influence.</w:t>
      </w:r>
    </w:p>
    <w:p>
      <w:pPr>
        <w:pStyle w:val="BodyText"/>
        <w:spacing w:line="480" w:lineRule="auto"/>
        <w:ind w:firstLine="720"/>
      </w:pPr>
      <w:r>
        <w:t xml:space="preserve">The evidence trail is concrete here: that is the phenomenon this dissertation takes seriously.</w:t>
      </w:r>
    </w:p>
    <w:p>
      <w:pPr>
        <w:pStyle w:val="BodyText"/>
        <w:spacing w:line="480" w:lineRule="auto"/>
        <w:ind w:firstLine="720"/>
      </w:pPr>
      <w:r>
        <w:t xml:space="preserve">Donor states run space capacity-building programs: training courses, technical advisory missions, fellowships, hosted-payload access, legal-drafting workshops, and regulatory advice delivered through bilateral aid channels and multilateral bodies. The boundary is empirical. These programs are usually justified in developmental language. They increase a recipient’s technical competence, help it join the space economy, and let it participate in orbital safety regimes. The justification is real. The question is whether it is the whole story.</w:t>
      </w:r>
    </w:p>
    <w:bookmarkStart w:id="61" w:name="the-problem"/>
    <w:p>
      <w:pPr>
        <w:pStyle w:val="Heading2"/>
        <w:spacing w:line="480" w:lineRule="auto"/>
      </w:pPr>
      <w:r>
        <w:t xml:space="preserve">1.1 The problem</w:t>
      </w:r>
    </w:p>
    <w:p>
      <w:pPr>
        <w:pStyle w:val="FirstParagraph"/>
        <w:spacing w:line="480" w:lineRule="auto"/>
      </w:pPr>
      <w:r>
        <w:t xml:space="preserve">For the program record, we do not know, in any measured way, whether donor-led space capacity-building changes how recipient states regulate.</w:t>
      </w:r>
    </w:p>
    <w:p>
      <w:pPr>
        <w:pStyle w:val="BodyText"/>
        <w:spacing w:line="480" w:lineRule="auto"/>
        <w:ind w:firstLine="720"/>
      </w:pPr>
      <w:r>
        <w:t xml:space="preserve">For this literature, the that describes space capability and the literature that describes space politics have not been joined at the point where they would have to meet, which is a country-year record of who received assistance and what they later enacted into law. The record is explicit. Technical work establishes that even measuring orbital capacity is a specialized problem requiring verification and validation across tools of differing fidelity</w:t>
      </w:r>
      <w:r>
        <w:t xml:space="preserve"> </w:t>
      </w:r>
      <w:hyperlink w:anchor="ref-1">
        <w:r>
          <w:rPr>
            <w:rStyle w:val="Hyperlink"/>
          </w:rPr>
          <w:t xml:space="preserve">[1]</w:t>
        </w:r>
      </w:hyperlink>
      <w:r>
        <w:t xml:space="preserve">. Governance-facing work establishes that institutional bottlenecks shape whether a technology can be used at all, as in the case of laser applications in outer space, where the binding constraint is regulatory instead of physical</w:t>
      </w:r>
      <w:r>
        <w:t xml:space="preserve"> </w:t>
      </w:r>
      <w:hyperlink w:anchor="ref-3">
        <w:r>
          <w:rPr>
            <w:rStyle w:val="Hyperlink"/>
          </w:rPr>
          <w:t xml:space="preserve">[3]</w:t>
        </w:r>
      </w:hyperlink>
      <w:r>
        <w:t xml:space="preserve">. These are strong claims about why the regulatory setting is important. Neither claim tells us whether a donor’s assistance predicts a recipient’s regulatory choices. Call the outcome regulatory emulation, abbreviated Re. Re is the degree to which a recipient state’s enacted space-governance model moves toward a donor’s model after exposure to that donor’s capacity-building. Emulation is not competence. A state can grow more capable without adopting anyone’s regulatory template, and it can adopt a template without growing more capable. Re isolates the political residue of assistance: the part that shows up in statutes, licensing rules, liability provisions, debris-mitigation requirements, registration practice, spectrum posture, and the institutional mandate of a national space body. If capacity-building leaves that residue, then it functions as a soft-power channel, whatever its stated developmental purpose. The distinction is the whole point. Without it, every legal similarity between two states could be mislabeled as influence, when it might instead reflect shared treaties, common templates circulating through multilateral forums, or simple market imitation.</w:t>
      </w:r>
    </w:p>
    <w:bookmarkEnd w:id="61"/>
    <w:bookmarkStart w:id="62" w:name="Xdd58734bf9ca0f1bd99b8a56111716f6503823c"/>
    <w:p>
      <w:pPr>
        <w:pStyle w:val="Heading2"/>
        <w:spacing w:line="480" w:lineRule="auto"/>
      </w:pPr>
      <w:r>
        <w:t xml:space="preserve">1.2 Three forces that made the question urgent</w:t>
      </w:r>
    </w:p>
    <w:p>
      <w:pPr>
        <w:pStyle w:val="FirstParagraph"/>
        <w:spacing w:line="480" w:lineRule="auto"/>
      </w:pPr>
      <w:r>
        <w:t xml:space="preserve">The question would have been marginal twenty years ago, when spacefaring states were few and national space law was thin.</w:t>
      </w:r>
    </w:p>
    <w:p>
      <w:pPr>
        <w:pStyle w:val="BodyText"/>
        <w:spacing w:line="480" w:lineRule="auto"/>
        <w:ind w:firstLine="720"/>
      </w:pPr>
      <w:r>
        <w:t xml:space="preserve">Three developments changed that, and each appears in the cited literature. The coding choice is visible. The first is the collapse of the boundary between technical capability and regulatory coordination. Colombo and colleagues show that space capacity management, once a matter of counting objects and modeling collision risk, now feeds directly into space traffic management, which is a rulemaking activity requiring agreement among operators and states about priority, notification, and liability</w:t>
      </w:r>
      <w:r>
        <w:t xml:space="preserve"> </w:t>
      </w:r>
      <w:hyperlink w:anchor="ref-4">
        <w:r>
          <w:rPr>
            <w:rStyle w:val="Hyperlink"/>
          </w:rPr>
          <w:t xml:space="preserve">[4]</w:t>
        </w:r>
      </w:hyperlink>
      <w:r>
        <w:t xml:space="preserve">. A state that acquires the technical ability to model orbital congestion inherits, with it, a set of coordination expectations. Those expectations do not stay technical. They condense into national instruments, and the assumptions built into a modeling tool become assumptions built into a statute. For a replicator, the second development is commercialization at scale. Broadband from low orbit is no longer a demonstration; it is a market with billions of potential subscribers and a contest over which power’s standards and licensing regimes the rest of the world adopts</w:t>
      </w:r>
      <w:r>
        <w:t xml:space="preserve"> </w:t>
      </w:r>
      <w:hyperlink w:anchor="ref-2">
        <w:r>
          <w:rPr>
            <w:rStyle w:val="Hyperlink"/>
          </w:rPr>
          <w:t xml:space="preserve">[2]</w:t>
        </w:r>
      </w:hyperlink>
      <w:r>
        <w:t xml:space="preserve">. Earth observation is following, moving from a handful of institutional buyers toward mass markets</w:t>
      </w:r>
      <w:r>
        <w:t xml:space="preserve"> </w:t>
      </w:r>
      <w:hyperlink w:anchor="ref-5">
        <w:r>
          <w:rPr>
            <w:rStyle w:val="Hyperlink"/>
          </w:rPr>
          <w:t xml:space="preserve">[5]</w:t>
        </w:r>
      </w:hyperlink>
      <w:r>
        <w:t xml:space="preserve">. Commercialization matters for this dissertation since a regulatory template adopted when a market is young governs a much larger community once that market matures. The stakes of who writes the early rules rise with the size of the eventual user base, which is precisely why the market gradient in Chapter 6 belongs in the argument instead of in the background.</w:t>
      </w:r>
    </w:p>
    <w:p>
      <w:pPr>
        <w:pStyle w:val="BodyText"/>
        <w:spacing w:line="480" w:lineRule="auto"/>
        <w:ind w:firstLine="720"/>
      </w:pPr>
      <w:r>
        <w:t xml:space="preserve">For this third, the development is the proliferation of first-generation space laws. The claim remains testable. A growing number of states are drafting their first national space legislation, and they are doing it under time and capacity constraints that make borrowed templates attractive. A ministry writing its first launch-licensing regime from scratch faces a very different choice than one revising a mature body of law. The former is far more exposed to whatever framework arrives with technical assistance, since it has less independent capacity to compare alternatives. The convergence of these three forces, technical-regulatory fusion, commercialization, and first-generation lawmaking, is what turns donor capacity-building from a developmental footnote into a plausible channel of regulatory influence</w:t>
      </w:r>
      <w:r>
        <w:t xml:space="preserve"> </w:t>
      </w:r>
      <w:hyperlink w:anchor="ref-3">
        <w:r>
          <w:rPr>
            <w:rStyle w:val="Hyperlink"/>
          </w:rPr>
          <w:t xml:space="preserve">[3]</w:t>
        </w:r>
      </w:hyperlink>
      <w:r>
        <w:t xml:space="preserve">.</w:t>
      </w:r>
    </w:p>
    <w:bookmarkEnd w:id="62"/>
    <w:bookmarkStart w:id="63" w:name="why-the-stakes-are-real"/>
    <w:p>
      <w:pPr>
        <w:pStyle w:val="Heading2"/>
        <w:spacing w:line="480" w:lineRule="auto"/>
      </w:pPr>
      <w:r>
        <w:t xml:space="preserve">1.3 Why the stakes are real</w:t>
      </w:r>
    </w:p>
    <w:p>
      <w:pPr>
        <w:pStyle w:val="FirstParagraph"/>
        <w:spacing w:line="480" w:lineRule="auto"/>
      </w:pPr>
      <w:r>
        <w:t xml:space="preserve">Consider what follows if the answer is yes. That is the design constraint. A donor that funds space training would be, in measurable part, exporting a regulatory model, and the choice of which states to assist would become a choice about which regulatory model spreads. That reframes capacity-building from a line item in a development budget into an instrument of orbital order. Debris-mitigation norms, remote-sensing data policies, and licensing regimes would diffuse not only through treaties and standards bodies but through the quieter route of who trained whom. For a rising number of states standing up first-generation space laws, the donor they learn from may determine the shape of the law they pass. The data construction is deliberately visible: consider what follows if the answer is no. Then the developmental framing holds. Capacity-building raises competence without steering regulation, recipient states retain genuine policy autonomy, and the worry about soft-power capture is misplaced. Distinguishing these two worlds is not a philosophical exercise. It bears directly on how donor programs should be designed, disclosed, and evaluated, and on whether recipient states should treat an offer of assistance as neutral help or as a nudge toward someone else’s rulebook. A null finding here would be substantively meaningful instead of a disappointment, since it would tell governments that space assistance can build operational skill without quietly reshaping domestic law.</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For this operational, the question is narrower: the dissertation makes one contribution, and it is designed to be falsifiable. That distinction matters. The contribution is a country-year test of whether recipient states exposed to donor-state space capacity-building subsequently move closer to the donor’s space-regulatory model than comparable states that were not yet exposed. The design is a staggered difference-in-differences event study. The unit is the recipient-donor-country-year. Treatment turns on in the first year a recipient receives an identified donor space capacity-building intervention. The outcome is a regulatory-emulation score built from national legal texts, with a binary first-enactment version used as a robustness check. The null and the alternative are stated flatly. Under the null, exposure produces no statistically detectable change in later regulatory emulation relative to comparable not-yet-exposed country-years. Under the alternative, exposure produces a positive and detectable increase. The design lets the data pick between them. It does so through recipient fixed effects that absorb time-invariant national traits, year fixed effects that absorb common shocks, donor-year fixed effects that absorb a donor’s annual priorities, and pre-trend diagnostics that check whether treated and control units were already diverging before assistance arrived. Because the data are observational, the estimand is a design-based association that earns a causal reading only to the extent the timing, pre-trend, and robustness tests support it. Overclaiming here would be a design failure, not a rhetorical flourish.</w:t>
      </w:r>
    </w:p>
    <w:bookmarkEnd w:id="64"/>
    <w:bookmarkStart w:id="65" w:name="Xf7bf1eea9fdb3b4108f93cce23a482213ba433a"/>
    <w:p>
      <w:pPr>
        <w:pStyle w:val="Heading2"/>
        <w:spacing w:line="480" w:lineRule="auto"/>
      </w:pPr>
      <w:r>
        <w:t xml:space="preserve">1.5 What the empirical papers establish, and what they do not</w:t>
      </w:r>
    </w:p>
    <w:p>
      <w:pPr>
        <w:pStyle w:val="FirstParagraph"/>
        <w:spacing w:line="480" w:lineRule="auto"/>
      </w:pPr>
      <w:r>
        <w:t xml:space="preserve">This is a design-stage dissertation, and honesty about that status is load-bearing. The boundary is empirical. The full country-year panel has not been estimated. What has been estimated are two source-audit papers that test whether the evidence base even supports building the panel record. They are not the treatment-effect test. They are the warrant for attempting it. The evidence trail is concrete here: the first paper audits the cited source corpus. It codes eleven AMOS and Acta sources for three salience scores and asks, with ordinary least squares, whether sources that foreground capacity-building also foreground regulatory and institutional mechanisms. They do. The capacity-building coefficient is 1.100 with p below 0.001, and the fitted specification explains a substantial share of variance, with R-squared of 0.678. Market-infrastructure salience points the same direction but is statistically uncertain. The reading is bounded and deliberate: in this corpus, capacity-building language travels with regulatory language, which is why recipient legal texts are a defensible outcome to measure</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4">
        <w:r>
          <w:rPr>
            <w:rStyle w:val="Hyperlink"/>
          </w:rPr>
          <w:t xml:space="preserve">[4]</w:t>
        </w:r>
      </w:hyperlink>
      <w:r>
        <w:t xml:space="preserve">. It does not show that recipients emulate. It shows the mechanism is plausible enough to test.</w:t>
      </w:r>
    </w:p>
    <w:p>
      <w:pPr>
        <w:pStyle w:val="BodyText"/>
        <w:spacing w:line="480" w:lineRule="auto"/>
        <w:ind w:firstLine="720"/>
      </w:pPr>
      <w:r>
        <w:t xml:space="preserve">For this second, the paper takes the Earth-observation customer table from Denis et al. and treats it as a source-backed market dataset</w:t>
      </w:r>
      <w:r>
        <w:t xml:space="preserve"> </w:t>
      </w:r>
      <w:hyperlink w:anchor="ref-5">
        <w:r>
          <w:rPr>
            <w:rStyle w:val="Hyperlink"/>
          </w:rPr>
          <w:t xml:space="preserve">[5]</w:t>
        </w:r>
      </w:hyperlink>
      <w:r>
        <w:t xml:space="preserve">. Across the four customer categories, a log-log fit of customer scale on table order yields an elasticity of 0.685 with p equal to 0.003 and R-squared of 0.786. The categories climb from hundred-scale defence and institutional users toward million-scale consumer markets. The lesson for the main design is that capacity-building never lands in a neutral environment. A recipient building institutional Earth-observation services faces different regulatory pressures than one building consumer-facing geospatial products, which is a reason to control for baseline market position instead of narrate it.</w:t>
      </w:r>
    </w:p>
    <w:bookmarkEnd w:id="65"/>
    <w:bookmarkStart w:id="66" w:name="a-worked-illustration-of-the-mechanism"/>
    <w:p>
      <w:pPr>
        <w:pStyle w:val="Heading2"/>
        <w:spacing w:line="480" w:lineRule="auto"/>
      </w:pPr>
      <w:r>
        <w:t xml:space="preserve">1.6 A worked illustration of the mechanism</w:t>
      </w:r>
    </w:p>
    <w:p>
      <w:pPr>
        <w:pStyle w:val="FirstParagraph"/>
        <w:spacing w:line="480" w:lineRule="auto"/>
      </w:pPr>
      <w:r>
        <w:t xml:space="preserve">An abstract mechanism is easier to grasp through a concrete, if stylized, sequence. The record is explicit. Picture a mid-sized state standing up its first national space agency. It has ambitions in Earth observation and a handful of small satellites, but no launch-licensing office, no resident space-law drafting shop, and a legal staff of two who have never written a debris-mitigation rule. A donor offers a six-month advisory engagement: a fellowship for one of the two lawyers, a technical assistance mission on spectrum coordination, and a package of model licensing clauses drawn from the donor’s own regulatory practice. Nothing is coerced. Every element is helpful, and every element carries content.</w:t>
      </w:r>
    </w:p>
    <w:p>
      <w:pPr>
        <w:pStyle w:val="BodyText"/>
        <w:spacing w:line="480" w:lineRule="auto"/>
        <w:ind w:firstLine="720"/>
      </w:pPr>
      <w:r>
        <w:t xml:space="preserve">For this archival, the record matters here: watch what the recipient’s two lawyers actually do. The coding choice is visible. Facing a deadline to produce a licensing regime and lacking any independent basis for comparing the donor’s model against alternatives, they adapt the fitted specification clauses instead of draft from a blank page, since the fitted specification clauses are available, annotated, and already defended inside a working regulator. The spectrum posture they adopt is the one the technical mission taught, since it is the one that interoperates with the systems they expect to use. Two years later, the recipient enacts a space law whose licensing, liability, and registration provisions resemble the donor’s, not since anyone was captured, but since the donor path was the cheapest coherent path available under real constraints</w:t>
      </w:r>
      <w:r>
        <w:t xml:space="preserve"> </w:t>
      </w:r>
      <w:hyperlink w:anchor="ref-3">
        <w:r>
          <w:rPr>
            <w:rStyle w:val="Hyperlink"/>
          </w:rPr>
          <w:t xml:space="preserve">[3]</w:t>
        </w:r>
      </w:hyperlink>
      <w:r>
        <w:t xml:space="preserve"> </w:t>
      </w:r>
      <w:hyperlink w:anchor="ref-4">
        <w:r>
          <w:rPr>
            <w:rStyle w:val="Hyperlink"/>
          </w:rPr>
          <w:t xml:space="preserve">[4]</w:t>
        </w:r>
      </w:hyperlink>
      <w:r>
        <w:t xml:space="preserve">. That resemblance is what Re is built to measure, and the sequence is what the country-year design is built to detect against the alternative that the recipient would have reached the same text on its own.</w:t>
      </w:r>
    </w:p>
    <w:p>
      <w:pPr>
        <w:pStyle w:val="BodyText"/>
        <w:spacing w:line="480" w:lineRule="auto"/>
        <w:ind w:firstLine="720"/>
      </w:pPr>
      <w:r>
        <w:t xml:space="preserve">For this illustration, the also shows where the mechanism can fail, which is why it is a test instead of an assumption. The claim remains testable. If the recipient had a mature legal shop, it would compare alternatives and the donor’s cost advantage would vanish. If the assistance had been pure sensor calibration with no policy content, there would be no template to adopt. If the recipient copied the clauses into a statute but never stood up an enforcing office, the emulation would be textual only. Each failure mode corresponds to a scope condition the later chapters make explicit, and each is a reason the dissertation measures instead of assumes the effect</w:t>
      </w:r>
      <w:r>
        <w:t xml:space="preserve"> </w:t>
      </w:r>
      <w:hyperlink w:anchor="ref-1">
        <w:r>
          <w:rPr>
            <w:rStyle w:val="Hyperlink"/>
          </w:rPr>
          <w:t xml:space="preserve">[1]</w:t>
        </w:r>
      </w:hyperlink>
      <w:r>
        <w:t xml:space="preserve">.</w:t>
      </w:r>
    </w:p>
    <w:bookmarkEnd w:id="66"/>
    <w:bookmarkStart w:id="67" w:name="scope-and-definitions"/>
    <w:p>
      <w:pPr>
        <w:pStyle w:val="Heading2"/>
        <w:spacing w:line="480" w:lineRule="auto"/>
      </w:pPr>
      <w:r>
        <w:t xml:space="preserve">1.7 Scope and definitions</w:t>
      </w:r>
    </w:p>
    <w:p>
      <w:pPr>
        <w:pStyle w:val="FirstParagraph"/>
        <w:spacing w:line="480" w:lineRule="auto"/>
      </w:pPr>
      <w:r>
        <w:t xml:space="preserve">Three terms need pinning down before the argument proceeds, since loose use of any of them would let the thesis claim more than it can support. That is the design constraint. Capacity-building, as used here, means a donor-delivered or donor-funded intervention whose explicit content concerns space policy, satellite applications, space law, remote sensing, space traffic, spectrum, registration, debris mitigation, launch regulation, or national space institutional development. The definition is intentionally broad enough to catch fellowships and hosted-payload access alongside legal-drafting workshops, and intentionally tied to identifiable project records so that treatment can be dated instead of inferred. An intervention that leaves no documentary trace cannot enter the design, and that limit is stated openly instead of papered over. The chapter treats this as an empirical claim: regulatory emulation, the outcome, means measurable movement of a recipient’s enacted or amended legal text toward a donor’s national space-governance corpus, after exposure and relative to a comparable unexposed baseline. It is a similarity, not a loyalty, and it lives in text: licensing rules, liability provisions, registration procedures, remote-sensing rules, debris language, and agency mandates. The choice to measure text instead of behavior is a deliberate scope restriction. It means the dissertation can speak to what a state writes into law and not to whether it enforces what it writes, and that boundary is honored consistently through every later chapter.</w:t>
      </w:r>
    </w:p>
    <w:p>
      <w:pPr>
        <w:pStyle w:val="BodyText"/>
        <w:spacing w:line="480" w:lineRule="auto"/>
        <w:ind w:firstLine="720"/>
      </w:pPr>
      <w:r>
        <w:t xml:space="preserve">For this donor, the model is the reference against which emulation is scored. That distinction matters. It is assembled from a donor state’s own legal texts, drawn from official repositories and space-agency or ministry sources, so that emulation is measured against something concrete and public instead of an abstract ideal type. Defining the fitted specification this way makes the placebo-donor test possible, since a recipient’s text can be scored against the intended donor and against an alternative donor, and only movement toward the intended donor’s specific corpus counts as emulation of that donor. Convergence on a shared global template, by contrast, would show up as similarity to many donors at once, which the design treats as harmonization instead of capture</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67"/>
    <w:bookmarkStart w:id="68" w:name="roadmap"/>
    <w:p>
      <w:pPr>
        <w:pStyle w:val="Heading2"/>
        <w:spacing w:line="480" w:lineRule="auto"/>
      </w:pPr>
      <w:r>
        <w:t xml:space="preserve">1.7 Roadmap</w:t>
      </w:r>
    </w:p>
    <w:p>
      <w:pPr>
        <w:pStyle w:val="FirstParagraph"/>
        <w:spacing w:line="480" w:lineRule="auto"/>
      </w:pPr>
      <w:r>
        <w:t xml:space="preserve">For this chapters, the proceed in the order a skeptical reader would demand. The boundary is empirical. Chapter 2 situates the argument against prior work, drawing the two unjoined literatures, the technical-operational and the social-political, into the frame where a diffusion test becomes possible. Chapter 3 states the theory and the hypotheses, specifying the soft-power mechanism and the testable predictions it implies. Chapter 4 sets out the methodology and identification, explaining why a staggered difference-in-differences event study identifies the effect instead of a confound. Chapter 5 describes the data and measurement, naming the real datasets, the variable-construction rules, and the sources of the country-year record. Chapter 6 reports results, presenting the two empirical papers’ estimator output exactly and interpreting the signs and magnitudes. Chapter 7 turns to discussion and limitations, the threats to validity and the boundaries of what the data can show. Chapter 8 draws conclusions and implications for governance and program design, and states the future work the full panel requires.</w:t>
      </w:r>
    </w:p>
    <w:p>
      <w:pPr>
        <w:pStyle w:val="BodyText"/>
        <w:spacing w:line="480" w:lineRule="auto"/>
        <w:ind w:firstLine="720"/>
      </w:pPr>
      <w:r>
        <w:t xml:space="preserve">For this operational, the question is narrower: the through-line is simple. The record is explicit. Capacity-building may be teaching states not just how to operate in space but whose rules to write down, and this dissertation builds the test that would tell us whether that is true. Everything that follows serves that single question, and every claim is kept inside the boundary the evidence can support</w:t>
      </w:r>
      <w:r>
        <w:t xml:space="preserve"> </w:t>
      </w:r>
      <w:hyperlink w:anchor="ref-6">
        <w:r>
          <w:rPr>
            <w:rStyle w:val="Hyperlink"/>
          </w:rPr>
          <w:t xml:space="preserve">[6]</w:t>
        </w:r>
      </w:hyperlink>
      <w:r>
        <w:t xml:space="preserve">. A final word on posture. This is a dissertation that says less than it might, on purpose. It could have asserted that donors capture recipients and dressed the assertion in the language of mechanism. It does not, since the data in hand cannot support that assertion, and a claim that outruns its evidence is worse than no claim at all. What it offers instead is a precise question, a design capable of answering it, and two honest audits showing the design is worth building. The reader should judge it on whether the question is well-posed and the design is sound, not on whether it delivers a verdict, since delivering a verdict prematurely is exactly the failure the whole structure is arranged to avoid</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End w:id="68"/>
    <w:bookmarkEnd w:id="69"/>
    <w:bookmarkStart w:id="80" w:name="chapter-2.-literature-and-prior-work"/>
    <w:p>
      <w:pPr>
        <w:pStyle w:val="Heading1"/>
        <w:spacing w:line="480" w:lineRule="auto"/>
      </w:pPr>
      <w:r>
        <w:t xml:space="preserve">Chapter 2. Literature and Prior Work</w:t>
      </w:r>
    </w:p>
    <w:p>
      <w:pPr>
        <w:pStyle w:val="FirstParagraph"/>
        <w:spacing w:line="480" w:lineRule="auto"/>
      </w:pPr>
      <w:r>
        <w:t xml:space="preserve">The argument of this dissertation sits in a gap between two literatures that rarely cite each other.</w:t>
      </w:r>
    </w:p>
    <w:p>
      <w:pPr>
        <w:pStyle w:val="BodyText"/>
        <w:spacing w:line="480" w:lineRule="auto"/>
        <w:ind w:firstLine="720"/>
      </w:pPr>
      <w:r>
        <w:t xml:space="preserve">One describes what space systems can do and how hard they are to measure and manage. The coding choice is visible. The other describes what space means politically and socially. Each is mature on its own terms. Neither, on its own, tests whether a donor’s technical assistance changes a recipient’s law. The chapter reads both, marks where they stop, and shows why the stopping point is precisely where a diffusion test has to begin.</w:t>
      </w:r>
    </w:p>
    <w:bookmarkStart w:id="70" w:name="the-technical-and-operational-literature"/>
    <w:p>
      <w:pPr>
        <w:pStyle w:val="Heading2"/>
        <w:spacing w:line="480" w:lineRule="auto"/>
      </w:pPr>
      <w:r>
        <w:t xml:space="preserve">2.1 The technical and operational literature</w:t>
      </w:r>
    </w:p>
    <w:p>
      <w:pPr>
        <w:pStyle w:val="FirstParagraph"/>
        <w:spacing w:line="480" w:lineRule="auto"/>
      </w:pPr>
      <w:r>
        <w:t xml:space="preserve">Start with the work that treats space as an engineering and management problem. The claim remains testable. Orbital capacity is not a metaphor; it is a quantity that has to be estimated, and estimating it is itself a research problem. Brownhall and colleagues examine the verification and validation of orbital-capacity assessment tools across a range of fidelities, comparing fast flux models against slower Monte Carlo simulations and asking how well the cheaper tool reproduces the expensive one</w:t>
      </w:r>
      <w:r>
        <w:t xml:space="preserve"> </w:t>
      </w:r>
      <w:hyperlink w:anchor="ref-1">
        <w:r>
          <w:rPr>
            <w:rStyle w:val="Hyperlink"/>
          </w:rPr>
          <w:t xml:space="preserve">[1]</w:t>
        </w:r>
      </w:hyperlink>
      <w:r>
        <w:t xml:space="preserve">. The finding that a coarse-binned flux model can track a Monte Carlo population trajectory closely, at a fraction of the runtime, is not incidental to governance. It means that any state deciding on debris thresholds, carrying-capacity limits, or licensing caps depends on a tool chain, and most emerging space agencies will not build that tool chain themselves. Whoever supplies the validated tool supplies the analytic frame in which the rule gets written.</w:t>
      </w:r>
    </w:p>
    <w:p>
      <w:pPr>
        <w:pStyle w:val="BodyText"/>
        <w:spacing w:line="480" w:lineRule="auto"/>
        <w:ind w:firstLine="720"/>
      </w:pPr>
      <w:r>
        <w:t xml:space="preserve">For the program record, space capacity and space traffic turn out to be inseparable.</w:t>
      </w:r>
    </w:p>
    <w:p>
      <w:pPr>
        <w:pStyle w:val="BodyText"/>
        <w:spacing w:line="480" w:lineRule="auto"/>
        <w:ind w:firstLine="720"/>
      </w:pPr>
      <w:r>
        <w:t xml:space="preserve">Colombo and colleagues connect space capacity management directly to space traffic management, treating orbital congestion not as a purely physical constraint but as one that demands regulatory coordination among operators and states</w:t>
      </w:r>
      <w:r>
        <w:t xml:space="preserve"> </w:t>
      </w:r>
      <w:hyperlink w:anchor="ref-4">
        <w:r>
          <w:rPr>
            <w:rStyle w:val="Hyperlink"/>
          </w:rPr>
          <w:t xml:space="preserve">[4]</w:t>
        </w:r>
      </w:hyperlink>
      <w:r>
        <w:t xml:space="preserve">. This matters for the present design since it dissolves the boundary between technical competence and rulemaking. A state that learns to model congestion is also being handed a set of coordination norms, and those norms carry assumptions about liability, priority, and shared responsibility that will later appear, or fail to appear, in national instruments.</w:t>
      </w:r>
    </w:p>
    <w:p>
      <w:pPr>
        <w:pStyle w:val="BodyText"/>
        <w:spacing w:line="480" w:lineRule="auto"/>
        <w:ind w:firstLine="720"/>
      </w:pPr>
      <w:r>
        <w:t xml:space="preserve">Market scholarship adds strategic stakes. That is the design constraint. Young and Thadani frame low-Earth-orbit broadband as a competition with real winners and losers, describing spectrum contests, licensing regimes, and the institutional rivalry between major powers over which standards the rest of the world adopts</w:t>
      </w:r>
      <w:r>
        <w:t xml:space="preserve"> </w:t>
      </w:r>
      <w:hyperlink w:anchor="ref-2">
        <w:r>
          <w:rPr>
            <w:rStyle w:val="Hyperlink"/>
          </w:rPr>
          <w:t xml:space="preserve">[2]</w:t>
        </w:r>
      </w:hyperlink>
      <w:r>
        <w:t xml:space="preserve">. Their account is useful here for a specific reason. It shows that in at least one domain, communications, capacity-building is never purely technical, since helping a state stand up its spectrum and licensing posture aligns that state with a donor’s commercial ecosystem. Denis and colleagues do the parallel work for Earth observation, mapping how new systems and new customer classes may disrupt existing markets and, with them, the regulatory arrangements that govern data access and dissemination</w:t>
      </w:r>
      <w:r>
        <w:t xml:space="preserve"> </w:t>
      </w:r>
      <w:hyperlink w:anchor="ref-5">
        <w:r>
          <w:rPr>
            <w:rStyle w:val="Hyperlink"/>
          </w:rPr>
          <w:t xml:space="preserve">[5]</w:t>
        </w:r>
      </w:hyperlink>
      <w:r>
        <w:t xml:space="preserve">. Both papers describe a moving target: the technical rules are being rewritten as the markets grow, which is exactly the condition under which a donor’s early template can lodge in a recipient’s law.</w:t>
      </w:r>
    </w:p>
    <w:p>
      <w:pPr>
        <w:pStyle w:val="BodyText"/>
        <w:spacing w:line="480" w:lineRule="auto"/>
        <w:ind w:firstLine="720"/>
      </w:pPr>
      <w:r>
        <w:t xml:space="preserve">The archival record matters here: governance bottlenecks appear even where the physics is settled.</w:t>
      </w:r>
    </w:p>
    <w:p>
      <w:pPr>
        <w:pStyle w:val="BodyText"/>
        <w:spacing w:line="480" w:lineRule="auto"/>
        <w:ind w:firstLine="720"/>
      </w:pPr>
      <w:r>
        <w:t xml:space="preserve">Long and Chen study laser utilization in outer space and find that the constraint on deployment is institutional instead of technical, a bottleneck of rules, mandates, and coordination instead of of capability</w:t>
      </w:r>
      <w:r>
        <w:t xml:space="preserve"> </w:t>
      </w:r>
      <w:hyperlink w:anchor="ref-3">
        <w:r>
          <w:rPr>
            <w:rStyle w:val="Hyperlink"/>
          </w:rPr>
          <w:t xml:space="preserve">[3]</w:t>
        </w:r>
      </w:hyperlink>
      <w:r>
        <w:t xml:space="preserve">. This is an important complement to the capacity literature. It shows that the regulatory layer is not a passive downstream consequence of technical progress; it can be the decisive variable. If institutions gate technology, then the institutions a state inherits, or is taught, shape what it can do. That is the hinge on which the soft-power argument turns.</w:t>
      </w:r>
    </w:p>
    <w:bookmarkEnd w:id="70"/>
    <w:bookmarkStart w:id="71" w:name="X7b1f2a0c8c1ad22eb6c91ecc071ef67e0491535"/>
    <w:p>
      <w:pPr>
        <w:pStyle w:val="Heading2"/>
        <w:spacing w:line="480" w:lineRule="auto"/>
      </w:pPr>
      <w:r>
        <w:t xml:space="preserve">2.2 What the technical literature does not do</w:t>
      </w:r>
    </w:p>
    <w:p>
      <w:pPr>
        <w:pStyle w:val="FirstParagraph"/>
        <w:spacing w:line="480" w:lineRule="auto"/>
      </w:pPr>
      <w:r>
        <w:t xml:space="preserve">For a replicator, for all its precision, this literature stops short of the political question. That distinction matters. It establishes that regulation matters, that capacity and traffic are linked, that markets are contested, and that bottlenecks are institutional. It does not test whether one state’s assistance produces another state’s rules. The unit of analysis in these papers is a model, a market, a technology, or a coordination regime, never a recipient-donor-country-year with a treatment date and a measured legal outcome. The papers supply the reasons the regulatory setting is consequential. They do not supply a design capable of attributing a recipient’s regulatory movement to a donor’s intervention. The gap is not a flaw in these works; it is a different question they never set out to answer.</w:t>
      </w:r>
    </w:p>
    <w:bookmarkEnd w:id="71"/>
    <w:bookmarkStart w:id="72" w:name="X059b278ee15e224c268df59581c45228c35f351"/>
    <w:p>
      <w:pPr>
        <w:pStyle w:val="Heading2"/>
        <w:spacing w:line="480" w:lineRule="auto"/>
      </w:pPr>
      <w:r>
        <w:t xml:space="preserve">2.3 Diffusion, soft power, and the missing space case</w:t>
      </w:r>
    </w:p>
    <w:p>
      <w:pPr>
        <w:pStyle w:val="FirstParagraph"/>
        <w:spacing w:line="480" w:lineRule="auto"/>
      </w:pPr>
      <w:r>
        <w:t xml:space="preserve">For this chapter, the treats this as an empirical claim: regulatory diffusion is a well-developed idea in political science and international relations, even though the cited space corpus does not engage it directly. The boundary is empirical. States copy one another’s rules for familiar reasons: to coordinate with trading partners, to signal membership in a club, to economize on the cost of drafting from scratch, and to borrow the legitimacy of a model that a leading power already uses. Soft power is the branch of that story where influence works through attraction and provision instead of coercion. A donor that supplies the tools, the training, and the templates gains influence not by forcing adoption but by making one path cheaper and more legible than the alternatives. The mechanism this dissertation proposes is a space-specific instance of that general logic, and its novelty lies less in the logic than in the domain.</w:t>
      </w:r>
    </w:p>
    <w:p>
      <w:pPr>
        <w:pStyle w:val="BodyText"/>
        <w:spacing w:line="480" w:lineRule="auto"/>
        <w:ind w:firstLine="720"/>
      </w:pPr>
      <w:r>
        <w:t xml:space="preserve">For this space, the domain has features that make diffusion both more likely and harder to detect. The record is explicit. Rules are unusually technical, so a recipient without deep in-house expertise leans harder on whoever supplies the estimate, which amplifies the donor’s role. Rules are also unusually entangled with treaties: the Outer Space Treaty, the Registration Convention, and the Liability Convention establish shared vocabulary that many national laws restate, which means a naive similarity measure would find emulation everywhere and attribute it to donors falsely. The technical literature supplies the amplification: capacity assessment, traffic coordination, and spectrum posture all arrive bundled with governance content that a recipient is ill-equipped to unbundle</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4">
        <w:r>
          <w:rPr>
            <w:rStyle w:val="Hyperlink"/>
          </w:rPr>
          <w:t xml:space="preserve">[4]</w:t>
        </w:r>
      </w:hyperlink>
      <w:r>
        <w:t xml:space="preserve">. The treaty background supplies the confound. A serious diffusion test in space for that reason has to do something the general diffusion literature rarely needs to do, which is to strip out shared treaty language before measuring donor-specific movement, and Chapter 5 builds exactly that step into the outcome measure.</w:t>
      </w:r>
    </w:p>
    <w:p>
      <w:pPr>
        <w:pStyle w:val="BodyText"/>
        <w:spacing w:line="480" w:lineRule="auto"/>
        <w:ind w:firstLine="720"/>
      </w:pPr>
      <w:r>
        <w:t xml:space="preserve">For this data, the construction is deliberately visible: there is a further reason the space case resists off-the-shelf diffusion methods. The coding choice is visible. The population of spacefaring states is small and growing, treatment timing is staggered and irregular, and the outcome is a text corpus instead of a policy indicator with an off-the-shelf coding. These features push the design toward modern staggered event-study estimators and toward bespoke text measurement instead of toward the panel record regressions that diffusion studies often use for tariff schedules or bilateral treaties. The gap the dissertation fills is thus methodological as well as substantive: it ports a general soft-power logic into a domain whose data structure demands new measurement discipline, and it does so at the country-year level where attribution becomes possible</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End w:id="72"/>
    <w:bookmarkStart w:id="73" w:name="the-social-and-political-literature"/>
    <w:p>
      <w:pPr>
        <w:pStyle w:val="Heading2"/>
        <w:spacing w:line="480" w:lineRule="auto"/>
      </w:pPr>
      <w:r>
        <w:t xml:space="preserve">2.4 The social and political literature</w:t>
      </w:r>
    </w:p>
    <w:p>
      <w:pPr>
        <w:pStyle w:val="FirstParagraph"/>
        <w:spacing w:line="480" w:lineRule="auto"/>
      </w:pPr>
      <w:r>
        <w:t xml:space="preserve">For this operational, the question is narrower: the second literature reads space through meaning instead of mechanism. The claim remains testable. Szolucha’s ethnography of SpaceX fans and space creators in South Texas is the clearest instance in the cited corpus</w:t>
      </w:r>
      <w:r>
        <w:t xml:space="preserve"> </w:t>
      </w:r>
      <w:hyperlink w:anchor="ref-6">
        <w:r>
          <w:rPr>
            <w:rStyle w:val="Hyperlink"/>
          </w:rPr>
          <w:t xml:space="preserve">[6]</w:t>
        </w:r>
      </w:hyperlink>
      <w:r>
        <w:t xml:space="preserve">. Drawing on months of fieldwork and semi-structured interviews near production facilities, it studies the labor of imagination: how communities build identity, aspiration, and a sense of technological destiny around a space program. This is diffusion of a different kind. It shows that space activity acquires political resonance through symbols and local investment, not only through statutes and budgets, and that the attraction of a space future can precede and outrun its formal legal or economic consequences. That perspective earns a place here since soft power is not only administrative. Part of what makes a donor’s model attractive is that it comes wrapped in prestige, in a story about who is advanced and who is catching up. A recipient official choosing among regulatory templates is not choosing in a vacuum of pure administrative convenience; the choice carries reputational weight, alignment signaling, and the pull of association with a leading space power. The social literature names that pull. It explains why a template can be adopted for reasons that have little to do with its technical merit.</w:t>
      </w:r>
    </w:p>
    <w:bookmarkEnd w:id="73"/>
    <w:bookmarkStart w:id="74" w:name="what-the-social-literature-does-not-do"/>
    <w:p>
      <w:pPr>
        <w:pStyle w:val="Heading2"/>
        <w:spacing w:line="480" w:lineRule="auto"/>
      </w:pPr>
      <w:r>
        <w:t xml:space="preserve">2.5 What the social literature does not do</w:t>
      </w:r>
    </w:p>
    <w:p>
      <w:pPr>
        <w:pStyle w:val="FirstParagraph"/>
        <w:spacing w:line="480" w:lineRule="auto"/>
      </w:pPr>
      <w:r>
        <w:t xml:space="preserve">For this social, the account, though, supplies no country-year causal design. That is the design constraint. Ethnography illuminates meaning; it does not estimate whether exposure to assistance shifts enacted law relative to a comparable unexposed state. It cannot separate emulation from independent modernization, cannot date a treatment against a legal outcome, and cannot bound confounding through fixed effects and pre-trend tests. Its strength is depth in one place. The present question needs breadth across many recipient-donor-country-years, and a way to attribute movement instead of describe attraction. The two literatures are for that reason complementary in exactly the way that leaves the diffusion question open.</w:t>
      </w:r>
    </w:p>
    <w:bookmarkEnd w:id="74"/>
    <w:bookmarkStart w:id="75" w:name="joining-the-literatures"/>
    <w:p>
      <w:pPr>
        <w:pStyle w:val="Heading2"/>
        <w:spacing w:line="480" w:lineRule="auto"/>
      </w:pPr>
      <w:r>
        <w:t xml:space="preserve">2.6 Joining the literatures</w:t>
      </w:r>
    </w:p>
    <w:p>
      <w:pPr>
        <w:pStyle w:val="FirstParagraph"/>
        <w:spacing w:line="480" w:lineRule="auto"/>
      </w:pPr>
      <w:r>
        <w:t xml:space="preserve">For this contribution, the of joining them is to treat capacity-building as a measurable exposure and recipient regulation as a measurable outcome, then to ask whether the technical channel that the first literature describes and the attractional channel that the second literature describes actually leave a trace in national law. The technical literature tells us the mechanism has a plausible pathway: tools, coordination norms, spectrum posture, and bottleneck-relieving templates all travel with assistance</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4">
        <w:r>
          <w:rPr>
            <w:rStyle w:val="Hyperlink"/>
          </w:rPr>
          <w:t xml:space="preserve">[4]</w:t>
        </w:r>
      </w:hyperlink>
      <w:r>
        <w:t xml:space="preserve">. The social literature tells us the mechanism has a plausible motive: prestige and imagined destiny make donor models attractive beyond their technical content</w:t>
      </w:r>
      <w:r>
        <w:t xml:space="preserve"> </w:t>
      </w:r>
      <w:hyperlink w:anchor="ref-6">
        <w:r>
          <w:rPr>
            <w:rStyle w:val="Hyperlink"/>
          </w:rPr>
          <w:t xml:space="preserve">[6]</w:t>
        </w:r>
      </w:hyperlink>
      <w:r>
        <w:t xml:space="preserve">. What neither provides is the test. The dissertation supplies it, and the two empirical papers in Chapter 6 begin the groundwork by auditing whether the source base itself coherently links capacity-building to regulation and whether the market environment into which assistance lands is steep enough to make regulatory templates consequential</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For the program record, this is a bounded claim about a bounded gap. The technical and social literatures are not wrong, nor incomplete on their own terms. They simply have never been joined at the country-year level where a donor’s intervention and a recipient’s statute can be lined up in time. That junction is where the rest of this dissertation works, and it is where the falsifiable contribution lives.</w:t>
      </w:r>
    </w:p>
    <w:bookmarkEnd w:id="75"/>
    <w:bookmarkStart w:id="76" w:name="X950baa22a4d2d402eeb3bdee74a95604f3a5af4"/>
    <w:p>
      <w:pPr>
        <w:pStyle w:val="Heading2"/>
        <w:spacing w:line="480" w:lineRule="auto"/>
      </w:pPr>
      <w:r>
        <w:t xml:space="preserve">2.7 Positioning against the closest neighbors</w:t>
      </w:r>
    </w:p>
    <w:p>
      <w:pPr>
        <w:pStyle w:val="FirstParagraph"/>
        <w:spacing w:line="480" w:lineRule="auto"/>
      </w:pPr>
      <w:r>
        <w:t xml:space="preserve">For this archival, the record matters here: it is worth being precise about which existing works come closest and why they still fall short of the present design, since that precision is what keeps the contribution from being either overstated or dismissed as derivative. The orbital-capacity assessment literature comes closest on the technical side, since it explicitly ties analytic tools to regulatory decisions about debris and sustainable access, and it even quantifies how well cheaper tools reproduce expensive ones</w:t>
      </w:r>
      <w:r>
        <w:t xml:space="preserve"> </w:t>
      </w:r>
      <w:hyperlink w:anchor="ref-1">
        <w:r>
          <w:rPr>
            <w:rStyle w:val="Hyperlink"/>
          </w:rPr>
          <w:t xml:space="preserve">[1]</w:t>
        </w:r>
      </w:hyperlink>
      <w:r>
        <w:t xml:space="preserve">. What it lacks is any recipient, any donor, and any legal outcome; it is a study of tools, not of diffusion. The broadband-competition literature comes closest on the strategic side, naming the institutional rivalry over standards and licensing that a diffusion account needs</w:t>
      </w:r>
      <w:r>
        <w:t xml:space="preserve"> </w:t>
      </w:r>
      <w:hyperlink w:anchor="ref-2">
        <w:r>
          <w:rPr>
            <w:rStyle w:val="Hyperlink"/>
          </w:rPr>
          <w:t xml:space="preserve">[2]</w:t>
        </w:r>
      </w:hyperlink>
      <w:r>
        <w:t xml:space="preserve">. What it lacks is a country-year estimator; it describes a contest without measuring who moved whom. The Earth-observation market literature comes closest on the environmental side, mapping the customer classes and market maturity that would make a regulatory template consequential</w:t>
      </w:r>
      <w:r>
        <w:t xml:space="preserve"> </w:t>
      </w:r>
      <w:hyperlink w:anchor="ref-5">
        <w:r>
          <w:rPr>
            <w:rStyle w:val="Hyperlink"/>
          </w:rPr>
          <w:t xml:space="preserve">[5]</w:t>
        </w:r>
      </w:hyperlink>
      <w:r>
        <w:t xml:space="preserve">. What it lacks is any treatment: it characterizes a market, not an intervention. The laser-governance literature comes closest on the institutional side, showing that bottlenecks are regulatory instead of technical, which is the precondition for assistance to matter</w:t>
      </w:r>
      <w:r>
        <w:t xml:space="preserve"> </w:t>
      </w:r>
      <w:hyperlink w:anchor="ref-3">
        <w:r>
          <w:rPr>
            <w:rStyle w:val="Hyperlink"/>
          </w:rPr>
          <w:t xml:space="preserve">[3]</w:t>
        </w:r>
      </w:hyperlink>
      <w:r>
        <w:t xml:space="preserve">. What it lacks is scale, since it studies one governance domain instead of a population of recipients. And the ethnographic literature comes closest on the attractional side, explaining why donor models carry prestige</w:t>
      </w:r>
      <w:r>
        <w:t xml:space="preserve"> </w:t>
      </w:r>
      <w:hyperlink w:anchor="ref-6">
        <w:r>
          <w:rPr>
            <w:rStyle w:val="Hyperlink"/>
          </w:rPr>
          <w:t xml:space="preserve">[6]</w:t>
        </w:r>
      </w:hyperlink>
      <w:r>
        <w:t xml:space="preserve">. What it lacks is breadth and attribution. Each neighbor supplies one piece. None assembles the pieces into a test, and assembling them is the work the following chapters undertake.</w:t>
      </w:r>
    </w:p>
    <w:bookmarkEnd w:id="76"/>
    <w:bookmarkStart w:id="77" w:name="Xb83f115993391eda7950c14b75413704a17c0d0"/>
    <w:p>
      <w:pPr>
        <w:pStyle w:val="Heading2"/>
        <w:spacing w:line="480" w:lineRule="auto"/>
      </w:pPr>
      <w:r>
        <w:t xml:space="preserve">2.8 Why the cited corpus is the right evidence base to audit first</w:t>
      </w:r>
    </w:p>
    <w:p>
      <w:pPr>
        <w:pStyle w:val="FirstParagraph"/>
        <w:spacing w:line="480" w:lineRule="auto"/>
      </w:pPr>
      <w:r>
        <w:t xml:space="preserve">A skeptic might ask why the dissertation begins by auditing its own cited corpus instead of diving straight into aid and legal records. The answer is that the corpus is where the mechanism’s premises live, and premises should be checked before a large data-collection effort is committed. If the literature that motivates the study did not actually link capacity-building to regulation, the whole design would rest on a misreading, and the eleven-source audit in Chapter 6 is the cheapest possible test of that premise. It is a calibration step, not a shortcut. It asks whether the concepts the dissertation treats as connected are connected in the very sources the dissertation relies on, and it does so transparently enough that any coding dispute can be adjudicated against named passages.</w:t>
      </w:r>
    </w:p>
    <w:p>
      <w:pPr>
        <w:pStyle w:val="BodyText"/>
        <w:spacing w:line="480" w:lineRule="auto"/>
        <w:ind w:firstLine="720"/>
      </w:pPr>
      <w:r>
        <w:t xml:space="preserve">For this chapter, the treats this as an empirical claim: this ordering also disciplines the reference base itself. The corpus mixes technical, market, institutional, and ethnographic sources, and not all of them bear on governance. The adaptive-filtering tracking work, the electrostatic-adhesion technology, and the stereo-camera development are genuine space capability sources, but they open no regulatory pathway on their own. Auditing the corpus forces an explicit judgment about which sources carry the mechanism and which are context, and that judgment then flows into how the dissertation weights its own evidence. Reading the literature this way, as a dataset to be coded rather than a backdrop to be summarized, is itself a small methodological commitment, and it sets the standard of auditability that the country-year measurement in Chapter 5 is held to</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4">
        <w:r>
          <w:rPr>
            <w:rStyle w:val="Hyperlink"/>
          </w:rPr>
          <w:t xml:space="preserve">[4]</w:t>
        </w:r>
      </w:hyperlink>
      <w:r>
        <w:t xml:space="preserve">. The point of starting here is not that the corpus can prove the thesis. It cannot. The point is that a mechanism whose premises fail an audit of its own sources should be revised before it is scaled, and the premises pass.</w:t>
      </w:r>
    </w:p>
    <w:bookmarkEnd w:id="77"/>
    <w:bookmarkStart w:id="78" w:name="what-a-full-literature-would-still-need"/>
    <w:p>
      <w:pPr>
        <w:pStyle w:val="Heading2"/>
        <w:spacing w:line="480" w:lineRule="auto"/>
      </w:pPr>
      <w:r>
        <w:t xml:space="preserve">2.9 What a full literature would still need</w:t>
      </w:r>
    </w:p>
    <w:p>
      <w:pPr>
        <w:pStyle w:val="FirstParagraph"/>
        <w:spacing w:line="480" w:lineRule="auto"/>
      </w:pPr>
      <w:r>
        <w:t xml:space="preserve">For this data, the construction is deliberately visible: the corpus assembled here is adequate to motivate and warrant the design, but a complete treatment of the phenomenon would draw on literatures the cited set does not contain, and naming them marks the boundary of the present review honestly. A mature study of regulatory diffusion in space would engage the broader political-science work on policy transfer, the international-relations work on soft power, and the law-and-development work on legal transplantation, none of which appears in the space-specific corpus but all of which supply the general theory the space case instantiates. The dissertation borrows their logic without claiming to survey them, and it flags that borrowing instead of presenting the space corpus as if it were the whole intellectual foundation.</w:t>
      </w:r>
    </w:p>
    <w:p>
      <w:pPr>
        <w:pStyle w:val="BodyText"/>
        <w:spacing w:line="480" w:lineRule="auto"/>
        <w:ind w:firstLine="720"/>
      </w:pPr>
      <w:r>
        <w:t xml:space="preserve">For this technical, the corpus, similarly, is a sample instead of a census. It captures the governance-linked strands of space capability, orbital-capacity assessment, capacity management, broadband competition, laser governance, and Earth-observation markets, but it does not exhaust the technical literature, and a full treatment would extend the salience audit to a larger set of sources to check whether the capacity-regulation association holds beyond eleven documents</w:t>
      </w:r>
      <w:r>
        <w:t xml:space="preserve"> </w:t>
      </w:r>
      <w:hyperlink w:anchor="ref-1">
        <w:r>
          <w:rPr>
            <w:rStyle w:val="Hyperlink"/>
          </w:rPr>
          <w:t xml:space="preserve">[1]</w:t>
        </w:r>
      </w:hyperlink>
      <w:r>
        <w:t xml:space="preserve"> </w:t>
      </w:r>
      <w:hyperlink w:anchor="ref-4">
        <w:r>
          <w:rPr>
            <w:rStyle w:val="Hyperlink"/>
          </w:rPr>
          <w:t xml:space="preserve">[4]</w:t>
        </w:r>
      </w:hyperlink>
      <w:r>
        <w:t xml:space="preserve">. This is not a defect to be hidden; it is the natural limit of a design-stage review, and it points directly to one of the extensions the final chapter proposes. The claim the review supports is bounded accordingly: within the sources the dissertation relies on, capacity-building and regulation are linked, and the general diffusion logic gives that link a plausible causal reading. Establishing that the link generalizes beyond this corpus, and situating it fully within the broader diffusion and transplantation literatures, is work the completed dissertation would carry out, and acknowledging it here keeps the review’s reach matched to its evidence</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78"/>
    <w:bookmarkStart w:id="79" w:name="summary-of-the-gap"/>
    <w:p>
      <w:pPr>
        <w:pStyle w:val="Heading2"/>
        <w:spacing w:line="480" w:lineRule="auto"/>
      </w:pPr>
      <w:r>
        <w:t xml:space="preserve">2.10 Summary of the gap</w:t>
      </w:r>
    </w:p>
    <w:p>
      <w:pPr>
        <w:pStyle w:val="FirstParagraph"/>
        <w:spacing w:line="480" w:lineRule="auto"/>
      </w:pPr>
      <w:r>
        <w:t xml:space="preserve">For this chapter, the can be summarized in a sentence. The technical literature shows that space regulation matters and is bound to capability, and the social literature shows that donor models carry attraction, but neither joins the two at the country-year level where a donor’s intervention and a recipient’s law can be lined up in time. That junction is empty, and filling it is the dissertation’s task. The technical strand supplies the mechanism’s pathway, tools and coordination norms and spectrum posture traveling with assistance</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social strand supplies the mechanism’s motive, prestige and imagined destiny making donor models attractive</w:t>
      </w:r>
      <w:r>
        <w:t xml:space="preserve"> </w:t>
      </w:r>
      <w:hyperlink w:anchor="ref-6">
        <w:r>
          <w:rPr>
            <w:rStyle w:val="Hyperlink"/>
          </w:rPr>
          <w:t xml:space="preserve">[6]</w:t>
        </w:r>
      </w:hyperlink>
      <w:r>
        <w:t xml:space="preserve">. The market strand supplies the mechanism’s stakes, customer scale rising steeply so that a template’s reach grows with the market</w:t>
      </w:r>
      <w:r>
        <w:t xml:space="preserve"> </w:t>
      </w:r>
      <w:hyperlink w:anchor="ref-5">
        <w:r>
          <w:rPr>
            <w:rStyle w:val="Hyperlink"/>
          </w:rPr>
          <w:t xml:space="preserve">[5]</w:t>
        </w:r>
      </w:hyperlink>
      <w:r>
        <w:t xml:space="preserve">. What no strand supplies is attribution, a way to say that a recipient’s regulatory movement followed a donor’s assistance instead of its own trajectory, and attribution is precisely what a staggered country-year event study is built to deliver. The following chapters build it, beginning with the theory that specifies what the test should look for</w:t>
      </w:r>
      <w:r>
        <w:t xml:space="preserve"> </w:t>
      </w:r>
      <w:hyperlink w:anchor="ref-3">
        <w:r>
          <w:rPr>
            <w:rStyle w:val="Hyperlink"/>
          </w:rPr>
          <w:t xml:space="preserve">[3]</w:t>
        </w:r>
      </w:hyperlink>
      <w:r>
        <w:t xml:space="preserve">.</w:t>
      </w:r>
    </w:p>
    <w:bookmarkEnd w:id="79"/>
    <w:bookmarkEnd w:id="80"/>
    <w:bookmarkStart w:id="91" w:name="chapter-3.-theory-and-hypotheses"/>
    <w:p>
      <w:pPr>
        <w:pStyle w:val="Heading1"/>
        <w:spacing w:line="480" w:lineRule="auto"/>
      </w:pPr>
      <w:r>
        <w:t xml:space="preserve">Chapter 3. Theory and Hypotheses</w:t>
      </w:r>
    </w:p>
    <w:p>
      <w:pPr>
        <w:pStyle w:val="FirstParagraph"/>
        <w:spacing w:line="480" w:lineRule="auto"/>
      </w:pPr>
      <w:r>
        <w:t xml:space="preserve">A test needs a theory. The chapter states the mechanism by which donor-state space capacity-building could move recipient-state regulation, breaks that mechanism into links that can each fail, and derives the predictions the country-year design will confront. The theory is deliberately modest about its own certainty. It claims a pathway, not a law, and it names the places where the pathway can break so the empirical test can look for them.</w:t>
      </w:r>
    </w:p>
    <w:bookmarkStart w:id="81" w:name="soft-power-as-a-capture-lever"/>
    <w:p>
      <w:pPr>
        <w:pStyle w:val="Heading2"/>
        <w:spacing w:line="480" w:lineRule="auto"/>
      </w:pPr>
      <w:r>
        <w:t xml:space="preserve">3.1 Soft power as a capture lever</w:t>
      </w:r>
    </w:p>
    <w:p>
      <w:pPr>
        <w:pStyle w:val="FirstParagraph"/>
        <w:spacing w:line="480" w:lineRule="auto"/>
      </w:pPr>
      <w:r>
        <w:t xml:space="preserve">Soft power in the usual sense means attraction instead of coercion, the ability to get outcomes since others want what you want.</w:t>
      </w:r>
    </w:p>
    <w:p>
      <w:pPr>
        <w:pStyle w:val="BodyText"/>
        <w:spacing w:line="480" w:lineRule="auto"/>
        <w:ind w:firstLine="720"/>
      </w:pPr>
      <w:r>
        <w:t xml:space="preserve">For this version, the at work here is narrower and more mechanical. Capacity-building is a lower-friction path along which scarce regulatory capacity gets shaped by the materials, instructors, checklists, tools, and exemplars that arrive with help. A ministry with no mature launch-licensing office, no resident space-law drafting shop, and little ability to compare foreign regulatory alternatives will find that a donor-provided framework is the most usable default available</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framework is not imposed. It is simply cheaper to adopt than to build from scratch, easier to defend inside a bureaucracy since it comes with a pedigree, and more compatible with the technical cooperation, procurement, and data exchange the recipient expects to follow. For the program record, this is neither conspiracy nor pure persuasion. It is a story about search costs and defaults. When an official must make a binding choice under budget, staffing, and time constraints, the option that arrives pre-drafted, annotated, and validated tends to win, not since it is best but since it is available. The soft-power effect is the shift in the relative probability that a donor-consistent instrument appears in the recipient’s later text. The lever is the reduction in the cost of one legal path relative to others.</w:t>
      </w:r>
    </w:p>
    <w:bookmarkEnd w:id="81"/>
    <w:bookmarkStart w:id="82" w:name="the-three-link-mechanism"/>
    <w:p>
      <w:pPr>
        <w:pStyle w:val="Heading2"/>
        <w:spacing w:line="480" w:lineRule="auto"/>
      </w:pPr>
      <w:r>
        <w:t xml:space="preserve">3.2 The three-link mechanism</w:t>
      </w:r>
    </w:p>
    <w:p>
      <w:pPr>
        <w:pStyle w:val="FirstParagraph"/>
        <w:spacing w:line="480" w:lineRule="auto"/>
      </w:pPr>
      <w:r>
        <w:t xml:space="preserve">For this archival, the record matters here: the mechanism has three links, and stating them separately is what makes the theory falsifiable instead of rhetorical.</w:t>
      </w:r>
    </w:p>
    <w:p>
      <w:pPr>
        <w:pStyle w:val="BodyText"/>
        <w:spacing w:line="480" w:lineRule="auto"/>
        <w:ind w:firstLine="720"/>
      </w:pPr>
      <w:r>
        <w:t xml:space="preserve">First, donor actors supply technical assistance that is bundled with policy content: sample statutes, licensing procedures, compliance matrices, coordination norms, and software whose assumptions encode a regulatory posture. Second, that bundle sorts the recipient’s options, making some instruments easier to copy than others by lowering their drafting and defense costs. Third, recipient institutions later encode the favored instruments in statutes, regulations, licensing guidance, data-sharing rules, or agency practice, where they become observable as text. Each link can fail, and the failures are informative. The first link fails if assistance is genuinely content-neutral, transferring skill without templates. The second fails if the recipient has enough independent capacity to compare alternatives, so the donor bundle confers no cost advantage. The third fails if the recipient adapts, blends, delays, or symbolically copies the template without changing enforcement, or if legal similarity arrives instead through multilateral harmonization and shared treaty language. A theory that named only the successful path would be untestable. This one names the breakpoints so the data can locate them.</w:t>
      </w:r>
    </w:p>
    <w:bookmarkEnd w:id="82"/>
    <w:bookmarkStart w:id="83" w:name="why-the-source-base-supports-the-pathway"/>
    <w:p>
      <w:pPr>
        <w:pStyle w:val="Heading2"/>
        <w:spacing w:line="480" w:lineRule="auto"/>
      </w:pPr>
      <w:r>
        <w:t xml:space="preserve">3.3 Why the source base supports the pathway</w:t>
      </w:r>
    </w:p>
    <w:p>
      <w:pPr>
        <w:pStyle w:val="FirstParagraph"/>
        <w:spacing w:line="480" w:lineRule="auto"/>
      </w:pPr>
      <w:r>
        <w:t xml:space="preserve">The pathway is plausible since the cited literature repeatedly binds technical capacity to governance content.</w:t>
      </w:r>
    </w:p>
    <w:p>
      <w:pPr>
        <w:pStyle w:val="BodyText"/>
        <w:spacing w:line="480" w:lineRule="auto"/>
        <w:ind w:firstLine="720"/>
      </w:pPr>
      <w:r>
        <w:t xml:space="preserve">Orbital-capacity assessment is not delivered as pure computation; it arrives attached to decisions about debris thresholds and sustainable access that are regulatory in character</w:t>
      </w:r>
      <w:r>
        <w:t xml:space="preserve"> </w:t>
      </w:r>
      <w:hyperlink w:anchor="ref-1">
        <w:r>
          <w:rPr>
            <w:rStyle w:val="Hyperlink"/>
          </w:rPr>
          <w:t xml:space="preserve">[1]</w:t>
        </w:r>
      </w:hyperlink>
      <w:r>
        <w:t xml:space="preserve">. Space capacity management is explicitly linked to space traffic management and its coordination norms</w:t>
      </w:r>
      <w:r>
        <w:t xml:space="preserve"> </w:t>
      </w:r>
      <w:hyperlink w:anchor="ref-4">
        <w:r>
          <w:rPr>
            <w:rStyle w:val="Hyperlink"/>
          </w:rPr>
          <w:t xml:space="preserve">[4]</w:t>
        </w:r>
      </w:hyperlink>
      <w:r>
        <w:t xml:space="preserve">. Broadband capability comes bundled with spectrum and licensing posture that align a recipient with a donor’s commercial ecosystem</w:t>
      </w:r>
      <w:r>
        <w:t xml:space="preserve"> </w:t>
      </w:r>
      <w:hyperlink w:anchor="ref-2">
        <w:r>
          <w:rPr>
            <w:rStyle w:val="Hyperlink"/>
          </w:rPr>
          <w:t xml:space="preserve">[2]</w:t>
        </w:r>
      </w:hyperlink>
      <w:r>
        <w:t xml:space="preserve">. Laser deployment is gated by institutional bottlenecks, which means the assistance that relieves the bottleneck is assistance in rulemaking, not only in engineering</w:t>
      </w:r>
      <w:r>
        <w:t xml:space="preserve"> </w:t>
      </w:r>
      <w:hyperlink w:anchor="ref-3">
        <w:r>
          <w:rPr>
            <w:rStyle w:val="Hyperlink"/>
          </w:rPr>
          <w:t xml:space="preserve">[3]</w:t>
        </w:r>
      </w:hyperlink>
      <w:r>
        <w:t xml:space="preserve">. In each domain, the technical and the regulatory travel together, which is the precondition the mechanism requires. The chapter treats this as an empirical claim: market evidence reinforces the point instead of repeating it. Denis and colleagues show that Earth-observation customers span defence, civil institutional, commercial, and consumer categories, with the customer base scaling sharply across them</w:t>
      </w:r>
      <w:r>
        <w:t xml:space="preserve"> </w:t>
      </w:r>
      <w:hyperlink w:anchor="ref-5">
        <w:r>
          <w:rPr>
            <w:rStyle w:val="Hyperlink"/>
          </w:rPr>
          <w:t xml:space="preserve">[5]</w:t>
        </w:r>
      </w:hyperlink>
      <w:r>
        <w:t xml:space="preserve">. A regulatory template that shapes data access, dissemination control, or commercial licensing for that reason reaches a wider population as the market matures. The mechanism gains stakes: a donor-consistent rule adopted early, when users are few, governs a far larger community once the market climbs toward consumer scale. The theory does not need every domain to behave identically. It needs the general condition that assistance carries governance content into environments where that content matters, and the source base supplies that condition.</w:t>
      </w:r>
    </w:p>
    <w:bookmarkEnd w:id="83"/>
    <w:bookmarkStart w:id="84" w:name="scope-conditions-on-the-mechanism"/>
    <w:p>
      <w:pPr>
        <w:pStyle w:val="Heading2"/>
        <w:spacing w:line="480" w:lineRule="auto"/>
      </w:pPr>
      <w:r>
        <w:t xml:space="preserve">3.4 Scope conditions on the mechanism</w:t>
      </w:r>
    </w:p>
    <w:p>
      <w:pPr>
        <w:pStyle w:val="FirstParagraph"/>
        <w:spacing w:line="480" w:lineRule="auto"/>
      </w:pPr>
      <w:r>
        <w:t xml:space="preserve">For this data, the construction is deliberately visible: the mechanism does not claim to operate everywhere with equal force. It has scope conditions, and stating them makes the theory sharper and the eventual test fairer. The first condition is capacity asymmetry. The search-cost argument requires that the recipient have less independent drafting capacity than the donor, so the donor bundle actually confers a cost advantage. Between two states of comparable regulatory sophistication, assistance would transfer skill without conferring a template advantage, and the mechanism would predict little emulation. The effect should for that reason be largest where a recipient is building first-generation space law with a thin institutional base, and smallest where a mature regulator receives assistance it could have produced itself</w:t>
      </w:r>
      <w:r>
        <w:t xml:space="preserve"> </w:t>
      </w:r>
      <w:hyperlink w:anchor="ref-1">
        <w:r>
          <w:rPr>
            <w:rStyle w:val="Hyperlink"/>
          </w:rPr>
          <w:t xml:space="preserve">[1]</w:t>
        </w:r>
      </w:hyperlink>
      <w:r>
        <w:t xml:space="preserve">. A second condition is the governance content of the assistance. Not every capacity-building project carries a regulatory bundle. A pure sensor-calibration workshop transfers technique with little policy content, whereas a licensing-framework workshop transfers a legal template directly. The mechanism predicts emulation in proportion to the governance content of the intervention, which is one reason the treatment definition in Chapter 5 is tied to project descriptions that name space law, spectrum, registration, and debris mitigation instead of to any technical assistance whatsoever</w:t>
      </w:r>
      <w:r>
        <w:t xml:space="preserve"> </w:t>
      </w:r>
      <w:hyperlink w:anchor="ref-4">
        <w:r>
          <w:rPr>
            <w:rStyle w:val="Hyperlink"/>
          </w:rPr>
          <w:t xml:space="preserve">[4]</w:t>
        </w:r>
      </w:hyperlink>
      <w:r>
        <w:t xml:space="preserve">. The third condition is domain salience. Where a governance domain is a genuine bottleneck, as with laser utilization, relieving it through a donor framework has outsized influence, since the recipient had no workable alternative</w:t>
      </w:r>
      <w:r>
        <w:t xml:space="preserve"> </w:t>
      </w:r>
      <w:hyperlink w:anchor="ref-3">
        <w:r>
          <w:rPr>
            <w:rStyle w:val="Hyperlink"/>
          </w:rPr>
          <w:t xml:space="preserve">[3]</w:t>
        </w:r>
      </w:hyperlink>
      <w:r>
        <w:t xml:space="preserve">. Where the domain is already well-served by international templates, donor-specific movement is harder to produce and harder to detect against the shared background.</w:t>
      </w:r>
    </w:p>
    <w:p>
      <w:pPr>
        <w:pStyle w:val="BodyText"/>
        <w:spacing w:line="480" w:lineRule="auto"/>
        <w:ind w:firstLine="720"/>
      </w:pPr>
      <w:r>
        <w:t xml:space="preserve">For this operational, the question is narrower: these conditions matter for interpretation as much as for prediction. They mean a small or null average effect could coexist with a real effect concentrated in the high-asymmetry, high-content, high-salience cases, and they justify the heterogeneity analyses the design reserves for later. A theory that predicted a uniform effect everywhere would be easier to state and easier to falsify wrongly. This one predicts a patterned effect, and the pattern is itself a testable claim</w:t>
      </w:r>
      <w:r>
        <w:t xml:space="preserve"> </w:t>
      </w:r>
      <w:hyperlink w:anchor="ref-5">
        <w:r>
          <w:rPr>
            <w:rStyle w:val="Hyperlink"/>
          </w:rPr>
          <w:t xml:space="preserve">[5]</w:t>
        </w:r>
      </w:hyperlink>
      <w:r>
        <w:t xml:space="preserve">.</w:t>
      </w:r>
    </w:p>
    <w:bookmarkEnd w:id="84"/>
    <w:bookmarkStart w:id="85" w:name="the-outcome-and-what-it-is-not"/>
    <w:p>
      <w:pPr>
        <w:pStyle w:val="Heading2"/>
        <w:spacing w:line="480" w:lineRule="auto"/>
      </w:pPr>
      <w:r>
        <w:t xml:space="preserve">3.5 The outcome and what it is not</w:t>
      </w:r>
    </w:p>
    <w:p>
      <w:pPr>
        <w:pStyle w:val="FirstParagraph"/>
        <w:spacing w:line="480" w:lineRule="auto"/>
      </w:pPr>
      <w:r>
        <w:t xml:space="preserve">For the empirical reader, the outcome, Re, is textual and institutional similarity to the donor model, measured after exposure. It is not loyalty, and it is not consent to a donor’s whole regulatory philosophy. A recipient can borrow a donor’s authorization clauses, liability allocation, registration procedures, debris language, remote-sensing rules, or spectrum posture while pursuing its own strategic interests entirely. The theoretical claim is only that capacity-building lowers the search cost of some legal choices and thereby raises the probability those choices show up in later recipient texts. Reading Re as anything more, as capture in a strong sense, would exceed what the design can support and would blur the very distinction between influence and independent modernization that the outcome exists to preserve.</w:t>
      </w:r>
    </w:p>
    <w:bookmarkEnd w:id="85"/>
    <w:bookmarkStart w:id="86" w:name="Xfcbae381ba58b5b381d1b2c2b8733188f2df91f"/>
    <w:p>
      <w:pPr>
        <w:pStyle w:val="Heading2"/>
        <w:spacing w:line="480" w:lineRule="auto"/>
      </w:pPr>
      <w:r>
        <w:t xml:space="preserve">3.6 Rival mechanisms and how the theory competes with them</w:t>
      </w:r>
    </w:p>
    <w:p>
      <w:pPr>
        <w:pStyle w:val="FirstParagraph"/>
        <w:spacing w:line="480" w:lineRule="auto"/>
      </w:pPr>
      <w:r>
        <w:t xml:space="preserve">For this evidence, the trail is concrete here: a responsible theory specifies not only its own mechanism but the rivals it must beat. Three rivals stand out. The first is independent modernization: a recipient reforms its space law since commercial pressure, a growing satellite fleet, or a security interest demands it, and any resemblance to a donor is coincidence or convergence</w:t>
      </w:r>
      <w:r>
        <w:t xml:space="preserve"> </w:t>
      </w:r>
      <w:hyperlink w:anchor="ref-2">
        <w:r>
          <w:rPr>
            <w:rStyle w:val="Hyperlink"/>
          </w:rPr>
          <w:t xml:space="preserve">[2]</w:t>
        </w:r>
      </w:hyperlink>
      <w:r>
        <w:t xml:space="preserve"> </w:t>
      </w:r>
      <w:hyperlink w:anchor="ref-5">
        <w:r>
          <w:rPr>
            <w:rStyle w:val="Hyperlink"/>
          </w:rPr>
          <w:t xml:space="preserve">[5]</w:t>
        </w:r>
      </w:hyperlink>
      <w:r>
        <w:t xml:space="preserve">. This rival predicts emulation that correlates with a recipient’s own market and activity trajectory instead of with the timing of assistance, which is why the design conditions on baseline space activity and estimates effects around the treatment date instead of in cross-section. A second rival is multilateral harmonization: several states move toward similar text at once since a treaty, a standards body, or a model law circulates through international forums. This rival predicts emulation that is shared across many states in the same year and directed at a common template instead of at any single donor. Year fixed effects absorb the common-shock component, and donor-specific similarity measures, tested against placebo donors, separate movement toward one donor from convergence on a global norm</w:t>
      </w:r>
      <w:r>
        <w:t xml:space="preserve"> </w:t>
      </w:r>
      <w:hyperlink w:anchor="ref-4">
        <w:r>
          <w:rPr>
            <w:rStyle w:val="Hyperlink"/>
          </w:rPr>
          <w:t xml:space="preserve">[4]</w:t>
        </w:r>
      </w:hyperlink>
      <w:r>
        <w:t xml:space="preserve">. The third rival is reverse causation: a recipient decides to reform and then seeks assistance to help execute the reform, so assistance follows the decision instead of causing it. This rival predicts that emulation begins before the recorded treatment, which pre-treatment event-time coefficients are designed to catch.</w:t>
      </w:r>
    </w:p>
    <w:p>
      <w:pPr>
        <w:pStyle w:val="BodyText"/>
        <w:spacing w:line="480" w:lineRule="auto"/>
        <w:ind w:firstLine="720"/>
      </w:pPr>
      <w:r>
        <w:t xml:space="preserve">For the program record, the theory competes by making predictions the rivals do not. It predicts emulation that follows assistance in time, that is directed at the specific donor’s corpus, that is concentrated where capacity asymmetry and governance content are high, and that persists after conditioning on the recipient’s own market and activity path. No single one of these predictions is decisive, since each rival can mimic one of them, but the conjunction is hard for any rival to reproduce. A pattern that satisfies all four is far more consistent with the soft-power mechanism than with independent modernization, harmonization, or reverse causation, and building the test around that conjunction is how the theory earns a causal reading instead of assuming one</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bookmarkEnd w:id="86"/>
    <w:bookmarkStart w:id="87" w:name="hypotheses"/>
    <w:p>
      <w:pPr>
        <w:pStyle w:val="Heading2"/>
        <w:spacing w:line="480" w:lineRule="auto"/>
      </w:pPr>
      <w:r>
        <w:t xml:space="preserve">3.7 Hypotheses</w:t>
      </w:r>
    </w:p>
    <w:p>
      <w:pPr>
        <w:pStyle w:val="FirstParagraph"/>
        <w:spacing w:line="480" w:lineRule="auto"/>
      </w:pPr>
      <w:r>
        <w:t xml:space="preserve">For this archival, the record matters here: the predictions follow directly. The null holds that among recipient-state country-years, exposure to donor-state space capacity-building produces no statistically detectable change in subsequent recipient-state regulatory emulation of the donor’s model, relative to comparable not-yet-exposed country-years. The alternative holds that exposure produces a positive and statistically detectable increase in subsequent emulation, relative to the same comparison group.</w:t>
      </w:r>
    </w:p>
    <w:p>
      <w:pPr>
        <w:pStyle w:val="BodyText"/>
        <w:spacing w:line="480" w:lineRule="auto"/>
        <w:ind w:firstLine="720"/>
      </w:pPr>
      <w:r>
        <w:t xml:space="preserve">For this alternative, the carries auxiliary predictions the design can check. If the mechanism operates through lowered search costs, the effect should appear after exposure instead of before, so pre-treatment event-time coefficients should be flat. If the effect is donor-specific instead of a reflection of global templates, recipient text should move toward the specific donor’s corpus more than toward a placebo donor’s corpus. If the effect works through capacity gaps, it should be larger where the recipient had little independent drafting capacity at baseline. The null, meanwhile, is a live and meaningful result, not a mere absence of findings. A flat post-treatment coefficient would say that space assistance can build operational competence without systematically reshaping domestic law, or that recipient adaptation overwhelms template transfer</w:t>
      </w:r>
      <w:r>
        <w:t xml:space="preserve"> </w:t>
      </w:r>
      <w:hyperlink w:anchor="ref-5">
        <w:r>
          <w:rPr>
            <w:rStyle w:val="Hyperlink"/>
          </w:rPr>
          <w:t xml:space="preserve">[5]</w:t>
        </w:r>
      </w:hyperlink>
      <w:r>
        <w:t xml:space="preserve"> </w:t>
      </w:r>
      <w:hyperlink w:anchor="ref-6">
        <w:r>
          <w:rPr>
            <w:rStyle w:val="Hyperlink"/>
          </w:rPr>
          <w:t xml:space="preserve">[6]</w:t>
        </w:r>
      </w:hyperlink>
      <w:r>
        <w:t xml:space="preserve">. Either verdict would inform how donors design programs and how recipients read offers of help. The theory earns its keep by making both outcomes interpretable in advance.</w:t>
      </w:r>
    </w:p>
    <w:bookmarkEnd w:id="87"/>
    <w:bookmarkStart w:id="88" w:name="Xbbfabafadea8d234a8fe8fb87ddfe3944066949"/>
    <w:p>
      <w:pPr>
        <w:pStyle w:val="Heading2"/>
        <w:spacing w:line="480" w:lineRule="auto"/>
      </w:pPr>
      <w:r>
        <w:t xml:space="preserve">3.8 Timing, dosage, and the shape of the effect</w:t>
      </w:r>
    </w:p>
    <w:p>
      <w:pPr>
        <w:pStyle w:val="FirstParagraph"/>
        <w:spacing w:line="480" w:lineRule="auto"/>
      </w:pPr>
      <w:r>
        <w:t xml:space="preserve">Theory here implies not just whether an effect exists but what shape it should take over time, and specifying that shape sharpens the test. Because legal drafting is slow, the mechanism predicts a lag instead of an instantaneous jump. A recipient exposed to assistance in one year does not enact a statute the same year; it drafts, consults, and legislates over a span that the event study should reveal as a rising post-treatment path instead of a step. A finding that emulation jumps in the treatment year itself would actually be suspicious, since it would run ahead of the legislative process the mechanism describes, and it would point toward anticipation or reverse timing instead of toward assistance causing law. The chapter treats this as an empirical claim: dosage matters too. The mechanism is about lowered search costs, and a larger or longer intervention lowers those costs more, so the theory predicts a rough gradient: recipients receiving sustained, governance-rich assistance should emulate more than those receiving a single technical workshop. The design can approximate dosage from project counts, durations, and the governance content of project descriptions, and a dosage gradient in the estimated effect would be additional evidence that the mechanism, instead of a confound, is at work</w:t>
      </w:r>
      <w:r>
        <w:t xml:space="preserve"> </w:t>
      </w:r>
      <w:hyperlink w:anchor="ref-4">
        <w:r>
          <w:rPr>
            <w:rStyle w:val="Hyperlink"/>
          </w:rPr>
          <w:t xml:space="preserve">[4]</w:t>
        </w:r>
      </w:hyperlink>
      <w:r>
        <w:t xml:space="preserve">. A confound like strategic alignment would not obviously produce a dose-response pattern keyed to the governance content of specific projects.</w:t>
      </w:r>
    </w:p>
    <w:p>
      <w:pPr>
        <w:pStyle w:val="BodyText"/>
        <w:spacing w:line="480" w:lineRule="auto"/>
        <w:ind w:firstLine="720"/>
      </w:pPr>
      <w:r>
        <w:t xml:space="preserve">Persistence follows from the same shape prediction. Once a donor-consistent provision is written into law, it tends to stay, since repealing enacted legislation is costly and since the provision becomes the baseline for later amendments. The mechanism for that reason predicts that emulation, once it appears, persists instead of decays, which distinguishes it from a transient response to a passing shock</w:t>
      </w:r>
      <w:r>
        <w:t xml:space="preserve"> </w:t>
      </w:r>
      <w:hyperlink w:anchor="ref-3">
        <w:r>
          <w:rPr>
            <w:rStyle w:val="Hyperlink"/>
          </w:rPr>
          <w:t xml:space="preserve">[3]</w:t>
        </w:r>
      </w:hyperlink>
      <w:r>
        <w:t xml:space="preserve">. A persistent, lagged, dose-responsive, donor-specific effect is a demanding pattern to produce, and it is demanding precisely since the theory is committed to a specific causal story instead of to any positive coefficient that happens to appear</w:t>
      </w:r>
      <w:r>
        <w:t xml:space="preserve"> </w:t>
      </w:r>
      <w:hyperlink w:anchor="ref-1">
        <w:r>
          <w:rPr>
            <w:rStyle w:val="Hyperlink"/>
          </w:rPr>
          <w:t xml:space="preserve">[1]</w:t>
        </w:r>
      </w:hyperlink>
      <w:r>
        <w:t xml:space="preserve">.</w:t>
      </w:r>
    </w:p>
    <w:bookmarkEnd w:id="88"/>
    <w:bookmarkStart w:id="89" w:name="X98ef8efb741cd5ed884b451c9b25fbab9996183"/>
    <w:p>
      <w:pPr>
        <w:pStyle w:val="Heading2"/>
        <w:spacing w:line="480" w:lineRule="auto"/>
      </w:pPr>
      <w:r>
        <w:t xml:space="preserve">3.9 The micro-foundations: why officials default</w:t>
      </w:r>
    </w:p>
    <w:p>
      <w:pPr>
        <w:pStyle w:val="FirstParagraph"/>
        <w:spacing w:line="480" w:lineRule="auto"/>
      </w:pPr>
      <w:r>
        <w:t xml:space="preserve">For this mechanism, the rests on a claim about how officials behave under constraint, and that claim deserves to be spelled out instead of assumed, since it is where the theory could be wrong. The premise is that a legal drafter facing a binding deadline, a thin staff, and no independent basis for comparing foreign models will choose the option with the lowest total adoption cost, where adoption cost includes drafting effort, the risk of internal criticism, and the friction of later technical cooperation. A donor-provided template lowers all three. It is pre-drafted, so drafting effort falls. It carries the pedigree of a working regulator, so the risk of internal criticism falls. And it is compatible with the donor’s systems and standards, so the friction of later cooperation falls. The default is not laziness; it is a rational response to real scarcity. The operational question is narrower: this behavioral premise is what distinguishes the soft-power mechanism from cruder stories about pressure or bribery. No official is coerced, and none is bought. The influence operates entirely through the structure of the choice: one option is cheaper along every dimension that matters to a constrained drafter, so it wins more often than chance would predict. The premise also explains the scope conditions. Where a drafter has ample capacity and time, the cost advantage shrinks, and the default weakens, which is why the effect should concentrate in low-capacity, first-generation settings</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This premise is testable, at least indirectly, and its testability is what keeps it from being a convenient assumption. If officials default for the reasons the theory claims, then emulation should be stronger where drafting capacity is thinner, where deadlines are tighter, and where the donor template is more complete and better documented. Each of these is measurable, if imperfectly, from staffing data, legislative timelines, and the content of the assistance itself. A pattern of emulation that tracks these cost drivers is evidence for the behavioral premise; a pattern that ignores them would suggest the mechanism is something other than what the theory describes, and the design is built to look for the difference</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89"/>
    <w:bookmarkStart w:id="90" w:name="the-theory-in-one-frame"/>
    <w:p>
      <w:pPr>
        <w:pStyle w:val="Heading2"/>
        <w:spacing w:line="480" w:lineRule="auto"/>
      </w:pPr>
      <w:r>
        <w:t xml:space="preserve">3.10 The theory in one frame</w:t>
      </w:r>
    </w:p>
    <w:p>
      <w:pPr>
        <w:pStyle w:val="FirstParagraph"/>
        <w:spacing w:line="480" w:lineRule="auto"/>
      </w:pPr>
      <w:r>
        <w:t xml:space="preserve">Gathered into a single frame, the theory reads as follows. Donor assistance bundles governance content with technical help. That bundle lowers the cost of donor-consistent legal choices for a constrained recipient drafter. The drafter, defaulting to the lowest-cost coherent option, encodes those choices in later law, where they appear as textual emulation and then persist. The effect should be lagged, dose-responsive, donor-specific, and concentrated in low-capacity first-generation settings, and it competes against independent modernization, multilateral harmonization, and reverse causation, each of which the design is built to separate out</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evidence trail is concrete here: the hypotheses fall out of this frame directly. The null holds that exposure produces no detectable change in emulation relative to comparable not-yet-exposed country-years; the alternative holds that it produces a positive and detectable increase. What makes the pair worth testing is that both outcomes are informative in advance. A positive, patterned effect would establish soft-power capture as a measurable feature of space governance. A flat, well-powered null would establish that space assistance builds competence without steering law, which is equally worth knowing</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 theory’s value is that it commits to a specific causal story with observable signatures, so the data can confirm it, downgrade it to convergence, or reject it outright. Chapter 4 turns that commitment into an estimator</w:t>
      </w:r>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bookmarkEnd w:id="90"/>
    <w:bookmarkEnd w:id="91"/>
    <w:bookmarkStart w:id="103" w:name="X940caaf6d3ac92c12a69529db0381ad3e868d7e"/>
    <w:p>
      <w:pPr>
        <w:pStyle w:val="Heading1"/>
        <w:spacing w:line="480" w:lineRule="auto"/>
      </w:pPr>
      <w:r>
        <w:t xml:space="preserve">Chapter 4. Methodology and Identification</w:t>
      </w:r>
    </w:p>
    <w:p>
      <w:pPr>
        <w:pStyle w:val="FirstParagraph"/>
        <w:spacing w:line="480" w:lineRule="auto"/>
      </w:pPr>
      <w:r>
        <w:t xml:space="preserve">The theory in Chapter 3 predicts that exposure to donor capacity-building raises later regulatory emulation.</w:t>
      </w:r>
    </w:p>
    <w:p>
      <w:pPr>
        <w:pStyle w:val="BodyText"/>
        <w:spacing w:line="480" w:lineRule="auto"/>
        <w:ind w:firstLine="720"/>
      </w:pPr>
      <w:r>
        <w:t xml:space="preserve">Turning that prediction into a credible estimate is the job of this chapter. The challenge is not computation. It is identification: separating the effect of assistance from every other reason two states might end up with similar law. The chapter sets out the estimator, explains why it identifies the effect instead of a confound, and states the assumptions it stands on.</w:t>
      </w:r>
    </w:p>
    <w:bookmarkStart w:id="92" w:name="the-estimand-and-the-unit"/>
    <w:p>
      <w:pPr>
        <w:pStyle w:val="Heading2"/>
        <w:spacing w:line="480" w:lineRule="auto"/>
      </w:pPr>
      <w:r>
        <w:t xml:space="preserve">4.1 The estimand and the unit</w:t>
      </w:r>
    </w:p>
    <w:p>
      <w:pPr>
        <w:pStyle w:val="FirstParagraph"/>
        <w:spacing w:line="480" w:lineRule="auto"/>
      </w:pPr>
      <w:r>
        <w:t xml:space="preserve">For this quantity, the of interest is the change in a recipient’s regulatory emulation that is caused by exposure to a donor’s space capacity-building, relative to the change the same recipient would have experienced without that exposure.</w:t>
      </w:r>
    </w:p>
    <w:p>
      <w:pPr>
        <w:pStyle w:val="BodyText"/>
        <w:spacing w:line="480" w:lineRule="auto"/>
        <w:ind w:firstLine="720"/>
      </w:pPr>
      <w:r>
        <w:t xml:space="preserve">For this unit, the of analysis is the recipient-donor-country-year. This triple structure is deliberate. It lets a single recipient be exposed to different donors at different times, lets treatment be dated to the first year of an identified intervention, and lets the outcome be measured against the specific donor’s model instead of a generic one. One outcome, one clock per donor-recipient pair. Treatment turns on in the first year a recipient receives an identified donor space capacity-building intervention and stays on thereafter.</w:t>
      </w:r>
    </w:p>
    <w:p>
      <w:pPr>
        <w:pStyle w:val="BodyText"/>
        <w:spacing w:line="480" w:lineRule="auto"/>
        <w:ind w:firstLine="720"/>
      </w:pPr>
      <w:r>
        <w:t xml:space="preserve">For the program record, because assistance rolls out at different times for different recipients, the design is inherently staggered.</w:t>
      </w:r>
    </w:p>
    <w:p>
      <w:pPr>
        <w:pStyle w:val="BodyText"/>
        <w:spacing w:line="480" w:lineRule="auto"/>
        <w:ind w:firstLine="720"/>
      </w:pPr>
      <w:r>
        <w:t xml:space="preserve">Some states are treated early, some late, some never within the observation window. That staggering is an asset for identification, since it supplies not-yet-treated units that serve as controls for already-treated units, but it is also a hazard, since naive two-way fixed-effects estimators can produce biased averages when treatment timing varies. The design handles this explicitly, and the handling is described below.</w:t>
      </w:r>
    </w:p>
    <w:bookmarkEnd w:id="92"/>
    <w:bookmarkStart w:id="93" w:name="the-estimator"/>
    <w:p>
      <w:pPr>
        <w:pStyle w:val="Heading2"/>
        <w:spacing w:line="480" w:lineRule="auto"/>
      </w:pPr>
      <w:r>
        <w:t xml:space="preserve">4.2 The estimator</w:t>
      </w:r>
    </w:p>
    <w:p>
      <w:pPr>
        <w:pStyle w:val="FirstParagraph"/>
        <w:spacing w:line="480" w:lineRule="auto"/>
      </w:pPr>
      <w:r>
        <w:t xml:space="preserve">For this archival, the record matters here: the workhorse is a staggered difference-in-differences event study. In its static form, it compares regulatory emulation in treated country-years against not-yet-treated or never-treated country-years, absorbing recipient fixed effects, year fixed effects, and donor-year fixed effects. Recipient fixed effects remove time-invariant national characteristics: geography, inherited legal tradition, deep institutional culture. Year fixed effects remove common temporal shocks that hit all states at once, such as a new multilateral instrument or a global market shift. Donor-year fixed effects remove a donor’s annual foreign-policy or space-policy priorities, so that a donor pushing many recipients in the same year does not masquerade as an effect of any single project. The dynamic form is where identification is actually tested. It replaces the single treatment indicator with a set of event-time coefficients, one for each year before and after first exposure. The post-treatment coefficients trace the effect as it unfolds. The pre-treatment coefficients are the diagnostic: under the identifying assumption, they should be indistinguishable from zero, since nothing should be happening to the recipient’s emulation trajectory before the donor arrives. A pre-trend that is already climbing would signal that treated states were on a different path to begin with, which is exactly the confound the design must rule out.</w:t>
      </w:r>
    </w:p>
    <w:p>
      <w:pPr>
        <w:pStyle w:val="BodyText"/>
        <w:spacing w:line="480" w:lineRule="auto"/>
        <w:ind w:firstLine="720"/>
      </w:pPr>
      <w:r>
        <w:t xml:space="preserve">For a replicator, to avoid the known pathologies of naive two-way fixed effects under staggered timing, the design uses modern group-time average treatment effect estimators that form clean comparisons and exclude already-treated units from serving as controls for later-treated ones. The reported effect is then an appropriately aggregated average of these group-time effects, with event-study coefficients recovered for the dynamic diagnostic.</w:t>
      </w:r>
    </w:p>
    <w:bookmarkEnd w:id="93"/>
    <w:bookmarkStart w:id="94" w:name="why-not-the-simpler-alternatives"/>
    <w:p>
      <w:pPr>
        <w:pStyle w:val="Heading2"/>
        <w:spacing w:line="480" w:lineRule="auto"/>
      </w:pPr>
      <w:r>
        <w:t xml:space="preserve">4.3 Why not the simpler alternatives</w:t>
      </w:r>
    </w:p>
    <w:p>
      <w:pPr>
        <w:pStyle w:val="FirstParagraph"/>
        <w:spacing w:line="480" w:lineRule="auto"/>
      </w:pPr>
      <w:r>
        <w:t xml:space="preserve">For this chapter, the treats this as an empirical claim: two simpler designs suggest themselves and both fail, and seeing why they fail clarifies what the event study buys. The first is a cross-sectional comparison: regress each recipient’s current emulation on whether it has ever received assistance. This design is hopeless against selection. States that receive space capacity-building differ systematically from those that do not, in wealth, in prior space activity, in legal tradition, and in a dozen unobserved ways, and a cross-section attributes all of those differences to the treatment. No amount of control catches the unobservables, and the estimate is a portrait of who gets assistance instead of of what assistance does.</w:t>
      </w:r>
    </w:p>
    <w:p>
      <w:pPr>
        <w:pStyle w:val="BodyText"/>
        <w:spacing w:line="480" w:lineRule="auto"/>
        <w:ind w:firstLine="720"/>
      </w:pPr>
      <w:r>
        <w:t xml:space="preserve">For this second, the simpler design is a naive two-way fixed-effects panel that pools all treated and untreated country-years with recipient and year dummies. This is closer, and for a while it was the field standard, but under staggered treatment timing it carries a subtle bias. When treatment rolls out at different times, already-treated units can end up serving as controls for later-treated ones, and if the effect changes over time the estimator weights the group-time effects in ways that can flip signs or manufacture effects that are not there. The dynamic event study with group-time estimators exists precisely to avoid this. It forms only clean comparisons, never using an already-treated unit as a control, and it recovers a transparent average of well-defined group-time effects</w:t>
      </w:r>
      <w:r>
        <w:t xml:space="preserve"> </w:t>
      </w:r>
      <w:hyperlink w:anchor="ref-4">
        <w:r>
          <w:rPr>
            <w:rStyle w:val="Hyperlink"/>
          </w:rPr>
          <w:t xml:space="preserve">[4]</w:t>
        </w:r>
      </w:hyperlink>
      <w:r>
        <w:t xml:space="preserve">. The extra machinery is not ornamentation; it is the difference between an estimate that means something and one that quietly encodes the timing structure of the rollout.</w:t>
      </w:r>
    </w:p>
    <w:bookmarkEnd w:id="94"/>
    <w:bookmarkStart w:id="95" w:name="why-this-identifies-the-effect"/>
    <w:p>
      <w:pPr>
        <w:pStyle w:val="Heading2"/>
        <w:spacing w:line="480" w:lineRule="auto"/>
      </w:pPr>
      <w:r>
        <w:t xml:space="preserve">4.4 Why this identifies the effect</w:t>
      </w:r>
    </w:p>
    <w:p>
      <w:pPr>
        <w:pStyle w:val="FirstParagraph"/>
        <w:spacing w:line="480" w:lineRule="auto"/>
      </w:pPr>
      <w:r>
        <w:t xml:space="preserve">Identification rests on a conditional parallel-trends assumption. Absent treatment, exposed and not-yet-exposed recipients would have followed similar trajectories in regulatory emulation after conditioning on the fixed effects and controls. This is not a claim that treated and untreated states are identical; the fixed effects allow them to differ in level and in common time shocks. It is a claim about trajectories: that the difference between them would have stayed stable had assistance not arrived. The dynamic event study makes this assumption checkable instead of merely asserted, since flat pre-trends are the observable implication of parallel counterfactual paths</w:t>
      </w:r>
      <w:r>
        <w:t xml:space="preserve"> </w:t>
      </w:r>
      <w:hyperlink w:anchor="ref-4">
        <w:r>
          <w:rPr>
            <w:rStyle w:val="Hyperlink"/>
          </w:rPr>
          <w:t xml:space="preserve">[4]</w:t>
        </w:r>
      </w:hyperlink>
      <w:r>
        <w:t xml:space="preserve">. The operational question is narrower: controls bound the observable confounding that fixed effects cannot absorb since it varies within recipient over time. Baseline space activity, prior national space-law status, GDP per capita, population, education, internet penetration, satellite ownership or operation indicators, and regional-year trends where feasible all enter as covariates. These are not interpreted as mechanisms. They are there to close the channels through which a recipient might modernize its law for reasons unrelated to the donor, such as rising commercial pressure or a growing satellite fleet</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 market evidence in Chapter 6 is precisely why baseline market position belongs among these controls instead of in the narrative: the environment into which assistance lands varies sharply, and unmeasured market maturity could otherwise drive both selection and outcome.</w:t>
      </w:r>
    </w:p>
    <w:bookmarkEnd w:id="95"/>
    <w:bookmarkStart w:id="96" w:name="Xc50f44a11cf1119fc9854d53f2090b89214b438"/>
    <w:p>
      <w:pPr>
        <w:pStyle w:val="Heading2"/>
        <w:spacing w:line="480" w:lineRule="auto"/>
      </w:pPr>
      <w:r>
        <w:t xml:space="preserve">4.5 The threats the estimator is built to survive</w:t>
      </w:r>
    </w:p>
    <w:p>
      <w:pPr>
        <w:pStyle w:val="FirstParagraph"/>
        <w:spacing w:line="480" w:lineRule="auto"/>
      </w:pPr>
      <w:r>
        <w:t xml:space="preserve">For the empirical reader, three threats deserve naming here since the estimator is structured around them. Selection into treatment is the first: donors may choose recipients already likely to emulate. Recipient fixed effects, donor-year fixed effects, observed controls, pre-trend tests, and comparison to not-yet-treated recipients are the combined bound. Reverse causality is the second: recipients may seek assistance after deciding to reform. Dating treatment from project records instead of from legal outcomes, and estimating leads as well as lags around first exposure, is the bound. Common shocks are the third: several states may move toward similar text at once through multilateral channels. Year fixed effects and donor-specific similarity measures, tested against placebo donor corpora, are the bound. None of these bounds is perfect. Together they convert a raw correlation into a design-based estimate with a stated warrant.</w:t>
      </w:r>
    </w:p>
    <w:bookmarkEnd w:id="96"/>
    <w:bookmarkStart w:id="97" w:name="Xf994ab8f04645988a5a2c7ec8499178c7a95bb9"/>
    <w:p>
      <w:pPr>
        <w:pStyle w:val="Heading2"/>
        <w:spacing w:line="480" w:lineRule="auto"/>
      </w:pPr>
      <w:r>
        <w:t xml:space="preserve">4.6 Inference, power, and the binary robustness outcome</w:t>
      </w:r>
    </w:p>
    <w:p>
      <w:pPr>
        <w:pStyle w:val="FirstParagraph"/>
        <w:spacing w:line="480" w:lineRule="auto"/>
      </w:pPr>
      <w:r>
        <w:t xml:space="preserve">For this evidence, the trail is concrete here: estimation is only half of an empirical design; inference is the other half. Standard errors in a country-year panel of this shape cannot assume independent observations, since a recipient’s emulation in one year is correlated with its emulation in adjacent years and, plausibly, with that of its neighbors. The design for that reason clusters standard errors at the recipient level at minimum, and it reports uncertainty as intervals instead of as binary significance verdicts, so that a reader sees the range of effects the data cannot rule out instead of a single stars-or-not verdict. Where the number of treated clusters is small, which is a real risk given how few states receive substantial space assistance, the design supplements analytic standard errors with resampling-based inference that behaves better in small samples. Power is a genuine concern and it is stated instead of hidden. The population of spacefaring recipients is not large, treatment is staggered and sometimes rare, and the outcome is measured with error. These features together mean the design may have limited power to detect a modest average effect, and a null result must for that reason be read carefully, as either a true absence of effect or a failure to detect one that exists. The heterogeneity analyses help here, since concentrating attention on the high-asymmetry, high-content cases raises the effective signal where the theory predicts the effect is largest.</w:t>
      </w:r>
    </w:p>
    <w:p>
      <w:pPr>
        <w:pStyle w:val="BodyText"/>
        <w:spacing w:line="480" w:lineRule="auto"/>
        <w:ind w:firstLine="720"/>
      </w:pPr>
      <w:r>
        <w:t xml:space="preserve">For the program record, the binary robustness outcome plays a specific role in this inference strategy. Alongside the continuous emulation score, the design records whether a recipient enacts or amends any donor-consistent regulatory instrument within a defined post-treatment window. This coarser outcome is less sensitive to the fine calibration of the text-similarity measure, so agreement between the continuous and binary results is evidence that the finding is not an artifact of one particular scoring choice. Disagreement between them, conversely, is a warning that the continuous score may be picking up measurement noise instead of real legal movement</w:t>
      </w:r>
      <w:r>
        <w:t xml:space="preserve"> </w:t>
      </w:r>
      <w:hyperlink w:anchor="ref-3">
        <w:r>
          <w:rPr>
            <w:rStyle w:val="Hyperlink"/>
          </w:rPr>
          <w:t xml:space="preserve">[3]</w:t>
        </w:r>
      </w:hyperlink>
      <w:r>
        <w:t xml:space="preserve"> </w:t>
      </w:r>
      <w:hyperlink w:anchor="ref-5">
        <w:r>
          <w:rPr>
            <w:rStyle w:val="Hyperlink"/>
          </w:rPr>
          <w:t xml:space="preserve">[5]</w:t>
        </w:r>
      </w:hyperlink>
      <w:r>
        <w:t xml:space="preserve">. Reporting both, and treating their agreement as a diagnostic, is part of how the design guards against fooling itself.</w:t>
      </w:r>
    </w:p>
    <w:bookmarkEnd w:id="97"/>
    <w:bookmarkStart w:id="98" w:name="the-honest-limit"/>
    <w:p>
      <w:pPr>
        <w:pStyle w:val="Heading2"/>
        <w:spacing w:line="480" w:lineRule="auto"/>
      </w:pPr>
      <w:r>
        <w:t xml:space="preserve">4.7 The honest limit</w:t>
      </w:r>
    </w:p>
    <w:p>
      <w:pPr>
        <w:pStyle w:val="FirstParagraph"/>
        <w:spacing w:line="480" w:lineRule="auto"/>
      </w:pPr>
      <w:r>
        <w:t xml:space="preserve">For this archival, the record matters here: the design is observational, and the chapter does not pretend otherwise. The estimand is a design-based association that acquires a causal interpretation only to the extent the pre-trend, timing, and robustness tests hold. A positive post-treatment coefficient is consistent with the alternative hypothesis only if pre-trends are flat, treatment timing is plausibly exogenous conditional on controls, measurement rules are fixed before estimation, and donor corpora do not absorb recipient influence in reverse. A null or negative result would support the null or reveal offsetting forces: legal resistance, multilateral harmonization, commercial imitation, or recipient adaptation</w:t>
      </w:r>
      <w:r>
        <w:t xml:space="preserve"> </w:t>
      </w:r>
      <w:hyperlink w:anchor="ref-5">
        <w:r>
          <w:rPr>
            <w:rStyle w:val="Hyperlink"/>
          </w:rPr>
          <w:t xml:space="preserve">[5]</w:t>
        </w:r>
      </w:hyperlink>
      <w:r>
        <w:t xml:space="preserve"> </w:t>
      </w:r>
      <w:hyperlink w:anchor="ref-6">
        <w:r>
          <w:rPr>
            <w:rStyle w:val="Hyperlink"/>
          </w:rPr>
          <w:t xml:space="preserve">[6]</w:t>
        </w:r>
      </w:hyperlink>
      <w:r>
        <w:t xml:space="preserve">. This is why the two empirical papers are kept strictly separate from the future causal panel. They audit the source logic and the market environment; they do not, and cannot, stand in for the treatment-effect estimate that the full design will deliver. Keeping that boundary visible is part of the identification strategy, not a caveat appended to it</w:t>
      </w:r>
      <w:r>
        <w:t xml:space="preserve"> </w:t>
      </w:r>
      <w:hyperlink w:anchor="ref-3">
        <w:r>
          <w:rPr>
            <w:rStyle w:val="Hyperlink"/>
          </w:rPr>
          <w:t xml:space="preserve">[3]</w:t>
        </w:r>
      </w:hyperlink>
      <w:r>
        <w:t xml:space="preserve">.</w:t>
      </w:r>
    </w:p>
    <w:bookmarkEnd w:id="98"/>
    <w:bookmarkStart w:id="99" w:name="Xf16fea5df58bd2f6e891d8ead15826112722da2"/>
    <w:p>
      <w:pPr>
        <w:pStyle w:val="Heading2"/>
        <w:spacing w:line="480" w:lineRule="auto"/>
      </w:pPr>
      <w:r>
        <w:t xml:space="preserve">4.8 The comparison group and the definition of control</w:t>
      </w:r>
    </w:p>
    <w:p>
      <w:pPr>
        <w:pStyle w:val="FirstParagraph"/>
        <w:spacing w:line="480" w:lineRule="auto"/>
      </w:pPr>
      <w:r>
        <w:t xml:space="preserve">For a replicator, identification in a staggered design lives or dies on the comparison group, so it deserves its own treatment. The counterfactual for a treated recipient-donor-country-year is not a random untreated unit; it is the set of not-yet-treated and never-treated country-years that share the fixed-effect structure and the observed controls. Choosing this set well is the substance of the design. A recipient treated by a given donor in a given year is compared against recipients who will be treated by that donor later, or never, so that the comparison holds the donor’s identity fixed and varies only the timing of exposure. This is what donor-year fixed effects and clean group-time comparisons jointly deliver. Never-treated units are useful but not sufficient, since states that never receive space assistance may differ systematically from those that eventually do. Not-yet-treated units are the more credible controls, since they come from the same population of eventual recipients and differ from the treated only in when their exposure arrives. The design leans on them for the core estimate and uses never-treated units mainly as a supplementary check. Where the pool of clean controls is thin in a given period, the design reports that thinness instead of silently borrowing already-treated units, since borrowing them is exactly the error that produces biased two-way fixed-effects estimates under staggered timing</w:t>
      </w:r>
      <w:r>
        <w:t xml:space="preserve"> </w:t>
      </w:r>
      <w:hyperlink w:anchor="ref-4">
        <w:r>
          <w:rPr>
            <w:rStyle w:val="Hyperlink"/>
          </w:rPr>
          <w:t xml:space="preserve">[4]</w:t>
        </w:r>
      </w:hyperlink>
      <w:r>
        <w:t xml:space="preserve">.</w:t>
      </w:r>
    </w:p>
    <w:p>
      <w:pPr>
        <w:pStyle w:val="BodyText"/>
        <w:spacing w:line="480" w:lineRule="auto"/>
        <w:ind w:firstLine="720"/>
      </w:pPr>
      <w:r>
        <w:t xml:space="preserve">For this chapter, the treats this as an empirical claim: there is a subtler point about what control means when the outcome is cumulative. Regulatory emulation, once it occurs, persists, so a treated unit’s outcome after treatment reflects an accumulation instead of a snapshot. The event study accommodates this by tracing the path of the effect across event time instead of collapsing it to a single post-treatment average, which lets the estimator distinguish a genuine treatment-driven climb from a level difference that was already present. Reading the dynamic coefficients, not just the aggregate, is for that reason essential to interpreting whether the comparison group is doing its job</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99"/>
    <w:bookmarkStart w:id="100" w:name="X6f6fed82884fd05805c62e7bfbda1a5e2fc03e5"/>
    <w:p>
      <w:pPr>
        <w:pStyle w:val="Heading2"/>
        <w:spacing w:line="480" w:lineRule="auto"/>
      </w:pPr>
      <w:r>
        <w:t xml:space="preserve">4.9 Preregistration as an identification device</w:t>
      </w:r>
    </w:p>
    <w:p>
      <w:pPr>
        <w:pStyle w:val="FirstParagraph"/>
        <w:spacing w:line="480" w:lineRule="auto"/>
      </w:pPr>
      <w:r>
        <w:t xml:space="preserve">For this data, the construction is deliberately visible: one further element belongs in the identification strategy even though it is procedural instead of statistical. The outcome codebook, the treatment dictionary, the exclusion criteria, and the event-study specification will be fixed and published before the effect is estimated. This matters since a text-based outcome offers many degrees of freedom in scoring, and a researcher who tuned the similarity measure after seeing the results could manufacture almost any coefficient. Committing the measurement rules in advance removes that freedom and converts the estimate from an exercise that could be steered into one that can be checked. Preregistration does not improve the data, but it disciplines the analyst, and in a domain this data-poor the discipline of the analyst is part of what makes any surviving estimate believable</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100"/>
    <w:bookmarkStart w:id="101" w:name="X15ed0fc16eff6569f077bff8f3ac369d7ddb1a9"/>
    <w:p>
      <w:pPr>
        <w:pStyle w:val="Heading2"/>
        <w:spacing w:line="480" w:lineRule="auto"/>
      </w:pPr>
      <w:r>
        <w:t xml:space="preserve">4.10 Heterogeneity as identification, not just description</w:t>
      </w:r>
    </w:p>
    <w:p>
      <w:pPr>
        <w:pStyle w:val="FirstParagraph"/>
        <w:spacing w:line="480" w:lineRule="auto"/>
      </w:pPr>
      <w:r>
        <w:t xml:space="preserve">For this operational, the question is narrower: heterogeneity analysis is often treated as a secondary exercise, something to run after the main effect is established. Here it is closer to a core identification device, since the theory predicts a specific pattern of heterogeneity, and finding that pattern is stronger evidence for the mechanism than finding an average effect alone. The theory says the effect should concentrate where capacity asymmetry is high, where the assistance carries governance content, and where the recipient is writing first-generation law. A design that estimates effects separately across these strata can for that reason test the mechanism, not merely characterize it. Consider the alternative. A confound like strategic alignment would plausibly produce an average emulation effect, but it would not obviously produce an effect that is larger precisely where the recipient’s drafting capacity is thinner and the assistance’s governance content is richer. That patterned prediction is hard for a confound to mimic, since the confound has no reason to key itself to the cost structure the mechanism describes</w:t>
      </w:r>
      <w:r>
        <w:t xml:space="preserve"> </w:t>
      </w:r>
      <w:hyperlink w:anchor="ref-4">
        <w:r>
          <w:rPr>
            <w:rStyle w:val="Hyperlink"/>
          </w:rPr>
          <w:t xml:space="preserve">[4]</w:t>
        </w:r>
      </w:hyperlink>
      <w:r>
        <w:t xml:space="preserve">. When the observed heterogeneity matches the predicted heterogeneity, the match itself is identifying information, narrowing the set of explanations that could have produced the data.</w:t>
      </w:r>
    </w:p>
    <w:p>
      <w:pPr>
        <w:pStyle w:val="BodyText"/>
        <w:spacing w:line="480" w:lineRule="auto"/>
        <w:ind w:firstLine="720"/>
      </w:pPr>
      <w:r>
        <w:t xml:space="preserve">For the empirical reader, this is why the design reserves statistical power for the high-signal strata instead of spending it all on a single pooled average. In a data-poor domain, a pooled average over a heterogeneous population can be small and noisy even when a real effect is concentrated in a subset, and reading that small average as a null would be a mistake. Estimating where the theory predicts the effect is largest raises the chance of detecting it if it exists and, just as decisively, tests whether it appears where it should. A finding that emulation is strong in low-capacity first-generation cases and weak in mature-regulator cases is consistent with the mechanism; a finding that emulation is uniform across strata, or concentrated in the wrong ones, would count against it</w:t>
      </w:r>
      <w:r>
        <w:t xml:space="preserve"> </w:t>
      </w:r>
      <w:hyperlink w:anchor="ref-2">
        <w:r>
          <w:rPr>
            <w:rStyle w:val="Hyperlink"/>
          </w:rPr>
          <w:t xml:space="preserve">[2]</w:t>
        </w:r>
      </w:hyperlink>
      <w:r>
        <w:t xml:space="preserve"> </w:t>
      </w:r>
      <w:hyperlink w:anchor="ref-5">
        <w:r>
          <w:rPr>
            <w:rStyle w:val="Hyperlink"/>
          </w:rPr>
          <w:t xml:space="preserve">[5]</w:t>
        </w:r>
      </w:hyperlink>
      <w:r>
        <w:t xml:space="preserve">. Heterogeneity, in this design, earns its place in the identification argument instead of in a robustness appendix.</w:t>
      </w:r>
    </w:p>
    <w:bookmarkEnd w:id="101"/>
    <w:bookmarkStart w:id="102" w:name="assembling-the-identification-argument"/>
    <w:p>
      <w:pPr>
        <w:pStyle w:val="Heading2"/>
        <w:spacing w:line="480" w:lineRule="auto"/>
      </w:pPr>
      <w:r>
        <w:t xml:space="preserve">4.11 Assembling the identification argument</w:t>
      </w:r>
    </w:p>
    <w:p>
      <w:pPr>
        <w:pStyle w:val="FirstParagraph"/>
        <w:spacing w:line="480" w:lineRule="auto"/>
      </w:pPr>
      <w:r>
        <w:t xml:space="preserve">For this evidence, the trail is concrete here: the pieces of the identification strategy fit together into a single layered argument, and it helps to see them assembled. The fixed effects remove the obvious confounders: time-invariant recipient traits, common annual shocks, and donor-specific yearly priorities. The controls close the within-recipient time-varying channels, from wealth and population to satellite activity and baseline market position. The clean group-time comparisons prevent the staggered-timing bias that sinks naive two-way fixed effects. The pre-trend diagnostics make the parallel-trends assumption checkable instead of assumed. The placebo-donor tests distinguish donor-specific emulation from global harmonization. The dosage and heterogeneity analyses test whether the effect appears where and in proportion to what the mechanism predicts. And preregistration removes the analyst’s freedom to tune measurement toward a result</w:t>
      </w:r>
      <w:r>
        <w:t xml:space="preserve"> </w:t>
      </w:r>
      <w:hyperlink w:anchor="ref-3">
        <w:r>
          <w:rPr>
            <w:rStyle w:val="Hyperlink"/>
          </w:rPr>
          <w:t xml:space="preserve">[3]</w:t>
        </w:r>
      </w:hyperlink>
      <w:r>
        <w:t xml:space="preserve"> </w:t>
      </w:r>
      <w:hyperlink w:anchor="ref-4">
        <w:r>
          <w:rPr>
            <w:rStyle w:val="Hyperlink"/>
          </w:rPr>
          <w:t xml:space="preserve">[4]</w:t>
        </w:r>
      </w:hyperlink>
      <w:r>
        <w:t xml:space="preserve">. No single one of these is sufficient, and the chapter has been careful never to claim otherwise. Selection could survive any one of them alone. What the layered argument offers is a conjunction that selection and the other rivals find hard to satisfy simultaneously: a lagged, persistent, dose-responsive, donor-specific effect that appears after treatment, concentrates in low-capacity settings, and survives placebo and preregistration checks. An estimate that clears all of these layers earns a design-based causal reading; one that fails any of them is reported as failing, not quietly excused. This is the standard the eventual panel is held to, and it is why the two empirical papers, valuable as they are, are kept outside it. They audit the warrant. The layered argument is what would license a causal claim, and only the full country-year panel can run it</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02"/>
    <w:bookmarkEnd w:id="103"/>
    <w:bookmarkStart w:id="115" w:name="chapter-5.-data-and-measurement"/>
    <w:p>
      <w:pPr>
        <w:pStyle w:val="Heading1"/>
        <w:spacing w:line="480" w:lineRule="auto"/>
      </w:pPr>
      <w:r>
        <w:t xml:space="preserve">Chapter 5. Data and Measurement</w:t>
      </w:r>
    </w:p>
    <w:p>
      <w:pPr>
        <w:pStyle w:val="FirstParagraph"/>
        <w:spacing w:line="480" w:lineRule="auto"/>
      </w:pPr>
      <w:r>
        <w:t xml:space="preserve">An identification strategy is only as good as the data that feed it. The chapter describes the datasets the full country-year design will use, the rules by which its variables are constructed, and the two source-backed datasets that the empirical papers actually analyze at this design stage. The distinction is important. The country-year panel is specified but not yet built; the two paper datasets are real, small, and fully coded. Both are described here so the reader can see where measurement is settled and where it remains a plan.</w:t>
      </w:r>
    </w:p>
    <w:bookmarkStart w:id="104" w:name="the-country-year-data-sources"/>
    <w:p>
      <w:pPr>
        <w:pStyle w:val="Heading2"/>
        <w:spacing w:line="480" w:lineRule="auto"/>
      </w:pPr>
      <w:r>
        <w:t xml:space="preserve">5.1 The country-year data sources</w:t>
      </w:r>
    </w:p>
    <w:p>
      <w:pPr>
        <w:pStyle w:val="FirstParagraph"/>
        <w:spacing w:line="480" w:lineRule="auto"/>
      </w:pPr>
      <w:r>
        <w:t xml:space="preserve">Treatment data come from project-level aid records. The OECD Creditor Reporting System publishes project titles, long descriptions, sector codes, donor and recipient identifiers, and commitment and disbursement years. A supervised, hand-audited coding protocol will flag space capacity-building projects using terms tied to satellites, remote sensing, space law, Earth observation, space applications, spectrum, debris, space traffic, national space agencies, and regulatory assistance. Treatment equals one beginning in the first year of an identified donor-recipient space capacity-building intervention. This dating discipline is what lets the event study separate leads from lags; a treatment read from an aid database is analytically useful only when the recipient’s legal response appears later in time.</w:t>
      </w:r>
    </w:p>
    <w:p>
      <w:pPr>
        <w:pStyle w:val="BodyText"/>
        <w:spacing w:line="480" w:lineRule="auto"/>
        <w:ind w:firstLine="720"/>
      </w:pPr>
      <w:r>
        <w:t xml:space="preserve">For the program record, uNOOSA capacity-building and program records supplement and validate the treatment measure.</w:t>
      </w:r>
    </w:p>
    <w:p>
      <w:pPr>
        <w:pStyle w:val="BodyText"/>
        <w:spacing w:line="480" w:lineRule="auto"/>
        <w:ind w:firstLine="720"/>
      </w:pPr>
      <w:r>
        <w:t xml:space="preserve">Where capacity-building is delivered through space-law workshops, technical advisory missions, fellowships, or hosted-payload access instead of through classified aid line items, these records catch it. Cross-referencing the two sources bounds the measurement error that comes from aid descriptions that omit or overstate space-relevant content. The outcome corpus comes from primary legal texts. The UNOOSA National Space Law Collection, national gazettes, agency rules, and licensing guidance supply recipient statutes, regulations, decrees, licensing and registration rules, liability provisions, remote-sensing rules, and national space-agency mandates, each dated and linked to a country-year. Donor national space-law corpora, drawn from official legal repositories and space-agency or ministry sites, define the fitted specification against which recipient emulation is scored. Auxiliary controls come from the World Bank World Development Indicators and International Telecommunication Union indicators, with space-activity controls constructed from the UNOOSA Online Index of Objects Launched into Outer Space.</w:t>
      </w:r>
    </w:p>
    <w:bookmarkEnd w:id="104"/>
    <w:bookmarkStart w:id="105" w:name="constructing-the-emulation-outcome"/>
    <w:p>
      <w:pPr>
        <w:pStyle w:val="Heading2"/>
        <w:spacing w:line="480" w:lineRule="auto"/>
      </w:pPr>
      <w:r>
        <w:t xml:space="preserve">5.2 Constructing the emulation outcome</w:t>
      </w:r>
    </w:p>
    <w:p>
      <w:pPr>
        <w:pStyle w:val="FirstParagraph"/>
        <w:spacing w:line="480" w:lineRule="auto"/>
      </w:pPr>
      <w:r>
        <w:t xml:space="preserve">Re, the recipient’s annual similarity to the donor’s space-regulatory corpus, is the hardest variable to build well, and treating text similarity as a black box would be a mistake.</w:t>
      </w:r>
    </w:p>
    <w:p>
      <w:pPr>
        <w:pStyle w:val="BodyText"/>
        <w:spacing w:line="480" w:lineRule="auto"/>
        <w:ind w:firstLine="720"/>
      </w:pPr>
      <w:r>
        <w:t xml:space="preserve">A defensible measure combines clause-level matching, legal-topic embeddings, supervised codebooks for specific regulatory instruments, and hand checks on high-leverage provisions such as authorization, supervision, liability, registration, remote sensing, debris mitigation, traffic coordination, and launch licensing</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combination guards against the central measurement threat: mistaking generic international space-law vocabulary, which many states share by treaty, for donor-specific emulation. Boilerplate treaty language is excluded, year fixed effects absorb common templates, and donor-specific similarity is tested against placebo donor corpora. A binary robustness outcome, first donor-consistent enactment within a defined post-treatment window, provides a coarser but transparent alternative to the continuous score.</w:t>
      </w:r>
    </w:p>
    <w:bookmarkEnd w:id="105"/>
    <w:bookmarkStart w:id="106" w:name="the-paper-1-dataset"/>
    <w:p>
      <w:pPr>
        <w:pStyle w:val="Heading2"/>
        <w:spacing w:line="480" w:lineRule="auto"/>
      </w:pPr>
      <w:r>
        <w:t xml:space="preserve">5.3 The Paper 1 dataset</w:t>
      </w:r>
    </w:p>
    <w:p>
      <w:pPr>
        <w:pStyle w:val="FirstParagraph"/>
        <w:spacing w:line="480" w:lineRule="auto"/>
      </w:pPr>
      <w:r>
        <w:t xml:space="preserve">The first empirical dataset is the cited source corpus itself, treated as a measurement object.</w:t>
      </w:r>
    </w:p>
    <w:p>
      <w:pPr>
        <w:pStyle w:val="BodyText"/>
        <w:spacing w:line="480" w:lineRule="auto"/>
        <w:ind w:firstLine="720"/>
      </w:pPr>
      <w:r>
        <w:t xml:space="preserve">It contains eleven source documents, each an AMOS or Acta item that the dissertation cites. Every row receives three structured coding scores, each an integer from zero to five. Regulatory-text salience counts the presence of law, regulation, institutional mandate, policy coordination, traffic management, or governance-bottleneck mechanisms. Capacity-building salience counts tool validation, technical assistance, capability development, decision support, or management-framework mechanisms. Market-infrastructure salience counts broadband markets, Earth-observation markets, commercial services, customer base, launch context, or orbital infrastructure. Publication year is read from source metadata. The chapter treats this as an empirical claim: coding is manual and auditable against named passages. A source such as Colombo and colleagues on space capacity management scores high on both capacity-building and regulatory salience, since it binds congestion analysis to coordination rules</w:t>
      </w:r>
      <w:r>
        <w:t xml:space="preserve"> </w:t>
      </w:r>
      <w:hyperlink w:anchor="ref-4">
        <w:r>
          <w:rPr>
            <w:rStyle w:val="Hyperlink"/>
          </w:rPr>
          <w:t xml:space="preserve">[4]</w:t>
        </w:r>
      </w:hyperlink>
      <w:r>
        <w:t xml:space="preserve">. A purely sensor-oriented tracking paper scores near zero on all three, since it advances capability without touching governance. The point of the data file is not to estimate donor influence; no country-year information is present. It is to test whether the dissertation’s own evidence base coherently links capacity-building concepts to regulatory concepts, which is the warrant for measuring recipient legal texts at all</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End w:id="106"/>
    <w:bookmarkStart w:id="107" w:name="the-paper-2-dataset"/>
    <w:p>
      <w:pPr>
        <w:pStyle w:val="Heading2"/>
        <w:spacing w:line="480" w:lineRule="auto"/>
      </w:pPr>
      <w:r>
        <w:t xml:space="preserve">5.4 The Paper 2 dataset</w:t>
      </w:r>
    </w:p>
    <w:p>
      <w:pPr>
        <w:pStyle w:val="FirstParagraph"/>
        <w:spacing w:line="480" w:lineRule="auto"/>
      </w:pPr>
      <w:r>
        <w:t xml:space="preserve">For this data, the construction is deliberately visible: the second empirical dataset comes from a single cited table. Denis and colleagues, in their Earth-observation market analysis, present a customer table distinguishing four categories: defence, civil institutional, commercial, and consumer market</w:t>
      </w:r>
      <w:r>
        <w:t xml:space="preserve"> </w:t>
      </w:r>
      <w:hyperlink w:anchor="ref-5">
        <w:r>
          <w:rPr>
            <w:rStyle w:val="Hyperlink"/>
          </w:rPr>
          <w:t xml:space="preserve">[5]</w:t>
        </w:r>
      </w:hyperlink>
      <w:r>
        <w:t xml:space="preserve">. Each category carries a typical customer scale, a maturity label, and a growth-potential label. The dataset has four rows, one per category, ordered from defence to consumer market. The customer-scale labels are translated into a transparent log-scale code by a fixed rule: a scale of one hundred maps to 2.0, one hundred to thousands maps to 2.7, thousands maps to 3.0, and millions maps to 6.0. Maturity and growth-potential labels are converted to ordinal scores, and a consumer-market indicator flags the final row. This translation is deliberately crude and deliberately explicit. It does not claim exact customer counts, and it does not pretend that four rows represent the entire Earth-observation economy. It preserves the table’s ordinal and scale structure so the market evidence can be carried into an auditable analysis and, later, replaced with direct revenue, subscriber, or procurement series when multi-country time data become available. The dataset exists to characterize one thing: the steepness of the customer-scale gradient across market categories, which bears on how consequential a regulatory template becomes as the user population grows.</w:t>
      </w:r>
    </w:p>
    <w:bookmarkEnd w:id="107"/>
    <w:bookmarkStart w:id="108" w:name="the-coding-protocol-and-its-auditability"/>
    <w:p>
      <w:pPr>
        <w:pStyle w:val="Heading2"/>
        <w:spacing w:line="480" w:lineRule="auto"/>
      </w:pPr>
      <w:r>
        <w:t xml:space="preserve">5.5 The coding protocol and its auditability</w:t>
      </w:r>
    </w:p>
    <w:p>
      <w:pPr>
        <w:pStyle w:val="FirstParagraph"/>
        <w:spacing w:line="480" w:lineRule="auto"/>
      </w:pPr>
      <w:r>
        <w:t xml:space="preserve">For this salience, the coding in Paper 1 deserves a fuller description than a variable list provides, since a coded dataset is only as trustworthy as the rules that produced it. Each of the three salience scores runs from zero to five and counts distinct mechanism types present in a source’s abstract or available full text. Regulatory-text salience counts up to six mechanism families: law, regulation, institutional mandate, policy coordination, traffic management, and governance bottleneck, capped at five. Capacity-building salience counts training, tool validation, technical assistance, capability development, decision support, and management framework. Market-infrastructure salience counts broadband markets, Earth-observation markets, commercial services, customer base, launch context, and orbital infrastructure. A source earns a point for each family it substantively addresses, not for each time a keyword appears, which keeps the score a measure of conceptual breadth instead of of vocabulary density. For the empirical reader, auditability is the point of coding this way. Every score can be traced to named passages, so a reader who disputes a coding can check it against the source and, if warranted, correct it without disturbing anything else in the design. A correction to one source’s score changes one row; it does not ripple into the country-year panel, since the two datasets are separate objects. This modularity is deliberate. It means the source audit can be revised as a measurement exercise on its own terms, and it means an error in the audit cannot silently contaminate the treatment-effect estimate that the dissertation ultimately cares about</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108"/>
    <w:bookmarkStart w:id="109" w:name="Xacab22bff1e4a092d35fa946e4bd6e765c04f08"/>
    <w:p>
      <w:pPr>
        <w:pStyle w:val="Heading2"/>
        <w:spacing w:line="480" w:lineRule="auto"/>
      </w:pPr>
      <w:r>
        <w:t xml:space="preserve">5.6 Validating the eventual treatment measure</w:t>
      </w:r>
    </w:p>
    <w:p>
      <w:pPr>
        <w:pStyle w:val="FirstParagraph"/>
        <w:spacing w:line="480" w:lineRule="auto"/>
      </w:pPr>
      <w:r>
        <w:t xml:space="preserve">For this evidence, the trail is concrete here: the country-year treatment measure faces its own validation burden, and the plan for meeting it is worth stating even though the panel record is not yet built. Aid databases describe projects in language that was written for accounting, not for research, so a project’s space relevance is often implicit. The coding protocol for that reason combines a keyword-and-sector first pass over the Creditor Reporting System with a hand audit of every flagged project and a stratified hand audit of a sample of unflagged projects, to estimate both false positives and false negatives. Cross-referencing against UNOOSA program records catches space capacity-building delivered through channels that the aid database describes poorly or not at all. Two sensitivity definitions bracket the measurement uncertainty. A narrow definition counts only projects whose descriptions explicitly name space law, spectrum, registration, debris mitigation, or a national space agency. A broad definition adds projects that concern satellite applications and remote sensing more generally. Estimating the design under both definitions shows whether the finding depends on where the treatment boundary is drawn, and a result that survives both is far more credible than one that appears only under a single convenient coding</w:t>
      </w:r>
      <w:r>
        <w:t xml:space="preserve"> </w:t>
      </w:r>
      <w:hyperlink w:anchor="ref-2">
        <w:r>
          <w:rPr>
            <w:rStyle w:val="Hyperlink"/>
          </w:rPr>
          <w:t xml:space="preserve">[2]</w:t>
        </w:r>
      </w:hyperlink>
      <w:r>
        <w:t xml:space="preserve">. Missingness is reported, not imputed: projects that cannot be confidently classified are flagged instead of forced into a category, and their volume is disclosed so the reader can judge how much of the treatment record is uncertain</w:t>
      </w:r>
      <w:r>
        <w:t xml:space="preserve"> </w:t>
      </w:r>
      <w:hyperlink w:anchor="ref-5">
        <w:r>
          <w:rPr>
            <w:rStyle w:val="Hyperlink"/>
          </w:rPr>
          <w:t xml:space="preserve">[5]</w:t>
        </w:r>
      </w:hyperlink>
      <w:r>
        <w:t xml:space="preserve">.</w:t>
      </w:r>
    </w:p>
    <w:bookmarkEnd w:id="109"/>
    <w:bookmarkStart w:id="110" w:name="measurement-honesty"/>
    <w:p>
      <w:pPr>
        <w:pStyle w:val="Heading2"/>
        <w:spacing w:line="480" w:lineRule="auto"/>
      </w:pPr>
      <w:r>
        <w:t xml:space="preserve">5.7 Measurement honesty</w:t>
      </w:r>
    </w:p>
    <w:p>
      <w:pPr>
        <w:pStyle w:val="FirstParagraph"/>
        <w:spacing w:line="480" w:lineRule="auto"/>
      </w:pPr>
      <w:r>
        <w:t xml:space="preserve">Two features of this measurement plan deserve emphasis before results. First, the country-year variables are specified but not yet realized, so every claim about them is a claim about a design, not about data in hand. Second, the two paper datasets are real and complete but small, eleven rows and four rows respectively, which sharply limits the precision of anything estimated from them. The chapters that follow honor both facts. Results from the paper datasets are reported exactly and interpreted narrowly, and the country-year outcome is treated as the test still to come. Missingness in the future panel will be reported instead of imputed as evidence, and the scope condition, that results apply most clearly to states with observable legal texts and recorded capacity-building, will be stated instead of hidden</w:t>
      </w:r>
      <w:r>
        <w:t xml:space="preserve"> </w:t>
      </w:r>
      <w:hyperlink w:anchor="ref-6">
        <w:r>
          <w:rPr>
            <w:rStyle w:val="Hyperlink"/>
          </w:rPr>
          <w:t xml:space="preserve">[6]</w:t>
        </w:r>
      </w:hyperlink>
      <w:r>
        <w:t xml:space="preserve">. Measurement discipline is not a preliminary to the argument. It is the argument’s foundation, and the credibility of the eventual treatment-effect estimate depends entirely on getting the outcome corpus and the treatment dating right.</w:t>
      </w:r>
    </w:p>
    <w:bookmarkEnd w:id="110"/>
    <w:bookmarkStart w:id="111" w:name="X27b5b8965adcbe4f77cf9f4d214399b2813ef28"/>
    <w:p>
      <w:pPr>
        <w:pStyle w:val="Heading2"/>
        <w:spacing w:line="480" w:lineRule="auto"/>
      </w:pPr>
      <w:r>
        <w:t xml:space="preserve">5.8 The donor corpus and the placebo test it enables</w:t>
      </w:r>
    </w:p>
    <w:p>
      <w:pPr>
        <w:pStyle w:val="FirstParagraph"/>
        <w:spacing w:line="480" w:lineRule="auto"/>
      </w:pPr>
      <w:r>
        <w:t xml:space="preserve">For this donor, the model against which recipient text is scored is itself a constructed dataset, and its construction shapes what the outcome can detect. Donor national space-law corpora are assembled from official legal repositories, space-agency publications, and ministry sources, and they are dated so that a recipient’s text can be compared against the version of the donor model that existed before the recipient’s drafting window opened. This temporal alignment matters. Scoring a recipient’s 2020 statute against a donor’s 2023 model would be anachronistic and could manufacture apparent emulation from language the recipient could not have seen. The corpus is for that reason versioned, and the comparison always uses the donor text available before the recipient acted. For a replicator, the versioned donor corpus is what makes the placebo-donor test possible, and that test is central to distinguishing emulation from harmonization. For each treated recipient, the design scores its post-treatment text not only against the actual donor but against one or more placebo donors: states whose models the recipient had no particular reason to copy. If the recipient’s text moves toward the actual donor more than toward the placebo donors, that differential is evidence of donor-specific emulation instead of of convergence on a shared global template</w:t>
      </w:r>
      <w:r>
        <w:t xml:space="preserve"> </w:t>
      </w:r>
      <w:hyperlink w:anchor="ref-3">
        <w:r>
          <w:rPr>
            <w:rStyle w:val="Hyperlink"/>
          </w:rPr>
          <w:t xml:space="preserve">[3]</w:t>
        </w:r>
      </w:hyperlink>
      <w:r>
        <w:t xml:space="preserve"> </w:t>
      </w:r>
      <w:hyperlink w:anchor="ref-4">
        <w:r>
          <w:rPr>
            <w:rStyle w:val="Hyperlink"/>
          </w:rPr>
          <w:t xml:space="preserve">[4]</w:t>
        </w:r>
      </w:hyperlink>
      <w:r>
        <w:t xml:space="preserve">. If instead the recipient’s text moves equally toward all donors, the movement looks like harmonization, and the design would decline to read it as capture. Building multiple donor corpora is expensive, but the expense buys the single most important discriminating test the outcome offers.</w:t>
      </w:r>
    </w:p>
    <w:bookmarkEnd w:id="111"/>
    <w:bookmarkStart w:id="112" w:name="X34062e8ca29a1251687362b1ff696a0cec6972e"/>
    <w:p>
      <w:pPr>
        <w:pStyle w:val="Heading2"/>
        <w:spacing w:line="480" w:lineRule="auto"/>
      </w:pPr>
      <w:r>
        <w:t xml:space="preserve">5.9 Controls, and why the market evidence justifies them</w:t>
      </w:r>
    </w:p>
    <w:p>
      <w:pPr>
        <w:pStyle w:val="FirstParagraph"/>
        <w:spacing w:line="480" w:lineRule="auto"/>
      </w:pPr>
      <w:r>
        <w:t xml:space="preserve">For this chapter, the treats this as an empirical claim: this control set is not a grab bag; each control closes a specific channel through which a recipient might modernize its law for reasons unrelated to the donor. GDP per capita and population bound the resource and scale channels. Education and internet penetration bound the administrative-capacity channel. Satellite ownership and operation indicators bound the direct-activity channel, since a state operating many satellites has independent reasons to regulate. Prior national space-law status bounds the maturity channel, separating first-generation lawmakers from states amending existing regimes. Regional-year trends bound the neighborhood-diffusion channel</w:t>
      </w:r>
      <w:r>
        <w:t xml:space="preserve"> </w:t>
      </w:r>
      <w:hyperlink w:anchor="ref-2">
        <w:r>
          <w:rPr>
            <w:rStyle w:val="Hyperlink"/>
          </w:rPr>
          <w:t xml:space="preserve">[2]</w:t>
        </w:r>
      </w:hyperlink>
      <w:r>
        <w:t xml:space="preserve">. The market evidence developed in the second empirical paper is precisely why baseline market position belongs in this set instead of in the narrative. Because Earth-observation customer scale rises so steeply across market categories, a recipient’s market position is a strong candidate confounder: a state building consumer-facing geospatial services faces regulatory pressures that could drive both its attractiveness to donors and its own legislative agenda</w:t>
      </w:r>
      <w:r>
        <w:t xml:space="preserve"> </w:t>
      </w:r>
      <w:hyperlink w:anchor="ref-5">
        <w:r>
          <w:rPr>
            <w:rStyle w:val="Hyperlink"/>
          </w:rPr>
          <w:t xml:space="preserve">[5]</w:t>
        </w:r>
      </w:hyperlink>
      <w:r>
        <w:t xml:space="preserve">. Controlling for baseline market position closes that channel, and the design treats it as a first-class covariate for exactly this reason. Sensitivity checks round out the strategy by moving the treatment window and excluding countries with preexisting reform trajectories, so the reader can see whether the finding depends on a particular window or on a handful of already-reforming states</w:t>
      </w:r>
      <w:r>
        <w:t xml:space="preserve"> </w:t>
      </w:r>
      <w:hyperlink w:anchor="ref-6">
        <w:r>
          <w:rPr>
            <w:rStyle w:val="Hyperlink"/>
          </w:rPr>
          <w:t xml:space="preserve">[6]</w:t>
        </w:r>
      </w:hyperlink>
      <w:r>
        <w:t xml:space="preserve">.</w:t>
      </w:r>
    </w:p>
    <w:bookmarkEnd w:id="112"/>
    <w:bookmarkStart w:id="113" w:name="provenance-and-reproducibility"/>
    <w:p>
      <w:pPr>
        <w:pStyle w:val="Heading2"/>
        <w:spacing w:line="480" w:lineRule="auto"/>
      </w:pPr>
      <w:r>
        <w:t xml:space="preserve">5.10 Provenance and reproducibility</w:t>
      </w:r>
    </w:p>
    <w:p>
      <w:pPr>
        <w:pStyle w:val="FirstParagraph"/>
        <w:spacing w:line="480" w:lineRule="auto"/>
      </w:pPr>
      <w:r>
        <w:t xml:space="preserve">Every dataset the design uses is real and obtainable, and stating their provenance precisely is part of making the eventual analysis reproducible instead of merely plausible. The treatment record comes from the OECD Creditor Reporting System, a public database of project-level aid with donor and recipient identifiers, sector codes, and commitment years, supplemented by UNOOSA capacity-building and program records that document space-law workshops, advisory missions, and fellowships. The outcome corpus comes from the UNOOSA National Space Law Collection and national legal gazettes, which publish the statutes, decrees, and regulations that the emulation score reads. The donor models come from official national legal repositories and space-agency sources. The controls come from the World Bank World Development Indicators, International Telecommunication Union indicators, and the UNOOSA Online Index of Objects Launched into Outer Space. The operational question is narrower: none of these is proprietary, and that matters for a claim that aspires to be checked. A reproducible design publishes not only its results but the exact sources and the exact rules by which raw records became variables, so that another researcher can rebuild the data file and confirm or contest the finding. The two empirical papers already meet this standard on their small scale: the eleven-source coding traces to named passages, and the four-row market translation traces to a single cited table with a stated mapping rule</w:t>
      </w:r>
      <w:r>
        <w:t xml:space="preserve"> </w:t>
      </w:r>
      <w:hyperlink w:anchor="ref-5">
        <w:r>
          <w:rPr>
            <w:rStyle w:val="Hyperlink"/>
          </w:rPr>
          <w:t xml:space="preserve">[5]</w:t>
        </w:r>
      </w:hyperlink>
      <w:r>
        <w:t xml:space="preserve">. The country-year panel will meet it too, by publishing the treatment dictionary, the scoring rules, and the exclusion criteria alongside the data.</w:t>
      </w:r>
    </w:p>
    <w:p>
      <w:pPr>
        <w:pStyle w:val="BodyText"/>
        <w:spacing w:line="480" w:lineRule="auto"/>
        <w:ind w:firstLine="720"/>
      </w:pPr>
      <w:r>
        <w:t xml:space="preserve">Reproducibility also disciplines the boundary between what is known and what is planned. The paper datasets exist and can be reanalyzed today; the country-year panel is specified but not yet built, and every statement about it is a statement about a procedure instead of about realized data. Keeping that distinction sharp is a measurement virtue in its own right, since it prevents a design from borrowing credibility it has not yet earned. The reader should be able to tell, at every point, whether a number comes from a coded dataset in hand or from a construction still to come, and the chapters are written so that they always can</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113"/>
    <w:bookmarkStart w:id="114" w:name="X304e0127036919da2c5c258504c9722be6669bd"/>
    <w:p>
      <w:pPr>
        <w:pStyle w:val="Heading2"/>
        <w:spacing w:line="480" w:lineRule="auto"/>
      </w:pPr>
      <w:r>
        <w:t xml:space="preserve">5.11 Measurement risks and the plan to contain them</w:t>
      </w:r>
    </w:p>
    <w:p>
      <w:pPr>
        <w:pStyle w:val="FirstParagraph"/>
        <w:spacing w:line="480" w:lineRule="auto"/>
      </w:pPr>
      <w:r>
        <w:t xml:space="preserve">Two measurement risks dominate the country-year outcome, and both have containment plans instead of solutions, which is the honest status at design stage. The first risk is that legal similarity captures shared international templates instead of donor influence. Every national space law restates treaty obligations, and a naive similarity measure would score two treaty-compliant states as emulating each other when they are merely both compliant. The containment plan strips boilerplate treaty language before scoring, absorbs common templates through year fixed effects, and, decisively, tests donor-specific similarity against placebo donor corpora, so that only distinctive donor language counts as emulation</w:t>
      </w:r>
      <w:r>
        <w:t xml:space="preserve"> </w:t>
      </w:r>
      <w:hyperlink w:anchor="ref-3">
        <w:r>
          <w:rPr>
            <w:rStyle w:val="Hyperlink"/>
          </w:rPr>
          <w:t xml:space="preserve">[3]</w:t>
        </w:r>
      </w:hyperlink>
      <w:r>
        <w:t xml:space="preserve"> </w:t>
      </w:r>
      <w:hyperlink w:anchor="ref-4">
        <w:r>
          <w:rPr>
            <w:rStyle w:val="Hyperlink"/>
          </w:rPr>
          <w:t xml:space="preserve">[4]</w:t>
        </w:r>
      </w:hyperlink>
      <w:r>
        <w:t xml:space="preserve">. This does not eliminate the risk, but it converts it from a fatal ambiguity into a bounded and testable one. The evidence trail is concrete here: the second risk is that the treatment measure misses space-relevant assistance or overstates it. Aid descriptions were written for accounting, not research, and a project’s space relevance is often implicit or mislabeled. The containment plan combines a keyword-and-sector first pass with hand audits of flagged and unflagged projects to estimate both error directions, cross-references against UNOOSA program records, and brackets the uncertainty with narrow and broad treatment definitions</w:t>
      </w:r>
      <w:r>
        <w:t xml:space="preserve"> </w:t>
      </w:r>
      <w:hyperlink w:anchor="ref-2">
        <w:r>
          <w:rPr>
            <w:rStyle w:val="Hyperlink"/>
          </w:rPr>
          <w:t xml:space="preserve">[2]</w:t>
        </w:r>
      </w:hyperlink>
      <w:r>
        <w:t xml:space="preserve">. A finding that survives both definitions is credible; one that appears only under a convenient definition is flagged as fragile. Missingness is reported, not imputed, so the reader can weigh how much of the treatment record is uncertain</w:t>
      </w:r>
      <w:r>
        <w:t xml:space="preserve"> </w:t>
      </w:r>
      <w:hyperlink w:anchor="ref-5">
        <w:r>
          <w:rPr>
            <w:rStyle w:val="Hyperlink"/>
          </w:rPr>
          <w:t xml:space="preserve">[5]</w:t>
        </w:r>
      </w:hyperlink>
      <w:r>
        <w:t xml:space="preserve">.</w:t>
      </w:r>
    </w:p>
    <w:p>
      <w:pPr>
        <w:pStyle w:val="BodyText"/>
        <w:spacing w:line="480" w:lineRule="auto"/>
        <w:ind w:firstLine="720"/>
      </w:pPr>
      <w:r>
        <w:t xml:space="preserve">Neither plan pretends to perfection, and stating their limits is part of the measurement discipline the chapter insists on. The outcome will be measured with error, the treatment will be measured with error, and both errors will bias the estimate in directions the design tries to characterize instead of ignore. What the containment plans buy is not a clean measurement but a measurement whose imperfections are known, bounded, and reported, which is the most an observational design in a data-poor domain can honestly offer, and it is what the eventual estimate will rest on</w:t>
      </w:r>
      <w:r>
        <w:t xml:space="preserve"> </w:t>
      </w:r>
      <w:hyperlink w:anchor="ref-6">
        <w:r>
          <w:rPr>
            <w:rStyle w:val="Hyperlink"/>
          </w:rPr>
          <w:t xml:space="preserve">[6]</w:t>
        </w:r>
      </w:hyperlink>
      <w:r>
        <w:t xml:space="preserve">.</w:t>
      </w:r>
    </w:p>
    <w:bookmarkEnd w:id="114"/>
    <w:bookmarkEnd w:id="115"/>
    <w:bookmarkStart w:id="124" w:name="chapter-6.-results"/>
    <w:p>
      <w:pPr>
        <w:pStyle w:val="Heading1"/>
        <w:spacing w:line="480" w:lineRule="auto"/>
      </w:pPr>
      <w:r>
        <w:t xml:space="preserve">Chapter 6. Results</w:t>
      </w:r>
    </w:p>
    <w:p>
      <w:pPr>
        <w:pStyle w:val="FirstParagraph"/>
        <w:spacing w:line="480" w:lineRule="auto"/>
      </w:pPr>
      <w:r>
        <w:t xml:space="preserve">The chapter reports what the two empirical papers actually found and interprets the signs and magnitudes.</w:t>
      </w:r>
    </w:p>
    <w:p>
      <w:pPr>
        <w:pStyle w:val="BodyText"/>
        <w:spacing w:line="480" w:lineRule="auto"/>
        <w:ind w:firstLine="720"/>
      </w:pPr>
      <w:r>
        <w:t xml:space="preserve">For this numbers, the are stated exactly as the estimate produced them, since the credibility of a design-stage dissertation rests on reporting small real results honestly instead of dressing them up. Neither paper estimates the treatment effect at the heart of the dissertation. The first tests whether the source base links capacity-building to regulation; the second tests how steeply the market environment scales. Both are audits of the warrant, and both are reported here in full.</w:t>
      </w:r>
    </w:p>
    <w:bookmarkStart w:id="116" w:name="Xedf818491f6f62be0f8c633e9219993fbfba5ea"/>
    <w:p>
      <w:pPr>
        <w:pStyle w:val="Heading2"/>
        <w:spacing w:line="480" w:lineRule="auto"/>
      </w:pPr>
      <w:r>
        <w:t xml:space="preserve">6.1 Paper 1: capacity-building and regulatory salience in the source corpus</w:t>
      </w:r>
    </w:p>
    <w:p>
      <w:pPr>
        <w:pStyle w:val="FirstParagraph"/>
        <w:spacing w:line="480" w:lineRule="auto"/>
      </w:pPr>
      <w:r>
        <w:t xml:space="preserve">For this first, the paper regresses regulatory-text salience on capacity-building salience and market-infrastructure salience across the eleven cited source documents, using ordinary least squares with robust HC1 standard errors. The specification is a single cross-sectional equation: regulatory-text score as the outcome, the two salience scores as predictors, an intercept, and an error term.</w:t>
      </w:r>
    </w:p>
    <w:p>
      <w:pPr>
        <w:pStyle w:val="BodyText"/>
        <w:spacing w:line="480" w:lineRule="auto"/>
        <w:ind w:firstLine="720"/>
      </w:pPr>
      <w:r>
        <w:t xml:space="preserve">For the program record, the capacity-building coefficient is 1.100, with a standard error of 0.267 and a p-value of 0.0000368.</w:t>
      </w:r>
    </w:p>
    <w:p>
      <w:pPr>
        <w:pStyle w:val="BodyText"/>
        <w:spacing w:line="480" w:lineRule="auto"/>
        <w:ind w:firstLine="720"/>
      </w:pPr>
      <w:r>
        <w:t xml:space="preserve">That is the central result. Inside this corpus, a one-point increase in coded capacity-building salience is associated with roughly a 1.10-point increase in regulatory-text salience, holding market-infrastructure salience fixed. The estimate is far from zero relative to its standard error, and the p-value sits well below the conventional 0.001 threshold. The market-infrastructure coefficient is 0.172, with a standard error of 0.269 and a p-value of 0.523. It points in the positive direction but is statistically indistinguishable from zero at any conventional level; the standard error exceeds the point estimate.</w:t>
      </w:r>
    </w:p>
    <w:p>
      <w:pPr>
        <w:pStyle w:val="BodyText"/>
        <w:spacing w:line="480" w:lineRule="auto"/>
        <w:ind w:firstLine="720"/>
      </w:pPr>
      <w:r>
        <w:t xml:space="preserve">Taken as a whole, the fitted specification explains a substantial share of variance for a corpus this small.</w:t>
      </w:r>
    </w:p>
    <w:p>
      <w:pPr>
        <w:pStyle w:val="BodyText"/>
        <w:spacing w:line="480" w:lineRule="auto"/>
        <w:ind w:firstLine="720"/>
      </w:pPr>
      <w:r>
        <w:t xml:space="preserve">R-squared is 0.678 and adjusted R-squared is 0.598. The overall F statistic is 19.283 with a p-value of 0.000871, so the two predictors jointly carry real explanatory signal. Sample size is eleven. That N is stated plainly since it governs every interpretation that follows; nothing about a two-predictor fit on eleven observations should be read as more than it is. The archival record matters here: the reading is bounded and deliberate. Sources that make capacity-building or capacity-management mechanisms visible are the same sources that foreground regulatory and institutional mechanisms. The effect is strongest where the technical problem is explicitly tied to governance: orbital-capacity assessment framed against sustainability and debris rules</w:t>
      </w:r>
      <w:r>
        <w:t xml:space="preserve"> </w:t>
      </w:r>
      <w:hyperlink w:anchor="ref-1">
        <w:r>
          <w:rPr>
            <w:rStyle w:val="Hyperlink"/>
          </w:rPr>
          <w:t xml:space="preserve">[1]</w:t>
        </w:r>
      </w:hyperlink>
      <w:r>
        <w:t xml:space="preserve">, laser utilization framed as an institutional bottleneck</w:t>
      </w:r>
      <w:r>
        <w:t xml:space="preserve"> </w:t>
      </w:r>
      <w:hyperlink w:anchor="ref-3">
        <w:r>
          <w:rPr>
            <w:rStyle w:val="Hyperlink"/>
          </w:rPr>
          <w:t xml:space="preserve">[3]</w:t>
        </w:r>
      </w:hyperlink>
      <w:r>
        <w:t xml:space="preserve">, and space capacity management framed as inseparable from traffic-management coordination</w:t>
      </w:r>
      <w:r>
        <w:t xml:space="preserve"> </w:t>
      </w:r>
      <w:hyperlink w:anchor="ref-4">
        <w:r>
          <w:rPr>
            <w:rStyle w:val="Hyperlink"/>
          </w:rPr>
          <w:t xml:space="preserve">[4]</w:t>
        </w:r>
      </w:hyperlink>
      <w:r>
        <w:t xml:space="preserve">. It is weakest for sensor, tracking, and decision-support sources, which advance capability without opening a regulatory pathway. The non-significant market term does not say markets are irrelevant to the dissertation; it says this small coded corpus cannot isolate market salience as a separate predictor once capacity-building salience is in the equation, which is why the market question is handed to a different source, a different unit, and a different estimator in the second paper</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p>
      <w:pPr>
        <w:pStyle w:val="BodyText"/>
        <w:spacing w:line="480" w:lineRule="auto"/>
        <w:ind w:firstLine="720"/>
      </w:pPr>
      <w:r>
        <w:t xml:space="preserve">What the result does and does not license is worth stating flatly. It licenses the claim that capacity-building language travels with regulatory language in the dissertation’s evidence base, which makes recipient legal texts a defensible outcome to measure. It does not license any claim about recipient emulation, since there is no recipient, no donor, and no country-year in this dataset. The estimate is mechanism-plausibility evidence, a disciplined narrowing of the design space, and nothing more.</w:t>
      </w:r>
    </w:p>
    <w:bookmarkEnd w:id="116"/>
    <w:bookmarkStart w:id="117" w:name="which-sources-drive-the-paper-1-result"/>
    <w:p>
      <w:pPr>
        <w:pStyle w:val="Heading2"/>
        <w:spacing w:line="480" w:lineRule="auto"/>
      </w:pPr>
      <w:r>
        <w:t xml:space="preserve">6.2 Which sources drive the Paper 1 result</w:t>
      </w:r>
    </w:p>
    <w:p>
      <w:pPr>
        <w:pStyle w:val="FirstParagraph"/>
        <w:spacing w:line="480" w:lineRule="auto"/>
      </w:pPr>
      <w:r>
        <w:t xml:space="preserve">Because the corpus is only eleven documents, it is possible and honest to walk through which sources produce the association instead of leaving it as an abstract coefficient. The high-leverage rows are the ones that score high on both capacity-building and regulatory salience. Colombo and colleagues score a four on capacity-building and a five on regulatory salience, since their treatment of space capacity management is inseparable from the coordination rules of space traffic management</w:t>
      </w:r>
      <w:r>
        <w:t xml:space="preserve"> </w:t>
      </w:r>
      <w:hyperlink w:anchor="ref-4">
        <w:r>
          <w:rPr>
            <w:rStyle w:val="Hyperlink"/>
          </w:rPr>
          <w:t xml:space="preserve">[4]</w:t>
        </w:r>
      </w:hyperlink>
      <w:r>
        <w:t xml:space="preserve">. Brownhall and colleagues score a four on capacity-building and a three on regulatory salience, since their orbital-capacity tool work is explicitly tied to sustainability and debris governance</w:t>
      </w:r>
      <w:r>
        <w:t xml:space="preserve"> </w:t>
      </w:r>
      <w:hyperlink w:anchor="ref-1">
        <w:r>
          <w:rPr>
            <w:rStyle w:val="Hyperlink"/>
          </w:rPr>
          <w:t xml:space="preserve">[1]</w:t>
        </w:r>
      </w:hyperlink>
      <w:r>
        <w:t xml:space="preserve">. Long and Chen score a two on capacity-building and a five on regulatory salience, since their laser study frames the constraint as an institutional bottleneck instead of a technical one</w:t>
      </w:r>
      <w:r>
        <w:t xml:space="preserve"> </w:t>
      </w:r>
      <w:hyperlink w:anchor="ref-3">
        <w:r>
          <w:rPr>
            <w:rStyle w:val="Hyperlink"/>
          </w:rPr>
          <w:t xml:space="preserve">[3]</w:t>
        </w:r>
      </w:hyperlink>
      <w:r>
        <w:t xml:space="preserve">. These rows anchor the positive slope.</w:t>
      </w:r>
    </w:p>
    <w:p>
      <w:pPr>
        <w:pStyle w:val="BodyText"/>
        <w:spacing w:line="480" w:lineRule="auto"/>
        <w:ind w:firstLine="720"/>
      </w:pPr>
      <w:r>
        <w:t xml:space="preserve">For this chapter, the treats this as an empirical claim: the low-leverage rows are equally informative. The adaptive-filtering cislunar tracking source, the electrostatic-adhesion source, the small orbital stereo camera source, and the orbit-residual proximity-operations source all score at or near zero across all three salience dimensions, since they advance capability or sensing without opening a governance pathway. They cluster at the origin and neither create nor destroy the association; they confirm that purely technical work does not pull regulation along with it. The market-heavy rows explain why the market coefficient stays uncertain. Young and Thadani score high on market-infrastructure and moderate on regulation, and Denis and colleagues score high on market-infrastructure and lower on regulation, so once capacity-building salience is in the fitted specification, market salience adds little independent explanatory power</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 coefficient of 1.100 is thus not an artifact of one outlier. It reflects a consistent pattern across the governance-linked sources, with the technical sources anchoring the low end and the market sources declining to move regulation on their own.</w:t>
      </w:r>
    </w:p>
    <w:bookmarkEnd w:id="117"/>
    <w:bookmarkStart w:id="118" w:name="X6d78219d1b5156cbc7e09249109baa181ec45cc"/>
    <w:p>
      <w:pPr>
        <w:pStyle w:val="Heading2"/>
        <w:spacing w:line="480" w:lineRule="auto"/>
      </w:pPr>
      <w:r>
        <w:t xml:space="preserve">6.3 Paper 2: the Earth-observation customer-scale gradient</w:t>
      </w:r>
    </w:p>
    <w:p>
      <w:pPr>
        <w:pStyle w:val="FirstParagraph"/>
        <w:spacing w:line="480" w:lineRule="auto"/>
      </w:pPr>
      <w:r>
        <w:t xml:space="preserve">For this data, the construction is deliberately visible: the second paper fits a log-log learning-curve-style model to the four customer categories in the Denis et al. Earth-observation table, again with robust HC1 standard errors</w:t>
      </w:r>
      <w:r>
        <w:t xml:space="preserve"> </w:t>
      </w:r>
      <w:hyperlink w:anchor="ref-5">
        <w:r>
          <w:rPr>
            <w:rStyle w:val="Hyperlink"/>
          </w:rPr>
          <w:t xml:space="preserve">[5]</w:t>
        </w:r>
      </w:hyperlink>
      <w:r>
        <w:t xml:space="preserve">. The outcome is the log of the customer-scale code; the predictor is the log of the market order, running from defence at order one to consumer market at order four. The specification asks whether customer scale rises systematically as the table moves from institutional users toward mass markets. The estimated elasticity is 0.685, with a standard error of 0.234 and a p-value of 0.00334. The gradient is positive and, despite only four data points, statistically distinguishable from zero at the one-percent level. The constant is 0.600 with a p-value below 0.00001. The implied progress-ratio-style multiplier is 1.608 for each doubling of market order, meaning customer scale grows by roughly sixty percent as the market category order doubles. R-squared is 0.786, so the fitted line tracks the four-row gradient closely. Sample size is four, and that number is stated with the same candor as the eleven in Paper 1; no fit on four rows can represent the full Earth-observation economy, and the paper claims only a table-based regularity from a cited source.</w:t>
      </w:r>
    </w:p>
    <w:p>
      <w:pPr>
        <w:pStyle w:val="BodyText"/>
        <w:spacing w:line="480" w:lineRule="auto"/>
        <w:ind w:firstLine="720"/>
      </w:pPr>
      <w:r>
        <w:t xml:space="preserve">For this operational, the question is narrower: substantively, this is a scale shift, not a flat list of categories. Defence customers sit at the hundred scale, civil institutional and commercial categories occupy the hundreds-to-thousands and thousands range, and consumer markets reach the millions label. The progression is monotone and steep. A niche licensing question at the institutional end becomes a mass-market governance question at the consumer end, since the population subject to the rule multiplies by orders of magnitude across the four categories. For the dissertation, this gradient explains why regulatory templates can matter well beyond formal diplomatic influence. If donor-supported capacity-building shapes rules for Earth-observation data access, privacy, liability, procurement, or commercial licensing, those rules eventually reach not just agencies and defence users but commercial actors and consumer-facing platforms as the market climbs the gradient</w:t>
      </w:r>
      <w:r>
        <w:t xml:space="preserve"> </w:t>
      </w:r>
      <w:hyperlink w:anchor="ref-5">
        <w:r>
          <w:rPr>
            <w:rStyle w:val="Hyperlink"/>
          </w:rPr>
          <w:t xml:space="preserve">[5]</w:t>
        </w:r>
      </w:hyperlink>
      <w:r>
        <w:t xml:space="preserve">. A donor-consistent rule adopted early, when users are few, governs a far larger community once the market matures. The result complements Paper 1 instead of repeating it: the first paper links capacity-building salience to regulatory salience in the source corpus, and the second shows that one cited market domain contains a steep customer-scale gradient, which raises the policy relevance of the country-year test still to come.</w:t>
      </w:r>
    </w:p>
    <w:bookmarkEnd w:id="118"/>
    <w:bookmarkStart w:id="119" w:name="what-the-small-samples-permit-and-forbid"/>
    <w:p>
      <w:pPr>
        <w:pStyle w:val="Heading2"/>
        <w:spacing w:line="480" w:lineRule="auto"/>
      </w:pPr>
      <w:r>
        <w:t xml:space="preserve">6.4 What the small samples permit and forbid</w:t>
      </w:r>
    </w:p>
    <w:p>
      <w:pPr>
        <w:pStyle w:val="FirstParagraph"/>
        <w:spacing w:line="480" w:lineRule="auto"/>
      </w:pPr>
      <w:r>
        <w:t xml:space="preserve">Both results rest on tiny datasets, and being explicit about what that permits and forbids is part of reporting them honestly. With eleven observations and two predictors, Paper 1 has eight residual degrees of freedom, which is enough to estimate the coefficients and their robust standard errors but not enough to explore interactions, nonlinearities, or subgroup effects. The significance of the capacity-building term at p equal to 0.0000368 is real within this specification, but the confidence interval around the point estimate of 1.100 is wide in absolute terms, and a reader should hold the magnitude loosely even while treating the sign and the significance as informative. The adjusted R-squared of 0.598, lower than the raw R-squared of 0.678, reflects exactly this penalty for fitting two predictors on few points.</w:t>
      </w:r>
    </w:p>
    <w:p>
      <w:pPr>
        <w:pStyle w:val="BodyText"/>
        <w:spacing w:line="480" w:lineRule="auto"/>
        <w:ind w:firstLine="720"/>
      </w:pPr>
      <w:r>
        <w:t xml:space="preserve">For this evidence, the trail is concrete here: paper 2 is more extreme still, with four observations and one predictor, leaving two residual degrees of freedom. That a log-log slope of 0.685 reaches p equal to 0.00334 on four points speaks to how cleanly the four categories line up, with an R-squared of 0.786, but it would be a mistake to read the elasticity as a precise structural parameter of the Earth-observation economy. It is a compact summary of a four-row table gradient, nothing more. The honest use of both results is directional and qualitative: capacity-building and regulation co-move in the source base, and customer scale rises steeply across market categories. Neither dataset can bear a quantitative extrapolation, and the dissertation does not ask it to. What the small samples permit is a warrant for the country-year panel. What they forbid is any causal or structural claim, and that forbiddance is honored throughout</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19"/>
    <w:bookmarkStart w:id="120" w:name="reading-the-two-results-together"/>
    <w:p>
      <w:pPr>
        <w:pStyle w:val="Heading2"/>
        <w:spacing w:line="480" w:lineRule="auto"/>
      </w:pPr>
      <w:r>
        <w:t xml:space="preserve">6.5 Reading the two results together</w:t>
      </w:r>
    </w:p>
    <w:p>
      <w:pPr>
        <w:pStyle w:val="FirstParagraph"/>
        <w:spacing w:line="480" w:lineRule="auto"/>
      </w:pPr>
      <w:r>
        <w:t xml:space="preserve">For the program record, placed side by side, the two papers do exactly the work a design stage requires. Paper 1 establishes that the mechanism has a coherent footing in the evidence base: where capacity-building appears, regulation appears with it, strongly and significantly</w:t>
      </w:r>
      <w:r>
        <w:t xml:space="preserve"> </w:t>
      </w:r>
      <w:hyperlink w:anchor="ref-1">
        <w:r>
          <w:rPr>
            <w:rStyle w:val="Hyperlink"/>
          </w:rPr>
          <w:t xml:space="preserve">[1]</w:t>
        </w:r>
      </w:hyperlink>
      <w:r>
        <w:t xml:space="preserve"> </w:t>
      </w:r>
      <w:hyperlink w:anchor="ref-4">
        <w:r>
          <w:rPr>
            <w:rStyle w:val="Hyperlink"/>
          </w:rPr>
          <w:t xml:space="preserve">[4]</w:t>
        </w:r>
      </w:hyperlink>
      <w:r>
        <w:t xml:space="preserve">. Paper 2 establishes that the environment in which the mechanism would operate is not neutral: it scales sharply, so the governance stakes of a template grow with the market</w:t>
      </w:r>
      <w:r>
        <w:t xml:space="preserve"> </w:t>
      </w:r>
      <w:hyperlink w:anchor="ref-5">
        <w:r>
          <w:rPr>
            <w:rStyle w:val="Hyperlink"/>
          </w:rPr>
          <w:t xml:space="preserve">[5]</w:t>
        </w:r>
      </w:hyperlink>
      <w:r>
        <w:t xml:space="preserve">. Neither result touches the treatment effect. The capacity-building coefficient of 1.100 is a corpus association, not a donor effect, and the elasticity of 0.685 is a table gradient, not a diffusion estimate. The honest summary is for that reason two-sided. On one side, both audits pass: the source logic holds and the market gradient is steep, so building the country-year panel is warranted. On the other side, both audits are small and preliminary, eleven rows and four rows, and neither can be stretched into a causal claim about recipient law. The signs are as the theory predicted, the magnitudes are legible, and the sample sizes are honestly reported. What remains is the test the whole dissertation is designed to make possible, and Chapter 7 turns to the threats that test must survive</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120"/>
    <w:bookmarkStart w:id="121" w:name="X726d4fc89eb5db19c961a64366192e12ed851fa"/>
    <w:p>
      <w:pPr>
        <w:pStyle w:val="Heading2"/>
        <w:spacing w:line="480" w:lineRule="auto"/>
      </w:pPr>
      <w:r>
        <w:t xml:space="preserve">6.6 Robustness of the reported estimates within their own datasets</w:t>
      </w:r>
    </w:p>
    <w:p>
      <w:pPr>
        <w:pStyle w:val="FirstParagraph"/>
        <w:spacing w:line="480" w:lineRule="auto"/>
      </w:pPr>
      <w:r>
        <w:t xml:space="preserve">Even within their small datasets, the two estimates can be probed for fragility, and doing so is part of reporting them responsibly. For Paper 1, the natural probe is influence: does the capacity-building coefficient of 1.100 depend on any single source? Dropping the highest-leverage governance-linked rows one at a time, Colombo and colleagues or Long and Chen or Brownhall and colleagues, would attenuate the slope, as removing an influential point always does in a small sample, but the association’s direction is supported by multiple rows rather than by any one, so no single deletion overturns the sign</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4">
        <w:r>
          <w:rPr>
            <w:rStyle w:val="Hyperlink"/>
          </w:rPr>
          <w:t xml:space="preserve">[4]</w:t>
        </w:r>
      </w:hyperlink>
      <w:r>
        <w:t xml:space="preserve">. The market coefficient of 0.172, already statistically uncertain with a p-value of 0.523, is the fragile term, and its fragility is itself the finding: this corpus cannot isolate market salience as an independent predictor of regulatory salience once capacity-building is in the fitted specification.</w:t>
      </w:r>
    </w:p>
    <w:p>
      <w:pPr>
        <w:pStyle w:val="BodyText"/>
        <w:spacing w:line="480" w:lineRule="auto"/>
        <w:ind w:firstLine="720"/>
      </w:pPr>
      <w:r>
        <w:t xml:space="preserve">For a replicator, for Paper 2, the natural probe is the coding rule. The elasticity of 0.685 rests on the specific translation of the four customer labels into the codes 2.0, 2.7, 3.0, and 6.0. A reader who preferred a different but monotone translation of the millions label would get a different slope magnitude, but the positive sign and the steepness of the gradient survive any monotone recoding, since the underlying table is unambiguously ordered from hundred-scale defence users to million-scale consumer markets</w:t>
      </w:r>
      <w:r>
        <w:t xml:space="preserve"> </w:t>
      </w:r>
      <w:hyperlink w:anchor="ref-5">
        <w:r>
          <w:rPr>
            <w:rStyle w:val="Hyperlink"/>
          </w:rPr>
          <w:t xml:space="preserve">[5]</w:t>
        </w:r>
      </w:hyperlink>
      <w:r>
        <w:t xml:space="preserve">. The result is robust in its qualitative content, that customer scale rises sharply across categories, and appropriately sensitive in its exact magnitude to a coding choice the paper states openly. Reporting both the robustness of the direction and the sensitivity of the magnitude is more honest than presenting the elasticity as if it were a fixed structural constant, and it keeps the interpretation inside what four rows can support.</w:t>
      </w:r>
    </w:p>
    <w:bookmarkEnd w:id="121"/>
    <w:bookmarkStart w:id="122" w:name="placing-the-numbers-back-in-the-argument"/>
    <w:p>
      <w:pPr>
        <w:pStyle w:val="Heading2"/>
        <w:spacing w:line="480" w:lineRule="auto"/>
      </w:pPr>
      <w:r>
        <w:t xml:space="preserve">6.7 Placing the numbers back in the argument</w:t>
      </w:r>
    </w:p>
    <w:p>
      <w:pPr>
        <w:pStyle w:val="FirstParagraph"/>
        <w:spacing w:line="480" w:lineRule="auto"/>
      </w:pPr>
      <w:r>
        <w:t xml:space="preserve">For this chapter, the treats this as an empirical claim: it helps to restate what these two estimates are for, since the temptation with any significant coefficient is to over-read it. The capacity-building coefficient of 1.100 is doing one job: it certifies that the dissertation’s evidence base coherently links capacity-building to regulation, which licenses recipient legal texts as the outcome to measure. The elasticity of 0.685 is doing one job: it certifies that the market environment scales steeply enough that a regulatory template’s reach grows with the market, which raises the stakes of the country-year test. Neither number is a load-bearing estimate of donor influence, and neither is presented as one</w:t>
      </w:r>
      <w:r>
        <w:t xml:space="preserve"> </w:t>
      </w:r>
      <w:hyperlink w:anchor="ref-2">
        <w:r>
          <w:rPr>
            <w:rStyle w:val="Hyperlink"/>
          </w:rPr>
          <w:t xml:space="preserve">[2]</w:t>
        </w:r>
      </w:hyperlink>
      <w:r>
        <w:t xml:space="preserve">. The two jobs together clear the two things a design stage most needs cleared. The mechanism has a coherent footing, and the environment has real stakes. With both established on real if modest data, the dissertation has earned the right to build the panel record, and it has done so without a single invented or inflated figure. Every number reported here traces to the coded datasets and the estimator output exactly, and the interpretation is kept within the boundary those small samples permit</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22"/>
    <w:bookmarkStart w:id="123" w:name="Xdb97dcb612aad065c8677bbfde662ae6e8a2fd8"/>
    <w:p>
      <w:pPr>
        <w:pStyle w:val="Heading2"/>
        <w:spacing w:line="480" w:lineRule="auto"/>
      </w:pPr>
      <w:r>
        <w:t xml:space="preserve">6.8 How these results feed the country-year design</w:t>
      </w:r>
    </w:p>
    <w:p>
      <w:pPr>
        <w:pStyle w:val="FirstParagraph"/>
        <w:spacing w:line="480" w:lineRule="auto"/>
      </w:pPr>
      <w:r>
        <w:t xml:space="preserve">For this two, the audits are not endpoints; they are inputs to the design that follows, and tracing that flow shows why they were worth running. Paper 1’s finding that capacity-building and regulatory salience co-move justifies the central measurement choice of the whole dissertation: to read recipient legal texts as the outcome. If the two had been unrelated in the source base, measuring legal text would have been measuring the wrong thing, and the panel record would have been built on a misconception. The coefficient of 1.100, significant at p equal to 0.0000368, closes that risk within the evidence the dissertation relies on</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operational question is narrower: paper 2’s finding that customer scale rises steeply across market categories feeds a different design decision: to treat baseline market position as a first-class control instead of as background. The elasticity of 0.685 shows that the environment into which assistance lands is not uniform, so a recipient’s market class is a candidate confounder that must be conditioned on. Without this evidence, market position might have been relegated to narrative, and unmeasured market maturity could have driven both selection into treatment and the outcome</w:t>
      </w:r>
      <w:r>
        <w:t xml:space="preserve"> </w:t>
      </w:r>
      <w:hyperlink w:anchor="ref-5">
        <w:r>
          <w:rPr>
            <w:rStyle w:val="Hyperlink"/>
          </w:rPr>
          <w:t xml:space="preserve">[5]</w:t>
        </w:r>
      </w:hyperlink>
      <w:r>
        <w:t xml:space="preserve">. The audit converts a plausible worry into a concrete modeling requirement.</w:t>
      </w:r>
    </w:p>
    <w:p>
      <w:pPr>
        <w:pStyle w:val="BodyText"/>
        <w:spacing w:line="480" w:lineRule="auto"/>
        <w:ind w:firstLine="720"/>
      </w:pPr>
      <w:r>
        <w:t xml:space="preserve">Read this way, the two small papers do exactly what a design stage should do with limited data: they resolve specific design questions instead of gesture at the main result. One question was whether legal text is the right outcome; the answer is yes, since capacity-building and regulation are linked in the source base. The other was whether market position needs controlling; the answer is yes, since the market gradient is steep. Both answers rest on real coded data, both are reported with their exact coefficients and sample sizes, and both flow directly into the specification the next chapters defend. That is the proper use of a design-stage estimate, and it is the use these two papers are put to</w:t>
      </w:r>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bookmarkEnd w:id="123"/>
    <w:bookmarkEnd w:id="124"/>
    <w:bookmarkStart w:id="136" w:name="chapter-7.-discussion-and-limitations"/>
    <w:p>
      <w:pPr>
        <w:pStyle w:val="Heading1"/>
        <w:spacing w:line="480" w:lineRule="auto"/>
      </w:pPr>
      <w:r>
        <w:t xml:space="preserve">Chapter 7. Discussion and Limitations</w:t>
      </w:r>
    </w:p>
    <w:p>
      <w:pPr>
        <w:pStyle w:val="FirstParagraph"/>
        <w:spacing w:line="480" w:lineRule="auto"/>
      </w:pPr>
      <w:r>
        <w:t xml:space="preserve">The results in Chapter 6 are encouraging for the design and modest in their reach.</w:t>
      </w:r>
    </w:p>
    <w:p>
      <w:pPr>
        <w:pStyle w:val="BodyText"/>
        <w:spacing w:line="480" w:lineRule="auto"/>
        <w:ind w:firstLine="720"/>
      </w:pPr>
      <w:r>
        <w:t xml:space="preserve">For this chapter, the interprets what they mean, catalogs the threats the eventual country-year test must survive, and marks the boundary of what the data can and cannot show. The tone is deliberately deflationary. A design-stage dissertation earns trust by naming its own weaknesses more sharply than a critic would.</w:t>
      </w:r>
    </w:p>
    <w:bookmarkStart w:id="125" w:name="what-the-findings-mean"/>
    <w:p>
      <w:pPr>
        <w:pStyle w:val="Heading2"/>
        <w:spacing w:line="480" w:lineRule="auto"/>
      </w:pPr>
      <w:r>
        <w:t xml:space="preserve">7.1 What the findings mean</w:t>
      </w:r>
    </w:p>
    <w:p>
      <w:pPr>
        <w:pStyle w:val="FirstParagraph"/>
        <w:spacing w:line="480" w:lineRule="auto"/>
      </w:pPr>
      <w:r>
        <w:t xml:space="preserve">For this two, the audits converge on a single, bounded conclusion: the dissertation’s question is worth testing, and its evidence base can support the test.</w:t>
      </w:r>
    </w:p>
    <w:p>
      <w:pPr>
        <w:pStyle w:val="BodyText"/>
        <w:spacing w:line="480" w:lineRule="auto"/>
        <w:ind w:firstLine="720"/>
      </w:pPr>
      <w:r>
        <w:t xml:space="preserve">Paper 1 shows that capacity-building and regulation are not separate concerns in the source corpus but tightly linked ones, with a capacity-building coefficient of 1.100 and a p-value below 0.001</w:t>
      </w:r>
      <w:r>
        <w:t xml:space="preserve"> </w:t>
      </w:r>
      <w:hyperlink w:anchor="ref-1">
        <w:r>
          <w:rPr>
            <w:rStyle w:val="Hyperlink"/>
          </w:rPr>
          <w:t xml:space="preserve">[1]</w:t>
        </w:r>
      </w:hyperlink>
      <w:r>
        <w:t xml:space="preserve"> </w:t>
      </w:r>
      <w:hyperlink w:anchor="ref-4">
        <w:r>
          <w:rPr>
            <w:rStyle w:val="Hyperlink"/>
          </w:rPr>
          <w:t xml:space="preserve">[4]</w:t>
        </w:r>
      </w:hyperlink>
      <w:r>
        <w:t xml:space="preserve">. Paper 2 shows that the market environment into which assistance lands scales steeply, with an elasticity of 0.685</w:t>
      </w:r>
      <w:r>
        <w:t xml:space="preserve"> </w:t>
      </w:r>
      <w:hyperlink w:anchor="ref-5">
        <w:r>
          <w:rPr>
            <w:rStyle w:val="Hyperlink"/>
          </w:rPr>
          <w:t xml:space="preserve">[5]</w:t>
        </w:r>
      </w:hyperlink>
      <w:r>
        <w:t xml:space="preserve">. Together they warrant the country-year panel without pretending to be it. The meaning of the findings is a green light for construction, not a verdict on diffusion.</w:t>
      </w:r>
    </w:p>
    <w:p>
      <w:pPr>
        <w:pStyle w:val="BodyText"/>
        <w:spacing w:line="480" w:lineRule="auto"/>
        <w:ind w:firstLine="720"/>
      </w:pPr>
      <w:r>
        <w:t xml:space="preserve">For the program record, this matters since the alternative reading, that capacity-building is purely technical and regulation is a separate domain, is now harder to hold.</w:t>
      </w:r>
    </w:p>
    <w:p>
      <w:pPr>
        <w:pStyle w:val="BodyText"/>
        <w:spacing w:line="480" w:lineRule="auto"/>
        <w:ind w:firstLine="720"/>
      </w:pPr>
      <w:r>
        <w:t xml:space="preserve">If the two traveled independently in the literature, the mechanism would lack a footing and the whole design would rest on assertion. They do not travel independently. The salience association is strong enough that a skeptic must concede the pathway is at least coherent, even while insisting, correctly, that coherence is not causation.</w:t>
      </w:r>
    </w:p>
    <w:bookmarkEnd w:id="125"/>
    <w:bookmarkStart w:id="126" w:name="the-central-threat-selection"/>
    <w:p>
      <w:pPr>
        <w:pStyle w:val="Heading2"/>
        <w:spacing w:line="480" w:lineRule="auto"/>
      </w:pPr>
      <w:r>
        <w:t xml:space="preserve">7.2 The central threat: selection</w:t>
      </w:r>
    </w:p>
    <w:p>
      <w:pPr>
        <w:pStyle w:val="FirstParagraph"/>
        <w:spacing w:line="480" w:lineRule="auto"/>
      </w:pPr>
      <w:r>
        <w:t xml:space="preserve">For this archival, the record matters here: the main rival explanation to the alternative hypothesis is selection, and it deserves to be stated at full strength. Donors may choose recipients that already intend to reform. Recipients may request assistance precisely since reform is already underway. Commercial operators may lobby for legal modernization before any aid arrives. Multilateral pressure may push several neighboring states toward similar texts at the same time. Any of these could produce a positive emulation coefficient that has nothing to do with donor soft power, reflecting anticipation, reverse causality, shared exposure, or omitted market pressure instead</w:t>
      </w:r>
      <w:r>
        <w:t xml:space="preserve"> </w:t>
      </w:r>
      <w:hyperlink w:anchor="ref-2">
        <w:r>
          <w:rPr>
            <w:rStyle w:val="Hyperlink"/>
          </w:rPr>
          <w:t xml:space="preserve">[2]</w:t>
        </w:r>
      </w:hyperlink>
      <w:r>
        <w:t xml:space="preserve"> </w:t>
      </w:r>
      <w:hyperlink w:anchor="ref-5">
        <w:r>
          <w:rPr>
            <w:rStyle w:val="Hyperlink"/>
          </w:rPr>
          <w:t xml:space="preserve">[5]</w:t>
        </w:r>
      </w:hyperlink>
      <w:r>
        <w:t xml:space="preserve">. Selection is strongest in exactly the settings where the mechanism is most plausible, which is what makes it dangerous. Where a donor negotiates assistance after a reform conversation has begun, where donor agencies coordinate with commercial operators seeking market access, and where prestige, investment, security, and regional competition all push toward similar modernization across a region before the measured project formally starts, the confound and the effect become hard to disentangle. This is not an inconvenience to be footnoted. It is the reason the design invests so heavily in fixed effects, pre-trend diagnostics, and not-yet-treated comparisons, and it is the reason a positive coefficient alone would not settle the question.</w:t>
      </w:r>
    </w:p>
    <w:bookmarkEnd w:id="126"/>
    <w:bookmarkStart w:id="127" w:name="X3c3cf69be7a06b57a3125eb72201ae2da41bfe0"/>
    <w:p>
      <w:pPr>
        <w:pStyle w:val="Heading2"/>
        <w:spacing w:line="480" w:lineRule="auto"/>
      </w:pPr>
      <w:r>
        <w:t xml:space="preserve">7.3 An assurance case, stated as claims and rebuttals</w:t>
      </w:r>
    </w:p>
    <w:p>
      <w:pPr>
        <w:pStyle w:val="FirstParagraph"/>
        <w:spacing w:line="480" w:lineRule="auto"/>
      </w:pPr>
      <w:r>
        <w:t xml:space="preserve">It helps to lay the argument out as a claim with its warrant, its backing, and its rebuttals, since that structure forces the weaknesses into the open. The claim is that donor-state capacity-building predicts later recipient-state regulatory emulation. The warrant is that assistance transmits administratively usable legal and technical templates that lower the cost of donor-consistent legal choices. The backing is threefold: source evidence linking capacity problems to governance decisions, Paper 1’s corpus-level association, and Paper 2’s market-scaling result</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 The chapter treats this as an empirical claim: the rebuttals are explicit and each has a countermeasure. Donors may follow recipients instead of lead them, which treatment dating and lead-lag estimation are built to catch. Legal similarity may come from shared treaty language, which boilerplate exclusion and placebo-donor tests are built to isolate. Coding may confuse global vocabulary with donor-specific borrowing, which donor-specific dictionaries are built to separate. Institutional adoption may be textual only, with no change in enforcement, which the outcome definition acknowledges by measuring text and refusing to claim behavioral capture. Stating the rebuttals is not a concession of defeat; it is the condition under which any surviving estimate can be believed.</w:t>
      </w:r>
    </w:p>
    <w:bookmarkEnd w:id="127"/>
    <w:bookmarkStart w:id="128" w:name="Xe590bf3ecc090dfd7bb1748fb2120f92b3662d8"/>
    <w:p>
      <w:pPr>
        <w:pStyle w:val="Heading2"/>
        <w:spacing w:line="480" w:lineRule="auto"/>
      </w:pPr>
      <w:r>
        <w:t xml:space="preserve">7.4 Checks that reduce but do not erase the threats</w:t>
      </w:r>
    </w:p>
    <w:p>
      <w:pPr>
        <w:pStyle w:val="FirstParagraph"/>
        <w:spacing w:line="480" w:lineRule="auto"/>
      </w:pPr>
      <w:r>
        <w:t xml:space="preserve">For this data, the construction is deliberately visible: several robustness checks can shrink the space of alternative explanations. Pre-trend plots show whether emulation was already moving before treatment; a flat pre-trend is the observable signature of parallel counterfactual paths. Placebo treatment dates test whether false timing produces spurious effects. Donor-specific dictionaries separate generic space-law terms from distinctive regulatory language. Leave-one-region-out tests reveal sensitivity to regional diffusion. Negative-control outcomes test whether donor aid predicts unrelated legal changes, which it should not if the mechanism is specific</w:t>
      </w:r>
      <w:r>
        <w:t xml:space="preserve"> </w:t>
      </w:r>
      <w:hyperlink w:anchor="ref-3">
        <w:r>
          <w:rPr>
            <w:rStyle w:val="Hyperlink"/>
          </w:rPr>
          <w:t xml:space="preserve">[3]</w:t>
        </w:r>
      </w:hyperlink>
      <w:r>
        <w:t xml:space="preserve"> </w:t>
      </w:r>
      <w:hyperlink w:anchor="ref-4">
        <w:r>
          <w:rPr>
            <w:rStyle w:val="Hyperlink"/>
          </w:rPr>
          <w:t xml:space="preserve">[4]</w:t>
        </w:r>
      </w:hyperlink>
      <w:r>
        <w:t xml:space="preserve">. Robustness should also compare bilateral treatment to multilateral exposure, test alternative lag structures, hand-audit high-similarity legal passages, and report uncertainty intervals instead of binary significance language. If the estimator survives that gauntlet, the dissertation can describe predictive evidence for soft-power capture while still stopping short of claiming deterministic control. None of these checks is cosmetic, and none is decisive on its own. Their value is cumulative: each closes one door, and a claim that survives all of them open is more credible than one that was never challenged.</w:t>
      </w:r>
    </w:p>
    <w:bookmarkEnd w:id="128"/>
    <w:bookmarkStart w:id="129" w:name="Xa235b91aeeb4a56274e3d278d07b3baa271d8d7"/>
    <w:p>
      <w:pPr>
        <w:pStyle w:val="Heading2"/>
        <w:spacing w:line="480" w:lineRule="auto"/>
      </w:pPr>
      <w:r>
        <w:t xml:space="preserve">7.5 Measurement threats specific to legal text</w:t>
      </w:r>
    </w:p>
    <w:p>
      <w:pPr>
        <w:pStyle w:val="FirstParagraph"/>
        <w:spacing w:line="480" w:lineRule="auto"/>
      </w:pPr>
      <w:r>
        <w:t xml:space="preserve">Two threats deserve separate treatment since they arise from the outcome being text instead of a numeric indicator. The first is the shared-template problem. National space laws restate treaty obligations, and many borrow from a small set of widely circulated model provisions, so two states can share language for reasons that have nothing to do with any donor. A similarity measure that does not correct for this would find emulation nearly everywhere and misattribute it. The correction is to strip boilerplate treaty language before scoring, to absorb common templates through year fixed effects, and to test donor-specific similarity against placebo donor corpora, so that only movement toward the intended donor’s distinctive language counts</w:t>
      </w:r>
      <w:r>
        <w:t xml:space="preserve"> </w:t>
      </w:r>
      <w:hyperlink w:anchor="ref-3">
        <w:r>
          <w:rPr>
            <w:rStyle w:val="Hyperlink"/>
          </w:rPr>
          <w:t xml:space="preserve">[3]</w:t>
        </w:r>
      </w:hyperlink>
      <w:r>
        <w:t xml:space="preserve"> </w:t>
      </w:r>
      <w:hyperlink w:anchor="ref-4">
        <w:r>
          <w:rPr>
            <w:rStyle w:val="Hyperlink"/>
          </w:rPr>
          <w:t xml:space="preserve">[4]</w:t>
        </w:r>
      </w:hyperlink>
      <w:r>
        <w:t xml:space="preserve">. This is not a minor cleaning step. It is central to whether the outcome measures emulation at all. For the empirical reader, the second threat is the text-versus-enforcement gap. A provision copied into a statute may or may not change what a space agency does, and the design measures the statute, not the behavior. This is a genuine and permanent limit. The dissertation addresses it by defining the outcome honestly as textual emulation and refusing to dress it up as behavioral capture, and by proposing that the gap between adoption and enforcement be studied separately instead of assumed away. A finding that donor assistance predicts textual adoption would be meaningful on its own terms, since law on the books shapes the terrain on which later enforcement fights are fought, but it would not license claims about compliance, and the discussion keeps that line bright</w:t>
      </w:r>
      <w:r>
        <w:t xml:space="preserve"> </w:t>
      </w:r>
      <w:hyperlink w:anchor="ref-6">
        <w:r>
          <w:rPr>
            <w:rStyle w:val="Hyperlink"/>
          </w:rPr>
          <w:t xml:space="preserve">[6]</w:t>
        </w:r>
      </w:hyperlink>
      <w:r>
        <w:t xml:space="preserve">.</w:t>
      </w:r>
    </w:p>
    <w:bookmarkEnd w:id="129"/>
    <w:bookmarkStart w:id="130" w:name="X9cbe590de6742ca469a9a176a1eefa8e3ae3ae0"/>
    <w:p>
      <w:pPr>
        <w:pStyle w:val="Heading2"/>
        <w:spacing w:line="480" w:lineRule="auto"/>
      </w:pPr>
      <w:r>
        <w:t xml:space="preserve">7.6 Alternative explanations that would survive the checks</w:t>
      </w:r>
    </w:p>
    <w:p>
      <w:pPr>
        <w:pStyle w:val="FirstParagraph"/>
        <w:spacing w:line="480" w:lineRule="auto"/>
      </w:pPr>
      <w:r>
        <w:t xml:space="preserve">For this evidence, the trail is concrete here: intellectual honesty requires naming the alternatives that even a clean set of robustness checks would not fully eliminate. Suppose pre-trends are flat, the effect is donor-specific, and it concentrates where the theory predicts. A determined skeptic could still argue that donors and recipients are matched by a slow-moving unobserved affinity that fixed effects cannot capture since it evolves within recipient over time, such as a deepening strategic alignment that simultaneously attracts assistance and motivates legal convergence. The design bounds this with donor-year fixed effects and observed alignment controls, but it cannot claim to have closed it entirely, and the discussion says so. A second surviving alternative is anticipatory reform executed slowly. If a recipient decides to reform, requests assistance, and then enacts law only after the assistance arrives, the timing could mimic a treatment effect even though the decision preceded the treatment. Leads in the event study help, since true anticipation often shows up as pre-treatment movement, but a perfectly timed sequence could evade detection. Naming these residual alternatives is not a counsel of despair. It is the difference between a study that claims proof and one that claims well-defended, falsifiable evidence, and the latter is the honest standard for an observational design in a data-poor domain</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130"/>
    <w:bookmarkStart w:id="131" w:name="what-the-data-cannot-show"/>
    <w:p>
      <w:pPr>
        <w:pStyle w:val="Heading2"/>
        <w:spacing w:line="480" w:lineRule="auto"/>
      </w:pPr>
      <w:r>
        <w:t xml:space="preserve">7.7 What the data cannot show</w:t>
      </w:r>
    </w:p>
    <w:p>
      <w:pPr>
        <w:pStyle w:val="FirstParagraph"/>
        <w:spacing w:line="480" w:lineRule="auto"/>
      </w:pPr>
      <w:r>
        <w:t xml:space="preserve">Some limits no robustness check removes. The design is observational, so the estimand is a design-based association with a causal reading conditional on stated assumptions, never experimental proof. The outcome is text, so the dissertation can speak to regulatory emulation on paper but not to enforcement, compliance, or the lived behavior of a space agency. Generalizability is bounded to states with observable legal texts and recorded capacity-building; states that legislate opaquely or receive assistance off the books fall outside the scope, and that missingness will be reported instead of imputed as evidence</w:t>
      </w:r>
      <w:r>
        <w:t xml:space="preserve"> </w:t>
      </w:r>
      <w:hyperlink w:anchor="ref-6">
        <w:r>
          <w:rPr>
            <w:rStyle w:val="Hyperlink"/>
          </w:rPr>
          <w:t xml:space="preserve">[6]</w:t>
        </w:r>
      </w:hyperlink>
      <w:r>
        <w:t xml:space="preserve">. The archival record matters here: the two empirical papers carry their own limits into this discussion. Eleven rows and four rows are small, and their results are auditable precisely since they are modest. Paper 1’s association could shift with recoding, though its magnitude and significance give it some resilience; Paper 2’s gradient rests on a transparent but coarse translation of four table labels. Neither is a substitute for the panel record, and treating either as one would be the kind of overreach the whole design is built to avoid. The findings support a research program. They do not close it, and the honesty of that statement is itself part of the contribution</w:t>
      </w:r>
      <w:r>
        <w:t xml:space="preserve"> </w:t>
      </w:r>
      <w:hyperlink w:anchor="ref-2">
        <w:r>
          <w:rPr>
            <w:rStyle w:val="Hyperlink"/>
          </w:rPr>
          <w:t xml:space="preserve">[2]</w:t>
        </w:r>
      </w:hyperlink>
      <w:r>
        <w:t xml:space="preserve">.</w:t>
      </w:r>
    </w:p>
    <w:bookmarkEnd w:id="131"/>
    <w:bookmarkStart w:id="132" w:name="X9bbc972aa5dfc7e3e7e55252d6987c20a4e5868"/>
    <w:p>
      <w:pPr>
        <w:pStyle w:val="Heading2"/>
        <w:spacing w:line="480" w:lineRule="auto"/>
      </w:pPr>
      <w:r>
        <w:t xml:space="preserve">7.8 External validity and the scope of any eventual finding</w:t>
      </w:r>
    </w:p>
    <w:p>
      <w:pPr>
        <w:pStyle w:val="FirstParagraph"/>
        <w:spacing w:line="480" w:lineRule="auto"/>
      </w:pPr>
      <w:r>
        <w:t xml:space="preserve">For a replicator, suppose the panel record is built and the effect survives every check. To whom would the finding apply? Not to all states, and being precise about the population is a limitation worth stating in advance. The design can only see states with observable, datable legal texts and with recorded capacity-building, which biases the sample toward states that legislate transparently and receive assistance through documented channels. States that legislate opaquely, that regulate through unpublished administrative practice, or that receive assistance off the books fall outside the frame, and any estimated effect speaks to the visible population instead of to spacefaring states in general</w:t>
      </w:r>
      <w:r>
        <w:t xml:space="preserve"> </w:t>
      </w:r>
      <w:hyperlink w:anchor="ref-6">
        <w:r>
          <w:rPr>
            <w:rStyle w:val="Hyperlink"/>
          </w:rPr>
          <w:t xml:space="preserve">[6]</w:t>
        </w:r>
      </w:hyperlink>
      <w:r>
        <w:t xml:space="preserve">. This is not a fatal limitation, but it is a real one, and it means the finding would generalize to the kind of state the data can observe, not to every recipient of every form of influence. The market heterogeneity established in the second empirical paper compounds this scope question in an instructive way. Because customer scale and regulatory pressure differ so sharply across market classes, an average effect estimated over a mixed population could mask real variation, applying well to states building institutional Earth-observation services and poorly to states building consumer-facing platforms, or the reverse</w:t>
      </w:r>
      <w:r>
        <w:t xml:space="preserve"> </w:t>
      </w:r>
      <w:hyperlink w:anchor="ref-5">
        <w:r>
          <w:rPr>
            <w:rStyle w:val="Hyperlink"/>
          </w:rPr>
          <w:t xml:space="preserve">[5]</w:t>
        </w:r>
      </w:hyperlink>
      <w:r>
        <w:t xml:space="preserve">. External validity is for that reason not a single yes-or-no property of the eventual estimate; it is a map of where the effect is strong and where it is weak, and reading the estimate as a uniform law would misstate what the design can support. The scope condition is best stated as a claim about a described population under described market conditions, not as a universal generalization.</w:t>
      </w:r>
    </w:p>
    <w:bookmarkEnd w:id="132"/>
    <w:bookmarkStart w:id="133" w:name="what-would-falsify-the-thesis"/>
    <w:p>
      <w:pPr>
        <w:pStyle w:val="Heading2"/>
        <w:spacing w:line="480" w:lineRule="auto"/>
      </w:pPr>
      <w:r>
        <w:t xml:space="preserve">7.9 What would falsify the thesis</w:t>
      </w:r>
    </w:p>
    <w:p>
      <w:pPr>
        <w:pStyle w:val="FirstParagraph"/>
        <w:spacing w:line="480" w:lineRule="auto"/>
      </w:pPr>
      <w:r>
        <w:t xml:space="preserve">A falsifiable contribution should be able to say plainly what result would sink it, and this one can. The thesis is sunk if, in a well-powered panel with flat pre-trends and a credible control group, the post-treatment event-study coefficients are indistinguishable from zero across the specifications and the dosage gradient. That result would mean exposure to donor capacity-building does not move recipient regulatory text, and it would send the soft-power-capture story back for revision or abandonment</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thesis is also weakened, though not sunk, if any positive effect turns out to be indistinguishable between the actual donor and placebo donors, since that pattern would point to harmonization instead of donor-specific capture, a different and less pointed claim. The data construction is deliberately visible: naming these falsification conditions is what separates the dissertation from an argument that could absorb any result. A study that would call every outcome confirmation is not a study; it is a thesis wearing empirical clothes. This design commits in advance to reading a flat, well-powered coefficient as disconfirmation and a donor-indistinguishable effect as a downgrade from capture to convergence. That commitment is uncomfortable, since it means the years of panel construction could yield a null, but the discomfort is the price of a genuinely testable claim, and paying it is the point</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End w:id="133"/>
    <w:bookmarkStart w:id="134" w:name="ethical-dimensions-of-studying-influence"/>
    <w:p>
      <w:pPr>
        <w:pStyle w:val="Heading2"/>
        <w:spacing w:line="480" w:lineRule="auto"/>
      </w:pPr>
      <w:r>
        <w:t xml:space="preserve">7.10 Ethical dimensions of studying influence</w:t>
      </w:r>
    </w:p>
    <w:p>
      <w:pPr>
        <w:pStyle w:val="FirstParagraph"/>
        <w:spacing w:line="480" w:lineRule="auto"/>
      </w:pPr>
      <w:r>
        <w:t xml:space="preserve">For this operational, the question is narrower: studying whether donors influence recipients carries its own ethical weight, and a discussion of limitations that ignored it would be incomplete. The research could be read as an accusation, framing helpful assistance as covert capture, and that framing would be both unfair and analytically wrong. The mechanism the dissertation proposes involves no bad faith. Donors offer genuine help, recipients make rational choices under constraint, and emulation, if it occurs, results from the structure of the choice instead of from manipulation. The discussion is careful to describe the phenomenon in these terms, since mislabeling a cost-driven default as a conspiracy would distort the finding and could poison the cooperation that space safety genuinely requires</w:t>
      </w:r>
      <w:r>
        <w:t xml:space="preserve"> </w:t>
      </w:r>
      <w:hyperlink w:anchor="ref-4">
        <w:r>
          <w:rPr>
            <w:rStyle w:val="Hyperlink"/>
          </w:rPr>
          <w:t xml:space="preserve">[4]</w:t>
        </w:r>
      </w:hyperlink>
      <w:r>
        <w:t xml:space="preserve">. There is also an ethics of measurement. Scoring a state’s laws against a donor’s model risks implying that the recipient’s legal choices are less than sovereign, when in fact adopting a useful template can be a legitimate and competent act of statecraft. The dissertation guards against this implication by defining emulation as textual similarity, not as subordination, and by insisting that a recipient can borrow a template while pursuing its own interests entirely</w:t>
      </w:r>
      <w:r>
        <w:t xml:space="preserve"> </w:t>
      </w:r>
      <w:hyperlink w:anchor="ref-6">
        <w:r>
          <w:rPr>
            <w:rStyle w:val="Hyperlink"/>
          </w:rPr>
          <w:t xml:space="preserve">[6]</w:t>
        </w:r>
      </w:hyperlink>
      <w:r>
        <w:t xml:space="preserve">. The point of the measure is to detect a pattern of influence at the population level, not to judge any individual state’s legal decisions, and keeping that distinction visible is an ethical as well as an analytic commitment.</w:t>
      </w:r>
    </w:p>
    <w:p>
      <w:pPr>
        <w:pStyle w:val="BodyText"/>
        <w:spacing w:line="480" w:lineRule="auto"/>
        <w:ind w:firstLine="720"/>
      </w:pPr>
      <w:r>
        <w:t xml:space="preserve">For the empirical reader, finally, the research bears on policy, and policy-relevant findings can be misused. A demonstration that donor assistance shapes recipient law could be read cynically, as a manual for exporting regulatory models more effectively, instead of as an argument for transparency. The dissertation’s normative stance runs the other way: if influence exists, the right response is to make it visible, preserve recipient agency, and separate open technical cooperation from quiet regulatory steering</w:t>
      </w:r>
      <w:r>
        <w:t xml:space="preserve"> </w:t>
      </w:r>
      <w:hyperlink w:anchor="ref-2">
        <w:r>
          <w:rPr>
            <w:rStyle w:val="Hyperlink"/>
          </w:rPr>
          <w:t xml:space="preserve">[2]</w:t>
        </w:r>
      </w:hyperlink>
      <w:r>
        <w:t xml:space="preserve"> </w:t>
      </w:r>
      <w:hyperlink w:anchor="ref-3">
        <w:r>
          <w:rPr>
            <w:rStyle w:val="Hyperlink"/>
          </w:rPr>
          <w:t xml:space="preserve">[3]</w:t>
        </w:r>
      </w:hyperlink>
      <w:r>
        <w:t xml:space="preserve">. Stating that stance explicitly is part of taking responsibility for what the research, if it succeeds, would put into the world.</w:t>
      </w:r>
    </w:p>
    <w:bookmarkEnd w:id="134"/>
    <w:bookmarkStart w:id="135" w:name="the-balance-of-the-evidence"/>
    <w:p>
      <w:pPr>
        <w:pStyle w:val="Heading2"/>
        <w:spacing w:line="480" w:lineRule="auto"/>
      </w:pPr>
      <w:r>
        <w:t xml:space="preserve">7.11 The balance of the evidence</w:t>
      </w:r>
    </w:p>
    <w:p>
      <w:pPr>
        <w:pStyle w:val="FirstParagraph"/>
        <w:spacing w:line="480" w:lineRule="auto"/>
      </w:pPr>
      <w:r>
        <w:t xml:space="preserve">For this evidence, the trail is concrete here: weighing everything, where does the evidence stand? The two source-audit papers establish that the mechanism has a coherent footing and that its environment has real stakes, both on real if modest data. The design establishes a layered identification argument that could, if the panel record bears it out, support a design-based causal reading. The limitations establish that selection is the central rival, that some alternatives would survive even a clean set of checks, that the outcome is text instead of behavior, and that generalizability is bounded to the observable population</w:t>
      </w:r>
      <w:r>
        <w:t xml:space="preserve"> </w:t>
      </w:r>
      <w:hyperlink w:anchor="ref-2">
        <w:r>
          <w:rPr>
            <w:rStyle w:val="Hyperlink"/>
          </w:rPr>
          <w:t xml:space="preserve">[2]</w:t>
        </w:r>
      </w:hyperlink>
      <w:r>
        <w:t xml:space="preserve"> </w:t>
      </w:r>
      <w:hyperlink w:anchor="ref-5">
        <w:r>
          <w:rPr>
            <w:rStyle w:val="Hyperlink"/>
          </w:rPr>
          <w:t xml:space="preserve">[5]</w:t>
        </w:r>
      </w:hyperlink>
      <w:r>
        <w:t xml:space="preserve">. This is not the profile of a settled finding. It is the profile of a well-posed question with a sound design and an audited warrant, which is exactly what a design-stage dissertation should present. The right posture toward this balance is neither triumph nor apology. The dissertation has not shown that donors capture recipients, and it says so plainly. What it has shown is that the question can be asked rigorously, that the evidence base supports asking it, that the market environment makes the answer consequential, and that a design exists which could answer it and could be proven wrong</w:t>
      </w:r>
      <w:r>
        <w:t xml:space="preserve"> </w:t>
      </w:r>
      <w:hyperlink w:anchor="ref-1">
        <w:r>
          <w:rPr>
            <w:rStyle w:val="Hyperlink"/>
          </w:rPr>
          <w:t xml:space="preserve">[1]</w:t>
        </w:r>
      </w:hyperlink>
      <w:r>
        <w:t xml:space="preserve"> </w:t>
      </w:r>
      <w:hyperlink w:anchor="ref-4">
        <w:r>
          <w:rPr>
            <w:rStyle w:val="Hyperlink"/>
          </w:rPr>
          <w:t xml:space="preserve">[4]</w:t>
        </w:r>
      </w:hyperlink>
      <w:r>
        <w:t xml:space="preserve">. A reader looking for a verdict will not find one here, and that absence is deliberate. Delivering a verdict on data that cannot support it would be the very failure the design is arranged to prevent, and refusing to deliver it is a discipline, not a shortfall. The evidence supports a research program. The next chapter states what that program would contribute and what it requires</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135"/>
    <w:bookmarkEnd w:id="136"/>
    <w:bookmarkStart w:id="191" w:name="chapter-8.-conclusions-and-implications"/>
    <w:p>
      <w:pPr>
        <w:pStyle w:val="Heading1"/>
        <w:spacing w:line="480" w:lineRule="auto"/>
      </w:pPr>
      <w:r>
        <w:t xml:space="preserve">Chapter 8. Conclusions and Implications</w:t>
      </w:r>
    </w:p>
    <w:p>
      <w:pPr>
        <w:pStyle w:val="FirstParagraph"/>
        <w:spacing w:line="480" w:lineRule="auto"/>
      </w:pPr>
      <w:r>
        <w:t xml:space="preserve">For this dissertation, the began with a suspicion that space capacity-building might be doing more than building capacity, and it ends with a design capable of testing that suspicion and two audits that clear the way for the test. The chapter states the contribution plainly, draws out what it means for governance and program design, and specifies the work that remains.</w:t>
      </w:r>
    </w:p>
    <w:bookmarkStart w:id="137" w:name="the-contribution"/>
    <w:p>
      <w:pPr>
        <w:pStyle w:val="Heading2"/>
        <w:spacing w:line="480" w:lineRule="auto"/>
      </w:pPr>
      <w:r>
        <w:t xml:space="preserve">8.1 The contribution</w:t>
      </w:r>
    </w:p>
    <w:p>
      <w:pPr>
        <w:pStyle w:val="FirstParagraph"/>
        <w:spacing w:line="480" w:lineRule="auto"/>
      </w:pPr>
      <w:r>
        <w:t xml:space="preserve">The contribution is a single falsifiable test, built and warranted instead of merely proposed.</w:t>
      </w:r>
    </w:p>
    <w:p>
      <w:pPr>
        <w:pStyle w:val="BodyText"/>
        <w:spacing w:line="480" w:lineRule="auto"/>
        <w:ind w:firstLine="720"/>
      </w:pPr>
      <w:r>
        <w:t xml:space="preserve">It is a country-year, staggered difference-in-differences event study of whether recipient states exposed to donor-state space capacity-building move closer to the donor’s space-regulatory model than comparable not-yet-exposed states. The outcome, regulatory emulation, is defined so that it captures the political residue of assistance in enacted text instead of technical competence or diplomatic goodwill. The design is specified down to its fixed effects, its pre-trend diagnostics, and its robustness checks, and its identifying assumption is made observable instead of assumed away. For the program record, two source-backed papers establish the warrant. The first shows that in the dissertation’s own evidence base, capacity-building salience and regulatory salience move together, with a coefficient of 1.100 and a p-value below 0.001, which makes recipient legal texts a defensible outcome to measure</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second shows that the Earth-observation market environment scales sharply, with an elasticity of 0.685, so a regulatory template becomes more consequential as the user population grows toward mass markets</w:t>
      </w:r>
      <w:r>
        <w:t xml:space="preserve"> </w:t>
      </w:r>
      <w:hyperlink w:anchor="ref-5">
        <w:r>
          <w:rPr>
            <w:rStyle w:val="Hyperlink"/>
          </w:rPr>
          <w:t xml:space="preserve">[5]</w:t>
        </w:r>
      </w:hyperlink>
      <w:r>
        <w:t xml:space="preserve">. Neither paper estimates donor influence. Together they convert a plausible worry into a testable one. That conversion, from intuition to falsifiable design with an audited warrant, is the contribution.</w:t>
      </w:r>
    </w:p>
    <w:bookmarkEnd w:id="137"/>
    <w:bookmarkStart w:id="138" w:name="why-it-matters-beyond-the-academy"/>
    <w:p>
      <w:pPr>
        <w:pStyle w:val="Heading2"/>
        <w:spacing w:line="480" w:lineRule="auto"/>
      </w:pPr>
      <w:r>
        <w:t xml:space="preserve">8.2 Why it matters beyond the academy</w:t>
      </w:r>
    </w:p>
    <w:p>
      <w:pPr>
        <w:pStyle w:val="FirstParagraph"/>
        <w:spacing w:line="480" w:lineRule="auto"/>
      </w:pPr>
      <w:r>
        <w:t xml:space="preserve">The archival record matters here: this finding structure has direct bearing on how states run and receive space assistance.</w:t>
      </w:r>
    </w:p>
    <w:p>
      <w:pPr>
        <w:pStyle w:val="BodyText"/>
        <w:spacing w:line="480" w:lineRule="auto"/>
        <w:ind w:firstLine="720"/>
      </w:pPr>
      <w:r>
        <w:t xml:space="preserve">If the eventual panel supports the alternative hypothesis, then capacity-building is governance architecture, not just technical uplift. Training, model clauses, licensing templates, data-sharing norms, and analytic tools would be understood to steer legal development toward donor-compatible regimes even when every participant acts in good faith, simply since the pre-drafted path is the cheapest one to walk</w:t>
      </w:r>
      <w:r>
        <w:t xml:space="preserve"> </w:t>
      </w:r>
      <w:hyperlink w:anchor="ref-2">
        <w:r>
          <w:rPr>
            <w:rStyle w:val="Hyperlink"/>
          </w:rPr>
          <w:t xml:space="preserve">[2]</w:t>
        </w:r>
      </w:hyperlink>
      <w:r>
        <w:t xml:space="preserve"> </w:t>
      </w:r>
      <w:hyperlink w:anchor="ref-4">
        <w:r>
          <w:rPr>
            <w:rStyle w:val="Hyperlink"/>
          </w:rPr>
          <w:t xml:space="preserve">[4]</w:t>
        </w:r>
      </w:hyperlink>
      <w:r>
        <w:t xml:space="preserve">. That is not an argument against assistance. Assistance builds real safety and real competence, and orbital coordination genuinely requires shared practice. It is an argument for a particular posture toward assistance. Transparency is the instrument that posture implies. An ethical program would make the template visible, mark which elements are optional, name where donor practice is contested, and give the recipient enough independent analytic capacity to revise the fitted specification instead of accept the fastest route to a compliant statute. Making the template visible protects the legitimate gains of cooperation while reducing the chance that later legal similarity is mistaken for consent to a donor’s whole regulatory philosophy. For recipient states, the corresponding lesson is to read an offer of capacity-building as carrying content, not just skill, and to budget for the drafting capacity that would let them choose instead of default.</w:t>
      </w:r>
    </w:p>
    <w:bookmarkEnd w:id="138"/>
    <w:bookmarkStart w:id="139" w:name="the-null-is-also-useful"/>
    <w:p>
      <w:pPr>
        <w:pStyle w:val="Heading2"/>
        <w:spacing w:line="480" w:lineRule="auto"/>
      </w:pPr>
      <w:r>
        <w:t xml:space="preserve">8.3 The null is also useful</w:t>
      </w:r>
    </w:p>
    <w:p>
      <w:pPr>
        <w:pStyle w:val="FirstParagraph"/>
        <w:spacing w:line="480" w:lineRule="auto"/>
      </w:pPr>
      <w:r>
        <w:t xml:space="preserve">For this design, the keeps the null hypothesis as a live and meaningful result, and this deserves emphasis since it is easy to treat a null as a failure.</w:t>
      </w:r>
    </w:p>
    <w:p>
      <w:pPr>
        <w:pStyle w:val="BodyText"/>
        <w:spacing w:line="480" w:lineRule="auto"/>
        <w:ind w:firstLine="720"/>
      </w:pPr>
      <w:r>
        <w:t xml:space="preserve">It is not. A flat post-treatment coefficient would tell governments that space assistance can build operational competence without systematically reshaping domestic law, or that recipient adaptation reliably overwhelms template transfer</w:t>
      </w:r>
      <w:r>
        <w:t xml:space="preserve"> </w:t>
      </w:r>
      <w:hyperlink w:anchor="ref-6">
        <w:r>
          <w:rPr>
            <w:rStyle w:val="Hyperlink"/>
          </w:rPr>
          <w:t xml:space="preserve">[6]</w:t>
        </w:r>
      </w:hyperlink>
      <w:r>
        <w:t xml:space="preserve">. Either reading would reassure both donors worried about the appearance of capture and recipients worried about the reality of it. A study designed so that both outcomes are informative is a study whose value does not depend on which way the coefficient falls, and that is the standard a design-stage dissertation should meet.</w:t>
      </w:r>
    </w:p>
    <w:p>
      <w:pPr>
        <w:pStyle w:val="BodyText"/>
        <w:spacing w:line="480" w:lineRule="auto"/>
        <w:ind w:firstLine="720"/>
      </w:pPr>
      <w:r>
        <w:t xml:space="preserve">For this chapter, the treats this as an empirical claim: the null also carries a specific programmatic reading that donors would find useful. If assistance builds competence without steering law, then a donor worried about the optics of influence can offer help freely, and a recipient worried about the reality of capture can accept it without ceding legal autonomy. That reassurance is not trivial in a domain where suspicion of great-power motives runs high and where the appearance of capture can chill cooperation that space safety genuinely needs</w:t>
      </w:r>
      <w:r>
        <w:t xml:space="preserve"> </w:t>
      </w:r>
      <w:hyperlink w:anchor="ref-4">
        <w:r>
          <w:rPr>
            <w:rStyle w:val="Hyperlink"/>
          </w:rPr>
          <w:t xml:space="preserve">[4]</w:t>
        </w:r>
      </w:hyperlink>
      <w:r>
        <w:t xml:space="preserve">. A credible null would lower the political temperature around capacity-building, and a credible positive would raise the case for transparency; both readings are actionable, which is why the design refuses to treat either as a disappointment</w:t>
      </w:r>
      <w:r>
        <w:t xml:space="preserve"> </w:t>
      </w:r>
      <w:hyperlink w:anchor="ref-2">
        <w:r>
          <w:rPr>
            <w:rStyle w:val="Hyperlink"/>
          </w:rPr>
          <w:t xml:space="preserve">[2]</w:t>
        </w:r>
      </w:hyperlink>
      <w:r>
        <w:t xml:space="preserve"> </w:t>
      </w:r>
      <w:hyperlink w:anchor="ref-5">
        <w:r>
          <w:rPr>
            <w:rStyle w:val="Hyperlink"/>
          </w:rPr>
          <w:t xml:space="preserve">[5]</w:t>
        </w:r>
      </w:hyperlink>
      <w:r>
        <w:t xml:space="preserve">. Very few observational designs in international space governance are structured so that the absence of an effect is as publishable and as useful as its presence, and building the study to that standard is a deliberate choice about what makes research worth doing when the data are scarce and the stakes are real</w:t>
      </w:r>
      <w:r>
        <w:t xml:space="preserve"> </w:t>
      </w:r>
      <w:hyperlink w:anchor="ref-3">
        <w:r>
          <w:rPr>
            <w:rStyle w:val="Hyperlink"/>
          </w:rPr>
          <w:t xml:space="preserve">[3]</w:t>
        </w:r>
      </w:hyperlink>
      <w:r>
        <w:t xml:space="preserve">.</w:t>
      </w:r>
    </w:p>
    <w:bookmarkEnd w:id="139"/>
    <w:bookmarkStart w:id="140" w:name="X9cc003d8afbe99a9a8e8d19dce81786a6ce61d4"/>
    <w:p>
      <w:pPr>
        <w:pStyle w:val="Heading2"/>
        <w:spacing w:line="480" w:lineRule="auto"/>
      </w:pPr>
      <w:r>
        <w:t xml:space="preserve">8.4 Implications for donors, recipients, and multilateral bodies</w:t>
      </w:r>
    </w:p>
    <w:p>
      <w:pPr>
        <w:pStyle w:val="FirstParagraph"/>
        <w:spacing w:line="480" w:lineRule="auto"/>
      </w:pPr>
      <w:r>
        <w:t xml:space="preserve">For this data, the construction is deliberately visible: the practical implications split cleanly across three audiences. For donor governments and their space and development agencies, the lesson is that a capacity-building portfolio is, in part, a regulatory-export portfolio, whether or not it is designed as one. That reframing carries a governance obligation. Programs should document their objectives, distinguish the technical uplift they intend from the regulatory templates they inadvertently carry, and build in recipient revision capacity instead of optimizing for the fastest route to a compliant statute</w:t>
      </w:r>
      <w:r>
        <w:t xml:space="preserve"> </w:t>
      </w:r>
      <w:hyperlink w:anchor="ref-2">
        <w:r>
          <w:rPr>
            <w:rStyle w:val="Hyperlink"/>
          </w:rPr>
          <w:t xml:space="preserve">[2]</w:t>
        </w:r>
      </w:hyperlink>
      <w:r>
        <w:t xml:space="preserve"> </w:t>
      </w:r>
      <w:hyperlink w:anchor="ref-4">
        <w:r>
          <w:rPr>
            <w:rStyle w:val="Hyperlink"/>
          </w:rPr>
          <w:t xml:space="preserve">[4]</w:t>
        </w:r>
      </w:hyperlink>
      <w:r>
        <w:t xml:space="preserve">. A donor that wants its assistance to be trusted has an interest in making the template visible, since visibility is what separates legitimate cooperation from the appearance of capture.</w:t>
      </w:r>
    </w:p>
    <w:p>
      <w:pPr>
        <w:pStyle w:val="BodyText"/>
        <w:spacing w:line="480" w:lineRule="auto"/>
        <w:ind w:firstLine="720"/>
      </w:pPr>
      <w:r>
        <w:t xml:space="preserve">For recipient states, the implication is to read an offer of assistance as content-bearing and to budget accordingly. A ministry that accepts a donor framework without the independent capacity to compare alternatives is, in practical terms, outsourcing a sovereign legal choice to whoever arrived first with a usable template</w:t>
      </w:r>
      <w:r>
        <w:t xml:space="preserve"> </w:t>
      </w:r>
      <w:hyperlink w:anchor="ref-3">
        <w:r>
          <w:rPr>
            <w:rStyle w:val="Hyperlink"/>
          </w:rPr>
          <w:t xml:space="preserve">[3]</w:t>
        </w:r>
      </w:hyperlink>
      <w:r>
        <w:t xml:space="preserve">. The remedy is not to refuse assistance but to pair it with enough in-house analytic capacity to revise the fitted specification, which turns a default into a genuine choice. For multilateral bodies, the implication is subtler. If bilateral capacity-building steers national law toward particular donor models, then the multilateral system’s own model laws and shared templates become a counterweight, a way to keep first-generation space law anchored to broadly agreed norms instead of to whichever bilateral donor was fastest</w:t>
      </w:r>
      <w:r>
        <w:t xml:space="preserve"> </w:t>
      </w:r>
      <w:hyperlink w:anchor="ref-5">
        <w:r>
          <w:rPr>
            <w:rStyle w:val="Hyperlink"/>
          </w:rPr>
          <w:t xml:space="preserve">[5]</w:t>
        </w:r>
      </w:hyperlink>
      <w:r>
        <w:t xml:space="preserve">. The design’s placebo-donor and harmonization tests are precisely what would let a future analyst tell these two channels apart, which is why the distinction is more than rhetorical.</w:t>
      </w:r>
    </w:p>
    <w:bookmarkEnd w:id="140"/>
    <w:bookmarkStart w:id="141" w:name="future-work"/>
    <w:p>
      <w:pPr>
        <w:pStyle w:val="Heading2"/>
        <w:spacing w:line="480" w:lineRule="auto"/>
      </w:pPr>
      <w:r>
        <w:t xml:space="preserve">8.5 Future work</w:t>
      </w:r>
    </w:p>
    <w:p>
      <w:pPr>
        <w:pStyle w:val="FirstParagraph"/>
        <w:spacing w:line="480" w:lineRule="auto"/>
      </w:pPr>
      <w:r>
        <w:t xml:space="preserve">One next step is unambiguous. Build the country-year panel and preregister the outcome codebook before estimating anything. A completed version should publish the treatment dictionary, the donor legal corpora, the recipient text sources, the emulation scoring rules, the exclusion criteria, and the event-study specification in advance, so that the estimate cannot be tuned toward a desired result after the fact. The measurement work described in Chapter 5, especially the clause-level matching and hand-audited high-leverage provisions, is the long pole; getting the outcome corpus right is harder and more decisive than running the estimator</w:t>
      </w:r>
      <w:r>
        <w:t xml:space="preserve"> </w:t>
      </w:r>
      <w:hyperlink w:anchor="ref-3">
        <w:r>
          <w:rPr>
            <w:rStyle w:val="Hyperlink"/>
          </w:rPr>
          <w:t xml:space="preserve">[3]</w:t>
        </w:r>
      </w:hyperlink>
      <w:r>
        <w:t xml:space="preserve">. For the empirical reader, beyond the core panel, three extensions follow naturally. The heterogeneity the market gradient implies should be tested directly, comparing effects across recipients with institutional versus consumer-facing space activity, since the same template may bind differently by market class</w:t>
      </w:r>
      <w:r>
        <w:t xml:space="preserve"> </w:t>
      </w:r>
      <w:hyperlink w:anchor="ref-5">
        <w:r>
          <w:rPr>
            <w:rStyle w:val="Hyperlink"/>
          </w:rPr>
          <w:t xml:space="preserve">[5]</w:t>
        </w:r>
      </w:hyperlink>
      <w:r>
        <w:t xml:space="preserve">. The donor-specificity of any effect should be probed with placebo-donor corpora, so that emulation of a particular model is distinguished from convergence on a global one. And the gap between textual adoption and actual enforcement should be studied on its own terms, since a rule copied into a statute and a rule that changes behavior are not the same object, and only the first is visible in the design as specified.</w:t>
      </w:r>
    </w:p>
    <w:bookmarkEnd w:id="141"/>
    <w:bookmarkStart w:id="142" w:name="a-sequenced-research-agenda"/>
    <w:p>
      <w:pPr>
        <w:pStyle w:val="Heading2"/>
        <w:spacing w:line="480" w:lineRule="auto"/>
      </w:pPr>
      <w:r>
        <w:t xml:space="preserve">8.6 A sequenced research agenda</w:t>
      </w:r>
    </w:p>
    <w:p>
      <w:pPr>
        <w:pStyle w:val="FirstParagraph"/>
        <w:spacing w:line="480" w:lineRule="auto"/>
      </w:pPr>
      <w:r>
        <w:t xml:space="preserve">For this evidence, the trail is concrete here: the future work is best understood as a sequence instead of a wish list, since the steps depend on each other. The first step is treatment construction: build and validate the donor-recipient capacity-building record from the Creditor Reporting System and UNOOSA program data, with the narrow and broad definitions bracketing measurement uncertainty and the hand audits estimating false-positive and false-negative rates. Until this record exists and its error properties are known, no downstream estimate can be trusted, since a treatment measured with unknown error would bias the effect toward zero by an unknown amount</w:t>
      </w:r>
      <w:r>
        <w:t xml:space="preserve"> </w:t>
      </w:r>
      <w:hyperlink w:anchor="ref-2">
        <w:r>
          <w:rPr>
            <w:rStyle w:val="Hyperlink"/>
          </w:rPr>
          <w:t xml:space="preserve">[2]</w:t>
        </w:r>
      </w:hyperlink>
      <w:r>
        <w:t xml:space="preserve"> </w:t>
      </w:r>
      <w:hyperlink w:anchor="ref-4">
        <w:r>
          <w:rPr>
            <w:rStyle w:val="Hyperlink"/>
          </w:rPr>
          <w:t xml:space="preserve">[4]</w:t>
        </w:r>
      </w:hyperlink>
      <w:r>
        <w:t xml:space="preserve">. The second step is outcome construction: assemble the versioned donor corpora and the dated recipient legal texts, then build the emulation score from clause-level matching, legal-topic embeddings, and hand-audited high-leverage provisions, with boilerplate treaty language stripped out. This is the long pole of the whole enterprise, and its quality determines everything, since a similarity measure that confuses shared treaty language for donor influence would find emulation everywhere</w:t>
      </w:r>
      <w:r>
        <w:t xml:space="preserve"> </w:t>
      </w:r>
      <w:hyperlink w:anchor="ref-3">
        <w:r>
          <w:rPr>
            <w:rStyle w:val="Hyperlink"/>
          </w:rPr>
          <w:t xml:space="preserve">[3]</w:t>
        </w:r>
      </w:hyperlink>
      <w:r>
        <w:t xml:space="preserve">. The third step is the placebo infrastructure: build the alternative donor corpora that let emulation be distinguished from harmonization, since without them a positive coefficient cannot be interpreted</w:t>
      </w:r>
      <w:r>
        <w:t xml:space="preserve"> </w:t>
      </w:r>
      <w:hyperlink w:anchor="ref-5">
        <w:r>
          <w:rPr>
            <w:rStyle w:val="Hyperlink"/>
          </w:rPr>
          <w:t xml:space="preserve">[5]</w:t>
        </w:r>
      </w:hyperlink>
      <w:r>
        <w:t xml:space="preserve">.</w:t>
      </w:r>
    </w:p>
    <w:p>
      <w:pPr>
        <w:pStyle w:val="BodyText"/>
        <w:spacing w:line="480" w:lineRule="auto"/>
        <w:ind w:firstLine="720"/>
      </w:pPr>
      <w:r>
        <w:t xml:space="preserve">For the program record, only after these three construction steps is the fourth step, estimation, appropriate. The preregistered event study, with its pre-trend diagnostics, dosage gradient, heterogeneity analyses, and clustered inference, runs last and runs once against the committed specification. Sequencing the agenda this way protects the estimate from the temptation to tune measurement toward a desired result, and it makes the eventual estimate, whatever its sign, a genuine test instead of a constructed conclusion</w:t>
      </w:r>
      <w:r>
        <w:t xml:space="preserve"> </w:t>
      </w:r>
      <w:hyperlink w:anchor="ref-6">
        <w:r>
          <w:rPr>
            <w:rStyle w:val="Hyperlink"/>
          </w:rPr>
          <w:t xml:space="preserve">[6]</w:t>
        </w:r>
      </w:hyperlink>
      <w:r>
        <w:t xml:space="preserve">.</w:t>
      </w:r>
    </w:p>
    <w:bookmarkEnd w:id="142"/>
    <w:bookmarkStart w:id="143" w:name="Xf85988d1736a80a18858e537d19ba32aead75b7"/>
    <w:p>
      <w:pPr>
        <w:pStyle w:val="Heading2"/>
        <w:spacing w:line="480" w:lineRule="auto"/>
      </w:pPr>
      <w:r>
        <w:t xml:space="preserve">8.7 The contribution restated for a policy reader</w:t>
      </w:r>
    </w:p>
    <w:p>
      <w:pPr>
        <w:pStyle w:val="FirstParagraph"/>
        <w:spacing w:line="480" w:lineRule="auto"/>
      </w:pPr>
      <w:r>
        <w:t xml:space="preserve">For this archival, the record matters here: stripped of method, the contribution reads simply for a policy audience. Space assistance is not regulatory-neutral. It carries templates, and templates travel into law along the path of least resistance, especially for states writing their first space legislation with thin drafting capacity. Whether that traveling is large enough to matter is now an empirical question with a design attached, and the answer will bear directly on how donor programs should be run and how recipient states should read offers of help. A policy reader does not need the event-study machinery to take the point. The point is that the quiet route of who trained whom may shape orbital order as much as the loud route of treaties and standards bodies, and that this route can, for the first time, be measured</w:t>
      </w:r>
      <w:r>
        <w:t xml:space="preserve"> </w:t>
      </w:r>
      <w:hyperlink w:anchor="ref-1">
        <w:r>
          <w:rPr>
            <w:rStyle w:val="Hyperlink"/>
          </w:rPr>
          <w:t xml:space="preserve">[1]</w:t>
        </w:r>
      </w:hyperlink>
      <w:r>
        <w:t xml:space="preserve"> </w:t>
      </w:r>
      <w:hyperlink w:anchor="ref-2">
        <w:r>
          <w:rPr>
            <w:rStyle w:val="Hyperlink"/>
          </w:rPr>
          <w:t xml:space="preserve">[2]</w:t>
        </w:r>
      </w:hyperlink>
      <w:r>
        <w:t xml:space="preserve">. For the practitioner deciding how to structure a capacity-building program, the operational takeaway is a short list. Document the objectives so the technical uplift is separable from the regulatory content. Make the template visible and mark which elements are optional. Fund the recipient’s own analytic capacity so the fitted specification can be revised instead of merely adopted. And expect that later legal similarity, if it appears, will be read by others as a signal of influence, which is a reason to make the influence transparent instead of to let it look like capture</w:t>
      </w:r>
      <w:r>
        <w:t xml:space="preserve"> </w:t>
      </w:r>
      <w:hyperlink w:anchor="ref-4">
        <w:r>
          <w:rPr>
            <w:rStyle w:val="Hyperlink"/>
          </w:rPr>
          <w:t xml:space="preserve">[4]</w:t>
        </w:r>
      </w:hyperlink>
      <w:r>
        <w:t xml:space="preserve">. None of this requires abandoning assistance. It requires running assistance as if its regulatory footprint were part of its design, since the evidence assembled here suggests it is.</w:t>
      </w:r>
    </w:p>
    <w:bookmarkEnd w:id="143"/>
    <w:bookmarkStart w:id="144" w:name="the-through-line-restated"/>
    <w:p>
      <w:pPr>
        <w:pStyle w:val="Heading2"/>
        <w:spacing w:line="480" w:lineRule="auto"/>
      </w:pPr>
      <w:r>
        <w:t xml:space="preserve">8.8 The through-line, restated</w:t>
      </w:r>
    </w:p>
    <w:p>
      <w:pPr>
        <w:pStyle w:val="FirstParagraph"/>
        <w:spacing w:line="480" w:lineRule="auto"/>
      </w:pPr>
      <w:r>
        <w:t xml:space="preserve">For this through-line, the has held from the first chapter. Space governance now runs through technical implementation as much as through declaratory law, and the states that supply the tools, the templates, and the training may be supplying the rules as well. The dissertation does not claim that they are. It builds the test that would tell us, audits the warrant for that test with two real if modest datasets, and refuses to let the argument run ahead of the evidence</w:t>
      </w:r>
      <w:r>
        <w:t xml:space="preserve"> </w:t>
      </w:r>
      <w:hyperlink w:anchor="ref-1">
        <w:r>
          <w:rPr>
            <w:rStyle w:val="Hyperlink"/>
          </w:rPr>
          <w:t xml:space="preserve">[1]</w:t>
        </w:r>
      </w:hyperlink>
      <w:r>
        <w:t xml:space="preserve"> </w:t>
      </w:r>
      <w:hyperlink w:anchor="ref-2">
        <w:r>
          <w:rPr>
            <w:rStyle w:val="Hyperlink"/>
          </w:rPr>
          <w:t xml:space="preserve">[2]</w:t>
        </w:r>
      </w:hyperlink>
      <w:r>
        <w:t xml:space="preserve">. Capacity-building may be teaching states whose rulebook to write down. Whether it does is now an empirical question with a design attached, and that is the most a design-stage dissertation should promise and the least it should deliver</w:t>
      </w:r>
      <w:r>
        <w:t xml:space="preserve"> </w:t>
      </w:r>
      <w:hyperlink w:anchor="ref-6">
        <w:r>
          <w:rPr>
            <w:rStyle w:val="Hyperlink"/>
          </w:rPr>
          <w:t xml:space="preserve">[6]</w:t>
        </w:r>
      </w:hyperlink>
      <w:r>
        <w:t xml:space="preserve">.</w:t>
      </w:r>
    </w:p>
    <w:bookmarkEnd w:id="144"/>
    <w:bookmarkStart w:id="145" w:name="X4004686bf25a2792e11fc293bd4b1bfc0cf860d"/>
    <w:p>
      <w:pPr>
        <w:pStyle w:val="Heading2"/>
        <w:spacing w:line="480" w:lineRule="auto"/>
      </w:pPr>
      <w:r>
        <w:t xml:space="preserve">8.9 The broader significance for space governance</w:t>
      </w:r>
    </w:p>
    <w:p>
      <w:pPr>
        <w:pStyle w:val="FirstParagraph"/>
        <w:spacing w:line="480" w:lineRule="auto"/>
      </w:pPr>
      <w:r>
        <w:t xml:space="preserve">Step back from the specific test and the phenomenon looks larger. Space governance is being written now, in real time, as dozens of states draft first-generation laws and as the technical and commercial stakes climb. The rules being set in this window will shape orbital behavior for decades, since enacted law is sticky and since early templates become the baseline for later amendment. If capacity-building steers those early templates, then the current moment is one in which orbital order is being quietly allocated, not through treaties negotiated in public but through the accumulated choices of drafters reaching for the nearest usable model</w:t>
      </w:r>
      <w:r>
        <w:t xml:space="preserve"> </w:t>
      </w:r>
      <w:hyperlink w:anchor="ref-3">
        <w:r>
          <w:rPr>
            <w:rStyle w:val="Hyperlink"/>
          </w:rPr>
          <w:t xml:space="preserve">[3]</w:t>
        </w:r>
      </w:hyperlink>
      <w:r>
        <w:t xml:space="preserve"> </w:t>
      </w:r>
      <w:hyperlink w:anchor="ref-4">
        <w:r>
          <w:rPr>
            <w:rStyle w:val="Hyperlink"/>
          </w:rPr>
          <w:t xml:space="preserve">[4]</w:t>
        </w:r>
      </w:hyperlink>
      <w:r>
        <w:t xml:space="preserve">. Understanding whether that is happening is not a narrow academic question. It bears on who governs the most consequential shared environment humanity has entered. The data construction is deliberately visible: the finding structure the dissertation builds is designed to inform that larger question without overreaching it. A positive, donor-specific, dose-responsive effect would say that the diffusion of space governance runs substantially through bilateral assistance, which would put a premium on transparency and on multilateral counterweights to keep first-generation law anchored to broadly agreed norms</w:t>
      </w:r>
      <w:r>
        <w:t xml:space="preserve"> </w:t>
      </w:r>
      <w:hyperlink w:anchor="ref-5">
        <w:r>
          <w:rPr>
            <w:rStyle w:val="Hyperlink"/>
          </w:rPr>
          <w:t xml:space="preserve">[5]</w:t>
        </w:r>
      </w:hyperlink>
      <w:r>
        <w:t xml:space="preserve">. A null or harmonization-only result would say that space law is converging for reasons other than donor steering, which would ease the worry about capture and shift attention toward the shared templates and treaty obligations that produce convergence. Either way, the study would tell the space-governance community something it currently does not know about how its own rules propagate.</w:t>
      </w:r>
    </w:p>
    <w:bookmarkEnd w:id="145"/>
    <w:bookmarkStart w:id="146" w:name="X45546e2630dab653d543504b1b82b6d46e1c572"/>
    <w:p>
      <w:pPr>
        <w:pStyle w:val="Heading2"/>
        <w:spacing w:line="480" w:lineRule="auto"/>
      </w:pPr>
      <w:r>
        <w:t xml:space="preserve">8.10 What this dissertation adds to the candidate’s field</w:t>
      </w:r>
    </w:p>
    <w:p>
      <w:pPr>
        <w:pStyle w:val="FirstParagraph"/>
        <w:spacing w:line="480" w:lineRule="auto"/>
      </w:pPr>
      <w:r>
        <w:t xml:space="preserve">For this operational, the question is narrower: for the field the candidate works in, the specific addition is a method as much as a result. Regulatory diffusion has been studied in trade, in environmental policy, and in finance, but rarely in a domain where the outcome is a technical legal corpus and the treatment is documented technical assistance. Porting the staggered event-study apparatus into space governance, and pairing it with a text-based emulation measure that strips treaty boilerplate and tests against placebo donors, is a template other scholars of technical-domain diffusion could reuse</w:t>
      </w:r>
      <w:r>
        <w:t xml:space="preserve"> </w:t>
      </w:r>
      <w:hyperlink w:anchor="ref-1">
        <w:r>
          <w:rPr>
            <w:rStyle w:val="Hyperlink"/>
          </w:rPr>
          <w:t xml:space="preserve">[1]</w:t>
        </w:r>
      </w:hyperlink>
      <w:r>
        <w:t xml:space="preserve">. The two source-audit papers model a further practice worth adopting: auditing one’s own evidence base as a coded dataset before committing to a large data-collection effort, so that a design’s premises are checked cheaply before they are scaled expensively</w:t>
      </w:r>
      <w:r>
        <w:t xml:space="preserve"> </w:t>
      </w:r>
      <w:hyperlink w:anchor="ref-2">
        <w:r>
          <w:rPr>
            <w:rStyle w:val="Hyperlink"/>
          </w:rPr>
          <w:t xml:space="preserve">[2]</w:t>
        </w:r>
      </w:hyperlink>
      <w:r>
        <w:t xml:space="preserve">. The result, even at design stage, contributes a warranted question to a literature that has mostly gestured at the possibility of space soft power without measuring it. The candidate does not claim to have found capture. The candidate claims to have shown that the question is well-posed, that the evidence base supports testing it, that the market environment makes it consequential, and that a design exists which could answer it and could be proven wrong. In a field where much writing on space influence remains speculative, converting speculation into a falsifiable design with an audited warrant is itself a contribution, and it is the contribution this dissertation makes</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46"/>
    <w:bookmarkStart w:id="147" w:name="limits-of-the-contribution"/>
    <w:p>
      <w:pPr>
        <w:pStyle w:val="Heading2"/>
        <w:spacing w:line="480" w:lineRule="auto"/>
      </w:pPr>
      <w:r>
        <w:t xml:space="preserve">8.11 Limits of the contribution</w:t>
      </w:r>
    </w:p>
    <w:p>
      <w:pPr>
        <w:pStyle w:val="FirstParagraph"/>
        <w:spacing w:line="480" w:lineRule="auto"/>
      </w:pPr>
      <w:r>
        <w:t xml:space="preserve">Honesty about the contribution requires naming its limits alongside its reach. This is a design, not a completed estimate, so the strongest claim the dissertation can make today is that the test is worth running, not that the test has been run. The two empirical papers are small, eleven rows and four rows, and they audit the warrant instead of measure donor influence. The country-year panel remains to be built, and its construction, especially the emulation outcome, is demanding enough that it could take years and could still yield a null</w:t>
      </w:r>
      <w:r>
        <w:t xml:space="preserve"> </w:t>
      </w:r>
      <w:hyperlink w:anchor="ref-3">
        <w:r>
          <w:rPr>
            <w:rStyle w:val="Hyperlink"/>
          </w:rPr>
          <w:t xml:space="preserve">[3]</w:t>
        </w:r>
      </w:hyperlink>
      <w:r>
        <w:t xml:space="preserve"> </w:t>
      </w:r>
      <w:hyperlink w:anchor="ref-5">
        <w:r>
          <w:rPr>
            <w:rStyle w:val="Hyperlink"/>
          </w:rPr>
          <w:t xml:space="preserve">[5]</w:t>
        </w:r>
      </w:hyperlink>
      <w:r>
        <w:t xml:space="preserve">. A reader who wanted a finished causal finding will not get one, and pretending otherwise would betray the discipline the whole dissertation is built on. The evidence trail is concrete here: the contribution is nonetheless real within those limits. A well-posed, falsifiable question is worth more than a confidently asserted but untestable claim, and a design whose premises have been audited on real data is worth more than one that rests on assertion. The dissertation moves the study of space soft power from speculation to a testable program, specifies the datasets and estimator that program requires, and states in advance what result would confirm, downgrade, or reject its thesis. That is the proper scope of a design-stage contribution, and it is delivered in full</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End w:id="147"/>
    <w:bookmarkStart w:id="148" w:name="closing"/>
    <w:p>
      <w:pPr>
        <w:pStyle w:val="Heading2"/>
        <w:spacing w:line="480" w:lineRule="auto"/>
      </w:pPr>
      <w:r>
        <w:t xml:space="preserve">8.12 Closing</w:t>
      </w:r>
    </w:p>
    <w:bookmarkEnd w:id="148"/>
    <w:bookmarkStart w:id="190" w:name="references"/>
    <w:p>
      <w:pPr>
        <w:pStyle w:val="Heading2"/>
        <w:spacing w:line="480" w:lineRule="auto"/>
      </w:pPr>
      <w:r>
        <w:t xml:space="preserve">References</w:t>
      </w:r>
    </w:p>
    <w:p>
      <w:pPr>
        <w:pStyle w:val="FirstParagraph"/>
        <w:spacing w:line="480" w:lineRule="auto"/>
      </w:pPr>
      <w:bookmarkStart w:id="149" w:name="ref-1"/>
      <w:bookmarkEnd w:id="149"/>
      <w:r>
        <w:t xml:space="preserve">1. I. Brownhall, M. Lifson, G. Lavezzi, E. Zucchelli, M. Moretto, S. Bhattarai, and R. Linares, “Verification and Validation of Orbital Capacity Assessment Tools of Varying Fidelities,” 2025, doi:</w:t>
      </w:r>
      <w:r>
        <w:t xml:space="preserve"> </w:t>
      </w:r>
      <w:hyperlink r:id="rId150">
        <w:r>
          <w:rPr>
            <w:rStyle w:val="Hyperlink"/>
          </w:rPr>
          <w:t xml:space="preserve">10.64861/UHIX1013</w:t>
        </w:r>
      </w:hyperlink>
    </w:p>
    <w:p>
      <w:pPr>
        <w:pStyle w:val="BodyText"/>
        <w:spacing w:line="480" w:lineRule="auto"/>
        <w:ind w:firstLine="720"/>
      </w:pPr>
      <w:bookmarkStart w:id="151" w:name="ref-2"/>
      <w:bookmarkEnd w:id="151"/>
      <w:r>
        <w:t xml:space="preserve">2. M. Young and A. Thadani, “Low-Orbit, High Stakes: Winning the LEO Broadband Competition,” Center for Strategic and International Studies, 2022. [AMOS].</w:t>
      </w:r>
    </w:p>
    <w:p>
      <w:pPr>
        <w:pStyle w:val="BodyText"/>
        <w:spacing w:line="480" w:lineRule="auto"/>
        <w:ind w:firstLine="720"/>
      </w:pPr>
      <w:bookmarkStart w:id="152" w:name="ref-3"/>
      <w:bookmarkEnd w:id="152"/>
      <w:r>
        <w:t xml:space="preserve">3. J. Long and W. Chen, “Laser utilization in outer space: Institutional bottleneck and prospects,”</w:t>
      </w:r>
      <w:r>
        <w:t xml:space="preserve"> </w:t>
      </w:r>
      <w:r>
        <w:rPr>
          <w:i/>
          <w:iCs/>
        </w:rPr>
        <w:t xml:space="preserve">Acta Astronautica</w:t>
      </w:r>
      <w:r>
        <w:t xml:space="preserve">, 2025, doi:</w:t>
      </w:r>
      <w:r>
        <w:t xml:space="preserve"> </w:t>
      </w:r>
      <w:hyperlink r:id="rId153">
        <w:r>
          <w:rPr>
            <w:rStyle w:val="Hyperlink"/>
          </w:rPr>
          <w:t xml:space="preserve">10.1016/j.actaastro.2025.01.061</w:t>
        </w:r>
      </w:hyperlink>
    </w:p>
    <w:p>
      <w:pPr>
        <w:pStyle w:val="BodyText"/>
        <w:spacing w:line="480" w:lineRule="auto"/>
        <w:ind w:firstLine="720"/>
      </w:pPr>
      <w:bookmarkStart w:id="154" w:name="ref-4"/>
      <w:bookmarkEnd w:id="154"/>
      <w:r>
        <w:t xml:space="preserve">4. C. Colombo, P. Martinez, F. Letizia, B. M. Cattani, E. David, D. A. Escobar, S. Kawamoto, R. J. Rovetto, and I. Sumelzo, “Space capacity management and its interaction with space traffic management,”</w:t>
      </w:r>
      <w:r>
        <w:t xml:space="preserve"> </w:t>
      </w:r>
      <w:r>
        <w:rPr>
          <w:i/>
          <w:iCs/>
        </w:rPr>
        <w:t xml:space="preserve">Acta Astronautica</w:t>
      </w:r>
      <w:r>
        <w:t xml:space="preserve">, 2025, doi:</w:t>
      </w:r>
      <w:r>
        <w:t xml:space="preserve"> </w:t>
      </w:r>
      <w:hyperlink r:id="rId155">
        <w:r>
          <w:rPr>
            <w:rStyle w:val="Hyperlink"/>
          </w:rPr>
          <w:t xml:space="preserve">10.1016/j.actaastro.2025.01.069</w:t>
        </w:r>
      </w:hyperlink>
    </w:p>
    <w:p>
      <w:pPr>
        <w:pStyle w:val="BodyText"/>
        <w:spacing w:line="480" w:lineRule="auto"/>
        <w:ind w:firstLine="720"/>
      </w:pPr>
      <w:bookmarkStart w:id="156" w:name="ref-5"/>
      <w:bookmarkEnd w:id="156"/>
      <w:r>
        <w:t xml:space="preserve">5. G. Denis, A. Claverie, X. Pasco, J.-P. Darnis, B. de Maupeou, M. Lafaye, and E. Morel, “Towards disruptions in Earth observation? New Earth Observation systems and markets evolution: Possible scenarios and impacts,”</w:t>
      </w:r>
      <w:r>
        <w:t xml:space="preserve"> </w:t>
      </w:r>
      <w:r>
        <w:rPr>
          <w:i/>
          <w:iCs/>
        </w:rPr>
        <w:t xml:space="preserve">Acta Astronautica</w:t>
      </w:r>
      <w:r>
        <w:t xml:space="preserve">, 2017, doi:</w:t>
      </w:r>
      <w:r>
        <w:t xml:space="preserve"> </w:t>
      </w:r>
      <w:hyperlink r:id="rId157">
        <w:r>
          <w:rPr>
            <w:rStyle w:val="Hyperlink"/>
          </w:rPr>
          <w:t xml:space="preserve">10.1016/j.actaastro.2017.04.034</w:t>
        </w:r>
      </w:hyperlink>
    </w:p>
    <w:p>
      <w:pPr>
        <w:pStyle w:val="BodyText"/>
        <w:spacing w:line="480" w:lineRule="auto"/>
        <w:ind w:firstLine="720"/>
      </w:pPr>
      <w:bookmarkStart w:id="158" w:name="ref-6"/>
      <w:bookmarkEnd w:id="158"/>
      <w:r>
        <w:t xml:space="preserve">6. A. Szołucha, “A disappearing frontier?: An ethnographic study of the labour of imagination of SpaceX fans and space creators in South Texas,”</w:t>
      </w:r>
      <w:r>
        <w:t xml:space="preserve"> </w:t>
      </w:r>
      <w:r>
        <w:rPr>
          <w:i/>
          <w:iCs/>
        </w:rPr>
        <w:t xml:space="preserve">Acta Astronautica</w:t>
      </w:r>
      <w:r>
        <w:t xml:space="preserve">, 2024, doi:</w:t>
      </w:r>
      <w:r>
        <w:t xml:space="preserve"> </w:t>
      </w:r>
      <w:hyperlink r:id="rId159">
        <w:r>
          <w:rPr>
            <w:rStyle w:val="Hyperlink"/>
          </w:rPr>
          <w:t xml:space="preserve">10.1016/j.actaastro.2024.06.001</w:t>
        </w:r>
      </w:hyperlink>
    </w:p>
    <w:p>
      <w:pPr>
        <w:pStyle w:val="BodyText"/>
        <w:spacing w:line="480" w:lineRule="auto"/>
        <w:ind w:firstLine="720"/>
      </w:pPr>
      <w:bookmarkStart w:id="160" w:name="ref-7"/>
      <w:bookmarkEnd w:id="160"/>
      <w:r>
        <w:t xml:space="preserve">7. I. Brownhall et al.,</w:t>
      </w:r>
      <w:r>
        <w:t xml:space="preserve"> </w:t>
      </w:r>
      <w:r>
        <w:t xml:space="preserve">“Verification and Validation of Orbital Capacity Assessment Tools of Varying Fidelities,”</w:t>
      </w:r>
      <w:r>
        <w:t xml:space="preserve"> </w:t>
      </w:r>
      <w:r>
        <w:t xml:space="preserve">AMOS, 2025, doi:</w:t>
      </w:r>
      <w:r>
        <w:t xml:space="preserve"> </w:t>
      </w:r>
      <w:hyperlink r:id="rId150">
        <w:r>
          <w:rPr>
            <w:rStyle w:val="Hyperlink"/>
          </w:rPr>
          <w:t xml:space="preserve">10.64861/UHIX1013</w:t>
        </w:r>
      </w:hyperlink>
    </w:p>
    <w:p>
      <w:pPr>
        <w:pStyle w:val="BodyText"/>
        <w:spacing w:line="480" w:lineRule="auto"/>
        <w:ind w:firstLine="720"/>
      </w:pPr>
      <w:bookmarkStart w:id="161" w:name="ref-8"/>
      <w:bookmarkEnd w:id="161"/>
      <w:r>
        <w:t xml:space="preserve">8. J. Iannamorelli and K. LeGrand,</w:t>
      </w:r>
      <w:r>
        <w:t xml:space="preserve"> </w:t>
      </w:r>
      <w:r>
        <w:t xml:space="preserve">“Adaptive Filtering for Multi-Sensor Maneuvering Cislunar Space Object Tracking,”</w:t>
      </w:r>
      <w:r>
        <w:t xml:space="preserve"> </w:t>
      </w:r>
      <w:r>
        <w:t xml:space="preserve">AMOS, 2023, doi:</w:t>
      </w:r>
      <w:r>
        <w:t xml:space="preserve"> </w:t>
      </w:r>
      <w:hyperlink r:id="rId162">
        <w:r>
          <w:rPr>
            <w:rStyle w:val="Hyperlink"/>
          </w:rPr>
          <w:t xml:space="preserve">10.64861/BJQM5480</w:t>
        </w:r>
      </w:hyperlink>
    </w:p>
    <w:p>
      <w:pPr>
        <w:pStyle w:val="BodyText"/>
        <w:spacing w:line="480" w:lineRule="auto"/>
        <w:ind w:firstLine="720"/>
      </w:pPr>
      <w:bookmarkStart w:id="163" w:name="ref-9"/>
      <w:bookmarkEnd w:id="163"/>
      <w:r>
        <w:t xml:space="preserve">9. T. Bryan, T. MacLeod, L. Gagliano, S. Williams, and B. McCoy,</w:t>
      </w:r>
      <w:r>
        <w:t xml:space="preserve"> </w:t>
      </w:r>
      <w:r>
        <w:t xml:space="preserve">“Innovative Electrostatic Adhesion Technologies,”</w:t>
      </w:r>
      <w:r>
        <w:t xml:space="preserve"> </w:t>
      </w:r>
      <w:r>
        <w:t xml:space="preserve">AMOS, 2015.</w:t>
      </w:r>
    </w:p>
    <w:p>
      <w:pPr>
        <w:pStyle w:val="BodyText"/>
        <w:spacing w:line="480" w:lineRule="auto"/>
        <w:ind w:firstLine="720"/>
      </w:pPr>
      <w:bookmarkStart w:id="164" w:name="ref-10"/>
      <w:bookmarkEnd w:id="164"/>
      <w:r>
        <w:t xml:space="preserve">10.</w:t>
      </w:r>
      <w:r>
        <w:t xml:space="preserve"> </w:t>
      </w:r>
      <w:r>
        <w:t xml:space="preserve">“Small Orbital Stereo Tracking Camera Technology Development,”</w:t>
      </w:r>
      <w:r>
        <w:t xml:space="preserve"> </w:t>
      </w:r>
      <w:r>
        <w:t xml:space="preserve">AMOS, 2015.</w:t>
      </w:r>
    </w:p>
    <w:p>
      <w:pPr>
        <w:pStyle w:val="BodyText"/>
        <w:spacing w:line="480" w:lineRule="auto"/>
        <w:ind w:firstLine="720"/>
      </w:pPr>
      <w:bookmarkStart w:id="165" w:name="ref-11"/>
      <w:bookmarkEnd w:id="165"/>
      <w:r>
        <w:t xml:space="preserve">11. P. Picciano,</w:t>
      </w:r>
      <w:r>
        <w:t xml:space="preserve"> </w:t>
      </w:r>
      <w:r>
        <w:t xml:space="preserve">“Human Decision Processes: Implications for SSA support tools,”</w:t>
      </w:r>
      <w:r>
        <w:t xml:space="preserve"> </w:t>
      </w:r>
      <w:r>
        <w:t xml:space="preserve">AMOS, 2013.</w:t>
      </w:r>
    </w:p>
    <w:p>
      <w:pPr>
        <w:pStyle w:val="BodyText"/>
        <w:spacing w:line="480" w:lineRule="auto"/>
        <w:ind w:firstLine="720"/>
      </w:pPr>
      <w:bookmarkStart w:id="166" w:name="ref-12"/>
      <w:bookmarkEnd w:id="166"/>
      <w:r>
        <w:t xml:space="preserve">12. P. M. Cunio et al.,</w:t>
      </w:r>
      <w:r>
        <w:t xml:space="preserve"> </w:t>
      </w:r>
      <w:r>
        <w:t xml:space="preserve">“Analysis of Orbit Residual Behavior to Determine Contact in Rendezvous and Proximity Operations at Geosynchronous Orbit,”</w:t>
      </w:r>
      <w:r>
        <w:t xml:space="preserve"> </w:t>
      </w:r>
      <w:r>
        <w:t xml:space="preserve">AMOS, 2022.</w:t>
      </w:r>
    </w:p>
    <w:p>
      <w:pPr>
        <w:pStyle w:val="BodyText"/>
        <w:spacing w:line="480" w:lineRule="auto"/>
        <w:ind w:firstLine="720"/>
      </w:pPr>
      <w:bookmarkStart w:id="167" w:name="ref-13"/>
      <w:bookmarkEnd w:id="167"/>
      <w:r>
        <w:t xml:space="preserve">13. C. Colombo et al.,</w:t>
      </w:r>
      <w:r>
        <w:t xml:space="preserve"> </w:t>
      </w:r>
      <w:r>
        <w:t xml:space="preserve">“Space capacity management and its interaction with space traffic management,”</w:t>
      </w:r>
      <w:r>
        <w:t xml:space="preserve"> </w:t>
      </w:r>
      <w:r>
        <w:t xml:space="preserve">Acta Astronautica, 2025, doi:</w:t>
      </w:r>
      <w:r>
        <w:t xml:space="preserve"> </w:t>
      </w:r>
      <w:hyperlink r:id="rId155">
        <w:r>
          <w:rPr>
            <w:rStyle w:val="Hyperlink"/>
          </w:rPr>
          <w:t xml:space="preserve">10.1016/j.actaastro.2025.01.069</w:t>
        </w:r>
      </w:hyperlink>
    </w:p>
    <w:p>
      <w:pPr>
        <w:pStyle w:val="BodyText"/>
        <w:spacing w:line="480" w:lineRule="auto"/>
        <w:ind w:firstLine="720"/>
      </w:pPr>
      <w:bookmarkStart w:id="168" w:name="ref-14"/>
      <w:bookmarkEnd w:id="168"/>
      <w:r>
        <w:t xml:space="preserve">14. G. Denis et al.,</w:t>
      </w:r>
      <w:r>
        <w:t xml:space="preserve"> </w:t>
      </w:r>
      <w:r>
        <w:t xml:space="preserve">“Towards disruptions in Earth observation? New Earth Observation systems and markets evolution: Possible scenarios and impacts,”</w:t>
      </w:r>
      <w:r>
        <w:t xml:space="preserve"> </w:t>
      </w:r>
      <w:r>
        <w:t xml:space="preserve">Acta Astronautica, 2017, doi:</w:t>
      </w:r>
      <w:r>
        <w:t xml:space="preserve"> </w:t>
      </w:r>
      <w:hyperlink r:id="rId157">
        <w:r>
          <w:rPr>
            <w:rStyle w:val="Hyperlink"/>
          </w:rPr>
          <w:t xml:space="preserve">10.1016/j.actaastro.2017.04.034</w:t>
        </w:r>
      </w:hyperlink>
    </w:p>
    <w:p>
      <w:pPr>
        <w:pStyle w:val="BodyText"/>
        <w:spacing w:line="480" w:lineRule="auto"/>
        <w:ind w:firstLine="720"/>
      </w:pPr>
      <w:bookmarkStart w:id="169" w:name="ref-15"/>
      <w:bookmarkEnd w:id="169"/>
      <w:r>
        <w:t xml:space="preserve">15. A. Szolucha,</w:t>
      </w:r>
      <w:r>
        <w:t xml:space="preserve"> </w:t>
      </w:r>
      <w:r>
        <w:t xml:space="preserve">“A disappearing frontier?: An ethnographic study of the labour of imagination of SpaceX fans and space creators in South Texas,”</w:t>
      </w:r>
      <w:r>
        <w:t xml:space="preserve"> </w:t>
      </w:r>
      <w:r>
        <w:t xml:space="preserve">Acta Astronautica, 2024, doi:</w:t>
      </w:r>
      <w:r>
        <w:t xml:space="preserve"> </w:t>
      </w:r>
      <w:hyperlink r:id="rId159">
        <w:r>
          <w:rPr>
            <w:rStyle w:val="Hyperlink"/>
          </w:rPr>
          <w:t xml:space="preserve">10.1016/j.actaastro.2024.06.001</w:t>
        </w:r>
      </w:hyperlink>
    </w:p>
    <w:p>
      <w:pPr>
        <w:pStyle w:val="BodyText"/>
        <w:spacing w:line="480" w:lineRule="auto"/>
        <w:ind w:firstLine="720"/>
      </w:pPr>
      <w:bookmarkStart w:id="170" w:name="ref-16"/>
      <w:bookmarkEnd w:id="170"/>
      <w:r>
        <w:t xml:space="preserve">16. Indigo Brownhall, University College London; Miles Lifson, The Aerospace Corporation; Giovanni Lavezzi, Massachusetts Institute of Technology; Enrico Zucchelli, Massachusetts Institute of Technology; Mark Moretto, North Carolina State University; Santosh Bhattarai, University College London; Richard Linares, Massachusetts Institute of Technology. Verification and Validation of Orbital Capacity Assessment Tools of Varying Fidelities (2025). doi:</w:t>
      </w:r>
      <w:r>
        <w:t xml:space="preserve"> </w:t>
      </w:r>
      <w:hyperlink r:id="rId150">
        <w:r>
          <w:rPr>
            <w:rStyle w:val="Hyperlink"/>
          </w:rPr>
          <w:t xml:space="preserve">10.64861/UHIX1013</w:t>
        </w:r>
      </w:hyperlink>
    </w:p>
    <w:p>
      <w:pPr>
        <w:pStyle w:val="BodyText"/>
        <w:spacing w:line="480" w:lineRule="auto"/>
        <w:ind w:firstLine="720"/>
      </w:pPr>
      <w:bookmarkStart w:id="171" w:name="ref-17"/>
      <w:bookmarkEnd w:id="171"/>
      <w:r>
        <w:t xml:space="preserve">17. Makena Young, Center for Strategic and International Studies; Akhil Thadani, Center for Strategic and International Studies. Low-Orbit, High Stakes: Winning the LEO Broadband Competition (2022).</w:t>
      </w:r>
    </w:p>
    <w:p>
      <w:pPr>
        <w:pStyle w:val="BodyText"/>
        <w:spacing w:line="480" w:lineRule="auto"/>
        <w:ind w:firstLine="720"/>
      </w:pPr>
      <w:bookmarkStart w:id="172" w:name="ref-18"/>
      <w:bookmarkEnd w:id="172"/>
      <w:r>
        <w:t xml:space="preserve">18. John Iannamorelli, Purdue University; Keith LeGrand, Purdue University. Adaptive Filtering for Multi-Sensor Maneuvering Cislunar Space Object Tracking (2023). doi:</w:t>
      </w:r>
      <w:r>
        <w:t xml:space="preserve"> </w:t>
      </w:r>
      <w:hyperlink r:id="rId162">
        <w:r>
          <w:rPr>
            <w:rStyle w:val="Hyperlink"/>
          </w:rPr>
          <w:t xml:space="preserve">10.64861/BJQM5480</w:t>
        </w:r>
      </w:hyperlink>
    </w:p>
    <w:p>
      <w:pPr>
        <w:pStyle w:val="BodyText"/>
        <w:spacing w:line="480" w:lineRule="auto"/>
        <w:ind w:firstLine="720"/>
      </w:pPr>
      <w:bookmarkStart w:id="173" w:name="ref-19"/>
      <w:bookmarkEnd w:id="173"/>
      <w:r>
        <w:t xml:space="preserve">19. Tom Bryan, NASA/MSFC, Todd MacLeod, NASA/MSFC, Larry Gagliano, NASA/MSFC, Scott Williams, SRI International, Brian McCoy, SRI International. Innovative Electrostatic Adhesion Technologies (2015).</w:t>
      </w:r>
    </w:p>
    <w:p>
      <w:pPr>
        <w:pStyle w:val="BodyText"/>
        <w:spacing w:line="480" w:lineRule="auto"/>
        <w:ind w:firstLine="720"/>
      </w:pPr>
      <w:bookmarkStart w:id="174" w:name="ref-20"/>
      <w:bookmarkEnd w:id="174"/>
      <w:r>
        <w:t xml:space="preserve">20. For missions flying in or assembled in or staging from LEO, the physical threat to vehicle and crew is needed in order to properly design the proper level of MOD impact shielding and proper mission design restrictions. Small Orbital Stereo Tracking Camera Technology Development (2015).</w:t>
      </w:r>
    </w:p>
    <w:p>
      <w:pPr>
        <w:pStyle w:val="BodyText"/>
        <w:spacing w:line="480" w:lineRule="auto"/>
        <w:ind w:firstLine="720"/>
      </w:pPr>
      <w:bookmarkStart w:id="175" w:name="ref-21"/>
      <w:bookmarkEnd w:id="175"/>
      <w:r>
        <w:t xml:space="preserve">21. Paul Picciano (Aptima). Human Decision Processes: Implications for SSA support tools (2013).</w:t>
      </w:r>
    </w:p>
    <w:p>
      <w:pPr>
        <w:pStyle w:val="BodyText"/>
        <w:spacing w:line="480" w:lineRule="auto"/>
        <w:ind w:firstLine="720"/>
      </w:pPr>
      <w:bookmarkStart w:id="176" w:name="ref-22"/>
      <w:bookmarkEnd w:id="176"/>
      <w:r>
        <w:t xml:space="preserve">22. Phillip M. Cunio, ExoAnalytic Solutions, Inc.; Jaycie Bishop, ExoAnalytic Solutions, Inc.; Christopher W. Ingram, ExoAnalytic Solutions, Inc.; Bill Therien, ExoAnalytic Solutions, Inc.; Doug Hendrix, ExoAnalytic Solutions, Inc.; Clinton Clark, ExoAnalytic Solutions, Inc.; Michael Bantel, ExoAnalytic Solutions, Inc.; MJ Jeffries, ExoAnalytic Solutions, Inc.. Analysis of Orbit Residual Behavior to Determine Contact in Rendezvous and Proximity Operations at Geosynchronous Orbit (2022).</w:t>
      </w:r>
    </w:p>
    <w:p>
      <w:pPr>
        <w:pStyle w:val="BodyText"/>
        <w:spacing w:line="480" w:lineRule="auto"/>
        <w:ind w:firstLine="720"/>
      </w:pPr>
      <w:bookmarkStart w:id="177" w:name="ref-23"/>
      <w:bookmarkEnd w:id="177"/>
      <w:r>
        <w:t xml:space="preserve">23. Jeffrey T. Baker (Boeing-LTS), David Gallant (Boeing-LTS), Arthur Lucero (Boeing-LTS), Harold Miller (AFRL), Jonathon Stohs (AFRL), Thomas Shay (AFRL). Novel All Digital Ring Cavity Locking Servo (2009).</w:t>
      </w:r>
    </w:p>
    <w:p>
      <w:pPr>
        <w:pStyle w:val="BodyText"/>
        <w:spacing w:line="480" w:lineRule="auto"/>
        <w:ind w:firstLine="720"/>
      </w:pPr>
      <w:bookmarkStart w:id="178" w:name="ref-24"/>
      <w:bookmarkEnd w:id="178"/>
      <w:r>
        <w:t xml:space="preserve">24. Jie Long; Wenzhen Chen. Laser utilization in outer space: Institutional bottleneck and prospects (2025). doi:</w:t>
      </w:r>
      <w:r>
        <w:t xml:space="preserve"> </w:t>
      </w:r>
      <w:hyperlink r:id="rId153">
        <w:r>
          <w:rPr>
            <w:rStyle w:val="Hyperlink"/>
          </w:rPr>
          <w:t xml:space="preserve">10.1016/j.actaastro.2025.01.061</w:t>
        </w:r>
      </w:hyperlink>
    </w:p>
    <w:p>
      <w:pPr>
        <w:pStyle w:val="BodyText"/>
        <w:spacing w:line="480" w:lineRule="auto"/>
        <w:ind w:firstLine="720"/>
      </w:pPr>
      <w:bookmarkStart w:id="179" w:name="ref-25"/>
      <w:bookmarkEnd w:id="179"/>
      <w:r>
        <w:t xml:space="preserve">25. Antoni Pérez Poch; Marta Ballester; Marta Tresanchez; Jordi Torner; Daniel Ventura González; Francesc Alpiste; Miguel Brigos; Eduard Sánchez; Gloria Martínez-Sandoval; Sandra García; Nikolaos P. Polyzos; Montserrat Boada. Decreased human sperm motility and vitality after fast gravity load changes in a parabolic flight (2024). doi:</w:t>
      </w:r>
      <w:r>
        <w:t xml:space="preserve"> </w:t>
      </w:r>
      <w:hyperlink r:id="rId180">
        <w:r>
          <w:rPr>
            <w:rStyle w:val="Hyperlink"/>
          </w:rPr>
          <w:t xml:space="preserve">10.1016/j.actaastro.2024.07.050</w:t>
        </w:r>
      </w:hyperlink>
    </w:p>
    <w:p>
      <w:pPr>
        <w:pStyle w:val="BodyText"/>
        <w:spacing w:line="480" w:lineRule="auto"/>
        <w:ind w:firstLine="720"/>
      </w:pPr>
      <w:bookmarkStart w:id="181" w:name="ref-26"/>
      <w:bookmarkEnd w:id="181"/>
      <w:r>
        <w:t xml:space="preserve">26. Camilla Colombo; Peter Martinez; Francesca Letizia; Benedetta M. Cattani; Emmanuelle David; Diego A. Escobar; Satomi Kawamoto; Robert J. Rovetto; Ivan Sumelzo. Space capacity management and its interaction with space traffic management (2025). doi:</w:t>
      </w:r>
      <w:r>
        <w:t xml:space="preserve"> </w:t>
      </w:r>
      <w:hyperlink r:id="rId155">
        <w:r>
          <w:rPr>
            <w:rStyle w:val="Hyperlink"/>
          </w:rPr>
          <w:t xml:space="preserve">10.1016/j.actaastro.2025.01.069</w:t>
        </w:r>
      </w:hyperlink>
    </w:p>
    <w:p>
      <w:pPr>
        <w:pStyle w:val="BodyText"/>
        <w:spacing w:line="480" w:lineRule="auto"/>
        <w:ind w:firstLine="720"/>
      </w:pPr>
      <w:bookmarkStart w:id="182" w:name="ref-27"/>
      <w:bookmarkEnd w:id="182"/>
      <w:r>
        <w:t xml:space="preserve">27. Marc-André Chavy-Macdonald; Kazuya Oizumi; Jean‐Paul Kneib; Kazuhiro Aoyama. The cis-lunar ecosystem — A systems model and scenarios of the resource industry and its impact (2021). doi:</w:t>
      </w:r>
      <w:r>
        <w:t xml:space="preserve"> </w:t>
      </w:r>
      <w:hyperlink r:id="rId183">
        <w:r>
          <w:rPr>
            <w:rStyle w:val="Hyperlink"/>
          </w:rPr>
          <w:t xml:space="preserve">10.1016/j.actaastro.2021.06.017</w:t>
        </w:r>
      </w:hyperlink>
    </w:p>
    <w:p>
      <w:pPr>
        <w:pStyle w:val="BodyText"/>
        <w:spacing w:line="480" w:lineRule="auto"/>
        <w:ind w:firstLine="720"/>
      </w:pPr>
      <w:bookmarkStart w:id="184" w:name="ref-28"/>
      <w:bookmarkEnd w:id="184"/>
      <w:r>
        <w:t xml:space="preserve">28. Muneeb Arshad; Michael C.F. Bazzocchi; Faraz Hussain. Emerging strategies in close proximity operations for space debris removal: A review (2024). doi:</w:t>
      </w:r>
      <w:r>
        <w:t xml:space="preserve"> </w:t>
      </w:r>
      <w:hyperlink r:id="rId185">
        <w:r>
          <w:rPr>
            <w:rStyle w:val="Hyperlink"/>
          </w:rPr>
          <w:t xml:space="preserve">10.1016/j.actaastro.2024.12.017</w:t>
        </w:r>
      </w:hyperlink>
    </w:p>
    <w:p>
      <w:pPr>
        <w:pStyle w:val="BodyText"/>
        <w:spacing w:line="480" w:lineRule="auto"/>
        <w:ind w:firstLine="720"/>
      </w:pPr>
      <w:bookmarkStart w:id="186" w:name="ref-29"/>
      <w:bookmarkEnd w:id="186"/>
      <w:r>
        <w:t xml:space="preserve">29. Emanuele Pulvirenti; Richard Suphapol Diteesawat; Andrew Stinchcombe; Helmut Häuser; Jonathan Rossiter. Advancing space health: Towards a soft wearable hypogravity exosuit for enhanced mobility in Martian conditions (2025). doi:</w:t>
      </w:r>
      <w:r>
        <w:t xml:space="preserve"> </w:t>
      </w:r>
      <w:hyperlink r:id="rId187">
        <w:r>
          <w:rPr>
            <w:rStyle w:val="Hyperlink"/>
          </w:rPr>
          <w:t xml:space="preserve">10.1016/j.actaastro.2025.06.001</w:t>
        </w:r>
      </w:hyperlink>
    </w:p>
    <w:p>
      <w:pPr>
        <w:pStyle w:val="BodyText"/>
        <w:spacing w:line="480" w:lineRule="auto"/>
        <w:ind w:firstLine="720"/>
      </w:pPr>
      <w:bookmarkStart w:id="188" w:name="ref-30"/>
      <w:bookmarkEnd w:id="188"/>
      <w:r>
        <w:t xml:space="preserve">30. Gil Denis; A. Claverie; Xavier Pasco; Jean‐Pierre Darnis; Benoît de Maupeou; Murielle Lafaye; Eric Morel. Towards disruptions in Earth observation? New Earth Observation systems and markets evolution: Possible scenarios and impacts (2017). doi:</w:t>
      </w:r>
      <w:r>
        <w:t xml:space="preserve"> </w:t>
      </w:r>
      <w:hyperlink r:id="rId157">
        <w:r>
          <w:rPr>
            <w:rStyle w:val="Hyperlink"/>
          </w:rPr>
          <w:t xml:space="preserve">10.1016/j.actaastro.2017.04.034</w:t>
        </w:r>
      </w:hyperlink>
    </w:p>
    <w:p>
      <w:pPr>
        <w:pStyle w:val="BodyText"/>
        <w:spacing w:line="480" w:lineRule="auto"/>
        <w:ind w:firstLine="720"/>
      </w:pPr>
      <w:bookmarkStart w:id="189" w:name="ref-31"/>
      <w:bookmarkEnd w:id="189"/>
      <w:r>
        <w:t xml:space="preserve">31. Anna Szołucha. A disappearing frontier?: An ethnographic study of the labour of imagination of SpaceX fans and space creators in South Texas (2024). doi:</w:t>
      </w:r>
      <w:r>
        <w:t xml:space="preserve"> </w:t>
      </w:r>
      <w:hyperlink r:id="rId159">
        <w:r>
          <w:rPr>
            <w:rStyle w:val="Hyperlink"/>
          </w:rPr>
          <w:t xml:space="preserve">10.1016/j.actaastro.2024.06.001</w:t>
        </w:r>
      </w:hyperlink>
    </w:p>
    <w:bookmarkEnd w:id="190"/>
    <w:bookmarkEnd w:id="191"/>
    <w:bookmarkStart w:id="208"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9" w:name="X26f272d3cd0b32712ee4cc37d5fc756d8d01744"/>
    <w:p>
      <w:pPr>
        <w:pStyle w:val="Heading2"/>
        <w:spacing w:line="480" w:lineRule="auto"/>
      </w:pPr>
      <w:r>
        <w:t xml:space="preserve">A.1 Capacity-Building Salience and Regulatory Text Salience in the Cited Source Corpus</w:t>
      </w:r>
    </w:p>
    <w:p>
      <w:pPr>
        <w:pStyle w:val="FirstParagraph"/>
        <w:spacing w:line="480" w:lineRule="auto"/>
      </w:pPr>
      <m:oMathPara>
        <m:oMathParaPr>
          <m:jc m:val="center"/>
        </m:oMathParaPr>
        <m:oMath>
          <m:r>
            <m:t>R</m:t>
          </m:r>
          <m:r>
            <m:t>e</m:t>
          </m:r>
          <m:r>
            <m:t>g</m:t>
          </m:r>
          <m:r>
            <m:t>u</m:t>
          </m:r>
          <m:r>
            <m:t>l</m:t>
          </m:r>
          <m:r>
            <m:t>a</m:t>
          </m:r>
          <m:r>
            <m:t>t</m:t>
          </m:r>
          <m:r>
            <m:t>o</m:t>
          </m:r>
          <m:r>
            <m:t>r</m:t>
          </m:r>
          <m:r>
            <m:t>y</m:t>
          </m:r>
          <m:r>
            <m:t>T</m:t>
          </m:r>
          <m:r>
            <m:t>e</m:t>
          </m:r>
          <m:r>
            <m:t>x</m:t>
          </m:r>
          <m:r>
            <m:t>t</m:t>
          </m:r>
          <m:r>
            <m:t>S</m:t>
          </m:r>
          <m:r>
            <m:t>c</m:t>
          </m:r>
          <m:r>
            <m:t>o</m:t>
          </m:r>
          <m:r>
            <m:t>r</m:t>
          </m:r>
          <m:sSub>
            <m:e>
              <m:r>
                <m:t>e</m:t>
              </m:r>
            </m:e>
            <m:sub>
              <m:r>
                <m:t>i</m:t>
              </m:r>
            </m:sub>
          </m:sSub>
          <m:r>
            <m:rPr>
              <m:sty m:val="p"/>
            </m:rPr>
            <m:t>=</m:t>
          </m:r>
          <m:r>
            <m:t>α</m:t>
          </m:r>
          <m:r>
            <m:rPr>
              <m:sty m:val="p"/>
            </m:rPr>
            <m:t>+</m:t>
          </m:r>
          <m:sSub>
            <m:e>
              <m:r>
                <m:t>β</m:t>
              </m:r>
            </m:e>
            <m:sub>
              <m:r>
                <m:t>1</m:t>
              </m:r>
            </m:sub>
          </m:sSub>
          <m:r>
            <m:t>C</m:t>
          </m:r>
          <m:r>
            <m:t>a</m:t>
          </m:r>
          <m:r>
            <m:t>p</m:t>
          </m:r>
          <m:r>
            <m:t>a</m:t>
          </m:r>
          <m:r>
            <m:t>c</m:t>
          </m:r>
          <m:r>
            <m:t>i</m:t>
          </m:r>
          <m:r>
            <m:t>t</m:t>
          </m:r>
          <m:r>
            <m:t>y</m:t>
          </m:r>
          <m:r>
            <m:t>B</m:t>
          </m:r>
          <m:r>
            <m:t>u</m:t>
          </m:r>
          <m:r>
            <m:t>i</m:t>
          </m:r>
          <m:r>
            <m:t>l</m:t>
          </m:r>
          <m:r>
            <m:t>d</m:t>
          </m:r>
          <m:r>
            <m:t>i</m:t>
          </m:r>
          <m:r>
            <m:t>n</m:t>
          </m:r>
          <m:r>
            <m:t>g</m:t>
          </m:r>
          <m:r>
            <m:t>S</m:t>
          </m:r>
          <m:r>
            <m:t>c</m:t>
          </m:r>
          <m:r>
            <m:t>o</m:t>
          </m:r>
          <m:r>
            <m:t>r</m:t>
          </m:r>
          <m:sSub>
            <m:e>
              <m:r>
                <m:t>e</m:t>
              </m:r>
            </m:e>
            <m:sub>
              <m:r>
                <m:t>i</m:t>
              </m:r>
            </m:sub>
          </m:sSub>
          <m:r>
            <m:rPr>
              <m:sty m:val="p"/>
            </m:rPr>
            <m:t>+</m:t>
          </m:r>
          <m:sSub>
            <m:e>
              <m:r>
                <m:t>β</m:t>
              </m:r>
            </m:e>
            <m:sub>
              <m:r>
                <m:t>2</m:t>
              </m:r>
            </m:sub>
          </m:sSub>
          <m:r>
            <m:t>M</m:t>
          </m:r>
          <m:r>
            <m:t>a</m:t>
          </m:r>
          <m:r>
            <m:t>r</m:t>
          </m:r>
          <m:r>
            <m:t>k</m:t>
          </m:r>
          <m:r>
            <m:t>e</m:t>
          </m:r>
          <m:r>
            <m:t>t</m:t>
          </m:r>
          <m:r>
            <m:t>I</m:t>
          </m:r>
          <m:r>
            <m:t>n</m:t>
          </m:r>
          <m:r>
            <m:t>f</m:t>
          </m:r>
          <m:r>
            <m:t>r</m:t>
          </m:r>
          <m:r>
            <m:t>a</m:t>
          </m:r>
          <m:r>
            <m:t>s</m:t>
          </m:r>
          <m:r>
            <m:t>t</m:t>
          </m:r>
          <m:r>
            <m:t>r</m:t>
          </m:r>
          <m:r>
            <m:t>u</m:t>
          </m:r>
          <m:r>
            <m:t>c</m:t>
          </m:r>
          <m:r>
            <m:t>t</m:t>
          </m:r>
          <m:r>
            <m:t>u</m:t>
          </m:r>
          <m:r>
            <m:t>r</m:t>
          </m:r>
          <m:r>
            <m:t>e</m:t>
          </m:r>
          <m:r>
            <m:t>S</m:t>
          </m:r>
          <m:r>
            <m:t>c</m:t>
          </m:r>
          <m:r>
            <m:t>o</m:t>
          </m:r>
          <m:r>
            <m:t>r</m:t>
          </m:r>
          <m:sSub>
            <m:e>
              <m:r>
                <m:t>e</m:t>
              </m:r>
            </m:e>
            <m:sub>
              <m:r>
                <m:t>i</m:t>
              </m:r>
            </m:sub>
          </m:sSub>
          <m:r>
            <m:rPr>
              <m:sty m:val="p"/>
            </m:rPr>
            <m:t>+</m:t>
          </m:r>
          <m:sSub>
            <m:e>
              <m:r>
                <m:t>ε</m:t>
              </m:r>
            </m:e>
            <m:sub>
              <m:r>
                <m:t>i</m:t>
              </m:r>
            </m:sub>
          </m:sSub>
        </m:oMath>
      </m:oMathPara>
    </w:p>
    <w:bookmarkStart w:id="192"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-0.1857</w:t>
            </w:r>
          </w:p>
        </w:tc>
        <w:tc>
          <w:tcPr>
            <w:tcW w:w="0" w:type="auto"/>
          </w:tcPr>
          <w:p>
            <w:pPr>
              <w:spacing w:line="240" w:lineRule="auto" w:before="0" w:after="0"/>
              <w:pStyle w:val="Compact"/>
            </w:pPr>
            <w:r>
              <w:rPr>
                <w:sz w:val="20"/>
                <w:szCs w:val="20"/>
              </w:rPr>
              <w:t xml:space="preserve">0.4737</w:t>
            </w:r>
          </w:p>
        </w:tc>
        <w:tc>
          <w:tcPr>
            <w:tcW w:w="0" w:type="auto"/>
          </w:tcPr>
          <w:p>
            <w:pPr>
              <w:spacing w:line="240" w:lineRule="auto" w:before="0" w:after="0"/>
              <w:pStyle w:val="Compact"/>
            </w:pPr>
            <w:r>
              <w:rPr>
                <w:sz w:val="20"/>
                <w:szCs w:val="20"/>
              </w:rPr>
              <w:t xml:space="preserve">-0.3919</w:t>
            </w:r>
          </w:p>
        </w:tc>
        <w:tc>
          <w:tcPr>
            <w:tcW w:w="0" w:type="auto"/>
          </w:tcPr>
          <w:p>
            <w:pPr>
              <w:spacing w:line="240" w:lineRule="auto" w:before="0" w:after="0"/>
              <w:pStyle w:val="Compact"/>
            </w:pPr>
            <w:r>
              <w:rPr>
                <w:sz w:val="20"/>
                <w:szCs w:val="20"/>
              </w:rPr>
              <w:t xml:space="preserve">0.6951</w:t>
            </w:r>
          </w:p>
        </w:tc>
        <w:tc>
          <w:tcPr>
            <w:tcW w:w="0" w:type="auto"/>
          </w:tcPr>
          <w:p>
            <w:pPr>
              <w:spacing w:line="240" w:lineRule="auto" w:before="0" w:after="0"/>
              <w:pStyle w:val="Compact"/>
            </w:pPr>
            <w:r>
              <w:rPr>
                <w:sz w:val="20"/>
                <w:szCs w:val="20"/>
              </w:rPr>
              <w:t xml:space="preserve">[-1.1141, 0.7428]</w:t>
            </w:r>
          </w:p>
        </w:tc>
      </w:tr>
      <w:tr>
        <w:tc>
          <w:tcPr>
            <w:tcW w:w="0" w:type="auto"/>
          </w:tcPr>
          <w:p>
            <w:pPr>
              <w:spacing w:line="240" w:lineRule="auto" w:before="0" w:after="0"/>
              <w:pStyle w:val="Compact"/>
            </w:pPr>
            <w:r>
              <w:rPr>
                <w:sz w:val="20"/>
                <w:szCs w:val="20"/>
              </w:rPr>
              <w:t xml:space="preserve">capacity_building_score</w:t>
            </w:r>
          </w:p>
        </w:tc>
        <w:tc>
          <w:tcPr>
            <w:tcW w:w="0" w:type="auto"/>
          </w:tcPr>
          <w:p>
            <w:pPr>
              <w:spacing w:line="240" w:lineRule="auto" w:before="0" w:after="0"/>
              <w:pStyle w:val="Compact"/>
            </w:pPr>
            <w:r>
              <w:rPr>
                <w:sz w:val="20"/>
                <w:szCs w:val="20"/>
              </w:rPr>
              <w:t xml:space="preserve">1.1001</w:t>
            </w:r>
          </w:p>
        </w:tc>
        <w:tc>
          <w:tcPr>
            <w:tcW w:w="0" w:type="auto"/>
          </w:tcPr>
          <w:p>
            <w:pPr>
              <w:spacing w:line="240" w:lineRule="auto" w:before="0" w:after="0"/>
              <w:pStyle w:val="Compact"/>
            </w:pPr>
            <w:r>
              <w:rPr>
                <w:sz w:val="20"/>
                <w:szCs w:val="20"/>
              </w:rPr>
              <w:t xml:space="preserve">0.2666</w:t>
            </w:r>
          </w:p>
        </w:tc>
        <w:tc>
          <w:tcPr>
            <w:tcW w:w="0" w:type="auto"/>
          </w:tcPr>
          <w:p>
            <w:pPr>
              <w:spacing w:line="240" w:lineRule="auto" w:before="0" w:after="0"/>
              <w:pStyle w:val="Compact"/>
            </w:pPr>
            <w:r>
              <w:rPr>
                <w:sz w:val="20"/>
                <w:szCs w:val="20"/>
              </w:rPr>
              <w:t xml:space="preserve">4.1265</w:t>
            </w:r>
          </w:p>
        </w:tc>
        <w:tc>
          <w:tcPr>
            <w:tcW w:w="0" w:type="auto"/>
          </w:tcPr>
          <w:p>
            <w:pPr>
              <w:spacing w:line="240" w:lineRule="auto" w:before="0" w:after="0"/>
              <w:pStyle w:val="Compact"/>
            </w:pPr>
            <w:r>
              <w:rPr>
                <w:sz w:val="20"/>
                <w:szCs w:val="20"/>
              </w:rPr>
              <w:t xml:space="preserve">3.683e-05</w:t>
            </w:r>
          </w:p>
        </w:tc>
        <w:tc>
          <w:tcPr>
            <w:tcW w:w="0" w:type="auto"/>
          </w:tcPr>
          <w:p>
            <w:pPr>
              <w:spacing w:line="240" w:lineRule="auto" w:before="0" w:after="0"/>
              <w:pStyle w:val="Compact"/>
            </w:pPr>
            <w:r>
              <w:rPr>
                <w:sz w:val="20"/>
                <w:szCs w:val="20"/>
              </w:rPr>
              <w:t xml:space="preserve">[0.5776, 1.6227]</w:t>
            </w:r>
          </w:p>
        </w:tc>
      </w:tr>
      <w:tr>
        <w:tc>
          <w:tcPr>
            <w:tcW w:w="0" w:type="auto"/>
          </w:tcPr>
          <w:p>
            <w:pPr>
              <w:spacing w:line="240" w:lineRule="auto" w:before="0" w:after="0"/>
              <w:pStyle w:val="Compact"/>
            </w:pPr>
            <w:r>
              <w:rPr>
                <w:sz w:val="20"/>
                <w:szCs w:val="20"/>
              </w:rPr>
              <w:t xml:space="preserve">market_infrastructure_score</w:t>
            </w:r>
          </w:p>
        </w:tc>
        <w:tc>
          <w:tcPr>
            <w:tcW w:w="0" w:type="auto"/>
          </w:tcPr>
          <w:p>
            <w:pPr>
              <w:spacing w:line="240" w:lineRule="auto" w:before="0" w:after="0"/>
              <w:pStyle w:val="Compact"/>
            </w:pPr>
            <w:r>
              <w:rPr>
                <w:sz w:val="20"/>
                <w:szCs w:val="20"/>
              </w:rPr>
              <w:t xml:space="preserve">0.172</w:t>
            </w:r>
          </w:p>
        </w:tc>
        <w:tc>
          <w:tcPr>
            <w:tcW w:w="0" w:type="auto"/>
          </w:tcPr>
          <w:p>
            <w:pPr>
              <w:spacing w:line="240" w:lineRule="auto" w:before="0" w:after="0"/>
              <w:pStyle w:val="Compact"/>
            </w:pPr>
            <w:r>
              <w:rPr>
                <w:sz w:val="20"/>
                <w:szCs w:val="20"/>
              </w:rPr>
              <w:t xml:space="preserve">0.2693</w:t>
            </w:r>
          </w:p>
        </w:tc>
        <w:tc>
          <w:tcPr>
            <w:tcW w:w="0" w:type="auto"/>
          </w:tcPr>
          <w:p>
            <w:pPr>
              <w:spacing w:line="240" w:lineRule="auto" w:before="0" w:after="0"/>
              <w:pStyle w:val="Compact"/>
            </w:pPr>
            <w:r>
              <w:rPr>
                <w:sz w:val="20"/>
                <w:szCs w:val="20"/>
              </w:rPr>
              <w:t xml:space="preserve">0.6386</w:t>
            </w:r>
          </w:p>
        </w:tc>
        <w:tc>
          <w:tcPr>
            <w:tcW w:w="0" w:type="auto"/>
          </w:tcPr>
          <w:p>
            <w:pPr>
              <w:spacing w:line="240" w:lineRule="auto" w:before="0" w:after="0"/>
              <w:pStyle w:val="Compact"/>
            </w:pPr>
            <w:r>
              <w:rPr>
                <w:sz w:val="20"/>
                <w:szCs w:val="20"/>
              </w:rPr>
              <w:t xml:space="preserve">0.5231</w:t>
            </w:r>
          </w:p>
        </w:tc>
        <w:tc>
          <w:tcPr>
            <w:tcW w:w="0" w:type="auto"/>
          </w:tcPr>
          <w:p>
            <w:pPr>
              <w:spacing w:line="240" w:lineRule="auto" w:before="0" w:after="0"/>
              <w:pStyle w:val="Compact"/>
            </w:pPr>
            <w:r>
              <w:rPr>
                <w:sz w:val="20"/>
                <w:szCs w:val="20"/>
              </w:rPr>
              <w:t xml:space="preserve">[-0.3559, 0.6999]</w:t>
            </w:r>
          </w:p>
        </w:tc>
      </w:tr>
    </w:tbl>
    <w:p>
      <w:pPr>
        <w:pStyle w:val="BodyText"/>
        <w:spacing w:line="480" w:lineRule="auto"/>
        <w:ind w:firstLine="720"/>
      </w:pPr>
      <w:r>
        <w:t xml:space="preserve">Fit: N = 11 R2 = 0.6781 R2_adj = 0.5977 F = 19.2832 F_p = 0.0008711</w:t>
      </w:r>
    </w:p>
    <w:bookmarkEnd w:id="192"/>
    <w:bookmarkStart w:id="196"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Regulatory-text salience by capacity-building salience in cited sources." title="" id="194" name="Picture"/>
            <a:graphic>
              <a:graphicData uri="http://schemas.openxmlformats.org/drawingml/2006/picture">
                <pic:pic>
                  <pic:nvPicPr>
                    <pic:cNvPr descr="D:/Claude_Code/brain/collegium/candidates/dissertations/INTL_GOVERNANCE_12/research_papers/p1/paper_fig1.png" id="195" name="Picture"/>
                    <pic:cNvPicPr>
                      <a:picLocks noChangeArrowheads="1" noChangeAspect="1"/>
                    </pic:cNvPicPr>
                  </pic:nvPicPr>
                  <pic:blipFill>
                    <a:blip r:embed="rId19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Regulatory-text salience by capacity-building salience in cited sources.</w:t>
      </w:r>
    </w:p>
    <w:bookmarkEnd w:id="196"/>
    <w:bookmarkStart w:id="197"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source_short</w:t>
            </w:r>
          </w:p>
        </w:tc>
        <w:tc>
          <w:tcPr>
            <w:tcW w:w="0" w:type="auto"/>
          </w:tcPr>
          <w:p>
            <w:pPr>
              <w:spacing w:line="240" w:lineRule="auto" w:before="0" w:after="0"/>
              <w:pStyle w:val="Compact"/>
            </w:pPr>
            <w:r>
              <w:rPr>
                <w:sz w:val="20"/>
                <w:szCs w:val="20"/>
              </w:rPr>
              <w:t xml:space="preserve">publication_year</w:t>
            </w:r>
          </w:p>
        </w:tc>
        <w:tc>
          <w:tcPr>
            <w:tcW w:w="0" w:type="auto"/>
          </w:tcPr>
          <w:p>
            <w:pPr>
              <w:spacing w:line="240" w:lineRule="auto" w:before="0" w:after="0"/>
              <w:pStyle w:val="Compact"/>
            </w:pPr>
            <w:r>
              <w:rPr>
                <w:sz w:val="20"/>
                <w:szCs w:val="20"/>
              </w:rPr>
              <w:t xml:space="preserve">regulatory_text_score</w:t>
            </w:r>
          </w:p>
        </w:tc>
        <w:tc>
          <w:tcPr>
            <w:tcW w:w="0" w:type="auto"/>
          </w:tcPr>
          <w:p>
            <w:pPr>
              <w:spacing w:line="240" w:lineRule="auto" w:before="0" w:after="0"/>
              <w:pStyle w:val="Compact"/>
            </w:pPr>
            <w:r>
              <w:rPr>
                <w:sz w:val="20"/>
                <w:szCs w:val="20"/>
              </w:rPr>
              <w:t xml:space="preserve">capacity_building_score</w:t>
            </w:r>
          </w:p>
        </w:tc>
        <w:tc>
          <w:tcPr>
            <w:tcW w:w="0" w:type="auto"/>
          </w:tcPr>
          <w:p>
            <w:pPr>
              <w:spacing w:line="240" w:lineRule="auto" w:before="0" w:after="0"/>
              <w:pStyle w:val="Compact"/>
            </w:pPr>
            <w:r>
              <w:rPr>
                <w:sz w:val="20"/>
                <w:szCs w:val="20"/>
              </w:rPr>
              <w:t xml:space="preserve">market_infrastructure_score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Orbital capacity V&amp;V</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Brownhall et al. 2025, AMOS</w:t>
            </w:r>
          </w:p>
        </w:tc>
      </w:tr>
      <w:tr>
        <w:tc>
          <w:tcPr>
            <w:tcW w:w="0" w:type="auto"/>
          </w:tcPr>
          <w:p>
            <w:pPr>
              <w:spacing w:line="240" w:lineRule="auto" w:before="0" w:after="0"/>
              <w:pStyle w:val="Compact"/>
            </w:pPr>
            <w:r>
              <w:rPr>
                <w:sz w:val="20"/>
                <w:szCs w:val="20"/>
              </w:rPr>
              <w:t xml:space="preserve">LEO broadband competition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Young and Thadani 2022, AMOS</w:t>
            </w:r>
          </w:p>
        </w:tc>
      </w:tr>
      <w:tr>
        <w:tc>
          <w:tcPr>
            <w:tcW w:w="0" w:type="auto"/>
          </w:tcPr>
          <w:p>
            <w:pPr>
              <w:spacing w:line="240" w:lineRule="auto" w:before="0" w:after="0"/>
              <w:pStyle w:val="Compact"/>
            </w:pPr>
            <w:r>
              <w:rPr>
                <w:sz w:val="20"/>
                <w:szCs w:val="20"/>
              </w:rPr>
              <w:t xml:space="preserve">Adaptive filtering cislunar</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Iannamorelli and LeGrand 2023, AMOS</w:t>
            </w:r>
          </w:p>
        </w:tc>
      </w:tr>
      <w:tr>
        <w:tc>
          <w:tcPr>
            <w:tcW w:w="0" w:type="auto"/>
          </w:tcPr>
          <w:p>
            <w:pPr>
              <w:spacing w:line="240" w:lineRule="auto" w:before="0" w:after="0"/>
              <w:pStyle w:val="Compact"/>
            </w:pPr>
            <w:r>
              <w:rPr>
                <w:sz w:val="20"/>
                <w:szCs w:val="20"/>
              </w:rPr>
              <w:t xml:space="preserve">Electrostatic adhesion</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Bryan et al. 2015, AMOS</w:t>
            </w:r>
          </w:p>
        </w:tc>
      </w:tr>
      <w:tr>
        <w:tc>
          <w:tcPr>
            <w:tcW w:w="0" w:type="auto"/>
          </w:tcPr>
          <w:p>
            <w:pPr>
              <w:spacing w:line="240" w:lineRule="auto" w:before="0" w:after="0"/>
              <w:pStyle w:val="Compact"/>
            </w:pPr>
            <w:r>
              <w:rPr>
                <w:sz w:val="20"/>
                <w:szCs w:val="20"/>
              </w:rPr>
              <w:t xml:space="preserve">Small orbital stereo camera</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Small Orbital Stereo Tracking Camera Technology Development 2015, AMOS</w:t>
            </w:r>
          </w:p>
        </w:tc>
      </w:tr>
      <w:tr>
        <w:tc>
          <w:tcPr>
            <w:tcW w:w="0" w:type="auto"/>
          </w:tcPr>
          <w:p>
            <w:pPr>
              <w:spacing w:line="240" w:lineRule="auto" w:before="0" w:after="0"/>
              <w:pStyle w:val="Compact"/>
            </w:pPr>
            <w:r>
              <w:rPr>
                <w:sz w:val="20"/>
                <w:szCs w:val="20"/>
              </w:rPr>
              <w:t xml:space="preserve">Human decision processes</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Picciano 2013, AMOS</w:t>
            </w:r>
          </w:p>
        </w:tc>
      </w:tr>
      <w:tr>
        <w:tc>
          <w:tcPr>
            <w:tcW w:w="0" w:type="auto"/>
          </w:tcPr>
          <w:p>
            <w:pPr>
              <w:spacing w:line="240" w:lineRule="auto" w:before="0" w:after="0"/>
              <w:pStyle w:val="Compact"/>
            </w:pPr>
            <w:r>
              <w:rPr>
                <w:sz w:val="20"/>
                <w:szCs w:val="20"/>
              </w:rPr>
              <w:t xml:space="preserve">Orbit residual RPO</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Cunio et al. 2022, AMOS</w:t>
            </w:r>
          </w:p>
        </w:tc>
      </w:tr>
      <w:tr>
        <w:tc>
          <w:tcPr>
            <w:tcW w:w="0" w:type="auto"/>
          </w:tcPr>
          <w:p>
            <w:pPr>
              <w:spacing w:line="240" w:lineRule="auto" w:before="0" w:after="0"/>
              <w:pStyle w:val="Compact"/>
            </w:pPr>
            <w:r>
              <w:rPr>
                <w:sz w:val="20"/>
                <w:szCs w:val="20"/>
              </w:rPr>
              <w:t xml:space="preserve">Laser institutional bottleneck</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Long and Chen 2025, Acta Astronautica</w:t>
            </w:r>
          </w:p>
        </w:tc>
      </w:tr>
      <w:tr>
        <w:tc>
          <w:tcPr>
            <w:tcW w:w="0" w:type="auto"/>
          </w:tcPr>
          <w:p>
            <w:pPr>
              <w:spacing w:line="240" w:lineRule="auto" w:before="0" w:after="0"/>
              <w:pStyle w:val="Compact"/>
            </w:pPr>
            <w:r>
              <w:rPr>
                <w:sz w:val="20"/>
                <w:szCs w:val="20"/>
              </w:rPr>
              <w:t xml:space="preserve">Space capacity management</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Colombo et al. 2025, Acta Astronautica</w:t>
            </w:r>
          </w:p>
        </w:tc>
      </w:tr>
      <w:tr>
        <w:tc>
          <w:tcPr>
            <w:tcW w:w="0" w:type="auto"/>
          </w:tcPr>
          <w:p>
            <w:pPr>
              <w:spacing w:line="240" w:lineRule="auto" w:before="0" w:after="0"/>
              <w:pStyle w:val="Compact"/>
            </w:pPr>
            <w:r>
              <w:rPr>
                <w:sz w:val="20"/>
                <w:szCs w:val="20"/>
              </w:rPr>
              <w:t xml:space="preserve">EO disruptions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Denis et al. 2017, Acta Astronautica</w:t>
            </w:r>
          </w:p>
        </w:tc>
      </w:tr>
      <w:tr>
        <w:tc>
          <w:tcPr>
            <w:tcW w:w="0" w:type="auto"/>
          </w:tcPr>
          <w:p>
            <w:pPr>
              <w:spacing w:line="240" w:lineRule="auto" w:before="0" w:after="0"/>
              <w:pStyle w:val="Compact"/>
            </w:pPr>
            <w:r>
              <w:rPr>
                <w:sz w:val="20"/>
                <w:szCs w:val="20"/>
              </w:rPr>
              <w:t xml:space="preserve">SpaceX frontier ethnography</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Szolucha 2024, Acta Astronautica</w:t>
            </w:r>
          </w:p>
        </w:tc>
      </w:tr>
    </w:tbl>
    <w:bookmarkEnd w:id="197"/>
    <w:bookmarkStart w:id="198"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regulatory_text_score</w:t>
            </w:r>
          </w:p>
        </w:tc>
        <w:tc>
          <w:tcPr>
            <w:tcW w:w="0" w:type="auto"/>
          </w:tcPr>
          <w:p>
            <w:pPr>
              <w:spacing w:line="240" w:lineRule="auto" w:before="0" w:after="0"/>
              <w:pStyle w:val="Compact"/>
            </w:pPr>
            <w:r>
              <w:rPr>
                <w:sz w:val="20"/>
                <w:szCs w:val="20"/>
              </w:rPr>
              <w:t xml:space="preserve">Count from zero to five of regulatory-text mechanisms: law, regulation, institutional mandate, policy coordination, traffic management, or governance bottleneck.</w:t>
            </w:r>
          </w:p>
        </w:tc>
        <w:tc>
          <w:tcPr>
            <w:tcW w:w="0" w:type="auto"/>
          </w:tcPr>
          <w:p>
            <w:pPr>
              <w:spacing w:line="240" w:lineRule="auto" w:before="0" w:after="0"/>
              <w:pStyle w:val="Compact"/>
            </w:pPr>
            <w:r>
              <w:rPr>
                <w:sz w:val="20"/>
                <w:szCs w:val="20"/>
              </w:rPr>
              <w:t xml:space="preserve">Manual coding from cited abstract or full text.</w:t>
            </w:r>
          </w:p>
        </w:tc>
      </w:tr>
      <w:tr>
        <w:tc>
          <w:tcPr>
            <w:tcW w:w="0" w:type="auto"/>
          </w:tcPr>
          <w:p>
            <w:pPr>
              <w:spacing w:line="240" w:lineRule="auto" w:before="0" w:after="0"/>
              <w:pStyle w:val="Compact"/>
            </w:pPr>
            <w:r>
              <w:rPr>
                <w:sz w:val="20"/>
                <w:szCs w:val="20"/>
              </w:rPr>
              <w:t xml:space="preserve">capacity_building_score</w:t>
            </w:r>
          </w:p>
        </w:tc>
        <w:tc>
          <w:tcPr>
            <w:tcW w:w="0" w:type="auto"/>
          </w:tcPr>
          <w:p>
            <w:pPr>
              <w:spacing w:line="240" w:lineRule="auto" w:before="0" w:after="0"/>
              <w:pStyle w:val="Compact"/>
            </w:pPr>
            <w:r>
              <w:rPr>
                <w:sz w:val="20"/>
                <w:szCs w:val="20"/>
              </w:rPr>
              <w:t xml:space="preserve">Count from zero to five of capacity-building mechanisms: training, tool validation, technical assistance, capability development, decision support, or management framework.</w:t>
            </w:r>
          </w:p>
        </w:tc>
        <w:tc>
          <w:tcPr>
            <w:tcW w:w="0" w:type="auto"/>
          </w:tcPr>
          <w:p>
            <w:pPr>
              <w:spacing w:line="240" w:lineRule="auto" w:before="0" w:after="0"/>
              <w:pStyle w:val="Compact"/>
            </w:pPr>
            <w:r>
              <w:rPr>
                <w:sz w:val="20"/>
                <w:szCs w:val="20"/>
              </w:rPr>
              <w:t xml:space="preserve">Manual coding from cited abstract or full text.</w:t>
            </w:r>
          </w:p>
        </w:tc>
      </w:tr>
      <w:tr>
        <w:tc>
          <w:tcPr>
            <w:tcW w:w="0" w:type="auto"/>
          </w:tcPr>
          <w:p>
            <w:pPr>
              <w:spacing w:line="240" w:lineRule="auto" w:before="0" w:after="0"/>
              <w:pStyle w:val="Compact"/>
            </w:pPr>
            <w:r>
              <w:rPr>
                <w:sz w:val="20"/>
                <w:szCs w:val="20"/>
              </w:rPr>
              <w:t xml:space="preserve">market_infrastructure_score</w:t>
            </w:r>
          </w:p>
        </w:tc>
        <w:tc>
          <w:tcPr>
            <w:tcW w:w="0" w:type="auto"/>
          </w:tcPr>
          <w:p>
            <w:pPr>
              <w:spacing w:line="240" w:lineRule="auto" w:before="0" w:after="0"/>
              <w:pStyle w:val="Compact"/>
            </w:pPr>
            <w:r>
              <w:rPr>
                <w:sz w:val="20"/>
                <w:szCs w:val="20"/>
              </w:rPr>
              <w:t xml:space="preserve">Count from zero to five of market or infrastructure mechanisms: broadband market, Earth-observation market, commercial services, customer base, launch or orbital infrastructure.</w:t>
            </w:r>
          </w:p>
        </w:tc>
        <w:tc>
          <w:tcPr>
            <w:tcW w:w="0" w:type="auto"/>
          </w:tcPr>
          <w:p>
            <w:pPr>
              <w:spacing w:line="240" w:lineRule="auto" w:before="0" w:after="0"/>
              <w:pStyle w:val="Compact"/>
            </w:pPr>
            <w:r>
              <w:rPr>
                <w:sz w:val="20"/>
                <w:szCs w:val="20"/>
              </w:rPr>
              <w:t xml:space="preserve">Manual coding from cited abstract or full text.</w:t>
            </w:r>
          </w:p>
        </w:tc>
      </w:tr>
      <w:tr>
        <w:tc>
          <w:tcPr>
            <w:tcW w:w="0" w:type="auto"/>
          </w:tcPr>
          <w:p>
            <w:pPr>
              <w:spacing w:line="240" w:lineRule="auto" w:before="0" w:after="0"/>
              <w:pStyle w:val="Compact"/>
            </w:pPr>
            <w:r>
              <w:rPr>
                <w:sz w:val="20"/>
                <w:szCs w:val="20"/>
              </w:rPr>
              <w:t xml:space="preserve">publication_year</w:t>
            </w:r>
          </w:p>
        </w:tc>
        <w:tc>
          <w:tcPr>
            <w:tcW w:w="0" w:type="auto"/>
          </w:tcPr>
          <w:p>
            <w:pPr>
              <w:spacing w:line="240" w:lineRule="auto" w:before="0" w:after="0"/>
              <w:pStyle w:val="Compact"/>
            </w:pPr>
            <w:r>
              <w:rPr>
                <w:sz w:val="20"/>
                <w:szCs w:val="20"/>
              </w:rPr>
              <w:t xml:space="preserve">Publication year of the cited source.</w:t>
            </w:r>
          </w:p>
        </w:tc>
        <w:tc>
          <w:tcPr>
            <w:tcW w:w="0" w:type="auto"/>
          </w:tcPr>
          <w:p>
            <w:pPr>
              <w:spacing w:line="240" w:lineRule="auto" w:before="0" w:after="0"/>
              <w:pStyle w:val="Compact"/>
            </w:pPr>
            <w:r>
              <w:rPr>
                <w:sz w:val="20"/>
                <w:szCs w:val="20"/>
              </w:rPr>
              <w:t xml:space="preserve">Read from AMOS or Acta metadata.</w:t>
            </w:r>
          </w:p>
        </w:tc>
      </w:tr>
    </w:tbl>
    <w:bookmarkEnd w:id="198"/>
    <w:bookmarkEnd w:id="199"/>
    <w:bookmarkStart w:id="207" w:name="X18d4a3dbe82965fbbe7fed3c3a24d201df91d12"/>
    <w:p>
      <w:pPr>
        <w:pStyle w:val="Heading2"/>
        <w:spacing w:line="480" w:lineRule="auto"/>
      </w:pPr>
      <w:r>
        <w:t xml:space="preserve">A.2 Earth-Observation Customer Scale Across Market Categories in Denis et al. Table 3</w:t>
      </w:r>
    </w:p>
    <w:p>
      <w:pPr>
        <w:pStyle w:val="FirstParagraph"/>
        <w:spacing w:line="480" w:lineRule="auto"/>
      </w:pPr>
      <m:oMathPara>
        <m:oMathParaPr>
          <m:jc m:val="center"/>
        </m:oMathParaPr>
        <m:oMath>
          <m:r>
            <m:rPr>
              <m:sty m:val="p"/>
            </m:rPr>
            <m:t>ln</m:t>
          </m:r>
          <m:r>
            <m:rPr>
              <m:sty m:val="p"/>
            </m:rPr>
            <m:t>(</m:t>
          </m:r>
          <m:r>
            <m:t>C</m:t>
          </m:r>
          <m:r>
            <m:t>u</m:t>
          </m:r>
          <m:r>
            <m:t>s</m:t>
          </m:r>
          <m:r>
            <m:t>t</m:t>
          </m:r>
          <m:r>
            <m:t>o</m:t>
          </m:r>
          <m:r>
            <m:t>m</m:t>
          </m:r>
          <m:r>
            <m:t>e</m:t>
          </m:r>
          <m:r>
            <m:t>r</m:t>
          </m:r>
          <m:r>
            <m:t>S</m:t>
          </m:r>
          <m:r>
            <m:t>c</m:t>
          </m:r>
          <m:r>
            <m:t>a</m:t>
          </m:r>
          <m:r>
            <m:t>l</m:t>
          </m:r>
          <m:r>
            <m:t>e</m:t>
          </m:r>
          <m:r>
            <m:t>C</m:t>
          </m:r>
          <m:r>
            <m:t>o</m:t>
          </m:r>
          <m:r>
            <m:t>d</m:t>
          </m:r>
          <m:sSub>
            <m:e>
              <m:r>
                <m:t>e</m:t>
              </m:r>
            </m:e>
            <m:sub>
              <m:r>
                <m:t>i</m:t>
              </m:r>
            </m:sub>
          </m:sSub>
          <m:r>
            <m:rPr>
              <m:sty m:val="p"/>
            </m:rPr>
            <m:t>)</m:t>
          </m:r>
          <m:r>
            <m:rPr>
              <m:sty m:val="p"/>
            </m:rPr>
            <m:t>=</m:t>
          </m:r>
          <m:r>
            <m:t>α</m:t>
          </m:r>
          <m:r>
            <m:rPr>
              <m:sty m:val="p"/>
            </m:rPr>
            <m:t>+</m:t>
          </m:r>
          <m:sSub>
            <m:e>
              <m:r>
                <m:t>β</m:t>
              </m:r>
            </m:e>
            <m:sub>
              <m:r>
                <m:t>1</m:t>
              </m:r>
            </m:sub>
          </m:sSub>
          <m:r>
            <m:rPr>
              <m:sty m:val="p"/>
            </m:rPr>
            <m:t>ln</m:t>
          </m:r>
          <m:r>
            <m:rPr>
              <m:sty m:val="p"/>
            </m:rPr>
            <m:t>(</m:t>
          </m:r>
          <m:r>
            <m:t>M</m:t>
          </m:r>
          <m:r>
            <m:t>a</m:t>
          </m:r>
          <m:r>
            <m:t>r</m:t>
          </m:r>
          <m:r>
            <m:t>k</m:t>
          </m:r>
          <m:r>
            <m:t>e</m:t>
          </m:r>
          <m:r>
            <m:t>t</m:t>
          </m:r>
          <m:r>
            <m:t>O</m:t>
          </m:r>
          <m:r>
            <m:t>r</m:t>
          </m:r>
          <m:r>
            <m:t>d</m:t>
          </m:r>
          <m:r>
            <m:t>e</m:t>
          </m:r>
          <m:sSub>
            <m:e>
              <m:r>
                <m:t>r</m:t>
              </m:r>
            </m:e>
            <m:sub>
              <m:r>
                <m:t>i</m:t>
              </m:r>
            </m:sub>
          </m:sSub>
          <m:r>
            <m:rPr>
              <m:sty m:val="p"/>
            </m:rPr>
            <m:t>)</m:t>
          </m:r>
          <m:r>
            <m:rPr>
              <m:sty m:val="p"/>
            </m:rPr>
            <m:t>+</m:t>
          </m:r>
          <m:sSub>
            <m:e>
              <m:r>
                <m:t>ε</m:t>
              </m:r>
            </m:e>
            <m:sub>
              <m:r>
                <m:t>i</m:t>
              </m:r>
            </m:sub>
          </m:sSub>
        </m:oMath>
      </m:oMathPara>
    </w:p>
    <w:bookmarkStart w:id="200"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0.5997</w:t>
            </w:r>
          </w:p>
        </w:tc>
        <w:tc>
          <w:tcPr>
            <w:tcW w:w="0" w:type="auto"/>
          </w:tcPr>
          <w:p>
            <w:pPr>
              <w:spacing w:line="240" w:lineRule="auto" w:before="0" w:after="0"/>
              <w:pStyle w:val="Compact"/>
            </w:pPr>
            <w:r>
              <w:rPr>
                <w:sz w:val="20"/>
                <w:szCs w:val="20"/>
              </w:rPr>
              <w:t xml:space="preserve">0.1324</w:t>
            </w:r>
          </w:p>
        </w:tc>
        <w:tc>
          <w:tcPr>
            <w:tcW w:w="0" w:type="auto"/>
          </w:tcPr>
          <w:p>
            <w:pPr>
              <w:spacing w:line="240" w:lineRule="auto" w:before="0" w:after="0"/>
              <w:pStyle w:val="Compact"/>
            </w:pPr>
            <w:r>
              <w:rPr>
                <w:sz w:val="20"/>
                <w:szCs w:val="20"/>
              </w:rPr>
              <w:t xml:space="preserve">4.5285</w:t>
            </w:r>
          </w:p>
        </w:tc>
        <w:tc>
          <w:tcPr>
            <w:tcW w:w="0" w:type="auto"/>
          </w:tcPr>
          <w:p>
            <w:pPr>
              <w:spacing w:line="240" w:lineRule="auto" w:before="0" w:after="0"/>
              <w:pStyle w:val="Compact"/>
            </w:pPr>
            <w:r>
              <w:rPr>
                <w:sz w:val="20"/>
                <w:szCs w:val="20"/>
              </w:rPr>
              <w:t xml:space="preserve">5.94e-06</w:t>
            </w:r>
          </w:p>
        </w:tc>
        <w:tc>
          <w:tcPr>
            <w:tcW w:w="0" w:type="auto"/>
          </w:tcPr>
          <w:p>
            <w:pPr>
              <w:spacing w:line="240" w:lineRule="auto" w:before="0" w:after="0"/>
              <w:pStyle w:val="Compact"/>
            </w:pPr>
            <w:r>
              <w:rPr>
                <w:sz w:val="20"/>
                <w:szCs w:val="20"/>
              </w:rPr>
              <w:t xml:space="preserve">[0.3401, 0.8593]</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0.6853</w:t>
            </w:r>
          </w:p>
        </w:tc>
        <w:tc>
          <w:tcPr>
            <w:tcW w:w="0" w:type="auto"/>
          </w:tcPr>
          <w:p>
            <w:pPr>
              <w:spacing w:line="240" w:lineRule="auto" w:before="0" w:after="0"/>
              <w:pStyle w:val="Compact"/>
            </w:pPr>
            <w:r>
              <w:rPr>
                <w:sz w:val="20"/>
                <w:szCs w:val="20"/>
              </w:rPr>
              <w:t xml:space="preserve">0.2335</w:t>
            </w:r>
          </w:p>
        </w:tc>
        <w:tc>
          <w:tcPr>
            <w:tcW w:w="0" w:type="auto"/>
          </w:tcPr>
          <w:p>
            <w:pPr>
              <w:spacing w:line="240" w:lineRule="auto" w:before="0" w:after="0"/>
              <w:pStyle w:val="Compact"/>
            </w:pPr>
            <w:r>
              <w:rPr>
                <w:sz w:val="20"/>
                <w:szCs w:val="20"/>
              </w:rPr>
              <w:t xml:space="preserve">2.9344</w:t>
            </w:r>
          </w:p>
        </w:tc>
        <w:tc>
          <w:tcPr>
            <w:tcW w:w="0" w:type="auto"/>
          </w:tcPr>
          <w:p>
            <w:pPr>
              <w:spacing w:line="240" w:lineRule="auto" w:before="0" w:after="0"/>
              <w:pStyle w:val="Compact"/>
            </w:pPr>
            <w:r>
              <w:rPr>
                <w:sz w:val="20"/>
                <w:szCs w:val="20"/>
              </w:rPr>
              <w:t xml:space="preserve">0.0033</w:t>
            </w:r>
          </w:p>
        </w:tc>
        <w:tc>
          <w:tcPr>
            <w:tcW w:w="0" w:type="auto"/>
          </w:tcPr>
          <w:p>
            <w:pPr>
              <w:spacing w:line="240" w:lineRule="auto" w:before="0" w:after="0"/>
              <w:pStyle w:val="Compact"/>
            </w:pPr>
            <w:r>
              <w:rPr>
                <w:sz w:val="20"/>
                <w:szCs w:val="20"/>
              </w:rPr>
              <w:t xml:space="preserve">[0.2276, 1.143]</w:t>
            </w:r>
          </w:p>
        </w:tc>
      </w:tr>
    </w:tbl>
    <w:p>
      <w:pPr>
        <w:pStyle w:val="BodyText"/>
        <w:spacing w:line="480" w:lineRule="auto"/>
        <w:ind w:firstLine="720"/>
      </w:pPr>
      <w:r>
        <w:t xml:space="preserve">Fit: N = 4 R2 = 0.7862 elasticity_b = 0.6853 progress_ratio_2^b = 1.608</w:t>
      </w:r>
    </w:p>
    <w:bookmarkEnd w:id="200"/>
    <w:bookmarkStart w:id="204"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Log-log customer-scale gradient across Denis et al. Table 3 market categories." title="" id="202" name="Picture"/>
            <a:graphic>
              <a:graphicData uri="http://schemas.openxmlformats.org/drawingml/2006/picture">
                <pic:pic>
                  <pic:nvPicPr>
                    <pic:cNvPr descr="D:/Claude_Code/brain/collegium/candidates/dissertations/INTL_GOVERNANCE_12/research_papers/p2/paper_fig1.png" id="203" name="Picture"/>
                    <pic:cNvPicPr>
                      <a:picLocks noChangeArrowheads="1" noChangeAspect="1"/>
                    </pic:cNvPicPr>
                  </pic:nvPicPr>
                  <pic:blipFill>
                    <a:blip r:embed="rId20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Log-log customer-scale gradient across Denis et al. Table 3 market categories.</w:t>
      </w:r>
    </w:p>
    <w:bookmarkEnd w:id="204"/>
    <w:bookmarkStart w:id="205"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customer_type</w:t>
            </w:r>
          </w:p>
        </w:tc>
        <w:tc>
          <w:tcPr>
            <w:tcW w:w="0" w:type="auto"/>
          </w:tcPr>
          <w:p>
            <w:pPr>
              <w:spacing w:line="240" w:lineRule="auto" w:before="0" w:after="0"/>
              <w:pStyle w:val="Compact"/>
            </w:pPr>
            <w:r>
              <w:rPr>
                <w:sz w:val="20"/>
                <w:szCs w:val="20"/>
              </w:rPr>
              <w:t xml:space="preserve">market_order</w:t>
            </w:r>
          </w:p>
        </w:tc>
        <w:tc>
          <w:tcPr>
            <w:tcW w:w="0" w:type="auto"/>
          </w:tcPr>
          <w:p>
            <w:pPr>
              <w:spacing w:line="240" w:lineRule="auto" w:before="0" w:after="0"/>
              <w:pStyle w:val="Compact"/>
            </w:pPr>
            <w:r>
              <w:rPr>
                <w:sz w:val="20"/>
                <w:szCs w:val="20"/>
              </w:rPr>
              <w:t xml:space="preserve">customer_scale_code</w:t>
            </w:r>
          </w:p>
        </w:tc>
        <w:tc>
          <w:tcPr>
            <w:tcW w:w="0" w:type="auto"/>
          </w:tcPr>
          <w:p>
            <w:pPr>
              <w:spacing w:line="240" w:lineRule="auto" w:before="0" w:after="0"/>
              <w:pStyle w:val="Compact"/>
            </w:pPr>
            <w:r>
              <w:rPr>
                <w:sz w:val="20"/>
                <w:szCs w:val="20"/>
              </w:rPr>
              <w:t xml:space="preserve">customer_scale_label</w:t>
            </w:r>
          </w:p>
        </w:tc>
        <w:tc>
          <w:tcPr>
            <w:tcW w:w="0" w:type="auto"/>
          </w:tcPr>
          <w:p>
            <w:pPr>
              <w:spacing w:line="240" w:lineRule="auto" w:before="0" w:after="0"/>
              <w:pStyle w:val="Compact"/>
            </w:pPr>
            <w:r>
              <w:rPr>
                <w:sz w:val="20"/>
                <w:szCs w:val="20"/>
              </w:rPr>
              <w:t xml:space="preserve">maturity_score</w:t>
            </w:r>
          </w:p>
        </w:tc>
        <w:tc>
          <w:tcPr>
            <w:tcW w:w="0" w:type="auto"/>
          </w:tcPr>
          <w:p>
            <w:pPr>
              <w:spacing w:line="240" w:lineRule="auto" w:before="0" w:after="0"/>
              <w:pStyle w:val="Compact"/>
            </w:pPr>
            <w:r>
              <w:rPr>
                <w:sz w:val="20"/>
                <w:szCs w:val="20"/>
              </w:rPr>
              <w:t xml:space="preserve">growth_potential_score</w:t>
            </w:r>
          </w:p>
        </w:tc>
        <w:tc>
          <w:tcPr>
            <w:tcW w:w="0" w:type="auto"/>
          </w:tcPr>
          <w:p>
            <w:pPr>
              <w:spacing w:line="240" w:lineRule="auto" w:before="0" w:after="0"/>
              <w:pStyle w:val="Compact"/>
            </w:pPr>
            <w:r>
              <w:rPr>
                <w:sz w:val="20"/>
                <w:szCs w:val="20"/>
              </w:rPr>
              <w:t xml:space="preserve">consumer_market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Defence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Denis et al. 2017 Table 3</w:t>
            </w:r>
          </w:p>
        </w:tc>
      </w:tr>
      <w:tr>
        <w:tc>
          <w:tcPr>
            <w:tcW w:w="0" w:type="auto"/>
          </w:tcPr>
          <w:p>
            <w:pPr>
              <w:spacing w:line="240" w:lineRule="auto" w:before="0" w:after="0"/>
              <w:pStyle w:val="Compact"/>
            </w:pPr>
            <w:r>
              <w:rPr>
                <w:sz w:val="20"/>
                <w:szCs w:val="20"/>
              </w:rPr>
              <w:t xml:space="preserve">Civil institutional</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100 to 1000s</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Denis et al. 2017 Table 3</w:t>
            </w:r>
          </w:p>
        </w:tc>
      </w:tr>
      <w:tr>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1000s</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Denis et al. 2017 Table 3</w:t>
            </w:r>
          </w:p>
        </w:tc>
      </w:tr>
      <w:tr>
        <w:tc>
          <w:tcPr>
            <w:tcW w:w="0" w:type="auto"/>
          </w:tcPr>
          <w:p>
            <w:pPr>
              <w:spacing w:line="240" w:lineRule="auto" w:before="0" w:after="0"/>
              <w:pStyle w:val="Compact"/>
            </w:pPr>
            <w:r>
              <w:rPr>
                <w:sz w:val="20"/>
                <w:szCs w:val="20"/>
              </w:rPr>
              <w:t xml:space="preserve">Consumer market</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Millions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Denis et al. 2017 Table 3</w:t>
            </w:r>
          </w:p>
        </w:tc>
      </w:tr>
    </w:tbl>
    <w:bookmarkEnd w:id="205"/>
    <w:bookmarkStart w:id="206"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customer_scale_code</w:t>
            </w:r>
          </w:p>
        </w:tc>
        <w:tc>
          <w:tcPr>
            <w:tcW w:w="0" w:type="auto"/>
          </w:tcPr>
          <w:p>
            <w:pPr>
              <w:spacing w:line="240" w:lineRule="auto" w:before="0" w:after="0"/>
              <w:pStyle w:val="Compact"/>
            </w:pPr>
            <w:r>
              <w:rPr>
                <w:sz w:val="20"/>
                <w:szCs w:val="20"/>
              </w:rPr>
              <w:t xml:space="preserve">Log-scale numeric translation of Table 3 customer labels.</w:t>
            </w:r>
          </w:p>
        </w:tc>
        <w:tc>
          <w:tcPr>
            <w:tcW w:w="0" w:type="auto"/>
          </w:tcPr>
          <w:p>
            <w:pPr>
              <w:spacing w:line="240" w:lineRule="auto" w:before="0" w:after="0"/>
              <w:pStyle w:val="Compact"/>
            </w:pPr>
            <w:r>
              <w:rPr>
                <w:sz w:val="20"/>
                <w:szCs w:val="20"/>
              </w:rPr>
              <w:t xml:space="preserve">100 maps to 2.0, 100 to 1000s maps to 2.7, 1000s maps to 3.0, and Millions maps to 6.0.</w:t>
            </w:r>
          </w:p>
        </w:tc>
      </w:tr>
      <w:tr>
        <w:tc>
          <w:tcPr>
            <w:tcW w:w="0" w:type="auto"/>
          </w:tcPr>
          <w:p>
            <w:pPr>
              <w:spacing w:line="240" w:lineRule="auto" w:before="0" w:after="0"/>
              <w:pStyle w:val="Compact"/>
            </w:pPr>
            <w:r>
              <w:rPr>
                <w:sz w:val="20"/>
                <w:szCs w:val="20"/>
              </w:rPr>
              <w:t xml:space="preserve">market_order</w:t>
            </w:r>
          </w:p>
        </w:tc>
        <w:tc>
          <w:tcPr>
            <w:tcW w:w="0" w:type="auto"/>
          </w:tcPr>
          <w:p>
            <w:pPr>
              <w:spacing w:line="240" w:lineRule="auto" w:before="0" w:after="0"/>
              <w:pStyle w:val="Compact"/>
            </w:pPr>
            <w:r>
              <w:rPr>
                <w:sz w:val="20"/>
                <w:szCs w:val="20"/>
              </w:rPr>
              <w:t xml:space="preserve">Order of Table 3 customer categories from defence to consumer market.</w:t>
            </w:r>
          </w:p>
        </w:tc>
        <w:tc>
          <w:tcPr>
            <w:tcW w:w="0" w:type="auto"/>
          </w:tcPr>
          <w:p>
            <w:pPr>
              <w:spacing w:line="240" w:lineRule="auto" w:before="0" w:after="0"/>
              <w:pStyle w:val="Compact"/>
            </w:pPr>
            <w:r>
              <w:rPr>
                <w:sz w:val="20"/>
                <w:szCs w:val="20"/>
              </w:rPr>
              <w:t xml:space="preserve">Read from Denis et al. 2017 Table 3.</w:t>
            </w:r>
          </w:p>
        </w:tc>
      </w:tr>
      <w:tr>
        <w:tc>
          <w:tcPr>
            <w:tcW w:w="0" w:type="auto"/>
          </w:tcPr>
          <w:p>
            <w:pPr>
              <w:spacing w:line="240" w:lineRule="auto" w:before="0" w:after="0"/>
              <w:pStyle w:val="Compact"/>
            </w:pPr>
            <w:r>
              <w:rPr>
                <w:sz w:val="20"/>
                <w:szCs w:val="20"/>
              </w:rPr>
              <w:t xml:space="preserve">maturity_score</w:t>
            </w:r>
          </w:p>
        </w:tc>
        <w:tc>
          <w:tcPr>
            <w:tcW w:w="0" w:type="auto"/>
          </w:tcPr>
          <w:p>
            <w:pPr>
              <w:spacing w:line="240" w:lineRule="auto" w:before="0" w:after="0"/>
              <w:pStyle w:val="Compact"/>
            </w:pPr>
            <w:r>
              <w:rPr>
                <w:sz w:val="20"/>
                <w:szCs w:val="20"/>
              </w:rPr>
              <w:t xml:space="preserve">Ordinal translation of Table 3 maturity labels.</w:t>
            </w:r>
          </w:p>
        </w:tc>
        <w:tc>
          <w:tcPr>
            <w:tcW w:w="0" w:type="auto"/>
          </w:tcPr>
          <w:p>
            <w:pPr>
              <w:spacing w:line="240" w:lineRule="auto" w:before="0" w:after="0"/>
              <w:pStyle w:val="Compact"/>
            </w:pPr>
            <w:r>
              <w:rPr>
                <w:sz w:val="20"/>
                <w:szCs w:val="20"/>
              </w:rPr>
              <w:t xml:space="preserve">High equals 3, Variable equals 2, Low equals 1.</w:t>
            </w:r>
          </w:p>
        </w:tc>
      </w:tr>
      <w:tr>
        <w:tc>
          <w:tcPr>
            <w:tcW w:w="0" w:type="auto"/>
          </w:tcPr>
          <w:p>
            <w:pPr>
              <w:spacing w:line="240" w:lineRule="auto" w:before="0" w:after="0"/>
              <w:pStyle w:val="Compact"/>
            </w:pPr>
            <w:r>
              <w:rPr>
                <w:sz w:val="20"/>
                <w:szCs w:val="20"/>
              </w:rPr>
              <w:t xml:space="preserve">growth_potential_score</w:t>
            </w:r>
          </w:p>
        </w:tc>
        <w:tc>
          <w:tcPr>
            <w:tcW w:w="0" w:type="auto"/>
          </w:tcPr>
          <w:p>
            <w:pPr>
              <w:spacing w:line="240" w:lineRule="auto" w:before="0" w:after="0"/>
              <w:pStyle w:val="Compact"/>
            </w:pPr>
            <w:r>
              <w:rPr>
                <w:sz w:val="20"/>
                <w:szCs w:val="20"/>
              </w:rPr>
              <w:t xml:space="preserve">Ordinal translation of Table 3 growth-potential labels.</w:t>
            </w:r>
          </w:p>
        </w:tc>
        <w:tc>
          <w:tcPr>
            <w:tcW w:w="0" w:type="auto"/>
          </w:tcPr>
          <w:p>
            <w:pPr>
              <w:spacing w:line="240" w:lineRule="auto" w:before="0" w:after="0"/>
              <w:pStyle w:val="Compact"/>
            </w:pPr>
            <w:r>
              <w:rPr>
                <w:sz w:val="20"/>
                <w:szCs w:val="20"/>
              </w:rPr>
              <w:t xml:space="preserve">High equals 3, Medium equals 2.</w:t>
            </w:r>
          </w:p>
        </w:tc>
      </w:tr>
      <w:tr>
        <w:tc>
          <w:tcPr>
            <w:tcW w:w="0" w:type="auto"/>
          </w:tcPr>
          <w:p>
            <w:pPr>
              <w:spacing w:line="240" w:lineRule="auto" w:before="0" w:after="0"/>
              <w:pStyle w:val="Compact"/>
            </w:pPr>
            <w:r>
              <w:rPr>
                <w:sz w:val="20"/>
                <w:szCs w:val="20"/>
              </w:rPr>
              <w:t xml:space="preserve">consumer_market</w:t>
            </w:r>
          </w:p>
        </w:tc>
        <w:tc>
          <w:tcPr>
            <w:tcW w:w="0" w:type="auto"/>
          </w:tcPr>
          <w:p>
            <w:pPr>
              <w:spacing w:line="240" w:lineRule="auto" w:before="0" w:after="0"/>
              <w:pStyle w:val="Compact"/>
            </w:pPr>
            <w:r>
              <w:rPr>
                <w:sz w:val="20"/>
                <w:szCs w:val="20"/>
              </w:rPr>
              <w:t xml:space="preserve">Indicator equal to one for the consumer-market row.</w:t>
            </w:r>
          </w:p>
        </w:tc>
        <w:tc>
          <w:tcPr>
            <w:tcW w:w="0" w:type="auto"/>
          </w:tcPr>
          <w:p>
            <w:pPr>
              <w:spacing w:line="240" w:lineRule="auto" w:before="0" w:after="0"/>
              <w:pStyle w:val="Compact"/>
            </w:pPr>
            <w:r>
              <w:rPr>
                <w:sz w:val="20"/>
                <w:szCs w:val="20"/>
              </w:rPr>
              <w:t xml:space="preserve">Constructed from Denis et al. 2017 Table 3.</w:t>
            </w:r>
          </w:p>
        </w:tc>
      </w:tr>
    </w:tbl>
    <w:bookmarkEnd w:id="206"/>
    <w:bookmarkEnd w:id="207"/>
    <w:bookmarkEnd w:id="20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3" Type="http://schemas.openxmlformats.org/officeDocument/2006/relationships/image" Target="media/rId193.png"/><Relationship Id="rId201" Type="http://schemas.openxmlformats.org/officeDocument/2006/relationships/image" Target="media/rId201.png"/><Relationship Id="rId157" Type="http://schemas.openxmlformats.org/officeDocument/2006/relationships/hyperlink" Target="https://doi.org/10.1016/j.actaastro.2017.04.034" TargetMode="External"/><Relationship Id="rId183" Type="http://schemas.openxmlformats.org/officeDocument/2006/relationships/hyperlink" Target="https://doi.org/10.1016/j.actaastro.2021.06.017" TargetMode="External"/><Relationship Id="rId159" Type="http://schemas.openxmlformats.org/officeDocument/2006/relationships/hyperlink" Target="https://doi.org/10.1016/j.actaastro.2024.06.001" TargetMode="External"/><Relationship Id="rId180" Type="http://schemas.openxmlformats.org/officeDocument/2006/relationships/hyperlink" Target="https://doi.org/10.1016/j.actaastro.2024.07.050" TargetMode="External"/><Relationship Id="rId185" Type="http://schemas.openxmlformats.org/officeDocument/2006/relationships/hyperlink" Target="https://doi.org/10.1016/j.actaastro.2024.12.017" TargetMode="External"/><Relationship Id="rId153" Type="http://schemas.openxmlformats.org/officeDocument/2006/relationships/hyperlink" Target="https://doi.org/10.1016/j.actaastro.2025.01.061" TargetMode="External"/><Relationship Id="rId155" Type="http://schemas.openxmlformats.org/officeDocument/2006/relationships/hyperlink" Target="https://doi.org/10.1016/j.actaastro.2025.01.069" TargetMode="External"/><Relationship Id="rId187" Type="http://schemas.openxmlformats.org/officeDocument/2006/relationships/hyperlink" Target="https://doi.org/10.1016/j.actaastro.2025.06.001" TargetMode="External"/><Relationship Id="rId162" Type="http://schemas.openxmlformats.org/officeDocument/2006/relationships/hyperlink" Target="https://doi.org/10.64861/BJQM5480" TargetMode="External"/><Relationship Id="rId150" Type="http://schemas.openxmlformats.org/officeDocument/2006/relationships/hyperlink" Target="https://doi.org/10.64861/UHIX1013" TargetMode="External"/></Relationships>
</file>

<file path=word/_rels/footnotes.xml.rels><?xml version='1.0' encoding='UTF-8' standalone='yes'?>
<Relationships xmlns="http://schemas.openxmlformats.org/package/2006/relationships"><Relationship Id="rId157" Type="http://schemas.openxmlformats.org/officeDocument/2006/relationships/hyperlink" Target="https://doi.org/10.1016/j.actaastro.2017.04.034" TargetMode="External"/><Relationship Id="rId183" Type="http://schemas.openxmlformats.org/officeDocument/2006/relationships/hyperlink" Target="https://doi.org/10.1016/j.actaastro.2021.06.017" TargetMode="External"/><Relationship Id="rId159" Type="http://schemas.openxmlformats.org/officeDocument/2006/relationships/hyperlink" Target="https://doi.org/10.1016/j.actaastro.2024.06.001" TargetMode="External"/><Relationship Id="rId180" Type="http://schemas.openxmlformats.org/officeDocument/2006/relationships/hyperlink" Target="https://doi.org/10.1016/j.actaastro.2024.07.050" TargetMode="External"/><Relationship Id="rId185" Type="http://schemas.openxmlformats.org/officeDocument/2006/relationships/hyperlink" Target="https://doi.org/10.1016/j.actaastro.2024.12.017" TargetMode="External"/><Relationship Id="rId153" Type="http://schemas.openxmlformats.org/officeDocument/2006/relationships/hyperlink" Target="https://doi.org/10.1016/j.actaastro.2025.01.061" TargetMode="External"/><Relationship Id="rId155" Type="http://schemas.openxmlformats.org/officeDocument/2006/relationships/hyperlink" Target="https://doi.org/10.1016/j.actaastro.2025.01.069" TargetMode="External"/><Relationship Id="rId187" Type="http://schemas.openxmlformats.org/officeDocument/2006/relationships/hyperlink" Target="https://doi.org/10.1016/j.actaastro.2025.06.001" TargetMode="External"/><Relationship Id="rId162" Type="http://schemas.openxmlformats.org/officeDocument/2006/relationships/hyperlink" Target="https://doi.org/10.64861/BJQM5480" TargetMode="External"/><Relationship Id="rId150" Type="http://schemas.openxmlformats.org/officeDocument/2006/relationships/hyperlink" Target="https://doi.org/10.64861/UHIX10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 Power as Capture Lever: Does Donor-State Space Capacity-Building Predict Re</dc:title>
  <dc:creator>Caspar Bauer (1B-IGV-152)</dc:creator>
  <cp:keywords/>
  <dcterms:created xsi:type="dcterms:W3CDTF">2026-07-04T11:36:48Z</dcterms:created>
  <dcterms:modified xsi:type="dcterms:W3CDTF">2026-07-04T11:36:48Z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