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REGISTRATION AS SOVEREIGNTY SIGNALING: DOES THE UNOOSA REGISTRATION GAP TRACK GE</w:t>
      </w:r>
    </w:p>
    <w:p>
      <w:pPr>
        <w:jc w:val="center"/>
      </w:pPr>
    </w:p>
    <w:p>
      <w:pPr>
        <w:jc w:val="center"/>
      </w:pPr>
      <w:r>
        <w:rPr>
          <w:rFonts w:ascii="Times New Roman" w:hAnsi="Times New Roman"/>
          <w:sz w:val="24"/>
        </w:rPr>
        <w:t>by</w:t>
      </w:r>
    </w:p>
    <w:p>
      <w:pPr>
        <w:jc w:val="center"/>
      </w:pPr>
      <w:r>
        <w:rPr>
          <w:rFonts w:ascii="Times New Roman" w:hAnsi="Times New Roman"/>
          <w:b/>
          <w:sz w:val="28"/>
        </w:rPr>
        <w:t>Sylvie Mensah</w:t>
      </w:r>
    </w:p>
    <w:p>
      <w:pPr>
        <w:jc w:val="center"/>
      </w:pPr>
      <w:r>
        <w:rPr>
          <w:rFonts w:ascii="Times New Roman" w:hAnsi="Times New Roman"/>
          <w:sz w:val="24"/>
        </w:rPr>
        <w:t>1B-IGV-151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A launched satellite exists twice. For the registry question, it exists physically, as mass in orbit, the moment its upper stage releases it into a trajectory. It exists legally at a later moment, often a much later moment, when a state files the paperwork that tells the United Nations the object is its responsibility. The distance between those two moments is the subject of this study. That distance is measured in days, sometimes in weeks, frequently in more than a year. The record is easy to treat the interval as clerical trace, the ordinary lag of any bureaucracy that must draft, sign, and transmit a document. This study argues something else. The interval behaves, in the space-object-level record, as though political relationships are pushing on it.</w:t>
      </w:r>
    </w:p>
    <w:p>
      <w:pPr>
        <w:pStyle w:val="BodyText"/>
        <w:spacing w:line="480" w:lineRule="auto"/>
        <w:ind w:firstLine="720"/>
      </w:pPr>
      <w:r>
        <w:t xml:space="preserve">The Convention on Registration of Objects Launched into Outer Space obliges launching states to furnish the Secretary-General with information about objects they launch, and it does so for reasons that were understood in 1975 and are sharper now</w:t>
      </w:r>
      <w:r>
        <w:t xml:space="preserve"> </w:t>
      </w:r>
      <w:hyperlink w:anchor="ref-10">
        <w:r>
          <w:rPr>
            <w:rStyle w:val="Hyperlink"/>
          </w:rPr>
          <w:t xml:space="preserve">[10]</w:t>
        </w:r>
      </w:hyperlink>
      <w:r>
        <w:t xml:space="preserve">. Registration is how the international governance system knows who is answerable for a piece of hardware moving at orbital velocity through a shared and finite volume.</w:t>
      </w:r>
    </w:p>
    <w:p>
      <w:pPr>
        <w:pStyle w:val="BodyText"/>
        <w:spacing w:line="480" w:lineRule="auto"/>
        <w:ind w:firstLine="720"/>
      </w:pPr>
      <w:r>
        <w:t xml:space="preserve">When an object maneuvers, fragments, or collides, the public registry is the thread that ties the debris back to a responsible party. For the registry question, general Assembly Resolution 62/101 tried to strengthen that thread by recommending better registration practice, precisely because the practice had grown uneven</w:t>
      </w:r>
      <w:r>
        <w:t xml:space="preserve"> </w:t>
      </w:r>
      <w:hyperlink w:anchor="ref-24">
        <w:r>
          <w:rPr>
            <w:rStyle w:val="Hyperlink"/>
          </w:rPr>
          <w:t xml:space="preserve">[24]</w:t>
        </w:r>
      </w:hyperlink>
      <w:r>
        <w:t xml:space="preserve">. The gap this study studies is the visible trace of that raggedness. The empirical question asks whether the trace is random with respect to geopolitics or aligned with it.</w:t>
      </w:r>
    </w:p>
    <w:bookmarkStart w:id="61" w:name="the-problem-and-why-it-matters-now"/>
    <w:p>
      <w:pPr>
        <w:pStyle w:val="Heading2"/>
        <w:spacing w:line="480" w:lineRule="auto"/>
      </w:pPr>
      <w:r>
        <w:t xml:space="preserve">The problem and why it matters now</w:t>
      </w:r>
    </w:p>
    <w:p>
      <w:pPr>
        <w:pStyle w:val="FirstParagraph"/>
        <w:spacing w:line="480" w:lineRule="auto"/>
      </w:pPr>
      <w:r>
        <w:t xml:space="preserve">Orbit is crowding, and the crowding is not a forecast but a measured condition of the present operating environment, with launch cadences that have climbed steeply enough to convert what was once an occasional coordination problem into a continuous one that every operator now shares. The scholarship on space-traffic-management no longer treats congestion as a distant scenario. For a skeptical reader, it treats it as the present operating environment, and it insists that timely, accurate object information is the precondition for everything later: conjunction assessment, collision avoidance, supervision of servicing missions, and any defensible rating of operator behavior</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composite sustainability indicators being designed for satellite operators assume that the underlying public registry data exists and can be trusted</w:t>
      </w:r>
      <w:r>
        <w:t xml:space="preserve"> </w:t>
      </w:r>
      <w:hyperlink w:anchor="ref-4">
        <w:r>
          <w:rPr>
            <w:rStyle w:val="Hyperlink"/>
          </w:rPr>
          <w:t xml:space="preserve">[4]</w:t>
        </w:r>
      </w:hyperlink>
      <w:r>
        <w:t xml:space="preserve">. The decision-support architectures proposed for continuing supervision of in-space servicing assume the same</w:t>
      </w:r>
      <w:r>
        <w:t xml:space="preserve"> </w:t>
      </w:r>
      <w:hyperlink w:anchor="ref-5">
        <w:r>
          <w:rPr>
            <w:rStyle w:val="Hyperlink"/>
          </w:rPr>
          <w:t xml:space="preserve">[5]</w:t>
        </w:r>
      </w:hyperlink>
      <w:r>
        <w:t xml:space="preserve">. When registration is slow, every one of those systems inherits the delay. A registry that lags reality by a year is a registry describing a sky that no longer exists.</w:t>
      </w:r>
    </w:p>
    <w:p>
      <w:pPr>
        <w:pStyle w:val="BodyText"/>
        <w:spacing w:line="480" w:lineRule="auto"/>
        <w:ind w:firstLine="720"/>
      </w:pPr>
      <w:r>
        <w:t xml:space="preserve">That is the operational stake. The record contains a second stake, quieter and more political. Registration is not a neutral act of filing. The record is a public assertion of jurisdiction and responsibility, and assertions of jurisdiction are diplomatic events. When a launch involves one state’s hardware, another state’s launch site, a third state’s operator, and a fourth state’s ground segment, the question of who registers, and how quickly, becomes entangled with which relationships are comfortable and which are not. For a skeptical reader, work on active debris removal has shown that the legal question of who is responsible for an object turns acute exactly when states contemplate touching each other’s hardware</w:t>
      </w:r>
      <w:r>
        <w:t xml:space="preserve"> </w:t>
      </w:r>
      <w:hyperlink w:anchor="ref-1">
        <w:r>
          <w:rPr>
            <w:rStyle w:val="Hyperlink"/>
          </w:rPr>
          <w:t xml:space="preserve">[1]</w:t>
        </w:r>
      </w:hyperlink>
      <w:r>
        <w:t xml:space="preserve">. Work on global space situational awareness has documented how many actors now watch the same orbits, which means the public registry is read by rivals as well as partners</w:t>
      </w:r>
      <w:r>
        <w:t xml:space="preserve"> </w:t>
      </w:r>
      <w:hyperlink w:anchor="ref-2">
        <w:r>
          <w:rPr>
            <w:rStyle w:val="Hyperlink"/>
          </w:rPr>
          <w:t xml:space="preserve">[2]</w:t>
        </w:r>
      </w:hyperlink>
      <w:r>
        <w:t xml:space="preserve">. In that environment the timing of a registry submission is legible. It can signal, it can delay, it can hedge.</w:t>
      </w:r>
    </w:p>
    <w:p>
      <w:pPr>
        <w:pStyle w:val="BodyText"/>
        <w:spacing w:line="480" w:lineRule="auto"/>
        <w:ind w:firstLine="720"/>
      </w:pPr>
      <w:r>
        <w:t xml:space="preserve">Consider the difference between two filings. For the registry question, a domestic launch, where the state accepting responsibility and the launch-site government are the same government, involves a single chain of command and a single set of incentives.</w:t>
      </w:r>
    </w:p>
    <w:p>
      <w:pPr>
        <w:pStyle w:val="BodyText"/>
        <w:spacing w:line="480" w:lineRule="auto"/>
        <w:ind w:firstLine="720"/>
      </w:pPr>
      <w:r>
        <w:t xml:space="preserve">A cross-national launch, where a smaller space power buys a ride on a larger power’s rocket, involves two governments whose relationship may be warm, cool, or strained. The paperwork that clarifies responsibility for the resulting object passes through that relationship. If the relationship is easy, the paperwork is easy. If the relationship carries friction, the object can sit in orbit, physically real and legally unclaimed, while the state accepting responsibility decides how much it wishes to say and when. This study asks whether that intuition leaves an observable trace.</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This study makes one contribution that can be proven wrong. It tests whether the space-object-level registry delay, the number of days between launch and formal registry filing, is independent of dyadic political alignment between the state accepting responsibility and the launch-site government, or whether it shortens as that alignment rises. The null hypothesis is bureaucratic. Timing of registry filing reflects capacity, mission type, and launch logistics, and dyadic political alignment adds nothing once those are accounted for. The alternative is political. Higher alignment, measured as agreement in United Nations General Assembly roll-call voting between the state accepting responsibility and the launch-site government, predicts faster registration and a shorter gap</w:t>
      </w:r>
      <w:r>
        <w:t xml:space="preserve"> </w:t>
      </w:r>
      <w:hyperlink w:anchor="ref-9">
        <w:r>
          <w:rPr>
            <w:rStyle w:val="Hyperlink"/>
          </w:rPr>
          <w:t xml:space="preserve">[9]</w:t>
        </w:r>
      </w:hyperlink>
      <w:r>
        <w:t xml:space="preserve">. The claim remains deliberately narrow. The record is not that any individual delayed filing was a strategic choice. The record is not that alignment is the largest driver of timing of registry filing. For a skeptical reader, the record is that the aggregate pattern, estimated across real named space objects drawn from open public records, is consistent with alignment mattering after the obvious bureaucratic stories are told. A single space-object-level test of that proposition does not exist in the published literature. Building it is the work of this study.</w:t>
      </w:r>
    </w:p>
    <w:p>
      <w:pPr>
        <w:pStyle w:val="BodyText"/>
        <w:spacing w:line="480" w:lineRule="auto"/>
        <w:ind w:firstLine="720"/>
      </w:pPr>
      <w:r>
        <w:t xml:space="preserve">Why does a narrow claim deserve a full dissertation? Because the narrowness is what makes it empirically testable, and testability is what the field lacks. For the registry question, the space-governance literature is rich in normative claim about why registration should be swift and complete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record is thin in measurement of whether the actual timing pattern carries a political pattern. A empirically testable space-object-level test converts an assumption into a finding, and a finding, unlike an assumption, can be attacked, replicated, extended, or overturned. That is the contribution: not a grand theory of space diplomacy, but one clean hook on which later evidence can hang.</w:t>
      </w:r>
    </w:p>
    <w:bookmarkEnd w:id="62"/>
    <w:bookmarkStart w:id="63" w:name="what-the-evidence-looks-like"/>
    <w:p>
      <w:pPr>
        <w:pStyle w:val="Heading2"/>
        <w:spacing w:line="480" w:lineRule="auto"/>
      </w:pPr>
      <w:r>
        <w:t xml:space="preserve">What the evidence looks like</w:t>
      </w:r>
    </w:p>
    <w:p>
      <w:pPr>
        <w:pStyle w:val="FirstParagraph"/>
        <w:spacing w:line="480" w:lineRule="auto"/>
      </w:pPr>
      <w:r>
        <w:t xml:space="preserve">The empirical spine is a bounded, auditable panel of named space objects assembled from the UNOOSA Online Index of Objects Launched into Outer Space, the associated registration submissions, and UN Digital Library voting records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For a skeptical reader, each object carries a launch date, a registration date, a state accepting responsibility, a launch-site government, an orbit class, a launch cohort size, and a hand-coded political-proximity score.</w:t>
      </w:r>
    </w:p>
    <w:p>
      <w:pPr>
        <w:pStyle w:val="BodyText"/>
        <w:spacing w:line="480" w:lineRule="auto"/>
        <w:ind w:firstLine="720"/>
      </w:pPr>
      <w:r>
        <w:t xml:space="preserve">Two estimators run on this panel. The first is an ordinary least squares model of registration-gap days on alignment and log cohort size. The second is a Cox event-history model that treats registration as a timed event after launch. The two estimators approach the same empirical question from opposite directions, one modeling the length of the gap and one modeling the rate at which the gap closes, and they corroborate rather than duplicate each other. For the registry question, the object panel is small and it is honest about being small. The record is a proof of method, not a census. The point of a bounded pilot is to show that the measurement route runs end to end on real records, that alignment can be joined to timing of registry filing without inventing a single value, and that the resulting coefficients point where the theory says they should. A later full extraction can add fixed effects, censored unregistered objects, and dyadic clustering. The pilot design establishes that the joint is real before the machinery is scaled. For a skeptical reader, every row preserves a source chain, which means a skeptical reader can challenge any single coded observation, swap a voting-agreement rule, or substitute a direct registry pull, and the architecture survives the challenge.</w:t>
      </w:r>
    </w:p>
    <w:bookmarkEnd w:id="63"/>
    <w:bookmarkStart w:id="64" w:name="roadmap"/>
    <w:p>
      <w:pPr>
        <w:pStyle w:val="Heading2"/>
        <w:spacing w:line="480" w:lineRule="auto"/>
      </w:pPr>
      <w:r>
        <w:t xml:space="preserve">Roadmap</w:t>
      </w:r>
    </w:p>
    <w:p>
      <w:pPr>
        <w:pStyle w:val="FirstParagraph"/>
        <w:spacing w:line="480" w:lineRule="auto"/>
      </w:pPr>
      <w:r>
        <w:t xml:space="preserve">The study proceeds in seven further chapters. Chapter 2 situates the study against two literatures that have not been joined: the space-law and traffic-management scholarship on why registration quality matters, and the empirical study of international signaling through voting behavior.</w:t>
      </w:r>
    </w:p>
    <w:p>
      <w:pPr>
        <w:pStyle w:val="BodyText"/>
        <w:spacing w:line="480" w:lineRule="auto"/>
        <w:ind w:firstLine="720"/>
      </w:pPr>
      <w:r>
        <w:t xml:space="preserve">Chapter 3 develops the theory, laying out the mechanism by which alignment could enter a submission decision and deriving the empirically testable predictions. Chapter 4 sets out the methodology and the identification logic, explaining why the ordinary least squares and Cox estimators recover the effect of interest and what each controls for. For the registry question, chapter 5 documents the data and measurement in detail: how each variable was constructed, what sources fed it, and how many observations survive. Chapter 6 reports the estimates exactly as the estimators produce them, with coefficients, standard errors, p-values, and sample sizes, and interprets the signs and magnitudes. Chapter 7 turns to discussion and limitations, taking seriously what a bounded sample of registered objects can and cannot show. Chapter 8 draws the conclusions, connects them to the governance instruments that depend on registry quality, and lays out the path from pilot to full study.</w:t>
      </w:r>
    </w:p>
    <w:p>
      <w:pPr>
        <w:pStyle w:val="BodyText"/>
        <w:spacing w:line="480" w:lineRule="auto"/>
        <w:ind w:firstLine="720"/>
      </w:pPr>
      <w:r>
        <w:t xml:space="preserve">One thread runs through all of it. For a skeptical reader, registration is a legal act with a political surface, and this study measures that surface. The measurement is modest in scale and immodest in ambition, because if the surface is real, then transparency in orbit has a clock, and the clock keeps political time.</w:t>
      </w:r>
    </w:p>
    <w:bookmarkEnd w:id="64"/>
    <w:bookmarkStart w:id="65" w:name="Xca19dfe202975f6ef6d47c09676ba8e21fa13dc"/>
    <w:p>
      <w:pPr>
        <w:pStyle w:val="Heading2"/>
        <w:spacing w:line="480" w:lineRule="auto"/>
      </w:pPr>
      <w:r>
        <w:t xml:space="preserve">The register as governance infrastructure</w:t>
      </w:r>
    </w:p>
    <w:p>
      <w:pPr>
        <w:pStyle w:val="FirstParagraph"/>
        <w:spacing w:line="480" w:lineRule="auto"/>
      </w:pPr>
      <w:r>
        <w:t xml:space="preserve">It helps to be concrete about what the public registry is and what depends on it. The United Nations Register of Objects Launched into Outer Space is the authoritative public legal statement of which state accepts responsibility for which object, and the UNOOSA Online Index is the searchable surface through which most users encounter that statement</w:t>
      </w:r>
      <w:r>
        <w:t xml:space="preserve"> </w:t>
      </w:r>
      <w:hyperlink w:anchor="ref-7">
        <w:r>
          <w:rPr>
            <w:rStyle w:val="Hyperlink"/>
          </w:rPr>
          <w:t xml:space="preserve">[7]</w:t>
        </w:r>
      </w:hyperlink>
      <w:r>
        <w:t xml:space="preserve"> </w:t>
      </w:r>
      <w:hyperlink w:anchor="ref-8">
        <w:r>
          <w:rPr>
            <w:rStyle w:val="Hyperlink"/>
          </w:rPr>
          <w:t xml:space="preserve">[8]</w:t>
        </w:r>
      </w:hyperlink>
      <w:r>
        <w:t xml:space="preserve">. When a spacecraft operator plans a maneuver near an unfamiliar object, when an analyst reconstructs the origin of a debris cloud, when a diplomat prepares a demarche about a hazardous close approach, the public registry is where the responsibility chain is supposed to begin. For the registry question, the record is infrastructure in the plain sense: a common governance resource whose quality shapes what everyone built on top of it can do.</w:t>
      </w:r>
    </w:p>
    <w:p>
      <w:pPr>
        <w:pStyle w:val="BodyText"/>
        <w:spacing w:line="480" w:lineRule="auto"/>
        <w:ind w:firstLine="720"/>
      </w:pPr>
      <w:r>
        <w:t xml:space="preserve">Infrastructure that lags is infrastructure that misleads. If an object has been in orbit for a year and the public registry still does not name its state accepting responsibility, then every later user who consults the public registry during that year receives an incomplete picture, and the incompleteness is not random. It concentrates in the objects that took longest to register, which this study argues are disproportionately the objects launched across uneasy political relationships. The public registry, in other words, may be least complete precisely where completeness matters most, and that possibility is what elevates a study of filing delay from bureaucratic curiosity to governance concern. For a skeptical reader, the instruments that the space-governance community has built in recent years sharpen the point. Composite sustainability ratings score operators on behavior that presumes a reliable record of who operates what</w:t>
      </w:r>
      <w:r>
        <w:t xml:space="preserve"> </w:t>
      </w:r>
      <w:hyperlink w:anchor="ref-4">
        <w:r>
          <w:rPr>
            <w:rStyle w:val="Hyperlink"/>
          </w:rPr>
          <w:t xml:space="preserve">[4]</w:t>
        </w:r>
      </w:hyperlink>
      <w:r>
        <w:t xml:space="preserve">. Decision-support systems for supervising in-space servicing presume that responsibility for a target object is legible before an approach begins</w:t>
      </w:r>
      <w:r>
        <w:t xml:space="preserve"> </w:t>
      </w:r>
      <w:hyperlink w:anchor="ref-5">
        <w:r>
          <w:rPr>
            <w:rStyle w:val="Hyperlink"/>
          </w:rPr>
          <w:t xml:space="preserve">[5]</w:t>
        </w:r>
      </w:hyperlink>
      <w:r>
        <w:t xml:space="preserve">. Collision-avoidance pipelines presume current, accurate object information as their raw input</w:t>
      </w:r>
      <w:r>
        <w:t xml:space="preserve"> </w:t>
      </w:r>
      <w:hyperlink w:anchor="ref-6">
        <w:r>
          <w:rPr>
            <w:rStyle w:val="Hyperlink"/>
          </w:rPr>
          <w:t xml:space="preserve">[6]</w:t>
        </w:r>
      </w:hyperlink>
      <w:r>
        <w:t xml:space="preserve">. None of these instruments can be better than the public registry they draw on, and if the public registry’s timing carries a political pattern, that signature propagates silently into every tool that trusts it. Measuring the signature is the first step toward accounting for it.</w:t>
      </w:r>
    </w:p>
    <w:bookmarkEnd w:id="65"/>
    <w:bookmarkStart w:id="66" w:name="positioning-the-argument"/>
    <w:p>
      <w:pPr>
        <w:pStyle w:val="Heading2"/>
        <w:spacing w:line="480" w:lineRule="auto"/>
      </w:pPr>
      <w:r>
        <w:t xml:space="preserve">Positioning the argument</w:t>
      </w:r>
    </w:p>
    <w:p>
      <w:pPr>
        <w:pStyle w:val="FirstParagraph"/>
        <w:spacing w:line="480" w:lineRule="auto"/>
      </w:pPr>
      <w:r>
        <w:t xml:space="preserve">This study is careful about what kind of argument it is making. The record is not a legal argument about what the Registration Convention requires; the obligation to register is settled treaty law, and the recommendations to improve practice are already on the record</w:t>
      </w:r>
      <w:r>
        <w:t xml:space="preserve"> </w:t>
      </w:r>
      <w:hyperlink w:anchor="ref-10">
        <w:r>
          <w:rPr>
            <w:rStyle w:val="Hyperlink"/>
          </w:rPr>
          <w:t xml:space="preserve">[10]</w:t>
        </w:r>
      </w:hyperlink>
      <w:r>
        <w:t xml:space="preserve"> </w:t>
      </w:r>
      <w:hyperlink w:anchor="ref-24">
        <w:r>
          <w:rPr>
            <w:rStyle w:val="Hyperlink"/>
          </w:rPr>
          <w:t xml:space="preserve">[24]</w:t>
        </w:r>
      </w:hyperlink>
      <w:r>
        <w:t xml:space="preserve">. The record is not a technical argument about orbital mechanics or catalog maintenance, though it borrows the traffic-management community’s insistence that object information is operationally load-bearing</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record is an empirical argument in the tradition that studies how political relationships shape the bureaucratic behavior of states, brought for the first time to the specific act of space-object registration. The novelty lies in the combination, not in any single ingredient. Political scientists have long measured alignment through voting behavior, and space lawyers have long catalogued registration practice, but no one has joined an space-object-level registration record to a dyadic political-proximity measure and asked whether the two move together</w:t>
      </w:r>
      <w:r>
        <w:t xml:space="preserve"> </w:t>
      </w:r>
      <w:hyperlink w:anchor="ref-9">
        <w:r>
          <w:rPr>
            <w:rStyle w:val="Hyperlink"/>
          </w:rPr>
          <w:t xml:space="preserve">[9]</w:t>
        </w:r>
      </w:hyperlink>
      <w:r>
        <w:t xml:space="preserve">. The join is the innovation, and the pilot design panel is the proof that the join is buildable from open public records without a single fabricated value. A reader who accepts nothing else should still accept that the measurement route exists, because every row in the object panel names the sources a skeptic would need to check it.</w:t>
      </w:r>
    </w:p>
    <w:p>
      <w:pPr>
        <w:pStyle w:val="BodyText"/>
        <w:spacing w:line="480" w:lineRule="auto"/>
        <w:ind w:firstLine="720"/>
      </w:pPr>
      <w:r>
        <w:t xml:space="preserve">What follows, then, is a demonstration and a claim. For the registry question, the demonstration is that timing of registry filing and dyadic political alignment can be measured together on real objects. The claim remains that, once measured, they are related in the direction a signaling account predicts. The remaining chapters make the demonstration rigorous and put the claim under pressure, so that whatever survives has earned its place.</w:t>
      </w:r>
    </w:p>
    <w:bookmarkEnd w:id="66"/>
    <w:bookmarkStart w:id="67" w:name="a-worked-intuition"/>
    <w:p>
      <w:pPr>
        <w:pStyle w:val="Heading2"/>
        <w:spacing w:line="480" w:lineRule="auto"/>
      </w:pPr>
      <w:r>
        <w:t xml:space="preserve">A worked intuition</w:t>
      </w:r>
    </w:p>
    <w:p>
      <w:pPr>
        <w:pStyle w:val="FirstParagraph"/>
        <w:spacing w:line="480" w:lineRule="auto"/>
      </w:pPr>
      <w:r>
        <w:t xml:space="preserve">Two real filings illustrate the intuition before any statistics arrive. An Earth-observation satellite launched by the United States from a United States range appears in the public registry within roughly five months of reaching orbit.</w:t>
      </w:r>
    </w:p>
    <w:p>
      <w:pPr>
        <w:pStyle w:val="BodyText"/>
        <w:spacing w:line="480" w:lineRule="auto"/>
        <w:ind w:firstLine="720"/>
      </w:pPr>
      <w:r>
        <w:t xml:space="preserve">For a skeptical reader, a constellation object launched by a Western European operator from a Russian range, during a period of sharp disagreement between the two governments, does not appear in the public registry until well over a year has passed. Both objects are ordinary satellites. Both responsible states run competent administrations. What differs is the relationship carrying the filing. In the first case there is no interstate relationship at all, because the state accepting responsibility and the launch-site government are the same government. In the second case the filing must travel through a relationship strained enough that the two states rarely vote together at the United Nations, and the space object remains in the legal queue. No single pair of objects proves anything, and the study does not rest on anecdote. But the contrast frames the question the object panel is built to answer at scale. Is the difference between five months and eighteen months explained entirely by capacity and mission logistics, in which case these two objects merely differ in ways the launch-site relationship happens to track? Or does the relationship itself carry part of the difference, so that the same state accepting responsibility would register faster from an aligned range and slower from a misaligned one? For a skeptical reader, the bureaucratic account and the signaling account make different predictions about that comparison, and the space-object-level panel is the instrument that adjudicates between them.</w:t>
      </w:r>
    </w:p>
    <w:bookmarkEnd w:id="67"/>
    <w:bookmarkStart w:id="68" w:name="scope-conditions"/>
    <w:p>
      <w:pPr>
        <w:pStyle w:val="Heading2"/>
        <w:spacing w:line="480" w:lineRule="auto"/>
      </w:pPr>
      <w:r>
        <w:t xml:space="preserve">Scope conditions</w:t>
      </w:r>
    </w:p>
    <w:p>
      <w:pPr>
        <w:pStyle w:val="FirstParagraph"/>
        <w:spacing w:line="480" w:lineRule="auto"/>
      </w:pPr>
      <w:r>
        <w:t xml:space="preserve">Precision about scope prevents the argument from being read as more than it is. The study studies the timing of registration, not the fact of it; the public registry does eventually name most objects, and the question is how long that takes. It studies a bounded panel of named space objects, not the full UNOOSA population, so its estimates describe the object panel and motivate a larger study rather than settling the population question. It uses roll-call agreement as a proxy for alignment, which captures general political proximity rather than space-specific cooperation, so its inferences run through that proxy and inherit its limits</w:t>
      </w:r>
      <w:r>
        <w:t xml:space="preserve"> </w:t>
      </w:r>
      <w:hyperlink w:anchor="ref-9">
        <w:r>
          <w:rPr>
            <w:rStyle w:val="Hyperlink"/>
          </w:rPr>
          <w:t xml:space="preserve">[9]</w:t>
        </w:r>
      </w:hyperlink>
      <w:r>
        <w:t xml:space="preserve">. For the registry question, and it reports associations, holding firmly that association is not intent and not causation, because a bounded observational panel cannot deliver either. Within those scope conditions the study is confident. Beyond them it defers to the future work its design is meant to enable. Stating the boundaries plainly at the outset is what lets the later chapters press hard on the evidence without the argument overreaching.</w:t>
      </w:r>
    </w:p>
    <w:bookmarkEnd w:id="68"/>
    <w:bookmarkStart w:id="69" w:name="the-value-of-a-falsifiable-pilot"/>
    <w:p>
      <w:pPr>
        <w:pStyle w:val="Heading2"/>
        <w:spacing w:line="480" w:lineRule="auto"/>
      </w:pPr>
      <w:r>
        <w:t xml:space="preserve">The value of a falsifiable pilot</w:t>
      </w:r>
    </w:p>
    <w:p>
      <w:pPr>
        <w:pStyle w:val="FirstParagraph"/>
        <w:spacing w:line="480" w:lineRule="auto"/>
      </w:pPr>
      <w:r>
        <w:t xml:space="preserve">The record contains a temptation, in a field rich with normative claim, to write another essay urging states to register quickly. For a skeptical reader, this study does not do that, because the field already holds many such essays and because exhortation is not evidence</w:t>
      </w:r>
      <w:r>
        <w:t xml:space="preserve"> </w:t>
      </w:r>
      <w:hyperlink w:anchor="ref-24">
        <w:r>
          <w:rPr>
            <w:rStyle w:val="Hyperlink"/>
          </w:rPr>
          <w:t xml:space="preserve">[24]</w:t>
        </w:r>
      </w:hyperlink>
      <w:r>
        <w:t xml:space="preserve">.</w:t>
      </w:r>
    </w:p>
    <w:p>
      <w:pPr>
        <w:pStyle w:val="BodyText"/>
        <w:spacing w:line="480" w:lineRule="auto"/>
        <w:ind w:firstLine="720"/>
      </w:pPr>
      <w:r>
        <w:t xml:space="preserve">The contribution here is to test a specific empirical proposition and to report what the test found, whichever way it fell. A pilot that returned a null would have been just as much a contribution as one that confirmed the theory, because it would have told the field that timing of registry filing is bureaucratic after all, at least within the range examined, and would have redirected effort accordingly. The willingness to accept either outcome is what separates a research design from an argument, and it is the posture this study adopts from the first page. The chapters that follow build the test carefully enough that its result, reported in Chapter 6, can be believed on its own terms rather than accepted because it flatters a prior conviction.</w:t>
      </w:r>
    </w:p>
    <w:bookmarkEnd w:id="69"/>
    <w:bookmarkEnd w:id="70"/>
    <w:bookmarkStart w:id="82" w:name="chapter-2.-literature-and-prior-work"/>
    <w:p>
      <w:pPr>
        <w:pStyle w:val="Heading1"/>
        <w:spacing w:line="480" w:lineRule="auto"/>
      </w:pPr>
      <w:r>
        <w:t xml:space="preserve">Chapter 2. Literature and Prior Work</w:t>
      </w:r>
    </w:p>
    <w:p>
      <w:pPr>
        <w:pStyle w:val="FirstParagraph"/>
        <w:spacing w:line="480" w:lineRule="auto"/>
      </w:pPr>
      <w:r>
        <w:t xml:space="preserve">This study lives in the seam between two bodies of scholarship that rarely speak to each other. For the registry question, one is the legal and technical literature on space-object registration and space-traffic-management, which knows a great deal about why registry quality matters and almost nothing about whether timing of registry filing carries a political pattern. The other is the empirical study of how states signal alignment through their votes and their institutional behavior, which knows a great deal about measuring political proximity and almost nothing about space registries. The contribution of the chapter is to show precisely where the seam runs, so the reader can see that the joint proposed here is genuinely unbuilt.</w:t>
      </w:r>
    </w:p>
    <w:bookmarkStart w:id="71" w:name="Xf317ab01560c5c6e832c9cca9e57775532195fe"/>
    <w:p>
      <w:pPr>
        <w:pStyle w:val="Heading2"/>
        <w:spacing w:line="480" w:lineRule="auto"/>
      </w:pPr>
      <w:r>
        <w:t xml:space="preserve">Registration as a legal and operational object</w:t>
      </w:r>
    </w:p>
    <w:p>
      <w:pPr>
        <w:pStyle w:val="FirstParagraph"/>
        <w:spacing w:line="480" w:lineRule="auto"/>
      </w:pPr>
      <w:r>
        <w:t xml:space="preserve">Registration begins as treaty law. The Convention on Registration of Objects Launched into Outer Space requires that launching states provide the Secretary-General with identifying information about the objects they place in orbit, and the earliest cooperative resolutions on the peaceful uses of outer space already anticipated a shared public record of space activity</w:t>
      </w:r>
      <w:r>
        <w:t xml:space="preserve"> </w:t>
      </w:r>
      <w:hyperlink w:anchor="ref-10">
        <w:r>
          <w:rPr>
            <w:rStyle w:val="Hyperlink"/>
          </w:rPr>
          <w:t xml:space="preserve">[10]</w:t>
        </w:r>
      </w:hyperlink>
      <w:r>
        <w:t xml:space="preserve"> </w:t>
      </w:r>
      <w:hyperlink w:anchor="ref-23">
        <w:r>
          <w:rPr>
            <w:rStyle w:val="Hyperlink"/>
          </w:rPr>
          <w:t xml:space="preserve">[23]</w:t>
        </w:r>
      </w:hyperlink>
      <w:r>
        <w:t xml:space="preserve">. These instruments were not written for a crowded sky. They were written to establish a norm: that objects in orbit have owners, and that those owners are known. The norm held loosely for decades because the launch cadence was low and the political stakes of any single object were modest. The cadence is no longer low. General Assembly Resolution 62/101 responded to the deterioration of registration practice by recommending concrete enhancements to how states and intergovernmental organizations register objects, an admission that the baseline treaty obligation was being met unevenly and often late</w:t>
      </w:r>
      <w:r>
        <w:t xml:space="preserve"> </w:t>
      </w:r>
      <w:hyperlink w:anchor="ref-24">
        <w:r>
          <w:rPr>
            <w:rStyle w:val="Hyperlink"/>
          </w:rPr>
          <w:t xml:space="preserve">[24]</w:t>
        </w:r>
      </w:hyperlink>
      <w:r>
        <w:t xml:space="preserve">. For the registry question, the recommendation matters for this study because it treats timing of registry filing and completeness as variables that states can improve or neglect, rather than as fixed outputs of a mechanical process. If timing were purely mechanical, there would be nothing to recommend.</w:t>
      </w:r>
    </w:p>
    <w:p>
      <w:pPr>
        <w:pStyle w:val="BodyText"/>
        <w:spacing w:line="480" w:lineRule="auto"/>
        <w:ind w:firstLine="720"/>
      </w:pPr>
      <w:r>
        <w:t xml:space="preserve">The traffic-management literature supplies the operational reason the timing is not merely a legal nicety. Masson-Zwaan and colleagues argue directly that registration practices must improve in the context of space-traffic-management, connecting the quality of public registry data to the feasibility of coordinating an increasingly congested orbital environment</w:t>
      </w:r>
      <w:r>
        <w:t xml:space="preserve"> </w:t>
      </w:r>
      <w:hyperlink w:anchor="ref-3">
        <w:r>
          <w:rPr>
            <w:rStyle w:val="Hyperlink"/>
          </w:rPr>
          <w:t xml:space="preserve">[3]</w:t>
        </w:r>
      </w:hyperlink>
      <w:r>
        <w:t xml:space="preserve">.</w:t>
      </w:r>
    </w:p>
    <w:p>
      <w:pPr>
        <w:pStyle w:val="BodyText"/>
        <w:spacing w:line="480" w:lineRule="auto"/>
        <w:ind w:firstLine="720"/>
      </w:pPr>
      <w:r>
        <w:t xml:space="preserve">Their argument is that the public registry is an input, not an archive. For a skeptical reader, collision avoidance work by Sorge and colleagues makes the same point from the other end of the pipeline, treating accurate and current object information as the precondition for computing conjunctions and executing avoidance maneuvers</w:t>
      </w:r>
      <w:r>
        <w:t xml:space="preserve"> </w:t>
      </w:r>
      <w:hyperlink w:anchor="ref-6">
        <w:r>
          <w:rPr>
            <w:rStyle w:val="Hyperlink"/>
          </w:rPr>
          <w:t xml:space="preserve">[6]</w:t>
        </w:r>
      </w:hyperlink>
      <w:r>
        <w:t xml:space="preserve">. A late registration is not a harmless delay in these frameworks. The record is a hole in the information environment that other operators must work around.</w:t>
      </w:r>
    </w:p>
    <w:p>
      <w:pPr>
        <w:pStyle w:val="BodyText"/>
        <w:spacing w:line="480" w:lineRule="auto"/>
        <w:ind w:firstLine="720"/>
      </w:pPr>
      <w:r>
        <w:t xml:space="preserve">Two adjacent literatures widen the stakes. The sustainability-rating work of Rathnasabapathy and colleagues designs a composite indicator meant to reward operators who behave well over the long run, and any such indicator depends on trustworthy underlying records of who owns and operates what</w:t>
      </w:r>
      <w:r>
        <w:t xml:space="preserve"> </w:t>
      </w:r>
      <w:hyperlink w:anchor="ref-4">
        <w:r>
          <w:rPr>
            <w:rStyle w:val="Hyperlink"/>
          </w:rPr>
          <w:t xml:space="preserve">[4]</w:t>
        </w:r>
      </w:hyperlink>
      <w:r>
        <w:t xml:space="preserve">.</w:t>
      </w:r>
    </w:p>
    <w:p>
      <w:pPr>
        <w:pStyle w:val="BodyText"/>
        <w:spacing w:line="480" w:lineRule="auto"/>
        <w:ind w:firstLine="720"/>
      </w:pPr>
      <w:r>
        <w:t xml:space="preserve">For the registry question, the supervision architecture proposed by Smith, Jah, and Wood for continuing oversight of commercial in-space servicing similarly assumes that responsibility for each object is legible before a servicing vehicle approaches it</w:t>
      </w:r>
      <w:r>
        <w:t xml:space="preserve"> </w:t>
      </w:r>
      <w:hyperlink w:anchor="ref-5">
        <w:r>
          <w:rPr>
            <w:rStyle w:val="Hyperlink"/>
          </w:rPr>
          <w:t xml:space="preserve">[5]</w:t>
        </w:r>
      </w:hyperlink>
      <w:r>
        <w:t xml:space="preserve">. Across all four of these works the public registry is load-bearing. None of them, however, asks whether the timing of registration itself varies with anything political. They assume the public registry as a resource and ask how to use it better. This study asks a prior question: what shapes the resource’s timing in the first place.</w:t>
      </w:r>
    </w:p>
    <w:bookmarkEnd w:id="71"/>
    <w:bookmarkStart w:id="72" w:name="X8ef680eb67ee2bb9d362ce1470ce0469b2d715f"/>
    <w:p>
      <w:pPr>
        <w:pStyle w:val="Heading2"/>
        <w:spacing w:line="480" w:lineRule="auto"/>
      </w:pPr>
      <w:r>
        <w:t xml:space="preserve">Sovereignty, responsibility, and the politics of attribution</w:t>
      </w:r>
    </w:p>
    <w:p>
      <w:pPr>
        <w:pStyle w:val="FirstParagraph"/>
        <w:spacing w:line="480" w:lineRule="auto"/>
      </w:pPr>
      <w:r>
        <w:t xml:space="preserve">Registration is not only informational. The record is jurisdictional. That distinction carries weight. A registry entry is the public act by which a state accepts that a given object is its responsibility under international law, and that acceptance has consequences that reach beyond the database. Steele’s analysis of active debris removal makes the stakes concrete: the legal question of who is responsible for an object becomes decisive the moment another actor proposes to remove or service it, because responsibility governs liability, consent, and the right to act</w:t>
      </w:r>
      <w:r>
        <w:t xml:space="preserve"> </w:t>
      </w:r>
      <w:hyperlink w:anchor="ref-1">
        <w:r>
          <w:rPr>
            <w:rStyle w:val="Hyperlink"/>
          </w:rPr>
          <w:t xml:space="preserve">[1]</w:t>
        </w:r>
      </w:hyperlink>
      <w:r>
        <w:t xml:space="preserve">. When responsibility is unclear or unclaimed, the object becomes harder to touch, harder to hold anyone accountable for, and harder to fold into any cooperative scheme. The strategic context sharpens further when the public registry is read adversarially. Young’s survey of trends in global space situational awareness documents an environment in which many states and commercial actors now track the same orbital population, which means the public register is not a private ledger but a broadcast</w:t>
      </w:r>
      <w:r>
        <w:t xml:space="preserve"> </w:t>
      </w:r>
      <w:hyperlink w:anchor="ref-2">
        <w:r>
          <w:rPr>
            <w:rStyle w:val="Hyperlink"/>
          </w:rPr>
          <w:t xml:space="preserve">[2]</w:t>
        </w:r>
      </w:hyperlink>
      <w:r>
        <w:t xml:space="preserve">.</w:t>
      </w:r>
    </w:p>
    <w:p>
      <w:pPr>
        <w:pStyle w:val="BodyText"/>
        <w:spacing w:line="480" w:lineRule="auto"/>
        <w:ind w:firstLine="720"/>
      </w:pPr>
      <w:r>
        <w:t xml:space="preserve">What a state chooses to declare, and when, is visible to partners and rivals alike. The counterspace literature reinforces the point that space is a domain of strategic competition, where the willingness to reveal capabilities and responsibilities is itself a decision with signaling content</w:t>
      </w:r>
      <w:r>
        <w:t xml:space="preserve"> </w:t>
      </w:r>
      <w:hyperlink w:anchor="ref-12">
        <w:r>
          <w:rPr>
            <w:rStyle w:val="Hyperlink"/>
          </w:rPr>
          <w:t xml:space="preserve">[12]</w:t>
        </w:r>
      </w:hyperlink>
      <w:r>
        <w:t xml:space="preserve">. For a skeptical reader, moltz’s account of space security as a field structured by strategic restraint and national interest supplies the theoretical frame: states manage what they reveal about their space activity because revelation carries strategic weight</w:t>
      </w:r>
      <w:r>
        <w:t xml:space="preserve"> </w:t>
      </w:r>
      <w:hyperlink w:anchor="ref-15">
        <w:r>
          <w:rPr>
            <w:rStyle w:val="Hyperlink"/>
          </w:rPr>
          <w:t xml:space="preserve">[15]</w:t>
        </w:r>
      </w:hyperlink>
      <w:r>
        <w:t xml:space="preserve">. This is where sovereignty signaling enters as a mechanism rather than a slogan. If a state accepting responsibility and its launch-site government are politically aligned, the act of declaring responsibility runs through a comfortable relationship, and there is little reason to hesitate over the timing of a filing. If the two states are misaligned, the same declaration passes through a relationship with friction, and the state accepting responsibility may have reason to manage the timing more carefully, whether to avoid diplomatic complication, to preserve ambiguity, or simply because coordination across an uneasy partnership is slower. The prediction is directional. Higher alignment should shorten the interval between launch and registration.</w:t>
      </w:r>
    </w:p>
    <w:bookmarkEnd w:id="72"/>
    <w:bookmarkStart w:id="73" w:name="the-measurement-of-alignment"/>
    <w:p>
      <w:pPr>
        <w:pStyle w:val="Heading2"/>
        <w:spacing w:line="480" w:lineRule="auto"/>
      </w:pPr>
      <w:r>
        <w:t xml:space="preserve">The measurement of alignment</w:t>
      </w:r>
    </w:p>
    <w:p>
      <w:pPr>
        <w:pStyle w:val="FirstParagraph"/>
        <w:spacing w:line="480" w:lineRule="auto"/>
      </w:pPr>
      <w:r>
        <w:t xml:space="preserve">To test that prediction one needs a measure of political proximity that is available for arbitrary pairs of states, comparable over time, and grounded in observable behavior rather than assertion. The empirical study of international relations has long treated agreement in United Nations General Assembly voting as exactly such a measure, and the UN Digital Library exposes the roll-call records from which such agreement can be constructed</w:t>
      </w:r>
      <w:r>
        <w:t xml:space="preserve"> </w:t>
      </w:r>
      <w:hyperlink w:anchor="ref-9">
        <w:r>
          <w:rPr>
            <w:rStyle w:val="Hyperlink"/>
          </w:rPr>
          <w:t xml:space="preserve">[9]</w:t>
        </w:r>
      </w:hyperlink>
      <w:r>
        <w:t xml:space="preserve">. Voting agreement is not a complete measure of alliance or intent, and no serious user claims that it is. The record is an observable proxy that captures whether two states tend to take the same side on contested questions, which is a reasonable stand-in for the diplomatic comfort that this study’s mechanism requires.</w:t>
      </w:r>
    </w:p>
    <w:p>
      <w:pPr>
        <w:pStyle w:val="BodyText"/>
        <w:spacing w:line="480" w:lineRule="auto"/>
        <w:ind w:firstLine="720"/>
      </w:pPr>
      <w:r>
        <w:t xml:space="preserve">For a skeptical reader, broader theories of why aligned states cooperate more readily give the proxy its interpretive weight. Keohane and Nye’s account of complex interdependence describes how dense institutional ties lower the friction of cooperation between states, so that aligned partners transact more easily across many issue areas</w:t>
      </w:r>
      <w:r>
        <w:t xml:space="preserve"> </w:t>
      </w:r>
      <w:hyperlink w:anchor="ref-16">
        <w:r>
          <w:rPr>
            <w:rStyle w:val="Hyperlink"/>
          </w:rPr>
          <w:t xml:space="preserve">[16]</w:t>
        </w:r>
      </w:hyperlink>
      <w:r>
        <w:t xml:space="preserve">. Gartzke’s work on the capitalist peace links shared interests and economic integration to reduced conflict and smoother coordination</w:t>
      </w:r>
      <w:r>
        <w:t xml:space="preserve"> </w:t>
      </w:r>
      <w:hyperlink w:anchor="ref-17">
        <w:r>
          <w:rPr>
            <w:rStyle w:val="Hyperlink"/>
          </w:rPr>
          <w:t xml:space="preserve">[17]</w:t>
        </w:r>
      </w:hyperlink>
      <w:r>
        <w:t xml:space="preserve">. Neither of these theories is about space, and neither is about registration. Together they establish the general expectation this study carries into a specific institutional setting: that political proximity eases the bureaucratic acts through which states cooperate.</w:t>
      </w:r>
    </w:p>
    <w:bookmarkEnd w:id="73"/>
    <w:bookmarkStart w:id="74" w:name="the-unbuilt-joint"/>
    <w:p>
      <w:pPr>
        <w:pStyle w:val="Heading2"/>
        <w:spacing w:line="480" w:lineRule="auto"/>
      </w:pPr>
      <w:r>
        <w:t xml:space="preserve">The unbuilt joint</w:t>
      </w:r>
    </w:p>
    <w:p>
      <w:pPr>
        <w:pStyle w:val="FirstParagraph"/>
        <w:spacing w:line="480" w:lineRule="auto"/>
      </w:pPr>
      <w:r>
        <w:t xml:space="preserve">Here is the precise gap. The registration and traffic-management scholarship establishes that registry timing matters operationally but does not test what drives it politically</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sustainability and supervision scholarship depends on registry quality but takes it as given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signaling and interdependence literatures explain why aligned states coordinate more easily but say nothing about space registries</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The measurement infrastructure for alignment exists in the UN voting record, and the measurement infrastructure for timing of registry filing exists in the UNOOSA index and its underlying submissions</w:t>
      </w:r>
      <w:r>
        <w:t xml:space="preserve"> </w:t>
      </w:r>
      <w:hyperlink w:anchor="ref-7">
        <w:r>
          <w:rPr>
            <w:rStyle w:val="Hyperlink"/>
          </w:rPr>
          <w:t xml:space="preserve">[7]</w:t>
        </w:r>
      </w:hyperlink>
      <w:r>
        <w:t xml:space="preserve"> </w:t>
      </w:r>
      <w:hyperlink w:anchor="ref-8">
        <w:r>
          <w:rPr>
            <w:rStyle w:val="Hyperlink"/>
          </w:rPr>
          <w:t xml:space="preserve">[8]</w:t>
        </w:r>
      </w:hyperlink>
      <w:r>
        <w:t xml:space="preserve">. For a skeptical reader, what does not exist is an space-object-level study that joins them and asks whether the registry delay tracks alignment. That study is the whole of this study, and the following chapters build it, one component at a time, beginning with the theory that specifies exactly what the join should reveal if the mechanism is real.</w:t>
      </w:r>
    </w:p>
    <w:bookmarkEnd w:id="74"/>
    <w:bookmarkStart w:id="75" w:name="Xb5f4c3d76735baa17221d96269e2571d16ff08d"/>
    <w:p>
      <w:pPr>
        <w:pStyle w:val="Heading2"/>
        <w:spacing w:line="480" w:lineRule="auto"/>
      </w:pPr>
      <w:r>
        <w:t xml:space="preserve">The normative turn in registration scholarship</w:t>
      </w:r>
    </w:p>
    <w:p>
      <w:pPr>
        <w:pStyle w:val="FirstParagraph"/>
        <w:spacing w:line="480" w:lineRule="auto"/>
      </w:pPr>
      <w:r>
        <w:t xml:space="preserve">The record is worth dwelling on how the registration literature has evolved, because the evolution explains why the timing question is now askable. The early scholarship, contemporary with the Registration Convention and the foundational cooperation resolutions, was primarily doctrinal</w:t>
      </w:r>
      <w:r>
        <w:t xml:space="preserve"> </w:t>
      </w:r>
      <w:hyperlink w:anchor="ref-10">
        <w:r>
          <w:rPr>
            <w:rStyle w:val="Hyperlink"/>
          </w:rPr>
          <w:t xml:space="preserve">[10]</w:t>
        </w:r>
      </w:hyperlink>
      <w:r>
        <w:t xml:space="preserve"> </w:t>
      </w:r>
      <w:hyperlink w:anchor="ref-23">
        <w:r>
          <w:rPr>
            <w:rStyle w:val="Hyperlink"/>
          </w:rPr>
          <w:t xml:space="preserve">[23]</w:t>
        </w:r>
      </w:hyperlink>
      <w:r>
        <w:t xml:space="preserve">. It asked what the treaty required, how the obligation to furnish information should be interpreted, and how the emerging register related to the liability regime. For the registry question, timing was not a variable in that work because the launch cadence was low enough that delay was a rare irritant rather than a systemic feature.</w:t>
      </w:r>
    </w:p>
    <w:p>
      <w:pPr>
        <w:pStyle w:val="BodyText"/>
        <w:spacing w:line="480" w:lineRule="auto"/>
        <w:ind w:firstLine="720"/>
      </w:pPr>
      <w:r>
        <w:t xml:space="preserve">The contemporary literature is different in temper. The record is normative and reformist, animated by the recognition that registration practice has degraded relative to the demands of a crowded environment. Masson-Zwaan and colleagues do not merely describe the public registry; they argue for improving it, treating the gap between the treaty ideal and observed practice as a problem to be solved</w:t>
      </w:r>
      <w:r>
        <w:t xml:space="preserve"> </w:t>
      </w:r>
      <w:hyperlink w:anchor="ref-3">
        <w:r>
          <w:rPr>
            <w:rStyle w:val="Hyperlink"/>
          </w:rPr>
          <w:t xml:space="preserve">[3]</w:t>
        </w:r>
      </w:hyperlink>
      <w:r>
        <w:t xml:space="preserve">. Resolution 62/101 is itself a reformist document, recommending enhancements to state practice, which presupposes that practice is variable and improvable</w:t>
      </w:r>
      <w:r>
        <w:t xml:space="preserve"> </w:t>
      </w:r>
      <w:hyperlink w:anchor="ref-24">
        <w:r>
          <w:rPr>
            <w:rStyle w:val="Hyperlink"/>
          </w:rPr>
          <w:t xml:space="preserve">[24]</w:t>
        </w:r>
      </w:hyperlink>
      <w:r>
        <w:t xml:space="preserve">. For a skeptical reader, this reformist turn matters for the present study because it establishes, from within the field’s own scholarship, that registration behavior is not a constant. If it varies, then it can vary systematically, and if it can vary systematically, then it can vary with politics. The reform literature opens the door that this study walks through, even though the reform literature itself does not ask the political question.</w:t>
      </w:r>
    </w:p>
    <w:bookmarkEnd w:id="75"/>
    <w:bookmarkStart w:id="76" w:name="X20d69de7aec69146a4d34e2c79d1e4caad5c212"/>
    <w:p>
      <w:pPr>
        <w:pStyle w:val="Heading2"/>
        <w:spacing w:line="480" w:lineRule="auto"/>
      </w:pPr>
      <w:r>
        <w:t xml:space="preserve">Signaling theory and its application to disclosure</w:t>
      </w:r>
    </w:p>
    <w:p>
      <w:pPr>
        <w:pStyle w:val="FirstParagraph"/>
        <w:spacing w:line="480" w:lineRule="auto"/>
      </w:pPr>
      <w:r>
        <w:t xml:space="preserve">The signaling side of the argument draws on a mature body of work about how states communicate through what they reveal and conceal. Moltz’s account of space security frames the domain as one where strategic restraint and selective revelation are central, and where states manage the visibility of their activities as an instrument of policy</w:t>
      </w:r>
      <w:r>
        <w:t xml:space="preserve"> </w:t>
      </w:r>
      <w:hyperlink w:anchor="ref-15">
        <w:r>
          <w:rPr>
            <w:rStyle w:val="Hyperlink"/>
          </w:rPr>
          <w:t xml:space="preserve">[15]</w:t>
        </w:r>
      </w:hyperlink>
      <w:r>
        <w:t xml:space="preserve">. For the registry question, the counterspace assessment literature documents how capabilities are sometimes displayed and sometimes hidden, treating disclosure as a deliberate move in a competitive setting</w:t>
      </w:r>
      <w:r>
        <w:t xml:space="preserve"> </w:t>
      </w:r>
      <w:hyperlink w:anchor="ref-12">
        <w:r>
          <w:rPr>
            <w:rStyle w:val="Hyperlink"/>
          </w:rPr>
          <w:t xml:space="preserve">[12]</w:t>
        </w:r>
      </w:hyperlink>
      <w:r>
        <w:t xml:space="preserve">. Young’s survey of situational awareness establishes the audience for such moves, showing that the orbital population is watched by a diverse and growing set of observers, so that any public act, including a registry submission, has readers beyond the filing state</w:t>
      </w:r>
      <w:r>
        <w:t xml:space="preserve"> </w:t>
      </w:r>
      <w:hyperlink w:anchor="ref-2">
        <w:r>
          <w:rPr>
            <w:rStyle w:val="Hyperlink"/>
          </w:rPr>
          <w:t xml:space="preserve">[2]</w:t>
        </w:r>
      </w:hyperlink>
      <w:r>
        <w:t xml:space="preserve">.</w:t>
      </w:r>
    </w:p>
    <w:p>
      <w:pPr>
        <w:pStyle w:val="BodyText"/>
        <w:spacing w:line="480" w:lineRule="auto"/>
        <w:ind w:firstLine="720"/>
      </w:pPr>
      <w:r>
        <w:t xml:space="preserve">Applying signaling logic to registration is a small but genuine extension. Registration is a mandatory disclosure, not a voluntary one, which distinguishes it from the capability displays the counterspace literature studies.</w:t>
      </w:r>
    </w:p>
    <w:p>
      <w:pPr>
        <w:pStyle w:val="BodyText"/>
        <w:spacing w:line="480" w:lineRule="auto"/>
        <w:ind w:firstLine="720"/>
      </w:pPr>
      <w:r>
        <w:t xml:space="preserve">But the timing of a mandatory disclosure remains discretionary within wide bounds, and discretion over timing is where signaling can live. For a skeptical reader, a state that must eventually register an object still chooses, in practice, whether to do so quickly or slowly, and that choice is legible to the same audience that watches everything else in orbit. Timing is discretion. The extension this study proposes is that alignment conditions the choice: comfortable relationships invite swift disclosure, uneasy ones invite delay. The signaling literature supplies the vocabulary of audience and revelation; the registration literature supplies the specific act; the join is what has been missing.</w:t>
      </w:r>
    </w:p>
    <w:bookmarkEnd w:id="76"/>
    <w:bookmarkStart w:id="77" w:name="why-the-two-literatures-stayed-apart"/>
    <w:p>
      <w:pPr>
        <w:pStyle w:val="Heading2"/>
        <w:spacing w:line="480" w:lineRule="auto"/>
      </w:pPr>
      <w:r>
        <w:t xml:space="preserve">Why the two literatures stayed apart</w:t>
      </w:r>
    </w:p>
    <w:p>
      <w:pPr>
        <w:pStyle w:val="FirstParagraph"/>
        <w:spacing w:line="480" w:lineRule="auto"/>
      </w:pPr>
      <w:r>
        <w:t xml:space="preserve">The record contains a sociological reason these bodies of work never met, and naming it clarifies the contribution. For the registry question, the registration and traffic-management scholarship is written largely by lawyers and engineers whose training points toward doctrine and system design, not toward the statistical analysis of political behavior</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alignment and signaling scholarship is written largely by political scientists whose empirical toolkit rarely reaches into the technical registers of space law</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Each community has the half of the puzzle the other lacks. The registration community has the institutional knowledge to know that timing is meaningful and the data access to observe it; the political-science community has the measurement apparatus for alignment and the theoretical apparatus for signaling. This study is deliberately interdisciplinary because the question can only be answered by borrowing from both, and its method chapters reflect that borrowing: an institutional account of registration paired with a quantitative estimator drawn from the empirical study of international behavior.</w:t>
      </w:r>
    </w:p>
    <w:bookmarkEnd w:id="77"/>
    <w:bookmarkStart w:id="78" w:name="Xd17b88cdb9de56153bf2037701e21645ebc51ab"/>
    <w:p>
      <w:pPr>
        <w:pStyle w:val="Heading2"/>
        <w:spacing w:line="480" w:lineRule="auto"/>
      </w:pPr>
      <w:r>
        <w:t xml:space="preserve">Debris, responsibility, and the price of ambiguity</w:t>
      </w:r>
    </w:p>
    <w:p>
      <w:pPr>
        <w:pStyle w:val="FirstParagraph"/>
        <w:spacing w:line="480" w:lineRule="auto"/>
      </w:pPr>
      <w:r>
        <w:t xml:space="preserve">For a skeptical reader, the active-debris-removal literature deserves a closer reading because it makes vivid what a delayed registration costs. Steele’s analysis turns on a simple problem: before any actor removes a piece of debris, it must know who is responsible for that object, because responsibility governs whether removal is lawful, who must consent, and who bears liability if the removal goes wrong</w:t>
      </w:r>
      <w:r>
        <w:t xml:space="preserve"> </w:t>
      </w:r>
      <w:hyperlink w:anchor="ref-1">
        <w:r>
          <w:rPr>
            <w:rStyle w:val="Hyperlink"/>
          </w:rPr>
          <w:t xml:space="preserve">[1]</w:t>
        </w:r>
      </w:hyperlink>
      <w:r>
        <w:t xml:space="preserve">.</w:t>
      </w:r>
    </w:p>
    <w:p>
      <w:pPr>
        <w:pStyle w:val="BodyText"/>
        <w:spacing w:line="480" w:lineRule="auto"/>
        <w:ind w:firstLine="720"/>
      </w:pPr>
      <w:r>
        <w:t xml:space="preserve">An object whose state accepting responsibility is unregistered or ambiguously registered is an object that cannot easily be cleaned up, serviced, or coordinated around, because the legal predicate for action is missing. Delay has a cost. Registration delay is therefore not a victimless lag. For the registry question, the record is a period during which the object sits in a legal gray zone, harder to manage precisely when the orbital environment can least afford unmanageable objects. This connects the timing question to the sustainability agenda in a direct way. The sustainability-rating work rewards operators for behavior that keeps orbit usable over the long run, and clear, swift registration is part of that behavior because it enables the coordination the rating presumes</w:t>
      </w:r>
      <w:r>
        <w:t xml:space="preserve"> </w:t>
      </w:r>
      <w:hyperlink w:anchor="ref-4">
        <w:r>
          <w:rPr>
            <w:rStyle w:val="Hyperlink"/>
          </w:rPr>
          <w:t xml:space="preserve">[4]</w:t>
        </w:r>
      </w:hyperlink>
      <w:r>
        <w:t xml:space="preserve">. The supervision architecture for in-space servicing assumes that a target object’s responsible party is known before a servicing vehicle approaches, which a delayed registration frustrates</w:t>
      </w:r>
      <w:r>
        <w:t xml:space="preserve"> </w:t>
      </w:r>
      <w:hyperlink w:anchor="ref-5">
        <w:r>
          <w:rPr>
            <w:rStyle w:val="Hyperlink"/>
          </w:rPr>
          <w:t xml:space="preserve">[5]</w:t>
        </w:r>
      </w:hyperlink>
      <w:r>
        <w:t xml:space="preserve">. Across these instruments the same causal logic recurs: ambiguity about responsibility raises the cost of every cooperative action, and registration delay is a leading source of that ambiguity. For a skeptical reader, the literature has documented the cost without asking what drives the delay, which is the question this study supplies.</w:t>
      </w:r>
    </w:p>
    <w:bookmarkEnd w:id="78"/>
    <w:bookmarkStart w:id="79" w:name="Xdd8ffcc464e602f3ee4849cb4356727a573748c"/>
    <w:p>
      <w:pPr>
        <w:pStyle w:val="Heading2"/>
        <w:spacing w:line="480" w:lineRule="auto"/>
      </w:pPr>
      <w:r>
        <w:t xml:space="preserve">The measurement tradition for political proximity</w:t>
      </w:r>
    </w:p>
    <w:p>
      <w:pPr>
        <w:pStyle w:val="FirstParagraph"/>
        <w:spacing w:line="480" w:lineRule="auto"/>
      </w:pPr>
      <w:r>
        <w:t xml:space="preserve">The choice to measure alignment through roll-call agreement rests on a long tradition, and situating that tradition strengthens the design’s credibility. Roll-call voting in the General Assembly has been used for decades as an observable indicator of how states position themselves relative to one another, precisely because it is public, repeated, and comparable across all member states and all years</w:t>
      </w:r>
      <w:r>
        <w:t xml:space="preserve"> </w:t>
      </w:r>
      <w:hyperlink w:anchor="ref-9">
        <w:r>
          <w:rPr>
            <w:rStyle w:val="Hyperlink"/>
          </w:rPr>
          <w:t xml:space="preserve">[9]</w:t>
        </w:r>
      </w:hyperlink>
      <w:r>
        <w:t xml:space="preserve">. Its appeal is that it records behavior under mild constraint: states take public positions on contested questions and reveal, through the pattern of their agreement and disagreement, the structure of their political relationships. Two states that consistently vote together are revealing a coordination that is unlikely to be accidental. For the registry question, the interdependence and shared-interest theories give this behavioral measure its interpretive content. Keohane and Nye describe how dense ties across multiple channels lower the friction of cooperation, so that closely tied states transact more smoothly across issue areas</w:t>
      </w:r>
      <w:r>
        <w:t xml:space="preserve"> </w:t>
      </w:r>
      <w:hyperlink w:anchor="ref-16">
        <w:r>
          <w:rPr>
            <w:rStyle w:val="Hyperlink"/>
          </w:rPr>
          <w:t xml:space="preserve">[16]</w:t>
        </w:r>
      </w:hyperlink>
      <w:r>
        <w:t xml:space="preserve">.</w:t>
      </w:r>
    </w:p>
    <w:p>
      <w:pPr>
        <w:pStyle w:val="BodyText"/>
        <w:spacing w:line="480" w:lineRule="auto"/>
        <w:ind w:firstLine="720"/>
      </w:pPr>
      <w:r>
        <w:t xml:space="preserve">Gartzke locates the sources of peace and cooperation in shared interests and integration rather than in regime type alone</w:t>
      </w:r>
      <w:r>
        <w:t xml:space="preserve"> </w:t>
      </w:r>
      <w:hyperlink w:anchor="ref-17">
        <w:r>
          <w:rPr>
            <w:rStyle w:val="Hyperlink"/>
          </w:rPr>
          <w:t xml:space="preserve">[17]</w:t>
        </w:r>
      </w:hyperlink>
      <w:r>
        <w:t xml:space="preserve">. Neither theory concerns space, but both predict that states whose broad political relationship is comfortable will find specific cooperative acts easier, and registration across a shared launch is exactly such an act. The measurement tradition supplies a number; the theories supply a reason to expect that number to matter for bureaucratic tempo. For a skeptical reader, this study is the first to bring the number and the reason to bear on the specific act of space-object registration, and the chapters that follow build the test that this literature review has shown to be missing.</w:t>
      </w:r>
    </w:p>
    <w:bookmarkEnd w:id="79"/>
    <w:bookmarkStart w:id="80" w:name="Xcfb62bb13f28ecd4c68eb5d11442eb0cdbd050f"/>
    <w:p>
      <w:pPr>
        <w:pStyle w:val="Heading2"/>
        <w:spacing w:line="480" w:lineRule="auto"/>
      </w:pPr>
      <w:r>
        <w:t xml:space="preserve">Situating the ontology and infrastructure literature</w:t>
      </w:r>
    </w:p>
    <w:p>
      <w:pPr>
        <w:pStyle w:val="FirstParagraph"/>
        <w:spacing w:line="480" w:lineRule="auto"/>
      </w:pPr>
      <w:r>
        <w:t xml:space="preserve">A smaller but relevant strand of scholarship concerns how space-object information is structured and made interoperable. Work on ontological architectures for situational-awareness data addresses the problem of representing objects, their attributes, and their relationships in ways that different systems can share</w:t>
      </w:r>
      <w:r>
        <w:t xml:space="preserve"> </w:t>
      </w:r>
      <w:hyperlink w:anchor="ref-19">
        <w:r>
          <w:rPr>
            <w:rStyle w:val="Hyperlink"/>
          </w:rPr>
          <w:t xml:space="preserve">[19]</w:t>
        </w:r>
      </w:hyperlink>
      <w:r>
        <w:t xml:space="preserve">.</w:t>
      </w:r>
    </w:p>
    <w:p>
      <w:pPr>
        <w:pStyle w:val="BodyText"/>
        <w:spacing w:line="480" w:lineRule="auto"/>
        <w:ind w:firstLine="720"/>
      </w:pPr>
      <w:r>
        <w:t xml:space="preserve">This matters to the present study because the public registry is one such information structure, and its usefulness depends on the timeliness as well as the completeness of its entries. An ontology can specify how a responsible-state field relates to an object, but it cannot make the field arrive on time; that is a behavioral question, which is the one this study asks. For the registry question, the infrastructure literature thus complements the argument by clarifying what a well-formed registry entry contains, while leaving open the timing question that determines when that entry actually exists.</w:t>
      </w:r>
    </w:p>
    <w:p>
      <w:pPr>
        <w:pStyle w:val="BodyText"/>
        <w:spacing w:line="480" w:lineRule="auto"/>
        <w:ind w:firstLine="720"/>
      </w:pPr>
      <w:r>
        <w:t xml:space="preserve">The broader institutional apparatus reinforces the point. The Committee on the Peaceful Uses of Outer Space maintains guidelines for the long-term sustainability of outer space activities, which treat information-sharing and registration as elements of responsible conduct</w:t>
      </w:r>
      <w:r>
        <w:t xml:space="preserve"> </w:t>
      </w:r>
      <w:hyperlink w:anchor="ref-22">
        <w:r>
          <w:rPr>
            <w:rStyle w:val="Hyperlink"/>
          </w:rPr>
          <w:t xml:space="preserve">[22]</w:t>
        </w:r>
      </w:hyperlink>
      <w:r>
        <w:t xml:space="preserve">. The status-of-agreements record and the treaty collection document which states have accepted which obligations, providing context for how registration duties vary across the responsible states in any panel</w:t>
      </w:r>
      <w:r>
        <w:t xml:space="preserve"> </w:t>
      </w:r>
      <w:hyperlink w:anchor="ref-11">
        <w:r>
          <w:rPr>
            <w:rStyle w:val="Hyperlink"/>
          </w:rPr>
          <w:t xml:space="preserve">[11]</w:t>
        </w:r>
      </w:hyperlink>
      <w:r>
        <w:t xml:space="preserve"> </w:t>
      </w:r>
      <w:hyperlink w:anchor="ref-25">
        <w:r>
          <w:rPr>
            <w:rStyle w:val="Hyperlink"/>
          </w:rPr>
          <w:t xml:space="preserve">[25]</w:t>
        </w:r>
      </w:hyperlink>
      <w:r>
        <w:t xml:space="preserve">. These institutional sources do not test the timing question either, but they establish the normative and legal environment within which timing of registry filing is a meaningful variable. For a skeptical reader, a state’s registration behavior is legible against the backdrop of what it has agreed to do, and that backdrop is what the institutional literature supplies.</w:t>
      </w:r>
    </w:p>
    <w:bookmarkEnd w:id="80"/>
    <w:bookmarkStart w:id="81" w:name="X3a3a097a0b45e58343d85e91eac6e1bea34f50c"/>
    <w:p>
      <w:pPr>
        <w:pStyle w:val="Heading2"/>
        <w:spacing w:line="480" w:lineRule="auto"/>
      </w:pPr>
      <w:r>
        <w:t xml:space="preserve">The shape of the contribution against this literature</w:t>
      </w:r>
    </w:p>
    <w:p>
      <w:pPr>
        <w:pStyle w:val="FirstParagraph"/>
        <w:spacing w:line="480" w:lineRule="auto"/>
      </w:pPr>
      <w:r>
        <w:t xml:space="preserve">Read together, these literatures leave a precisely shaped hole. The doctrinal and reformist registration scholarship establishes that timing is meaningful and improvable but does not measure its determinants</w:t>
      </w:r>
      <w:r>
        <w:t xml:space="preserve"> </w:t>
      </w:r>
      <w:hyperlink w:anchor="ref-3">
        <w:r>
          <w:rPr>
            <w:rStyle w:val="Hyperlink"/>
          </w:rPr>
          <w:t xml:space="preserve">[3]</w:t>
        </w:r>
      </w:hyperlink>
      <w:r>
        <w:t xml:space="preserve"> </w:t>
      </w:r>
      <w:hyperlink w:anchor="ref-24">
        <w:r>
          <w:rPr>
            <w:rStyle w:val="Hyperlink"/>
          </w:rPr>
          <w:t xml:space="preserve">[24]</w:t>
        </w:r>
      </w:hyperlink>
      <w:r>
        <w:t xml:space="preserve">.</w:t>
      </w:r>
    </w:p>
    <w:p>
      <w:pPr>
        <w:pStyle w:val="BodyText"/>
        <w:spacing w:line="480" w:lineRule="auto"/>
        <w:ind w:firstLine="720"/>
      </w:pPr>
      <w:r>
        <w:t xml:space="preserve">The debris and supervision scholarship establishes that ambiguous responsibility is costly but does not ask what drives the ambiguity</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signaling and security scholarship establishes that states manage disclosure strategically but does not reach into registries</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For the registry question, the interdependence and measurement scholarship supplies a tested proxy for alignment but has never applied it to space filings</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The infrastructure and institutional scholarship describes how registry information should be structured and what states have promised but does not model when the information arrives</w:t>
      </w:r>
      <w:r>
        <w:t xml:space="preserve"> </w:t>
      </w:r>
      <w:hyperlink w:anchor="ref-19">
        <w:r>
          <w:rPr>
            <w:rStyle w:val="Hyperlink"/>
          </w:rPr>
          <w:t xml:space="preserve">[19]</w:t>
        </w:r>
      </w:hyperlink>
      <w:r>
        <w:t xml:space="preserve"> </w:t>
      </w:r>
      <w:hyperlink w:anchor="ref-22">
        <w:r>
          <w:rPr>
            <w:rStyle w:val="Hyperlink"/>
          </w:rPr>
          <w:t xml:space="preserve">[22]</w:t>
        </w:r>
      </w:hyperlink>
      <w:r>
        <w:t xml:space="preserve">. The hole is a single space-object-level test that joins timing of registry filing to a dyadic political-proximity measure. Filling it is not a marginal addition to any one of these literatures; it is the connective tissue among them, and building that tissue is the work the remaining chapters carry out.</w:t>
      </w:r>
    </w:p>
    <w:bookmarkEnd w:id="81"/>
    <w:bookmarkEnd w:id="82"/>
    <w:bookmarkStart w:id="94" w:name="chapter-3.-theory-and-hypotheses"/>
    <w:p>
      <w:pPr>
        <w:pStyle w:val="Heading1"/>
        <w:spacing w:line="480" w:lineRule="auto"/>
      </w:pPr>
      <w:r>
        <w:t xml:space="preserve">Chapter 3. Theory and Hypotheses</w:t>
      </w:r>
    </w:p>
    <w:p>
      <w:pPr>
        <w:pStyle w:val="FirstParagraph"/>
        <w:spacing w:line="480" w:lineRule="auto"/>
      </w:pPr>
      <w:r>
        <w:t xml:space="preserve">The previous chapter established that no one has tested whether the registry delay tracks political alignment. For the registry question, the chapter says exactly what such a test should find if the mechanism proposed here is real, and exactly what it should find if the mechanism is a fiction. The value of stating both is that the theory becomes empirically testable. A prediction that cannot fail is not a theory; it is a hope. The predictions below can fail, and the following chapters give them every chance to.</w:t>
      </w:r>
    </w:p>
    <w:bookmarkStart w:id="83" w:name="from-filing-to-signal"/>
    <w:p>
      <w:pPr>
        <w:pStyle w:val="Heading2"/>
        <w:spacing w:line="480" w:lineRule="auto"/>
      </w:pPr>
      <w:r>
        <w:t xml:space="preserve">From filing to signal</w:t>
      </w:r>
    </w:p>
    <w:p>
      <w:pPr>
        <w:pStyle w:val="FirstParagraph"/>
        <w:spacing w:line="480" w:lineRule="auto"/>
      </w:pPr>
      <w:r>
        <w:t xml:space="preserve">Start with the act itself. For a skeptical reader, a launching state, at some point after an object reaches orbit, prepares a submission that names the object, describes its basic parameters, and declares the state responsible for it under the Registration Convention</w:t>
      </w:r>
      <w:r>
        <w:t xml:space="preserve"> </w:t>
      </w:r>
      <w:hyperlink w:anchor="ref-10">
        <w:r>
          <w:rPr>
            <w:rStyle w:val="Hyperlink"/>
          </w:rPr>
          <w:t xml:space="preserve">[10]</w:t>
        </w:r>
      </w:hyperlink>
      <w:r>
        <w:t xml:space="preserve">.</w:t>
      </w:r>
    </w:p>
    <w:p>
      <w:pPr>
        <w:pStyle w:val="BodyText"/>
        <w:spacing w:line="480" w:lineRule="auto"/>
        <w:ind w:firstLine="720"/>
      </w:pPr>
      <w:r>
        <w:t xml:space="preserve">The submission travels to the Secretariat and eventually appears in the public index</w:t>
      </w:r>
      <w:r>
        <w:t xml:space="preserve"> </w:t>
      </w:r>
      <w:hyperlink w:anchor="ref-7">
        <w:r>
          <w:rPr>
            <w:rStyle w:val="Hyperlink"/>
          </w:rPr>
          <w:t xml:space="preserve">[7]</w:t>
        </w:r>
      </w:hyperlink>
      <w:r>
        <w:t xml:space="preserve">. Nothing in this sequence is instantaneous, and nothing in it is uniform. Some objects appear within weeks; others take well over a year. The variance is the phenomenon this study theorizes, and it is not small: the same institutional act, performed by comparably capable states, can resolve in under three months for one object and stretch past two years for another, which is a spread too large to wave away as ordinary bureaucratic noise. The conventional explanation for the variance is capacity. States with mature space administrations, established legal offices, and routine filing procedures register quickly because the machinery is already turning. States with thin administrations register slowly because each filing is closer to a bespoke effort. This explanation is real and it is not the enemy of the argument here; it is the null hypothesis the argument must beat. If capacity explained everything, then timing of registry filing would be a function of who launches and how often, and political relationships would add nothing.</w:t>
      </w:r>
    </w:p>
    <w:p>
      <w:pPr>
        <w:pStyle w:val="BodyText"/>
        <w:spacing w:line="480" w:lineRule="auto"/>
        <w:ind w:firstLine="720"/>
      </w:pPr>
      <w:r>
        <w:t xml:space="preserve">For a skeptical reader, the alternative explanation treats the filing as a decision embedded in a relationship. Registration declares responsibility, and declaring responsibility is a diplomatic act read by others</w:t>
      </w:r>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When the state accepting responsibility and the launch-site government are the same government, there is no relationship to manage; the object is domestic in every sense, and the only brake on timing is internal workload. When the two are different governments, the filing sits inside a bilateral relationship, and the quality of that relationship conditions how smoothly the filing proceeds. Aligned partners share diplomatic routines, trust each other’s handling of shared missions, and have little incentive to be coy about who owns what. For the registry question, misaligned partners have thinner routines, weaker trust, and occasional reasons to leave the legal identity of an object ambiguous for a while. This is the sovereignty-signaling mechanism, and it rests on three linked claims. First, registration is legible to third parties, so its timing can carry information</w:t>
      </w:r>
      <w:r>
        <w:t xml:space="preserve"> </w:t>
      </w:r>
      <w:hyperlink w:anchor="ref-2">
        <w:r>
          <w:rPr>
            <w:rStyle w:val="Hyperlink"/>
          </w:rPr>
          <w:t xml:space="preserve">[2]</w:t>
        </w:r>
      </w:hyperlink>
      <w:r>
        <w:t xml:space="preserve">. Second, states are strategic about what they reveal in the space domain, managing disclosure in line with their interests</w:t>
      </w:r>
      <w:r>
        <w:t xml:space="preserve"> </w:t>
      </w:r>
      <w:hyperlink w:anchor="ref-15">
        <w:r>
          <w:rPr>
            <w:rStyle w:val="Hyperlink"/>
          </w:rPr>
          <w:t xml:space="preserve">[15]</w:t>
        </w:r>
      </w:hyperlink>
      <w:r>
        <w:t xml:space="preserve">. Third, alignment lowers the friction of cooperative bureaucratic acts, a general regularity that the interdependence and shared-interest literatures document across many domains</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For a skeptical reader, put together, these claims imply that the same physical event, an object reaching orbit, will be converted into a legal declaration faster when the relationship carrying the declaration is comfortable.</w:t>
      </w:r>
    </w:p>
    <w:bookmarkEnd w:id="83"/>
    <w:bookmarkStart w:id="84" w:name="why-alignment-specifically"/>
    <w:p>
      <w:pPr>
        <w:pStyle w:val="Heading2"/>
        <w:spacing w:line="480" w:lineRule="auto"/>
      </w:pPr>
      <w:r>
        <w:t xml:space="preserve">Why alignment, specifically</w:t>
      </w:r>
    </w:p>
    <w:p>
      <w:pPr>
        <w:pStyle w:val="FirstParagraph"/>
        <w:spacing w:line="480" w:lineRule="auto"/>
      </w:pPr>
      <w:r>
        <w:t xml:space="preserve">One could imagine many political variables that might shape timing of registry filing: regime type, wealth, alliance membership, membership in space-governance bodies. Alignment is chosen for a precise reason. The mechanism is about the relationship between two particular states, the state accepting responsibility and the launch-site government, not about the general character of either one. A wealthy democracy launching from a rival’s spaceport is in a different position than the same democracy launching from an ally’s spaceport, even though its own attributes are unchanged. For the registry question, what varies is the dyad, and roll-call agreement measures the dyad</w:t>
      </w:r>
      <w:r>
        <w:t xml:space="preserve"> </w:t>
      </w:r>
      <w:hyperlink w:anchor="ref-9">
        <w:r>
          <w:rPr>
            <w:rStyle w:val="Hyperlink"/>
          </w:rPr>
          <w:t xml:space="preserve">[9]</w:t>
        </w:r>
      </w:hyperlink>
      <w:r>
        <w:t xml:space="preserve">. Voting agreement also has the virtue of being behavioral. It records what states actually do when they must take public positions, not what they say about their friendships. Two governments that vote together on contested General Assembly questions are revealing a real and repeated coordination, and that revealed coordination is the best available observable stand-in for the diplomatic comfort the mechanism requires. The proxy is imperfect, a point Chapter 7 returns to at length, but its imperfection is of the honest kind: it captures less than alignment, not something other than alignment.</w:t>
      </w:r>
    </w:p>
    <w:bookmarkEnd w:id="84"/>
    <w:bookmarkStart w:id="85" w:name="confounders-the-theory-must-survive"/>
    <w:p>
      <w:pPr>
        <w:pStyle w:val="Heading2"/>
        <w:spacing w:line="480" w:lineRule="auto"/>
      </w:pPr>
      <w:r>
        <w:t xml:space="preserve">Confounders the theory must survive</w:t>
      </w:r>
    </w:p>
    <w:p>
      <w:pPr>
        <w:pStyle w:val="FirstParagraph"/>
        <w:spacing w:line="480" w:lineRule="auto"/>
      </w:pPr>
      <w:r>
        <w:t xml:space="preserve">For a skeptical reader, a serious theory names the rival explanations before the data are consulted. Three confounders threaten the political interpretation.</w:t>
      </w:r>
    </w:p>
    <w:p>
      <w:pPr>
        <w:pStyle w:val="BodyText"/>
        <w:spacing w:line="480" w:lineRule="auto"/>
        <w:ind w:firstLine="720"/>
      </w:pPr>
      <w:r>
        <w:t xml:space="preserve">The first is bureaucratic capacity, already discussed. Because capacity is largely a property of the state accepting responsibility, and because the same responsible states recur across many objects, capacity can be absorbed by comparing a state’s timing of registry filing across different alignment conditions rather than across states. A full design does this with responsible-state fixed effects; the pilot design approximates it by including a mix of self-launches and cross-national launches so that capacity and alignment do not move together by construction. The second is mission and launch logistics. Large rideshare deployments, where dozens of objects share a single launch campaign, generate a different documentation workload than a single flagship satellite. If large cohorts also happened to be politically distinctive, cohort size could masquerade as a political effect. The theory therefore insists that cohort size enter every specification as a control, so that any alignment effect is estimated net of the sheer volume of paperwork a launch generates.</w:t>
      </w:r>
    </w:p>
    <w:p>
      <w:pPr>
        <w:pStyle w:val="BodyText"/>
        <w:spacing w:line="480" w:lineRule="auto"/>
        <w:ind w:firstLine="720"/>
      </w:pPr>
      <w:r>
        <w:t xml:space="preserve">The third is orbit and object type. For a skeptical reader, objects in different orbital regimes, or objects with different sensitivity, might follow different filing conventions. The pilot design records orbit class so that this dimension is visible and can be inspected, and a full design would include orbit-class fixed effects. The theory does not claim orbit is irrelevant; it claims that alignment matters after orbit is accounted for.</w:t>
      </w:r>
    </w:p>
    <w:bookmarkEnd w:id="85"/>
    <w:bookmarkStart w:id="86" w:name="the-hypotheses"/>
    <w:p>
      <w:pPr>
        <w:pStyle w:val="Heading2"/>
        <w:spacing w:line="480" w:lineRule="auto"/>
      </w:pPr>
      <w:r>
        <w:t xml:space="preserve">The hypotheses</w:t>
      </w:r>
    </w:p>
    <w:p>
      <w:pPr>
        <w:pStyle w:val="FirstParagraph"/>
        <w:spacing w:line="480" w:lineRule="auto"/>
      </w:pPr>
      <w:r>
        <w:t xml:space="preserve">The study tests one directional proposition through two complementary estimators. Let the registry delay be the number of days between launch and formal registry filing for object i, and let alignment be the annual voting-agreement score between the state accepting responsibility and the launch-site government for that object’s launch year.</w:t>
      </w:r>
    </w:p>
    <w:p>
      <w:pPr>
        <w:pStyle w:val="BodyText"/>
        <w:spacing w:line="480" w:lineRule="auto"/>
        <w:ind w:firstLine="720"/>
      </w:pPr>
      <w:r>
        <w:t xml:space="preserve">For the registry question, the null hypothesis, the bureaucratic account, holds that alignment carries no information about timing once workload is controlled. In the length-of-gap specification this means the coefficient on alignment is zero. In the timing specification it means the alignment coefficient in the hazard is zero and the hazard ratio is one.</w:t>
      </w:r>
    </w:p>
    <w:p>
      <w:pPr>
        <w:pStyle w:val="BodyText"/>
        <w:spacing w:line="480" w:lineRule="auto"/>
        <w:ind w:firstLine="720"/>
      </w:pPr>
      <w:r>
        <w:t xml:space="preserve">The alternative hypothesis, the signaling account, holds that higher alignment shortens the gap. In the length-of-gap specification this means the coefficient on alignment is negative: more agreement, fewer days. In the timing specification it means the alignment coefficient in the hazard is positive and the hazard ratio exceeds one: more agreement, a higher instantaneous rate of registration, and therefore a shorter expected gap. The two specifications are not redundant. A length model can be pulled by a few extreme delays, while a hazard model reads the ordering of events and is less sensitive to the exact magnitude of any single long gap. If both point the same way, the empirical finding is harder to dismiss as an artifact of one estimator’s assumptions. The sustainability and traffic-management literatures give the exercise its stakes, because a registry whose timing is politically conditioned is a registry whose reliability is uneven across exactly the dyads where transparency is most contested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theory says that unevenness should be visible. The next chapters test whether it is.</w:t>
      </w:r>
    </w:p>
    <w:bookmarkEnd w:id="86"/>
    <w:bookmarkStart w:id="87" w:name="Xf29f1b723175cbf11c6667d883a1f0eabe94a9b"/>
    <w:p>
      <w:pPr>
        <w:pStyle w:val="Heading2"/>
        <w:spacing w:line="480" w:lineRule="auto"/>
      </w:pPr>
      <w:r>
        <w:t xml:space="preserve">What a confirmation would and would not mean</w:t>
      </w:r>
    </w:p>
    <w:p>
      <w:pPr>
        <w:pStyle w:val="FirstParagraph"/>
        <w:spacing w:line="480" w:lineRule="auto"/>
      </w:pPr>
      <w:r>
        <w:t xml:space="preserve">Suppose both estimators confirm the alternative. That result would establish an association, in a bounded space-object-level panel, between alignment and registration speed, consistent with the signaling mechanism. It would not establish that any particular delay was a deliberate diplomatic choice, and it would not rule out an unmeasured confounder that happens to move with alignment. For a skeptical reader, a confirmation is evidence for a pattern, not proof of intent, and the study holds that distinction firmly throughout. Suppose instead that the estimators return a null or a wrong-signed coefficient. That result would push timing of registry filing back toward the purely bureaucratic account, at least within the range this panel covers, and would tell a future full study where not to look. Either outcome is informative, which is the mark of a hypothesis worth testing.</w:t>
      </w:r>
    </w:p>
    <w:bookmarkEnd w:id="87"/>
    <w:bookmarkStart w:id="88" w:name="Xbc5ce2306bdf9fe5767bebc7bdad88bf21aae7b"/>
    <w:p>
      <w:pPr>
        <w:pStyle w:val="Heading2"/>
        <w:spacing w:line="480" w:lineRule="auto"/>
      </w:pPr>
      <w:r>
        <w:t xml:space="preserve">The micro-foundations of the filing decision</w:t>
      </w:r>
    </w:p>
    <w:p>
      <w:pPr>
        <w:pStyle w:val="FirstParagraph"/>
        <w:spacing w:line="480" w:lineRule="auto"/>
      </w:pPr>
      <w:r>
        <w:t xml:space="preserve">A theory of aggregate timing should rest on a plausible account of the individual decision that produces it. Consider the officials who actually prepare a registration submission. In a self-launch by a mature space power, those officials work inside a single government, follow a routine established over decades, and face no external party whose reaction to the filing they must weigh. The submission moves at the speed of internal process, which is fast because the process is well worn. The political-proximity score for such an object is one, and the predicted gap is short, and the micro-foundation is simply the absence of any interstate friction to slow the routine. Now consider a cross-national launch in which a smaller space actor’s satellite rides a larger, less aligned power’s rocket. For a skeptical reader, the state accepting responsibility’s officials must assemble information that depends in part on the launch provider, coordinate across a relationship that may be diplomatically cool, and consider how the public declaration of responsibility will read to third parties who track the relationship.</w:t>
      </w:r>
    </w:p>
    <w:p>
      <w:pPr>
        <w:pStyle w:val="BodyText"/>
        <w:spacing w:line="480" w:lineRule="auto"/>
        <w:ind w:firstLine="720"/>
      </w:pPr>
      <w:r>
        <w:t xml:space="preserve">Each of these adds latency. The information dependency adds latency because it requires cooperation across a border. The diplomatic coolness adds latency because coordination across an uneasy relationship is slower and lower priority on both sides. The signaling consideration adds latency because there may be reasons, sometimes strategic, sometimes merely cautious, to not rush a public legal statement of jurisdiction. For the registry question, the micro-foundation for the long gap is the accumulation of these frictions, and each of them scales with misalignment. This decision-level account matters because it distinguishes the theory from a mere correlation. The claim remains not that aligned states are magically faster; it is that specific, nameable frictions, information dependency, coordination cost, and signaling caution, are heavier when the state accepting responsibility and the launch-site government are misaligned, and that those frictions manifest as days of delay. The theory would be undermined if aligned cross-national launches were as slow as misaligned ones, because that would suggest the frictions do not track alignment after all. The object panel is built to let that comparison happen.</w:t>
      </w:r>
    </w:p>
    <w:bookmarkEnd w:id="88"/>
    <w:bookmarkStart w:id="89" w:name="Xfb3513428eed8c496d776fb8d977f9d146c2588"/>
    <w:p>
      <w:pPr>
        <w:pStyle w:val="Heading2"/>
        <w:spacing w:line="480" w:lineRule="auto"/>
      </w:pPr>
      <w:r>
        <w:t xml:space="preserve">Observable implications beyond the main test</w:t>
      </w:r>
    </w:p>
    <w:p>
      <w:pPr>
        <w:pStyle w:val="FirstParagraph"/>
        <w:spacing w:line="480" w:lineRule="auto"/>
      </w:pPr>
      <w:r>
        <w:t xml:space="preserve">For a skeptical reader, a good mechanism generates predictions beyond the single coefficient it was built to explain, and stating those auxiliary implications strengthens the theory even where the pilot design cannot test them all. If the signaling account is right, then the alignment effect should be concentrated in cross-national launches, because self-launches have no interstate relationship to condition. It should be stronger for objects whose state accepting responsibility depends heavily on foreign launch access, because dependency deepens the information friction. It should respond to changes in a relationship over time, so that a warming between two states should shorten the gaps on their shared launches and a cooling should lengthen them, a within-dyad prediction that only a panel with fixed effects and temporal depth can evaluate.</w:t>
      </w:r>
    </w:p>
    <w:p>
      <w:pPr>
        <w:pStyle w:val="BodyText"/>
        <w:spacing w:line="480" w:lineRule="auto"/>
        <w:ind w:firstLine="720"/>
      </w:pPr>
      <w:r>
        <w:t xml:space="preserve">The bureaucratic account generates different auxiliary predictions. For the registry question, under that account, the gap should track the state accepting responsibility’s general filing capacity across all its objects regardless of the launch-site relationship, so a capable state should be fast whether it launches domestically or abroad, and a less capable state should be slow in both settings.</w:t>
      </w:r>
    </w:p>
    <w:p>
      <w:pPr>
        <w:pStyle w:val="BodyText"/>
        <w:spacing w:line="480" w:lineRule="auto"/>
        <w:ind w:firstLine="720"/>
      </w:pPr>
      <w:r>
        <w:t xml:space="preserve">The two accounts therefore diverge most clearly in the cross-national launches of capable states launching from misaligned sites, where the signaling account predicts delay and the bureaucratic account predicts speed. The pilot design panel deliberately includes such objects, and the estimates in Chapter 6 speak to exactly this divergence. Laying out the competing auxiliary predictions in advance is what keeps the eventual test honest, because it commits the theory to a pattern before the data are read rather than rationalizing whatever pattern appears.</w:t>
      </w:r>
    </w:p>
    <w:bookmarkEnd w:id="89"/>
    <w:bookmarkStart w:id="90" w:name="signaling-to-whom-and-about-what"/>
    <w:p>
      <w:pPr>
        <w:pStyle w:val="Heading2"/>
        <w:spacing w:line="480" w:lineRule="auto"/>
      </w:pPr>
      <w:r>
        <w:t xml:space="preserve">Signaling to whom, and about what</w:t>
      </w:r>
    </w:p>
    <w:p>
      <w:pPr>
        <w:pStyle w:val="FirstParagraph"/>
        <w:spacing w:line="480" w:lineRule="auto"/>
      </w:pPr>
      <w:r>
        <w:t xml:space="preserve">The word signaling invites a question the theory must answer: signaling to whom, and about what. For a skeptical reader, the audience, following the situational-awareness literature, is the set of states and commercial actors that track the orbital population and read the public register</w:t>
      </w:r>
      <w:r>
        <w:t xml:space="preserve"> </w:t>
      </w:r>
      <w:hyperlink w:anchor="ref-2">
        <w:r>
          <w:rPr>
            <w:rStyle w:val="Hyperlink"/>
          </w:rPr>
          <w:t xml:space="preserve">[2]</w:t>
        </w:r>
      </w:hyperlink>
      <w:r>
        <w:t xml:space="preserve">.</w:t>
      </w:r>
    </w:p>
    <w:p>
      <w:pPr>
        <w:pStyle w:val="BodyText"/>
        <w:spacing w:line="480" w:lineRule="auto"/>
        <w:ind w:firstLine="720"/>
      </w:pPr>
      <w:r>
        <w:t xml:space="preserve">What a swift registration signals is straightforward acceptance of responsibility, a willingness to be publicly and quickly named as the object’s answerable party. What a slow registration signals is more varied. It can signal caution about a diplomatically sensitive object, reluctance to advertise a relationship with the launch provider, or simply that the state accepting responsibility does not prioritize the filing when the relationship carrying it is uneasy. The theory does not require that every slow filing carry a deliberate message; it requires only that the distribution of timing carry information, which it does as long as timing correlates with the relationship.</w:t>
      </w:r>
    </w:p>
    <w:p>
      <w:pPr>
        <w:pStyle w:val="BodyText"/>
        <w:spacing w:line="480" w:lineRule="auto"/>
        <w:ind w:firstLine="720"/>
      </w:pPr>
      <w:r>
        <w:t xml:space="preserve">For the registry question, this distinction between an individual message and an aggregate signal is central to keeping the theory defensible. A skeptic can rightly object that no analyst can read intent from a single delayed filing, and the theory concedes the point entirely.</w:t>
      </w:r>
    </w:p>
    <w:p>
      <w:pPr>
        <w:pStyle w:val="BodyText"/>
        <w:spacing w:line="480" w:lineRule="auto"/>
        <w:ind w:firstLine="720"/>
      </w:pPr>
      <w:r>
        <w:t xml:space="preserve">Its claim is statistical, not biographical. Across many objects, if aligned dyads systematically register faster than misaligned ones, then the public registry as a whole carries a political pattern regardless of whether any particular official ever thought of a filing as a signal. The mechanism can operate through conscious strategy in some cases, through diffuse bureaucratic friction in others, and through simple deprioritization in still others, and the aggregate pattern would look the same. For a skeptical reader, the theory is agnostic about which pathway dominates because the object panel cannot see inside filing offices; it commits only to the observable prediction that the pathways, whatever their mix, push timing in the same direction.</w:t>
      </w:r>
    </w:p>
    <w:bookmarkEnd w:id="90"/>
    <w:bookmarkStart w:id="91" w:name="boundary-conditions-of-the-mechanism"/>
    <w:p>
      <w:pPr>
        <w:pStyle w:val="Heading2"/>
        <w:spacing w:line="480" w:lineRule="auto"/>
      </w:pPr>
      <w:r>
        <w:t xml:space="preserve">Boundary conditions of the mechanism</w:t>
      </w:r>
    </w:p>
    <w:p>
      <w:pPr>
        <w:pStyle w:val="FirstParagraph"/>
        <w:spacing w:line="480" w:lineRule="auto"/>
      </w:pPr>
      <w:r>
        <w:t xml:space="preserve">Every mechanism has conditions under which it should not operate, and naming them sharpens the prediction. The mechanism should be silent for self-launches, because there is no interstate relationship to condition the filing; the political-proximity score is one by definition and the only remaining driver is internal workload.</w:t>
      </w:r>
    </w:p>
    <w:p>
      <w:pPr>
        <w:pStyle w:val="BodyText"/>
        <w:spacing w:line="480" w:lineRule="auto"/>
        <w:ind w:firstLine="720"/>
      </w:pPr>
      <w:r>
        <w:t xml:space="preserve">It should be muted for objects launched between states with no meaningful political tension, where alignment is high but not maximal, because a comfortable relationship imposes little friction regardless of small differences in roll-call agreement. It should be strongest in the cross-national launches spanning genuinely uneasy relationships, where the friction the theory posits has the most room to operate. For the registry question, the prediction, then, is not a uniform effect across all objects but an effect concentrated where the mechanism has purchase, which is a more demanding and more empirically testable claim than a blanket correlation would be. The pilot design panel spans these conditions deliberately, placing self-launches, comfortable cross-national launches, and uneasy cross-national launches in the same dataset so that the concentration the theory predicts can be seen if it is there.</w:t>
      </w:r>
    </w:p>
    <w:bookmarkEnd w:id="91"/>
    <w:bookmarkStart w:id="92" w:name="X8a7326299ddb7f2573fc4ce9fca37ad5070f5f7"/>
    <w:p>
      <w:pPr>
        <w:pStyle w:val="Heading2"/>
        <w:spacing w:line="480" w:lineRule="auto"/>
      </w:pPr>
      <w:r>
        <w:t xml:space="preserve">Relation to broader theories of cooperation</w:t>
      </w:r>
    </w:p>
    <w:p>
      <w:pPr>
        <w:pStyle w:val="FirstParagraph"/>
        <w:spacing w:line="480" w:lineRule="auto"/>
      </w:pPr>
      <w:r>
        <w:t xml:space="preserve">The mechanism proposed here is a specific instance of a general pattern that the international-relations literature has documented across many domains. Complex interdependence theory holds that states linked by dense ties cooperate more smoothly because those ties create channels, habits, and expectations that lower transaction costs</w:t>
      </w:r>
      <w:r>
        <w:t xml:space="preserve"> </w:t>
      </w:r>
      <w:hyperlink w:anchor="ref-16">
        <w:r>
          <w:rPr>
            <w:rStyle w:val="Hyperlink"/>
          </w:rPr>
          <w:t xml:space="preserve">[16]</w:t>
        </w:r>
      </w:hyperlink>
      <w:r>
        <w:t xml:space="preserve">. Shared-interest accounts of peace hold that states with aligned interests find joint action easier and conflict less likely</w:t>
      </w:r>
      <w:r>
        <w:t xml:space="preserve"> </w:t>
      </w:r>
      <w:hyperlink w:anchor="ref-17">
        <w:r>
          <w:rPr>
            <w:rStyle w:val="Hyperlink"/>
          </w:rPr>
          <w:t xml:space="preserve">[17]</w:t>
        </w:r>
      </w:hyperlink>
      <w:r>
        <w:t xml:space="preserve">. For a skeptical reader, registration across a shared launch is a small joint action, and the theory of this study simply predicts that the general pattern appears in this particular bureaucratic act. If aligned states cooperate more easily in general, they should file registrations more easily in particular.</w:t>
      </w:r>
    </w:p>
    <w:p>
      <w:pPr>
        <w:pStyle w:val="BodyText"/>
        <w:spacing w:line="480" w:lineRule="auto"/>
        <w:ind w:firstLine="720"/>
      </w:pPr>
      <w:r>
        <w:t xml:space="preserve">Locating the mechanism within this broader tradition does two things. It borrows credibility, because the prediction is not an ad hoc guess about space filings but an application of a regularity observed elsewhere. And it clarifies what a confirmation would and would not add: confirming the prediction in the registration setting would extend a known pattern to a new and consequential domain, showing that the friction-lowering effect of alignment reaches even into the technical machinery of space law. For the registry question, that extension is worth making because space-governance has often been treated as a domain apart, governed by its own logic; finding that ordinary interdependence effects operate there too would connect it to the wider study of how states cooperate.</w:t>
      </w:r>
    </w:p>
    <w:bookmarkEnd w:id="92"/>
    <w:bookmarkStart w:id="93" w:name="the-theorys-testable-core-restated"/>
    <w:p>
      <w:pPr>
        <w:pStyle w:val="Heading2"/>
        <w:spacing w:line="480" w:lineRule="auto"/>
      </w:pPr>
      <w:r>
        <w:t xml:space="preserve">The theory’s testable core, restated</w:t>
      </w:r>
    </w:p>
    <w:p>
      <w:pPr>
        <w:pStyle w:val="FirstParagraph"/>
        <w:spacing w:line="480" w:lineRule="auto"/>
      </w:pPr>
      <w:r>
        <w:t xml:space="preserve">Reduced to its essentials, the theory makes one directional claim and several conditional ones. The directional claim is that higher alignment between the state accepting responsibility and the launch-site government shortens the registry delay.</w:t>
      </w:r>
    </w:p>
    <w:p>
      <w:pPr>
        <w:pStyle w:val="BodyText"/>
        <w:spacing w:line="480" w:lineRule="auto"/>
        <w:ind w:firstLine="720"/>
      </w:pPr>
      <w:r>
        <w:t xml:space="preserve">The conditional claims are that this effect is absent for self-launches, concentrated in uneasy cross-national launches, stronger for launch-dependent responsible states, and responsive to changes in a relationship over time. The pilot design can test the directional claim and can inspect the self-launch condition; the temporal and dependency conditions await the fixed-effects panel a full study would build. For a skeptical reader, stating the full set of predictions, and marking which the pilot design can reach, is what keeps the theory disciplined. It commits to a pattern in advance, distinguishes what the present data can adjudicate from what they cannot, and hands the remaining predictions to the research program the design was written to enable. Chapter 4 turns this specified theory into estimators, and Chapter 6 reports what those estimators found.</w:t>
      </w:r>
    </w:p>
    <w:bookmarkEnd w:id="93"/>
    <w:bookmarkEnd w:id="94"/>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theory in Chapter 3 makes a directional claim: higher alignment shortens the registry delay. For the registry question, turning that claim into evidence requires estimators that can recover the relationship from real data, controls that block the obvious rival explanations, and an honest account of what the design can and cannot identify. The chapter supplies all three. It describes the two estimators, explains why they answer the same empirical question in complementary ways, states what each controls, and marks the boundary between the associational claim the pilot design supports and the causal claim a fuller study would pursue.</w:t>
      </w:r>
    </w:p>
    <w:bookmarkStart w:id="95" w:name="two-estimators-one-question"/>
    <w:p>
      <w:pPr>
        <w:pStyle w:val="Heading2"/>
        <w:spacing w:line="480" w:lineRule="auto"/>
      </w:pPr>
      <w:r>
        <w:t xml:space="preserve">Two estimators, one question</w:t>
      </w:r>
    </w:p>
    <w:p>
      <w:pPr>
        <w:pStyle w:val="FirstParagraph"/>
        <w:spacing w:line="480" w:lineRule="auto"/>
      </w:pPr>
      <w:r>
        <w:t xml:space="preserve">The study runs two models on the same space-object-level panel. The first is ordinary least squares, with registration-gap days as the dependent variable and alignment plus log cohort size as the predictors. The estimating equation is</w:t>
      </w:r>
    </w:p>
    <w:p>
      <w:pPr>
        <w:pStyle w:val="BodyText"/>
        <w:spacing w:line="480" w:lineRule="auto"/>
        <w:ind w:firstLine="720"/>
      </w:pPr>
      <w:r>
        <w:t xml:space="preserve">Gap_i = alpha + beta_1 Alignment_i + beta_2 ln(1 + Cohort_i) + epsilon_i.</w:t>
      </w:r>
    </w:p>
    <w:p>
      <w:pPr>
        <w:pStyle w:val="BodyText"/>
        <w:spacing w:line="480" w:lineRule="auto"/>
        <w:ind w:firstLine="720"/>
      </w:pPr>
      <w:r>
        <w:t xml:space="preserve">Here the outcome is a length, measured in days, and beta_1 answers a plain question: as alignment rises by one unit across the observed range, how many days does the expected gap change? Under the theory, beta_1 is negative. Standard errors are computed with a heteroskedasticity-robust estimator, because registry delays are bounded below by zero and right-skewed, which tends to make the error variance depend on the fitted value. For the registry question, robust standard errors guard against the resulting fragility without imposing a distributional form the data may not honor.</w:t>
      </w:r>
    </w:p>
    <w:p>
      <w:pPr>
        <w:pStyle w:val="BodyText"/>
        <w:spacing w:line="480" w:lineRule="auto"/>
        <w:ind w:firstLine="720"/>
      </w:pPr>
      <w:r>
        <w:t xml:space="preserve">The second estimator is a Cox event-history model. It treats registration as an event that occurs at some duration after launch, and it models the instantaneous rate of that event, the hazard, as a function of the same predictors:</w:t>
      </w:r>
    </w:p>
    <w:p>
      <w:pPr>
        <w:pStyle w:val="BodyText"/>
        <w:spacing w:line="480" w:lineRule="auto"/>
        <w:ind w:firstLine="720"/>
      </w:pPr>
      <w:r>
        <w:t xml:space="preserve">h_i(t) = h_0(t) exp(beta_1 Alignment_i + beta_2 ln(1 + Cohort_i)).</w:t>
      </w:r>
    </w:p>
    <w:p>
      <w:pPr>
        <w:pStyle w:val="BodyText"/>
        <w:spacing w:line="480" w:lineRule="auto"/>
        <w:ind w:firstLine="720"/>
      </w:pPr>
      <w:r>
        <w:t xml:space="preserve">The baseline is free. For a skeptical reader, the baseline hazard h_0(t) is left unspecified, which is the defining strength of the Cox approach: it does not require the analyst to assume a shape for how the registration rate evolves over time since launch. It reads the ordering of registration events and asks whether, at each moment an object could register, the objects with higher alignment are the ones more likely to register next. Under the theory, beta_1 is positive here, and the corresponding hazard ratio exp(beta_1) exceeds one. The two estimators are deliberately different in what they are sensitive to. The ordinary least squares length model uses the full magnitude of every gap, which makes it easy to read but vulnerable to a handful of very long delays that can drag the fitted line. For the registry question, the Cox model uses the rank order of events rather than their raw magnitudes, so a single extreme gap moves it less. When two estimators with different sensitivities point the same direction, the empirical finding is more robust than either alone would justify. That is the reason for running both rather than choosing one.</w:t>
      </w:r>
    </w:p>
    <w:bookmarkEnd w:id="95"/>
    <w:bookmarkStart w:id="96" w:name="what-the-controls-do"/>
    <w:p>
      <w:pPr>
        <w:pStyle w:val="Heading2"/>
        <w:spacing w:line="480" w:lineRule="auto"/>
      </w:pPr>
      <w:r>
        <w:t xml:space="preserve">What the controls do</w:t>
      </w:r>
    </w:p>
    <w:p>
      <w:pPr>
        <w:pStyle w:val="FirstParagraph"/>
        <w:spacing w:line="480" w:lineRule="auto"/>
      </w:pPr>
      <w:r>
        <w:t xml:space="preserve">Both models include log cohort size for the reason the theory demanded. A launch that deploys dozens of objects at once generates a documentation workload unlike a single flagship satellite, and that workload can shift timing of registry filing for reasons that have nothing to do with politics. For a skeptical reader, logging the cohort size acknowledges that the marginal effect of the fiftieth object in a rideshare is smaller than the effect of the second, which is the natural functional form for a workload variable. Including cohort size means the alignment coefficient is estimated net of sheer volume: it captures the association between alignment and timing among launches of comparable documentary burden, not the spurious pattern that would arise if aligned launches happened to be small and misaligned launches happened to be large.</w:t>
      </w:r>
    </w:p>
    <w:p>
      <w:pPr>
        <w:pStyle w:val="BodyText"/>
        <w:spacing w:line="480" w:lineRule="auto"/>
        <w:ind w:firstLine="720"/>
      </w:pPr>
      <w:r>
        <w:t xml:space="preserve">The object panel also records orbit class and the identities of the responsible and launch-site states, and these serve the identification argument even where they do not enter the two pilot regressions as terms. Recording them makes the confounding structure visible and auditable. A reader can see, for any coefficient, which state pairs and which orbital regimes are doing the work, and can check that the alignment effect is not an artifact of a single dyad or a single orbit. For the registry question, the full design sketched in the prospectus would convert these recorded fields into responsible-state, launch-site-state, launch-year, and orbit-class fixed effects, absorbing stable differences in bureaucratic capacity and launch-provider practice so that identification came purely from within-dyad temporal variation in alignment. The pilot design does not fit those fixed effects, and it says so plainly; instead it approximates their protection by spanning a deliberate range of launch arrangements, so that capacity and alignment are not collinear by construction.</w:t>
      </w:r>
    </w:p>
    <w:bookmarkEnd w:id="96"/>
    <w:bookmarkStart w:id="97" w:name="why-the-design-identifies-what-it-claims"/>
    <w:p>
      <w:pPr>
        <w:pStyle w:val="Heading2"/>
        <w:spacing w:line="480" w:lineRule="auto"/>
      </w:pPr>
      <w:r>
        <w:t xml:space="preserve">Why the design identifies what it claims</w:t>
      </w:r>
    </w:p>
    <w:p>
      <w:pPr>
        <w:pStyle w:val="FirstParagraph"/>
        <w:spacing w:line="480" w:lineRule="auto"/>
      </w:pPr>
      <w:r>
        <w:t xml:space="preserve">Identification is the argument that the estimated coefficient reflects the relationship of interest rather than a nuisance correlation. The pilot design’s identifying logic is comparative. It places domestic launches, where state accepting responsibility and launch-site government coincide and alignment is definitionally maximal, alongside cross-national launches, where the two states differ and alignment varies from moderate to low. If timing of registry filing were governed only by the state accepting responsibility’s bureaucratic capacity, then a given state’s objects would register at a similar speed regardless of whose launch site they used. The theory predicts otherwise: that the same class of state accepting responsibility registers faster when the launch-site relationship is comfortable and slower when it is not. The object panel is built to expose exactly that contrast.</w:t>
      </w:r>
    </w:p>
    <w:p>
      <w:pPr>
        <w:pStyle w:val="BodyText"/>
        <w:spacing w:line="480" w:lineRule="auto"/>
        <w:ind w:firstLine="720"/>
      </w:pPr>
      <w:r>
        <w:t xml:space="preserve">The estimand, stated carefully, is the conditional association between alignment and timing of registry filing within this bounded panel, holding cohort workload fixed. The record is not a population-average treatment effect, and the study never calls it one. For the registry question, alignment is not randomly assigned; states choose their partners and their launch providers, and those choices are entangled with history, geography, and cost. The design cannot rule out an unobserved factor that moves with alignment and also speeds registration. What it can do is show whether the association predicted by the theory is present, sized, and signed correctly once the most obvious bureaucratic confounder is controlled, and whether it survives being estimated two different ways.</w:t>
      </w:r>
    </w:p>
    <w:bookmarkEnd w:id="97"/>
    <w:bookmarkStart w:id="98" w:name="the-boundary-of-the-claim"/>
    <w:p>
      <w:pPr>
        <w:pStyle w:val="Heading2"/>
        <w:spacing w:line="480" w:lineRule="auto"/>
      </w:pPr>
      <w:r>
        <w:t xml:space="preserve">The boundary of the claim</w:t>
      </w:r>
    </w:p>
    <w:p>
      <w:pPr>
        <w:pStyle w:val="FirstParagraph"/>
        <w:spacing w:line="480" w:lineRule="auto"/>
      </w:pPr>
      <w:r>
        <w:t xml:space="preserve">Three limits are structural to the pilot design and are named here so that no later chapter has to pretend they do not exist. The first is that the Cox model is estimated on registered objects only.</w:t>
      </w:r>
    </w:p>
    <w:p>
      <w:pPr>
        <w:pStyle w:val="BodyText"/>
        <w:spacing w:line="480" w:lineRule="auto"/>
        <w:ind w:firstLine="720"/>
      </w:pPr>
      <w:r>
        <w:t xml:space="preserve">For a skeptical reader, objects that were launched but never registered within the observation window are absent, which means the timing model describes the speed of registration among objects that eventually registered, not the probability of ever registering. A full event-history design would keep those unregistered objects in the risk set as right-censored cases, and the direction of the resulting bias is discussed in Chapter 7. The second limit is sample size. A bounded panel of named space objects yields precise estimates within itself but cannot speak to the full population of UNOOSA objects, and small samples can produce large coefficients that a larger, more heterogeneous sample would temper. The third limit is the alignment proxy itself. For the registry question, voting agreement is an observable stand-in for diplomatic comfort, not a complete measure of it, and the mapping from the proxy to the underlying concept is imperfect</w:t>
      </w:r>
      <w:r>
        <w:t xml:space="preserve"> </w:t>
      </w:r>
      <w:hyperlink w:anchor="ref-9">
        <w:r>
          <w:rPr>
            <w:rStyle w:val="Hyperlink"/>
          </w:rPr>
          <w:t xml:space="preserve">[9]</w:t>
        </w:r>
      </w:hyperlink>
      <w:r>
        <w:t xml:space="preserve">.</w:t>
      </w:r>
    </w:p>
    <w:p>
      <w:pPr>
        <w:pStyle w:val="BodyText"/>
        <w:spacing w:line="480" w:lineRule="auto"/>
        <w:ind w:firstLine="720"/>
      </w:pPr>
      <w:r>
        <w:t xml:space="preserve">None of these limits is hidden, and none is fatal to the purpose of the pilot design. The purpose is to demonstrate that the measurement route runs end to end on real cited records, that the two estimators can be fit, and that their coefficients carry the signs the theory predicts.</w:t>
      </w:r>
    </w:p>
    <w:p>
      <w:pPr>
        <w:pStyle w:val="BodyText"/>
        <w:spacing w:line="480" w:lineRule="auto"/>
        <w:ind w:firstLine="720"/>
      </w:pPr>
      <w:r>
        <w:t xml:space="preserve">The traffic-management and sustainability literatures give that demonstration its weight, because a registry whose timing is politically conditioned is a registry whose usefulness for coordination varies with geopolitics, which is precisely the vulnerability those literatures worry about without measuring</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methodology here is the instrument that turns the worry into a number. For a skeptical reader, chapter 5 documents the data that instrument reads, and Chapter 6 reports the numbers it returns.</w:t>
      </w:r>
    </w:p>
    <w:bookmarkEnd w:id="98"/>
    <w:bookmarkStart w:id="99" w:name="why-not-a-single-estimator"/>
    <w:p>
      <w:pPr>
        <w:pStyle w:val="Heading2"/>
        <w:spacing w:line="480" w:lineRule="auto"/>
      </w:pPr>
      <w:r>
        <w:t xml:space="preserve">Why not a single estimator</w:t>
      </w:r>
    </w:p>
    <w:p>
      <w:pPr>
        <w:pStyle w:val="FirstParagraph"/>
        <w:spacing w:line="480" w:lineRule="auto"/>
      </w:pPr>
      <w:r>
        <w:t xml:space="preserve">A reasonable reader might ask why the study runs two models rather than committing to the one best suited to duration data. The answer is that duration data can be analyzed as a length or as a rate, and each framing tests the theory while exposing a different failure mode. The length framing, ordinary least squares on gap days, is the most transparent thing that can be done with the outcome. Anyone can read a coefficient in days, check it against the raw gaps in the object panel, and form a judgment without knowing survival analysis. That matters here. That transparency has value in a legal-bureaucratic domain where hidden modeling choices erode trust, and it is why the length model leads.</w:t>
      </w:r>
    </w:p>
    <w:p>
      <w:pPr>
        <w:pStyle w:val="BodyText"/>
        <w:spacing w:line="480" w:lineRule="auto"/>
        <w:ind w:firstLine="720"/>
      </w:pPr>
      <w:r>
        <w:t xml:space="preserve">The length framing also has a known weakness. Because it uses the raw magnitude of every gap, a small number of very long delays can dominate the fit, tilting the line toward the extreme observations. The rate framing, the Cox model, is the remedy. For a skeptical reader, by modeling the hazard and using only the ordering of events, it downweights the exact size of any single long gap and asks a purer timing question: at each moment an object might register, are the higher-alignment objects the ones registering. If the length model’s result were an artifact of a few extreme delays, the Cox model would not reproduce it, because the Cox model does not care how extreme those delays are, only where they fall in the order. The two see differently. Concordance between them is therefore evidence that the empirical finding is not an artifact of magnitude sensitivity. That is the methodological reason for the pairing, and it is a deliberate design choice rather than redundancy.</w:t>
      </w:r>
    </w:p>
    <w:bookmarkEnd w:id="99"/>
    <w:bookmarkStart w:id="100" w:name="assumptions-and-their-consequences"/>
    <w:p>
      <w:pPr>
        <w:pStyle w:val="Heading2"/>
        <w:spacing w:line="480" w:lineRule="auto"/>
      </w:pPr>
      <w:r>
        <w:t xml:space="preserve">Assumptions and their consequences</w:t>
      </w:r>
    </w:p>
    <w:p>
      <w:pPr>
        <w:pStyle w:val="FirstParagraph"/>
        <w:spacing w:line="480" w:lineRule="auto"/>
      </w:pPr>
      <w:r>
        <w:t xml:space="preserve">Each estimator carries assumptions worth naming. The ordinary least squares model assumes a linear relationship between alignment and expected gap over the observed range and assumes that, after robust correction, the errors do not invalidate inference. Linearity is a simplification; the true relationship could bend, and a larger panel could test polynomial or spline forms. Over the pilot design’s range the linear approximation is defensible because the aligned and misaligned clusters are far enough apart that the local shape between them is not the object of interest; the sign and rough size are. Robust standard errors handle the heteroskedasticity that a bounded, skewed outcome produces, which is the most likely inferential threat in a small sample of this kind.</w:t>
      </w:r>
    </w:p>
    <w:p>
      <w:pPr>
        <w:pStyle w:val="BodyText"/>
        <w:spacing w:line="480" w:lineRule="auto"/>
        <w:ind w:firstLine="720"/>
      </w:pPr>
      <w:r>
        <w:t xml:space="preserve">For a skeptical reader, the Cox model assumes proportional hazards, meaning that the ratio of hazards between two objects with different alignment scores is constant over time since launch. In a small registered-only panel this assumption is difficult to test with power, and the study does not claim to have verified it exhaustively; it flags proportionality as an assumption a full study would check with scaled residuals and time-interaction terms. The Cox model also assumes, in this pilot, that every object is an event and none is censored, which is true here by construction and false in the population. Chapter 7 treats the consequence of that construction at length, because it is the sharpest limitation of the design and it shapes exactly what the timing coefficient can be said to describe.</w:t>
      </w:r>
    </w:p>
    <w:bookmarkEnd w:id="100"/>
    <w:bookmarkStart w:id="101" w:name="inference-in-a-small-sample"/>
    <w:p>
      <w:pPr>
        <w:pStyle w:val="Heading2"/>
        <w:spacing w:line="480" w:lineRule="auto"/>
      </w:pPr>
      <w:r>
        <w:t xml:space="preserve">Inference in a small sample</w:t>
      </w:r>
    </w:p>
    <w:p>
      <w:pPr>
        <w:pStyle w:val="FirstParagraph"/>
        <w:spacing w:line="480" w:lineRule="auto"/>
      </w:pPr>
      <w:r>
        <w:t xml:space="preserve">A final methodological point concerns how much to trust the standard errors. For the registry question, small samples with a strongly separating predictor can produce coefficients that are precisely estimated within the sample yet unstable across samples, because the precision reflects how cleanly the predictor orders the observed data rather than how reliably the relationship would replicate. The study reports the standard errors, t statistics, and p-values that the estimators produce, and it reports them exactly, but it interprets them as statements about this panel rather than as guarantees about the population. This is the honest posture for a pilot: the p-values establish that the in-sample relationship is far from what chance ordering alone would yield, while generalization waits on the larger, better-identified study the design is meant to justify. The identification logic, the controls, and the dual estimators together make the pilot design a defensible proof that the effect is present and correctly signed; they do not, and are not meant to, deliver a transportable population estimate.</w:t>
      </w:r>
    </w:p>
    <w:bookmarkEnd w:id="101"/>
    <w:bookmarkStart w:id="102" w:name="the-estimand-in-words"/>
    <w:p>
      <w:pPr>
        <w:pStyle w:val="Heading2"/>
        <w:spacing w:line="480" w:lineRule="auto"/>
      </w:pPr>
      <w:r>
        <w:t xml:space="preserve">The estimand in words</w:t>
      </w:r>
    </w:p>
    <w:p>
      <w:pPr>
        <w:pStyle w:val="FirstParagraph"/>
        <w:spacing w:line="480" w:lineRule="auto"/>
      </w:pPr>
      <w:r>
        <w:t xml:space="preserve">Statistical notation can obscure what is actually being estimated, so it is worth restating the estimand in plain language. For a skeptical reader, both models ask: among objects with comparable documentation workload, is the one launched between more politically aligned states registered sooner?</w:t>
      </w:r>
    </w:p>
    <w:p>
      <w:pPr>
        <w:pStyle w:val="BodyText"/>
        <w:spacing w:line="480" w:lineRule="auto"/>
        <w:ind w:firstLine="720"/>
      </w:pPr>
      <w:r>
        <w:t xml:space="preserve">The length model answers in days saved; the hazard model answers in the elevated rate of registration at any given moment. Neither model claims to estimate what would happen if a planner reached in and raised the alignment of a fixed pair of states while holding everything else constant, because alignment is not a lever anyone pulls in isolation. The estimand is a conditional association within observed launches, which is the most an observational pilot can target, and calling it anything grander would misrepresent the design. The distinction matters for how a reader should use the result. For the registry question, a conditional association is evidence about a pattern in the world, and a pattern is enough to motivate policy attention, to justify a larger study, and to update beliefs about whether timing of registry filing is politically neutral. The record is not enough to support a counterfactual claim that changing a relationship would change a filing time by a specific amount. The study is careful to make only the first kind of claim, and the estimator design is chosen to support that claim honestly rather than to manufacture a causal quantity the data cannot bear.</w:t>
      </w:r>
    </w:p>
    <w:bookmarkEnd w:id="102"/>
    <w:bookmarkStart w:id="103" w:name="from-pilot-design-to-full-design"/>
    <w:p>
      <w:pPr>
        <w:pStyle w:val="Heading2"/>
        <w:spacing w:line="480" w:lineRule="auto"/>
      </w:pPr>
      <w:r>
        <w:t xml:space="preserve">From pilot design to full design</w:t>
      </w:r>
    </w:p>
    <w:p>
      <w:pPr>
        <w:pStyle w:val="FirstParagraph"/>
        <w:spacing w:line="480" w:lineRule="auto"/>
      </w:pPr>
      <w:r>
        <w:t xml:space="preserve">The methodology is written so that the step from pilot to full study is a matter of adding structure, not of rebuilding from scratch. In the full design the same registration-gap outcome and the same alignment predictor are retained, but four sets of fixed effects enter the specification.</w:t>
      </w:r>
    </w:p>
    <w:p>
      <w:pPr>
        <w:pStyle w:val="BodyText"/>
        <w:spacing w:line="480" w:lineRule="auto"/>
        <w:ind w:firstLine="720"/>
      </w:pPr>
      <w:r>
        <w:t xml:space="preserve">For a skeptical reader, responsible-state fixed effects absorb every stable difference between states in bureaucratic capacity, legal culture, and filing routine, so that the alignment coefficient is estimated from variation within each state’s own portfolio of launches. Launch-site-state fixed effects absorb persistent differences in launch-provider documentation practice, addressing the provider-procedure confound directly. Launch-year fixed effects absorb common shocks to the registration environment, such as a global surge in launch volume or a period of heightened institutional attention to registration practice. Orbit-class fixed effects absorb regime-specific filing conventions. Under that structure the identifying variation is dyadic and temporal: the coefficient answers whether a given state accepting responsibility, launching from a given site, registers faster in years when the two states are more aligned than in years when they are less aligned. For the registry question, that is a far stronger test than the pilot design can run, because it holds constant nearly everything except the changing political relationship.</w:t>
      </w:r>
    </w:p>
    <w:p>
      <w:pPr>
        <w:pStyle w:val="BodyText"/>
        <w:spacing w:line="480" w:lineRule="auto"/>
        <w:ind w:firstLine="720"/>
      </w:pPr>
      <w:r>
        <w:t xml:space="preserve">The pilot design does not run it, and the methodology says so plainly. What the pilot design does is establish that the outcome, the predictor, and the controls can all be measured on real records and that, even without the fixed effects, the raw association carries the predicted sign at high significance. The methodological contribution is thus twofold: a working pilot estimator and a fully specified path to the identified estimator that a scaled dataset would support. The traffic-management and supervision literatures make the destination worth reaching, because only the identified estimate can tell a governance body how much of registration latency is political and therefore how much might be addressed by attention to the relationships that produce it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03"/>
    <w:bookmarkStart w:id="104" w:name="clustering-and-dependence-in-the-errors"/>
    <w:p>
      <w:pPr>
        <w:pStyle w:val="Heading2"/>
        <w:spacing w:line="480" w:lineRule="auto"/>
      </w:pPr>
      <w:r>
        <w:t xml:space="preserve">Clustering and dependence in the errors</w:t>
      </w:r>
    </w:p>
    <w:p>
      <w:pPr>
        <w:pStyle w:val="FirstParagraph"/>
        <w:spacing w:line="480" w:lineRule="auto"/>
      </w:pPr>
      <w:r>
        <w:t xml:space="preserve">A methodological subtlety concerns whether the observations are independent. They are not fully independent, because objects sharing a state accepting responsibility, a launch-site government, or a launch campaign may have correlated registration behavior driven by common bureaucratic or procedural factors.</w:t>
      </w:r>
    </w:p>
    <w:p>
      <w:pPr>
        <w:pStyle w:val="BodyText"/>
        <w:spacing w:line="480" w:lineRule="auto"/>
        <w:ind w:firstLine="720"/>
      </w:pPr>
      <w:r>
        <w:t xml:space="preserve">In the pilot design, robust standard errors address heteroskedasticity but do not fully model this clustered dependence, which means the reported precision for the length model should be read as a within-sample description rather than a fully corrected inferential guarantee. A full design would cluster standard errors by state accepting responsibility and launch year, and would consider dyadic clustering where cell sizes permit, so that the uncertainty reflects the true number of independent political relationships rather than the larger number of objects. The pilot design names this as a refinement the scaled study requires, and it does not overstate the independence of its twenty-four rows.</w:t>
      </w:r>
    </w:p>
    <w:p>
      <w:pPr>
        <w:pStyle w:val="BodyText"/>
        <w:spacing w:line="480" w:lineRule="auto"/>
        <w:ind w:firstLine="720"/>
      </w:pPr>
      <w:r>
        <w:t xml:space="preserve">The Cox model faces an analogous concern. Its partial-likelihood inference assumes that, conditional on the covariates, the risk set at each event time is well behaved, and correlated registration within a launch campaign or within a state could violate that assumption.</w:t>
      </w:r>
    </w:p>
    <w:p>
      <w:pPr>
        <w:pStyle w:val="BodyText"/>
        <w:spacing w:line="480" w:lineRule="auto"/>
        <w:ind w:firstLine="720"/>
      </w:pPr>
      <w:r>
        <w:t xml:space="preserve">Frailty terms, which introduce a shared random effect for objects belonging to the same state, are the standard remedy, and a full panel with enough objects per state could estimate them. The pilot design is too small to fit frailty terms reliably, so it reports the standard Cox inference and flags shared-frailty modeling as part of the scaling agenda. Naming these dependence structures is not a concession that the pilot design is uninformative; it is the honest accounting of what a small, clustered sample can and cannot promise about inference, and it marks precisely the estimator refinements that a larger dataset would unlock.</w:t>
      </w:r>
    </w:p>
    <w:bookmarkEnd w:id="104"/>
    <w:bookmarkStart w:id="105" w:name="summary-of-the-identification-argument"/>
    <w:p>
      <w:pPr>
        <w:pStyle w:val="Heading2"/>
        <w:spacing w:line="480" w:lineRule="auto"/>
      </w:pPr>
      <w:r>
        <w:t xml:space="preserve">Summary of the identification argument</w:t>
      </w:r>
    </w:p>
    <w:p>
      <w:pPr>
        <w:pStyle w:val="FirstParagraph"/>
        <w:spacing w:line="480" w:lineRule="auto"/>
      </w:pPr>
      <w:r>
        <w:t xml:space="preserve">For a skeptical reader, the methodology rests on a chain of reasoning worth restating in one place. The theory predicts that alignment shortens the registry delay through interstate friction.</w:t>
      </w:r>
    </w:p>
    <w:p>
      <w:pPr>
        <w:pStyle w:val="BodyText"/>
        <w:spacing w:line="480" w:lineRule="auto"/>
        <w:ind w:firstLine="720"/>
      </w:pPr>
      <w:r>
        <w:t xml:space="preserve">The two estimators translate that prediction into a negative length coefficient and a positive hazard coefficient. The cohort control blocks the most obvious mission-logistics confound. The object panel’s deliberate mix of self-launches and cross-national launches keeps capacity and alignment from being collinear by construction, which is the pilot design’s substitute for the fixed effects it cannot yet fit. For the registry question, the dual-estimator design guards against any single estimator’s assumptions manufacturing the result. And the honest accounting of clustering, near-separation, selection, and the absent fixed effects marks the boundary between what the pilot design identifies, a conditional association within observed launches, and what only a scaled study can identify, a within-dyad political effect purged of capacity and provider procedure. That chain is the whole methodological claim, and Chapter 6 reports what it produced when run on real data.</w:t>
      </w:r>
    </w:p>
    <w:bookmarkEnd w:id="105"/>
    <w:bookmarkEnd w:id="106"/>
    <w:bookmarkStart w:id="120" w:name="chapter-5.-data-and-measurement"/>
    <w:p>
      <w:pPr>
        <w:pStyle w:val="Heading1"/>
        <w:spacing w:line="480" w:lineRule="auto"/>
      </w:pPr>
      <w:r>
        <w:t xml:space="preserve">Chapter 5. Data and Measurement</w:t>
      </w:r>
    </w:p>
    <w:p>
      <w:pPr>
        <w:pStyle w:val="FirstParagraph"/>
        <w:spacing w:line="480" w:lineRule="auto"/>
      </w:pPr>
      <w:r>
        <w:t xml:space="preserve">Every empirical claim is only as good as the records beneath it. For the registry question, the chapter documents those records in full: what the unit of analysis is, how each variable was constructed, which public sources fed it, how many observations survive, and what the resulting panel looks like. The governing principle is auditability. A reader who doubts any single number should be able to open the source chain, find the object, and check the value against the public record. The object panel is small by design, and its smallness is what makes this level of transparency possible.</w:t>
      </w:r>
    </w:p>
    <w:bookmarkStart w:id="107" w:name="the-unit-of-analysis"/>
    <w:p>
      <w:pPr>
        <w:pStyle w:val="Heading2"/>
        <w:spacing w:line="480" w:lineRule="auto"/>
      </w:pPr>
      <w:r>
        <w:t xml:space="preserve">The unit of analysis</w:t>
      </w:r>
    </w:p>
    <w:p>
      <w:pPr>
        <w:pStyle w:val="FirstParagraph"/>
        <w:spacing w:line="480" w:lineRule="auto"/>
      </w:pPr>
      <w:r>
        <w:t xml:space="preserve">The unit is a named space object. One object, one row. Each row in the object panel is one object that reached orbit and later appeared in the UNOOSA record, and each row carries the same fields: the object name, the state accepting responsibility, the launch-site government, the launch date, the registration date, the registry delay in days, a twelve-month timeliness flag, an event indicator, the political-proximity score, the raw and log-transformed launch cohort size, a low-Earth-orbit indicator, the orbit class, and a source string. The choice of the object as the unit follows the prospectus and the theory. Registration is an space-object-level act, responsibility attaches to objects, and the political relationship of interest is the one between the object’s state accepting responsibility and the state whose territory it launched from.</w:t>
      </w:r>
    </w:p>
    <w:p>
      <w:pPr>
        <w:pStyle w:val="BodyText"/>
        <w:spacing w:line="480" w:lineRule="auto"/>
        <w:ind w:firstLine="720"/>
      </w:pPr>
      <w:r>
        <w:t xml:space="preserve">The object panel holds twenty-four objects. For the registry question, that count is the effective sample size for both estimators reported in Chapter 6. Twenty-four is a deliberate figure. The record is large enough to span the range of launch arrangements the theory needs, self-launches and cross-national launches, aligned and misaligned dyads, single satellites and large rideshares, and small enough that every observation can be individually inspected and defended. A census of the UNOOSA index would run to tens of thousands of objects; this pilot trades that coverage for the ability to trace each row to its source.</w:t>
      </w:r>
    </w:p>
    <w:bookmarkEnd w:id="107"/>
    <w:bookmarkStart w:id="108" w:name="constructing-the-dependent-variable"/>
    <w:p>
      <w:pPr>
        <w:pStyle w:val="Heading2"/>
        <w:spacing w:line="480" w:lineRule="auto"/>
      </w:pPr>
      <w:r>
        <w:t xml:space="preserve">Constructing the dependent variable</w:t>
      </w:r>
    </w:p>
    <w:p>
      <w:pPr>
        <w:pStyle w:val="FirstParagraph"/>
        <w:spacing w:line="480" w:lineRule="auto"/>
      </w:pPr>
      <w:r>
        <w:t xml:space="preserve">The dependent variable is the registry delay, defined as the number of days between the launch date and the formal registry filing date:</w:t>
      </w:r>
    </w:p>
    <w:p>
      <w:pPr>
        <w:pStyle w:val="BodyText"/>
        <w:spacing w:line="480" w:lineRule="auto"/>
        <w:ind w:firstLine="720"/>
      </w:pPr>
      <w:r>
        <w:t xml:space="preserve">RegistrationGapDays_i = RegistrationDate_i - LaunchDate_i.</w:t>
      </w:r>
    </w:p>
    <w:p>
      <w:pPr>
        <w:pStyle w:val="BodyText"/>
        <w:spacing w:line="480" w:lineRule="auto"/>
        <w:ind w:firstLine="720"/>
      </w:pPr>
      <w:r>
        <w:t xml:space="preserve">Both dates come from open public records: the launch date from the object and launch record, and the registration date from the formal registry filing submission surfaced through the UNOOSA index and register</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definition is intentionally strict about which registration date counts.</w:t>
      </w:r>
    </w:p>
    <w:p>
      <w:pPr>
        <w:pStyle w:val="BodyText"/>
        <w:spacing w:line="480" w:lineRule="auto"/>
        <w:ind w:firstLine="720"/>
      </w:pPr>
      <w:r>
        <w:t xml:space="preserve">The record is the date of formal registry filing, not the date the object first appeared in an operational catalog such as a public satellite catalog, not the date of a press announcement, and not the date a secondary mirror updated. Keeping the legal registration date distinct from operational catalog appearance matters because the two can diverge by months, and mixing them would contaminate the very quantity the study studies. For the registry question, public catalogs are used only as cross-checks on object identity and launch timing, never as the source of the registration date itself</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spread is wide. Across the twenty-four objects the registry delay ranges from eighty days to seven hundred days, with a mean of roughly two hundred ninety-eight days. That range is the point: if every object registered in a similar interval, there would be no timing variation to explain. Fifteen of the twenty-four objects registered within twelve months of launch, and nine did not, so the twelve-month timeliness flag divides the object panel into a majority that met a reasonable quickness threshold and a substantial minority that did not.</w:t>
      </w:r>
    </w:p>
    <w:bookmarkEnd w:id="108"/>
    <w:bookmarkStart w:id="109" w:name="constructing-the-alignment-measure"/>
    <w:p>
      <w:pPr>
        <w:pStyle w:val="Heading2"/>
        <w:spacing w:line="480" w:lineRule="auto"/>
      </w:pPr>
      <w:r>
        <w:t xml:space="preserve">Constructing the alignment measure</w:t>
      </w:r>
    </w:p>
    <w:p>
      <w:pPr>
        <w:pStyle w:val="FirstParagraph"/>
        <w:spacing w:line="480" w:lineRule="auto"/>
      </w:pPr>
      <w:r>
        <w:t xml:space="preserve">For a skeptical reader, the main predictor is the political-proximity score, defined as the annual voting-agreement score between the state accepting responsibility and the launch-site government for the object’s launch year. The record is hand-coded from the United Nations Digital Library roll-call voting records, which expose how each state voted on General Assembly questions</w:t>
      </w:r>
      <w:r>
        <w:t xml:space="preserve"> </w:t>
      </w:r>
      <w:hyperlink w:anchor="ref-9">
        <w:r>
          <w:rPr>
            <w:rStyle w:val="Hyperlink"/>
          </w:rPr>
          <w:t xml:space="preserve">[9]</w:t>
        </w:r>
      </w:hyperlink>
      <w:r>
        <w:t xml:space="preserve">. The score runs from zero, meaning the two states rarely voted together, to one, meaning they voted together consistently. For a self-launch, where the state accepting responsibility and the launch-site government are the same government, the score is one by definition, because a state agrees with itself. In the object panel the political-proximity score ranges from 0.25 to 1.00. For the registry question, the low end is populated by cross-national launches between states with divergent voting patterns, such as a Western European operator’s objects launched from a Russian site during a period of sharp disagreement. The high end is populated both by self-launches and by launches between closely aligned partners. The score is a proxy, and Chapter 7 examines its limits in detail. Here the essential point is that it is behavioral and observable: it records votes cast, not friendships asserted, and any reader can reconstruct it from the same public roll-call records.</w:t>
      </w:r>
    </w:p>
    <w:bookmarkEnd w:id="109"/>
    <w:bookmarkStart w:id="110" w:name="controls-and-object-characteristics"/>
    <w:p>
      <w:pPr>
        <w:pStyle w:val="Heading2"/>
        <w:spacing w:line="480" w:lineRule="auto"/>
      </w:pPr>
      <w:r>
        <w:t xml:space="preserve">Controls and object characteristics</w:t>
      </w:r>
    </w:p>
    <w:p>
      <w:pPr>
        <w:pStyle w:val="FirstParagraph"/>
        <w:spacing w:line="480" w:lineRule="auto"/>
      </w:pPr>
      <w:r>
        <w:t xml:space="preserve">Log launch cohort size is the control that enters both estimators. For a skeptical reader, cohort size is the number of objects that shared the launch campaign, and it is logged as ln(1 + Cohort) so that the marginal effect of additional objects diminishes, which matches how documentation workload actually scales. In the object panel the cohorts range from single flagship satellites to rideshare deployments carrying dozens of objects, and the log transform keeps the largest cohorts from dominating the control. Orbit class is recorded for every object. Sixteen of the twenty-four objects are in low Earth orbit, seven are in geostationary orbit, and one is in a highly elliptical or interplanetary transfer regime. Recording orbit class makes the orbital composition of the object panel visible and allows a reader to check that the alignment effect is not concentrated in a single regime. The regimes differ. The low-Earth-orbit indicator is retained as a convenience flag derived from the orbit class.</w:t>
      </w:r>
    </w:p>
    <w:p>
      <w:pPr>
        <w:pStyle w:val="BodyText"/>
        <w:spacing w:line="480" w:lineRule="auto"/>
        <w:ind w:firstLine="720"/>
      </w:pPr>
      <w:r>
        <w:t xml:space="preserve">The responsible and launch-site states are recorded by their standard country codes. Seventeen distinct responsible states appear, from major space powers to emerging space actors, and six distinct launch-site states appear, reflecting the concentration of orbital-class launch capacity in a small number of providers. Ten objects are self-launches, where the two roles coincide, and fourteen are cross-national, where they differ. For a skeptical reader, that split is the structural contrast the identification argument in Chapter 4 relies on, and it is present in the data by construction rather than by accident.</w:t>
      </w:r>
    </w:p>
    <w:bookmarkEnd w:id="110"/>
    <w:bookmarkStart w:id="111" w:name="provenance-and-reproducibility"/>
    <w:p>
      <w:pPr>
        <w:pStyle w:val="Heading2"/>
        <w:spacing w:line="480" w:lineRule="auto"/>
      </w:pPr>
      <w:r>
        <w:t xml:space="preserve">Provenance and reproducibility</w:t>
      </w:r>
    </w:p>
    <w:p>
      <w:pPr>
        <w:pStyle w:val="FirstParagraph"/>
        <w:spacing w:line="480" w:lineRule="auto"/>
      </w:pPr>
      <w:r>
        <w:t xml:space="preserve">Every row carries a source string that names the source families behind it: the UNOOSA Online Index, the relevant state’s registration submission, the UN Digital Library voting records, and public catalog cross-checks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Provenance is the point. The provenance discipline is what separates this panel from an anonymous spreadsheet. A reviewer who disputes the registration date of a particular object can consult the named submission. For the registry question, a reviewer who disputes an political-proximity score can recompute it from the roll-call record. A reviewer who suspects a launch was mislabeled can check the public catalog. Nothing in the object panel depends on private data, proprietary feeds, or judgment that cannot be retraced.</w:t>
      </w:r>
    </w:p>
    <w:p>
      <w:pPr>
        <w:pStyle w:val="BodyText"/>
        <w:spacing w:line="480" w:lineRule="auto"/>
        <w:ind w:firstLine="720"/>
      </w:pPr>
      <w:r>
        <w:t xml:space="preserve">This design keeps faith with the prospectus while being candid about its scope. The prospectus envisioned a full event-history extraction with censored unregistered objects and a battery of fixed effects; the pilot design demonstrates that the variable set underlying that vision can be operationalized on real cited records before the larger extraction is attempted. The scaling path is clear. A future build would ingest the complete UNOOSA index, retain launched-but-unregistered objects as right-censored cases, add treaty-status and orbit-class covariates, and split multistate launches into fractional rows</w:t>
      </w:r>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24">
        <w:r>
          <w:rPr>
            <w:rStyle w:val="Hyperlink"/>
          </w:rPr>
          <w:t xml:space="preserve">[24]</w:t>
        </w:r>
      </w:hyperlink>
      <w:r>
        <w:t xml:space="preserve">. The architecture would not change; only the row count would. The object panel documented here is the proof that the architecture holds, and Chapter 6 reads it to produce the study’s central numbers.</w:t>
      </w:r>
    </w:p>
    <w:bookmarkEnd w:id="111"/>
    <w:bookmarkStart w:id="112" w:name="the-composition-of-the-panel-in-detail"/>
    <w:p>
      <w:pPr>
        <w:pStyle w:val="Heading2"/>
        <w:spacing w:line="480" w:lineRule="auto"/>
      </w:pPr>
      <w:r>
        <w:t xml:space="preserve">The composition of the panel in detail</w:t>
      </w:r>
    </w:p>
    <w:p>
      <w:pPr>
        <w:pStyle w:val="FirstParagraph"/>
        <w:spacing w:line="480" w:lineRule="auto"/>
      </w:pPr>
      <w:r>
        <w:t xml:space="preserve">Reading the object panel object by object clarifies what the estimators will later summarize. For the registry question, at the short-gap end sit the domestic launches of major space powers.</w:t>
      </w:r>
    </w:p>
    <w:p>
      <w:pPr>
        <w:pStyle w:val="BodyText"/>
        <w:spacing w:line="480" w:lineRule="auto"/>
        <w:ind w:firstLine="720"/>
      </w:pPr>
      <w:r>
        <w:t xml:space="preserve">A United States Earth-observation satellite launched from a United States range registers within roughly four to five months; a United States geostationary weather satellite within about five to six months; a reconnaissance object faster still. Chinese domestic launches occupy a similar band, registering within three to six months of a domestic launch. These objects share two features: the state accepting responsibility and the launch-site government are identical, so alignment is one, and the state accepting responsibility operates a mature filing apparatus. They anchor the short end and, by construction, they conflate high alignment with high capacity, which is a limitation the identification design must work around rather than a flaw in the data. For a skeptical reader, the middle of the object panel holds cross-national launches between reasonably aligned partners. A Gulf state’s interplanetary probe launched from a Japanese range, a Latin American radar satellite launched from a United States range, and a Southeast Asian communications satellite launched from a French range register within roughly four to twelve months, with alignment scores in the moderate-to-high band from about 0.6 to 0.8. These objects are the analytically interesting ones because they are not self-launches, so their alignment varies for reasons independent of the state accepting responsibility’s own capacity, and their gaps vary with it.</w:t>
      </w:r>
    </w:p>
    <w:p>
      <w:pPr>
        <w:pStyle w:val="BodyText"/>
        <w:spacing w:line="480" w:lineRule="auto"/>
        <w:ind w:firstLine="720"/>
      </w:pPr>
      <w:r>
        <w:t xml:space="preserve">The long-gap end is dominated by cross-national launches between states with low roll-call agreement. Western European constellation objects launched from Russian ranges register only after fourteen to seventeen months, with alignment scores in the 0.25 to 0.37 band.</w:t>
      </w:r>
    </w:p>
    <w:p>
      <w:pPr>
        <w:pStyle w:val="BodyText"/>
        <w:spacing w:line="480" w:lineRule="auto"/>
        <w:ind w:firstLine="720"/>
      </w:pPr>
      <w:r>
        <w:t xml:space="preserve">For the registry question, an African communications satellite launched from a Russian range registers after seventeen months; another after more than a year and a half. An Italian object launched from a United States range in an earlier period registers only after roughly twenty-three months. These are the objects whose delays the theory attributes to the friction of filing across an uneasy relationship, and they supply the variation that makes the alignment coefficient large. Their presence in the object panel is deliberate, because without them the alignment range would be truncated and the test would be weak.</w:t>
      </w:r>
    </w:p>
    <w:bookmarkEnd w:id="112"/>
    <w:bookmarkStart w:id="113" w:name="data-cleaning-rules-and-edge-cases"/>
    <w:p>
      <w:pPr>
        <w:pStyle w:val="Heading2"/>
        <w:spacing w:line="480" w:lineRule="auto"/>
      </w:pPr>
      <w:r>
        <w:t xml:space="preserve">Data-cleaning rules and edge cases</w:t>
      </w:r>
    </w:p>
    <w:p>
      <w:pPr>
        <w:pStyle w:val="FirstParagraph"/>
        <w:spacing w:line="480" w:lineRule="auto"/>
      </w:pPr>
      <w:r>
        <w:t xml:space="preserve">Several coding rules govern how ambiguous cases were resolved, and stating them protects the object panel against the charge of silent discretion. When a launch carried many objects, a single representative object or a named object sample was coded rather than every fragment, and the cohort-size field records the full campaign count so that the workload control remains accurate even though the row count does not explode. When a state accepting responsibility differed from the operator, the UNOOSA responsible-state field governed, consistent with the treaty’s allocation of responsibility to the launching state rather than the commercial operator</w:t>
      </w:r>
      <w:r>
        <w:t xml:space="preserve"> </w:t>
      </w:r>
      <w:hyperlink w:anchor="ref-10">
        <w:r>
          <w:rPr>
            <w:rStyle w:val="Hyperlink"/>
          </w:rPr>
          <w:t xml:space="preserve">[10]</w:t>
        </w:r>
      </w:hyperlink>
      <w:r>
        <w:t xml:space="preserve">. When an object could be assigned more than one orbit label, the dominant operational regime was used, and the raw apogee and perigee context informed the choice.</w:t>
      </w:r>
    </w:p>
    <w:p>
      <w:pPr>
        <w:pStyle w:val="BodyText"/>
        <w:spacing w:line="480" w:lineRule="auto"/>
        <w:ind w:firstLine="720"/>
      </w:pPr>
      <w:r>
        <w:t xml:space="preserve">Multistate launches, where more than one state might claim responsibility, are the hardest edge case, and the pilot design handles them conservatively by coding the primary state accepting responsibility from the UNOOSA field and leaving fractional multistate assignment to the robustness agenda of a full study. This is a simplification, and it is flagged as one. For the registry question, it could, in principle, misattribute an object whose true responsibility is shared, but the number of such objects in the pilot design is small and their exclusion from fractional treatment does not drive the central result, which rests on the clear contrast between aligned self-launches and misaligned cross-national launches.</w:t>
      </w:r>
    </w:p>
    <w:bookmarkEnd w:id="113"/>
    <w:bookmarkStart w:id="114" w:name="descriptive-patterns-before-estimation"/>
    <w:p>
      <w:pPr>
        <w:pStyle w:val="Heading2"/>
        <w:spacing w:line="480" w:lineRule="auto"/>
      </w:pPr>
      <w:r>
        <w:t xml:space="preserve">Descriptive patterns before estimation</w:t>
      </w:r>
    </w:p>
    <w:p>
      <w:pPr>
        <w:pStyle w:val="FirstParagraph"/>
        <w:spacing w:line="480" w:lineRule="auto"/>
      </w:pPr>
      <w:r>
        <w:t xml:space="preserve">Before any model is fit, the raw panel already suggests the relationship the estimators will formalize. The objects with alignment scores at or near one register, on average, in well under six months.</w:t>
      </w:r>
    </w:p>
    <w:p>
      <w:pPr>
        <w:pStyle w:val="BodyText"/>
        <w:spacing w:line="480" w:lineRule="auto"/>
        <w:ind w:firstLine="720"/>
      </w:pPr>
      <w:r>
        <w:t xml:space="preserve">The objects with alignment scores below 0.4 register, on average, in well over a year. The fifteen objects that met the twelve-month timeliness threshold skew toward higher alignment; the nine that missed it skew toward lower alignment. For a skeptical reader, this descriptive pattern is not proof, because it does not yet control for cohort workload and it does not yet separate alignment from capacity, but it is the shape the formal estimators in Chapter 6 will confirm and quantify. Presenting it here, before the modeling, lets the reader see that the coefficients to come are summarizing a pattern already visible in the rows rather than conjuring one from statistical machinery</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4"/>
    <w:bookmarkStart w:id="115" w:name="Xa0f40ca600c7ac73c7c2a5129f156b1c81fc214"/>
    <w:p>
      <w:pPr>
        <w:pStyle w:val="Heading2"/>
        <w:spacing w:line="480" w:lineRule="auto"/>
      </w:pPr>
      <w:r>
        <w:t xml:space="preserve">Validity of the registration-date measure</w:t>
      </w:r>
    </w:p>
    <w:p>
      <w:pPr>
        <w:pStyle w:val="FirstParagraph"/>
        <w:spacing w:line="480" w:lineRule="auto"/>
      </w:pPr>
      <w:r>
        <w:t xml:space="preserve">Because the registration date is half of the dependent variable, its validity deserves scrutiny. The public registry records a formal act, but the public surfacing of that act can occur through several dates: the date the submission was received, the date it was published in the public registry, and the date printed on the document itself.</w:t>
      </w:r>
    </w:p>
    <w:p>
      <w:pPr>
        <w:pStyle w:val="BodyText"/>
        <w:spacing w:line="480" w:lineRule="auto"/>
        <w:ind w:firstLine="720"/>
      </w:pPr>
      <w:r>
        <w:t xml:space="preserve">These can differ, and inconsistent use of them across states would introduce noise into the gap. For the registry question, the pilot design adopts a single rule, taking the formal registry filing date as surfaced through the UNOOSA index and register, and it applies that rule uniformly</w:t>
      </w:r>
      <w:r>
        <w:t xml:space="preserve"> </w:t>
      </w:r>
      <w:hyperlink w:anchor="ref-7">
        <w:r>
          <w:rPr>
            <w:rStyle w:val="Hyperlink"/>
          </w:rPr>
          <w:t xml:space="preserve">[7]</w:t>
        </w:r>
      </w:hyperlink>
      <w:r>
        <w:t xml:space="preserve"> </w:t>
      </w:r>
      <w:hyperlink w:anchor="ref-8">
        <w:r>
          <w:rPr>
            <w:rStyle w:val="Hyperlink"/>
          </w:rPr>
          <w:t xml:space="preserve">[8]</w:t>
        </w:r>
      </w:hyperlink>
      <w:r>
        <w:t xml:space="preserve">. Where a record was ambiguous, the more conservative later date was used, which biases measured gaps upward slightly but does so consistently and therefore does not create spurious variation correlated with alignment.</w:t>
      </w:r>
    </w:p>
    <w:p>
      <w:pPr>
        <w:pStyle w:val="BodyText"/>
        <w:spacing w:line="480" w:lineRule="auto"/>
        <w:ind w:firstLine="720"/>
      </w:pPr>
      <w:r>
        <w:t xml:space="preserve">The cross-checks against public catalogs serve a specific and limited purpose here. Operational catalogs such as public satellite catalogs record when an object was first tracked, not when it was registered, and the two can diverge by many months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pilot design never uses the catalog date as the registration date; it uses the catalog only to confirm object identity and to sanity-check the launch date. For a skeptical reader, this separation is deliberate and important, because conflating operational tracking with legal registration would collapse the very distinction the study studies. A reader auditing the object panel should verify that the registration date traces to a registration source and not to a catalog, and the source string on each row makes that verification possible.</w:t>
      </w:r>
    </w:p>
    <w:bookmarkEnd w:id="115"/>
    <w:bookmarkStart w:id="116" w:name="validity-of-the-alignment-measure"/>
    <w:p>
      <w:pPr>
        <w:pStyle w:val="Heading2"/>
        <w:spacing w:line="480" w:lineRule="auto"/>
      </w:pPr>
      <w:r>
        <w:t xml:space="preserve">Validity of the alignment measure</w:t>
      </w:r>
    </w:p>
    <w:p>
      <w:pPr>
        <w:pStyle w:val="FirstParagraph"/>
        <w:spacing w:line="480" w:lineRule="auto"/>
      </w:pPr>
      <w:r>
        <w:t xml:space="preserve">The political-proximity score’s validity rests on the roll-call record being an adequate proxy for the diplomatic comfort the theory invokes. Two checks bound the concern. First, the score is computed for the launch year, so it reflects the political relationship contemporaneous with the launch rather than a later state of relations that could not have influenced the submission decision. For the registry question, second, the score is bounded between zero and one and coded from the same source family across all rows, so that differences between objects reflect genuine differences in roll-call agreement rather than differences in coding procedure</w:t>
      </w:r>
      <w:r>
        <w:t xml:space="preserve"> </w:t>
      </w:r>
      <w:hyperlink w:anchor="ref-9">
        <w:r>
          <w:rPr>
            <w:rStyle w:val="Hyperlink"/>
          </w:rPr>
          <w:t xml:space="preserve">[9]</w:t>
        </w:r>
      </w:hyperlink>
      <w:r>
        <w:t xml:space="preserve">. The score is coarse; it does not distinguish a warm alliance from a merely cordial relationship at the high end, nor a frosty relationship from open hostility at the low end. But coarseness is a loss of resolution, not a source of bias, and for a pilot whose task is to establish direction rather than to estimate a precise slope, a coarse but unbiased proxy is adequate.</w:t>
      </w:r>
    </w:p>
    <w:bookmarkEnd w:id="116"/>
    <w:bookmarkStart w:id="117" w:name="the-panel-as-a-reproducibility-artifact"/>
    <w:p>
      <w:pPr>
        <w:pStyle w:val="Heading2"/>
        <w:spacing w:line="480" w:lineRule="auto"/>
      </w:pPr>
      <w:r>
        <w:t xml:space="preserve">The panel as a reproducibility artifact</w:t>
      </w:r>
    </w:p>
    <w:p>
      <w:pPr>
        <w:pStyle w:val="FirstParagraph"/>
        <w:spacing w:line="480" w:lineRule="auto"/>
      </w:pPr>
      <w:r>
        <w:t xml:space="preserve">The deepest purpose of the measurement design is reproducibility, and it is worth stating what reproducibility means here concretely. Every value in the object panel can be regenerated from public sources by an independent analyst: the launch and registration dates from the UNOOSA records, the alignment scores from the roll-call archive, the cohort sizes from the launch records, and the orbit classes from the orbital parameters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For a skeptical reader, nothing depends on a private feed, a paywalled dataset, or an unrepeatable judgment. This property is rare in space-governance measurement, where elegant datasets often rest on sources that cannot be reopened, and it is the property that lets the study invite adversarial scrutiny rather than fear it. A reviewer who suspects the empirical finding is an artifact of coding can recode the object panel and check. The measurement design is built to make that check easy, because a pilot that cannot be checked is a pilot that cannot be trusted, and trust is exactly what a bounded sample must earn to justify the larger study it points toward.</w:t>
      </w:r>
    </w:p>
    <w:bookmarkEnd w:id="117"/>
    <w:bookmarkStart w:id="118" w:name="variable-definitions-in-one-place"/>
    <w:p>
      <w:pPr>
        <w:pStyle w:val="Heading2"/>
        <w:spacing w:line="480" w:lineRule="auto"/>
      </w:pPr>
      <w:r>
        <w:t xml:space="preserve">Variable definitions in one place</w:t>
      </w:r>
    </w:p>
    <w:p>
      <w:pPr>
        <w:pStyle w:val="FirstParagraph"/>
        <w:spacing w:line="480" w:lineRule="auto"/>
      </w:pPr>
      <w:r>
        <w:t xml:space="preserve">For reference, the object panel’s core variables are defined as follows. For the registry question, registration-gap days is the count of calendar days between the launch date and the formal registry filing date, computed row by row from those two fields.</w:t>
      </w:r>
    </w:p>
    <w:p>
      <w:pPr>
        <w:pStyle w:val="BodyText"/>
        <w:spacing w:line="480" w:lineRule="auto"/>
        <w:ind w:firstLine="720"/>
      </w:pPr>
      <w:r>
        <w:t xml:space="preserve">Alignment score is the annual voting-agreement score between the state accepting responsibility and the launch-site government for the launch year, coded from the roll-call record and bounded between zero and one</w:t>
      </w:r>
      <w:r>
        <w:t xml:space="preserve"> </w:t>
      </w:r>
      <w:hyperlink w:anchor="ref-9">
        <w:r>
          <w:rPr>
            <w:rStyle w:val="Hyperlink"/>
          </w:rPr>
          <w:t xml:space="preserve">[9]</w:t>
        </w:r>
      </w:hyperlink>
      <w:r>
        <w:t xml:space="preserve">. Log launch cohort size is the natural log of one plus the number of objects in the launch campaign, which compresses the influence of very large rideshares. The twelve-month timeliness flag is one when the registry delay is three hundred sixty-five days or less and zero otherwise, giving a coarse binary companion to the continuous gap. The event indicator is one for every object in this registered-object pilot, reflecting that the object panel contains no censored cases; the low-Earth-orbit indicator is one where the orbit class is low Earth orbit. For a skeptical reader, each definition is deliberately simple so that a reader can reconstruct any value from the raw fields without proprietary knowledge.</w:t>
      </w:r>
    </w:p>
    <w:p>
      <w:pPr>
        <w:pStyle w:val="BodyText"/>
        <w:spacing w:line="480" w:lineRule="auto"/>
        <w:ind w:firstLine="720"/>
      </w:pPr>
      <w:r>
        <w:t xml:space="preserve">Simplicity is deliberate. The simplicity is a design choice, not a limitation of ambition. A lean variable set with transparent definitions is easier to audit, easier to port to a larger extraction, and harder to game than an elaborate set of derived measures whose construction a reader cannot follow. The prospectus envisioned additional covariates, multistate involvement indicators, treaty-status variables, and finer orbital regime distinctions, and a full study would add them. For the registry question, the pilot design holds to the minimal set needed to test the central prediction, which keeps the demonstration clean and the auditability high.</w:t>
      </w:r>
    </w:p>
    <w:bookmarkEnd w:id="118"/>
    <w:bookmarkStart w:id="119" w:name="the-panels-place-in-the-argument"/>
    <w:p>
      <w:pPr>
        <w:pStyle w:val="Heading2"/>
        <w:spacing w:line="480" w:lineRule="auto"/>
      </w:pPr>
      <w:r>
        <w:t xml:space="preserve">The panel’s place in the argument</w:t>
      </w:r>
    </w:p>
    <w:p>
      <w:pPr>
        <w:pStyle w:val="FirstParagraph"/>
        <w:spacing w:line="480" w:lineRule="auto"/>
      </w:pPr>
      <w:r>
        <w:t xml:space="preserve">The evidence documented here are the hinge on which the whole dissertation turns. Everything before the chapter argued that timing of registry filing should track alignment; everything after it reports and interprets whether, in these records, it does. The credibility of that report depends entirely on the credibility of the object panel, which is why the chapter has dwelt on provenance, date validity, alignment validity, coding rules, and reproducibility at length. A reader who accepts the object panel as an honest, checkable rendering of open public records can accept the coefficients in Chapter 6 as summarizing real relationships in real data. For a skeptical reader, a reader who doubts the object panel can reopen the sources and test it. Either way the argument rests on evidence a third party can inspect, which is the standard a doctoral empirical claim must meet, and which the bounded, fully sourced design of this panel was built to satisfy. Chapter 6 now reads the object panel and reports exactly what the two estimators return.</w:t>
      </w:r>
    </w:p>
    <w:bookmarkEnd w:id="119"/>
    <w:bookmarkEnd w:id="120"/>
    <w:bookmarkStart w:id="131" w:name="chapter-6.-results"/>
    <w:p>
      <w:pPr>
        <w:pStyle w:val="Heading1"/>
        <w:spacing w:line="480" w:lineRule="auto"/>
      </w:pPr>
      <w:r>
        <w:t xml:space="preserve">Chapter 6. Results</w:t>
      </w:r>
    </w:p>
    <w:p>
      <w:pPr>
        <w:pStyle w:val="FirstParagraph"/>
        <w:spacing w:line="480" w:lineRule="auto"/>
      </w:pPr>
      <w:r>
        <w:t xml:space="preserve">The chapter reports what the two estimators return when they read the twenty-four-object panel. For the registry question, the numbers are stated exactly as the models produce them, and the signs and magnitudes are then interpreted against the theory. Both estimators agree on direction: higher alignment is associated with faster registration. They disagree, informatively, on how much confidence the object panel can bear for each coefficient, and that disagreement is part of the honest reporting.</w:t>
      </w:r>
    </w:p>
    <w:bookmarkStart w:id="121" w:name="paper-1-the-length-of-gap-regression"/>
    <w:p>
      <w:pPr>
        <w:pStyle w:val="Heading2"/>
        <w:spacing w:line="480" w:lineRule="auto"/>
      </w:pPr>
      <w:r>
        <w:t xml:space="preserve">Paper 1: the length-of-gap regression</w:t>
      </w:r>
    </w:p>
    <w:p>
      <w:pPr>
        <w:pStyle w:val="FirstParagraph"/>
        <w:spacing w:line="480" w:lineRule="auto"/>
      </w:pPr>
      <w:r>
        <w:t xml:space="preserve">The first paper estimates the ordinary least squares model of registration-gap days on alignment and log cohort size across N = 24 objects. The fitted equation is</w:t>
      </w:r>
    </w:p>
    <w:p>
      <w:pPr>
        <w:pStyle w:val="BodyText"/>
        <w:spacing w:line="480" w:lineRule="auto"/>
        <w:ind w:firstLine="720"/>
      </w:pPr>
      <w:r>
        <w:t xml:space="preserve">For a skeptical reader, gap_i = alpha + beta_1 Alignment_i + beta_2 ln(1 + Cohort_i) + epsilon_i.</w:t>
      </w:r>
    </w:p>
    <w:p>
      <w:pPr>
        <w:pStyle w:val="BodyText"/>
        <w:spacing w:line="480" w:lineRule="auto"/>
        <w:ind w:firstLine="720"/>
      </w:pPr>
      <w:r>
        <w:t xml:space="preserve">The estimated intercept is 797.18 days. The coefficient on alignment is -656.90, and the coefficient on log cohort size is -18.36. Standard errors are heteroskedasticity-robust. The robust standard error on the intercept is 69.16, on alignment 63.76, and on log cohort size 13.02. For the registry question, the corresponding robust t statistics are 11.53 for the intercept, -10.30 for alignment, and -1.41 for log cohort size. The alignment coefficient is significant well beyond the conventional thresholds, with a two-sided p-value below 0.001, while the cohort control is not statistically distinguishable from zero at conventional levels, with a two-sided p-value of roughly 0.16. The estimator explains a large share of the variation in timing of registry filing within the object panel, with an R-squared of 0.824.</w:t>
      </w:r>
    </w:p>
    <w:p>
      <w:pPr>
        <w:pStyle w:val="BodyText"/>
        <w:spacing w:line="480" w:lineRule="auto"/>
        <w:ind w:firstLine="720"/>
      </w:pPr>
      <w:r>
        <w:t xml:space="preserve">The sign is negative. Read the alignment coefficient literally. Across the observed range, moving from the least aligned dyad to a perfectly aligned dyad, a shift of alignment from near zero to one, is associated with a reduction in the expected registry delay of about six hundred fifty-seven days. That is a very large number relative to the object panel mean of roughly two hundred ninety-eight days, and its size is a direct consequence of the pilot design’s construction rather than a claim about the world at large. The object panel deliberately spans the full alignment range, from 0.25 to 1.00, and within that span the aligned self-launches cluster at short gaps of eighty to one hundred seventy days while the least aligned cross-national launches cluster at long gaps of four hundred fifty to seven hundred days. The regression line connecting those clusters is steep because the clusters are far apart. The coefficient is precise, but the magnitude should be read as descriptive of this bounded sample, not as a transportable elasticity.</w:t>
      </w:r>
    </w:p>
    <w:p>
      <w:pPr>
        <w:pStyle w:val="BodyText"/>
        <w:spacing w:line="480" w:lineRule="auto"/>
        <w:ind w:firstLine="720"/>
      </w:pPr>
      <w:r>
        <w:t xml:space="preserve">The control behaves. The cohort control behaves sensibly. Its coefficient is negative and modest, hinting that larger rideshare campaigns may register marginally faster, perhaps because high-volume operators run more industrialized filing pipelines, but the estimate is imprecise and cannot be distinguished from zero here. What matters for the central claim is that the alignment effect is estimated net of cohort size, so the alignment result is not an artifact of aligned launches happening to be smaller or larger than misaligned ones. The sign on alignment is negative, exactly as the theory in Chapter 3 predicted: more agreement, fewer days.</w:t>
      </w:r>
    </w:p>
    <w:bookmarkEnd w:id="121"/>
    <w:bookmarkStart w:id="122" w:name="paper-2-the-registration-hazard-model"/>
    <w:p>
      <w:pPr>
        <w:pStyle w:val="Heading2"/>
        <w:spacing w:line="480" w:lineRule="auto"/>
      </w:pPr>
      <w:r>
        <w:t xml:space="preserve">Paper 2: the registration-hazard model</w:t>
      </w:r>
    </w:p>
    <w:p>
      <w:pPr>
        <w:pStyle w:val="FirstParagraph"/>
        <w:spacing w:line="480" w:lineRule="auto"/>
      </w:pPr>
      <w:r>
        <w:t xml:space="preserve">For a skeptical reader, the second paper estimates a Cox event-history model on the same panel, with registration-gap days as the duration and formal registry filing as the event. All twenty-four objects in the pilot design are registered, so the model runs on N = 24 with 24 events and no censoring. The specified hazard is</w:t>
      </w:r>
    </w:p>
    <w:p>
      <w:pPr>
        <w:pStyle w:val="BodyText"/>
        <w:spacing w:line="480" w:lineRule="auto"/>
        <w:ind w:firstLine="720"/>
      </w:pPr>
      <w:r>
        <w:t xml:space="preserve">h_i(t) = h_0(t) exp(beta_1 Alignment_i + beta_2 ln(1 + Cohort_i)).</w:t>
      </w:r>
    </w:p>
    <w:p>
      <w:pPr>
        <w:pStyle w:val="BodyText"/>
        <w:spacing w:line="480" w:lineRule="auto"/>
        <w:ind w:firstLine="720"/>
      </w:pPr>
      <w:r>
        <w:t xml:space="preserve">The estimated coefficient on alignment is 12.78, with a standard error of 3.29, a z statistic of 3.88, and a two-sided p-value of about 0.0001. For the registry question, the estimated coefficient on log cohort size is 0.52, with a standard error of 0.26, a z statistic of 1.98, and a two-sided p-value of about 0.047. The alignment coefficient is positive and strongly significant; the cohort coefficient is positive and significant at roughly the five percent level. A positive alignment coefficient in the Cox model means that higher alignment raises the instantaneous hazard of registration, which is the timing-model way of saying that aligned objects register sooner. The direction holds. This confirms the ordinary least squares direction through an entirely different estimand. For a skeptical reader, the ordinary least squares model asked how long the gap is; the Cox model asks how quickly the gap closes. They agree.</w:t>
      </w:r>
    </w:p>
    <w:p>
      <w:pPr>
        <w:pStyle w:val="BodyText"/>
        <w:spacing w:line="480" w:lineRule="auto"/>
        <w:ind w:firstLine="720"/>
      </w:pPr>
      <w:r>
        <w:t xml:space="preserve">Now the magnitude. The hazard ratio deserves careful handling. Exponentiating the alignment coefficient of 12.78 produces an enormous hazard ratio, on the order of hundreds of thousands, and no honest reading treats that figure as a literal statement that aligned objects register hundreds of thousands of times faster than misaligned ones. For the registry question, the number is large because alignment is measured on a zero-to-one scale and because, in this small panel, alignment almost perfectly orders the objects from earliest to latest registration. A predictor that nearly separates the outcome produces a large coefficient in any exponential-family model, and the Cox model is no exception. The correct interpretation is directional and ordinal: within this panel, alignment is a very strong predictor of the order in which objects register, and the effect is far from what sampling noise alone would produce. The magnitude is a small-sample artifact; the sign and the significance are the substantive findings.</w:t>
      </w:r>
    </w:p>
    <w:p>
      <w:pPr>
        <w:pStyle w:val="BodyText"/>
        <w:spacing w:line="480" w:lineRule="auto"/>
        <w:ind w:firstLine="720"/>
      </w:pPr>
      <w:r>
        <w:t xml:space="preserve">The cohort coefficient in the Cox model is positive, with a hazard ratio of about 1.68, suggesting that larger cohorts register somewhat faster in the timing sense. For a skeptical reader, this is not in tension with the near-zero cohort effect in the ordinary least squares length model, because the two estimators weight the data differently, and cohort size is a control rather than a variable the theory makes a directional claim about. The relevant point is that alignment carries its predicted positive sign in the hazard even with cohort size in the model.</w:t>
      </w:r>
    </w:p>
    <w:p>
      <w:pPr>
        <w:pStyle w:val="BodyText"/>
        <w:spacing w:line="480" w:lineRule="auto"/>
        <w:ind w:firstLine="720"/>
      </w:pPr>
      <w:r>
        <w:t xml:space="preserve">Both signs land where the theory placed them. The length coefficient is negative; the hazard coefficient is positive. That is the result in miniature.</w:t>
      </w:r>
    </w:p>
    <w:bookmarkEnd w:id="122"/>
    <w:bookmarkStart w:id="123" w:name="reading-the-two-results-together"/>
    <w:p>
      <w:pPr>
        <w:pStyle w:val="Heading2"/>
        <w:spacing w:line="480" w:lineRule="auto"/>
      </w:pPr>
      <w:r>
        <w:t xml:space="preserve">Reading the two results together</w:t>
      </w:r>
    </w:p>
    <w:p>
      <w:pPr>
        <w:pStyle w:val="FirstParagraph"/>
        <w:spacing w:line="480" w:lineRule="auto"/>
      </w:pPr>
      <w:r>
        <w:t xml:space="preserve">They converge. The two estimators converge, and the convergence is the empirical core of the study. In the length model, alignment enters with a negative coefficient of -656.90 and a p-value below 0.001. In the hazard model, alignment enters with a positive coefficient of 12.78 and a p-value near 0.0001. One says the gap is shorter when alignment is higher; the other says the registration rate is higher when alignment is higher. For a skeptical reader, these are two faces of a single pattern, and the fact that it appears under both a magnitude-sensitive estimator and a rank-based estimator makes it harder to attribute to the peculiarities of either method. The theory predicted a negative ordinary least squares coefficient and a positive Cox coefficient, and both predictions hold.</w:t>
      </w:r>
    </w:p>
    <w:p>
      <w:pPr>
        <w:pStyle w:val="BodyText"/>
        <w:spacing w:line="480" w:lineRule="auto"/>
        <w:ind w:firstLine="720"/>
      </w:pPr>
      <w:r>
        <w:t xml:space="preserve">The pattern is consistent with the sovereignty-signaling account developed in Chapter 3. Aligned dyads move from launch to public legal attribution quickly; misaligned dyads leave the object physically present but legally unclaimed for far longer. The objects that anchor the short-gap end of the object panel are self-launches by major space powers and launches between close partners, where the political-proximity score sits at or near one. For the registry question, the objects that anchor the long-gap end are cross-national launches between states with low roll-call agreement, where a smaller space actor’s object rode a larger, less aligned power’s rocket and took well over a year to register. The registry, read this way, is not a neutral clock. Its tempo covaries with geopolitics in exactly the direction the traffic-management and sustainability literatures would find worrying, because it implies that transparency arrives slowest for precisely the dyads where responsibility is most contested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3"/>
    <w:bookmarkStart w:id="124" w:name="what-the-numbers-do-not-settle"/>
    <w:p>
      <w:pPr>
        <w:pStyle w:val="Heading2"/>
        <w:spacing w:line="480" w:lineRule="auto"/>
      </w:pPr>
      <w:r>
        <w:t xml:space="preserve">What the numbers do not settle</w:t>
      </w:r>
    </w:p>
    <w:p>
      <w:pPr>
        <w:pStyle w:val="FirstParagraph"/>
        <w:spacing w:line="480" w:lineRule="auto"/>
      </w:pPr>
      <w:r>
        <w:t xml:space="preserve">Boundaries remain. The estimates establish an association within a bounded panel of registered objects. For a skeptical reader, they do not establish that any individual delay was a deliberate diplomatic act, and the coefficients cannot distinguish among the several pathways, trust, shared bureaucratic channels, familiarity between agencies and launch providers, through which alignment might operate. The magnitudes, especially the Cox hazard ratio, are inflated by small-sample near-separation and should not be quoted as effect sizes for the broader population. And because the Cox model here contains no censored unregistered objects, it speaks to the speed of registration among objects that eventually registered, not to the probability of ever registering. These are the boundaries the next chapter examines. What survives them is the empirical finding stated plainly: in this space-object-level panel, higher dyadic political alignment is associated with shorter registry delays and faster registration, under two estimators, at high statistical significance</w:t>
      </w:r>
      <w:r>
        <w:t xml:space="preserve"> </w:t>
      </w:r>
      <w:hyperlink w:anchor="ref-9">
        <w:r>
          <w:rPr>
            <w:rStyle w:val="Hyperlink"/>
          </w:rPr>
          <w:t xml:space="preserve">[9]</w:t>
        </w:r>
      </w:hyperlink>
      <w:r>
        <w:t xml:space="preserve">.</w:t>
      </w:r>
    </w:p>
    <w:bookmarkEnd w:id="124"/>
    <w:bookmarkStart w:id="125" w:name="the-coefficients-in-tabular-summary"/>
    <w:p>
      <w:pPr>
        <w:pStyle w:val="Heading2"/>
        <w:spacing w:line="480" w:lineRule="auto"/>
      </w:pPr>
      <w:r>
        <w:t xml:space="preserve">The coefficients in tabular summary</w:t>
      </w:r>
    </w:p>
    <w:p>
      <w:pPr>
        <w:pStyle w:val="FirstParagraph"/>
        <w:spacing w:line="480" w:lineRule="auto"/>
      </w:pPr>
      <w:r>
        <w:t xml:space="preserve">It helps to hold the two models side by side. In the ordinary least squares length model, across N = 24 objects, the intercept is 797.18 days with robust standard error 69.16, the alignment coefficient is -656.90 with robust standard error 63.76 and t statistic -10.30, and the log cohort coefficient is -18.36 with robust standard error 13.02 and t statistic -1.41. The model’s R-squared is 0.824, meaning it accounts for roughly eighty-two percent of the variation in registry delay within the object panel. In the Cox hazard model, also on N = 24 with 24 events, the alignment coefficient is 12.78 with standard error 3.29, z statistic 3.88, and p-value near 0.0001, while the log cohort coefficient is 0.52 with standard error 0.26, z statistic 1.98, and p-value near 0.047. The alignment hazard ratio is very large for the near-separation reason already explained, and the cohort hazard ratio is approximately 1.68.</w:t>
      </w:r>
    </w:p>
    <w:p>
      <w:pPr>
        <w:pStyle w:val="BodyText"/>
        <w:spacing w:line="480" w:lineRule="auto"/>
        <w:ind w:firstLine="720"/>
      </w:pPr>
      <w:r>
        <w:t xml:space="preserve">For a skeptical reader, the two alignment estimates carry opposite signs by design, and that opposition is the internal consistency check. A negative coefficient in a length model and a positive coefficient in a hazard model describe the same underlying relationship, because shorter length is faster rate. Had the signs failed to flip, one of the models would have been misspecified or the relationship would have been an artifact. They flip cleanly, which is what a real, correctly modeled effect looks like across these two framings.</w:t>
      </w:r>
    </w:p>
    <w:bookmarkEnd w:id="125"/>
    <w:bookmarkStart w:id="126" w:name="X933cbd66a9c2cc823c2ed792e7be1b2c05f53ea"/>
    <w:p>
      <w:pPr>
        <w:pStyle w:val="Heading2"/>
        <w:spacing w:line="480" w:lineRule="auto"/>
      </w:pPr>
      <w:r>
        <w:t xml:space="preserve">Interpreting the magnitude against the panel</w:t>
      </w:r>
    </w:p>
    <w:p>
      <w:pPr>
        <w:pStyle w:val="FirstParagraph"/>
        <w:spacing w:line="480" w:lineRule="auto"/>
      </w:pPr>
      <w:r>
        <w:t xml:space="preserve">To keep the magnitude grounded, compare the fitted relationship to the raw objects. For the registry question, the object panel mean gap is about two hundred ninety-eight days, and the gaps run from eighty days to seven hundred days. The ordinary least squares slope of -656.90 days across the full zero-to-one alignment range is larger than the object panel’s own range of mean-centered variation, which is only possible because alignment and gap are so tightly coupled in this sample that the fitted line runs nearly the full vertical extent of the data as alignment sweeps its full horizontal extent. That is the signature of near-separation, and it is why the honest reading treats the slope as a description of how far apart the aligned and misaligned clusters sit rather than as a marginal effect that would hold for a small perturbation of alignment in a larger, denser sample.</w:t>
      </w:r>
    </w:p>
    <w:p>
      <w:pPr>
        <w:pStyle w:val="BodyText"/>
        <w:spacing w:line="480" w:lineRule="auto"/>
        <w:ind w:firstLine="720"/>
      </w:pPr>
      <w:r>
        <w:t xml:space="preserve">The same caution applies with more force to the Cox hazard ratio. A coefficient of 12.78 exponentiates to a figure in the hundreds of thousands, and quoting that figure as if aligned objects register hundreds of thousands of times faster would be absurd. For a skeptical reader, the defensible statement is ordinal: within this panel, alignment sorts the objects from earliest to latest registration almost perfectly, and the probability of achieving that sort by chance is on the order of one in ten thousand, which is what the p-value near 0.0001 records. The magnitude is a small-sample inflation; the ordering and its statistical improbability are the substance.</w:t>
      </w:r>
    </w:p>
    <w:bookmarkEnd w:id="126"/>
    <w:bookmarkStart w:id="127" w:name="robustness-within-the-pilot"/>
    <w:p>
      <w:pPr>
        <w:pStyle w:val="Heading2"/>
        <w:spacing w:line="480" w:lineRule="auto"/>
      </w:pPr>
      <w:r>
        <w:t xml:space="preserve">Robustness within the pilot</w:t>
      </w:r>
    </w:p>
    <w:p>
      <w:pPr>
        <w:pStyle w:val="FirstParagraph"/>
        <w:spacing w:line="480" w:lineRule="auto"/>
      </w:pPr>
      <w:r>
        <w:t xml:space="preserve">Even within a bounded panel, a few internal checks lend confidence to the direction. The alignment effect does not depend on a single dyad, because dropping any one state accepting responsibility still leaves the aligned self-launches short and the misaligned cross-national launches long, so no lone country pair is manufacturing the result. The effect is visible in both orbital regimes that have enough objects to inspect, appearing among the sixteen low-Earth-orbit objects and the seven geostationary objects rather than being confined to one regime. For the registry question, the cohort control, though imprecise, carries a consistent sign across both estimators, which suggests the workload channel is real but secondary to the alignment channel. None of these internal checks substitutes for the fixed effects and censored cases a full study would add, and none is presented as if it did. They establish only that the pilot design’s central pattern is not the product of one object, one country, or one orbit, which is the most a panel of this size can honestly show</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27"/>
    <w:bookmarkStart w:id="128" w:name="the-result-in-one-sentence"/>
    <w:p>
      <w:pPr>
        <w:pStyle w:val="Heading2"/>
        <w:spacing w:line="480" w:lineRule="auto"/>
      </w:pPr>
      <w:r>
        <w:t xml:space="preserve">The result in one sentence</w:t>
      </w:r>
    </w:p>
    <w:p>
      <w:pPr>
        <w:pStyle w:val="FirstParagraph"/>
        <w:spacing w:line="480" w:lineRule="auto"/>
      </w:pPr>
      <w:r>
        <w:t xml:space="preserve">Stripped to its core, Chapter 6 reports this: two estimators, reading twenty-four real space objects drawn from open public records, both find that objects launched between politically aligned states acquire their public legal identity faster than objects launched between misaligned states, with the alignment coefficient negative and highly significant in the length model and positive and highly significant in the hazard model. Everything the study claims rests on that sentence, and everything Chapter 7 qualifies is how far that sentence can travel.</w:t>
      </w:r>
    </w:p>
    <w:bookmarkEnd w:id="128"/>
    <w:bookmarkStart w:id="129" w:name="Xbe4cae1bb6d38619cc40dcec3ce6022ec657a96"/>
    <w:p>
      <w:pPr>
        <w:pStyle w:val="Heading2"/>
        <w:spacing w:line="480" w:lineRule="auto"/>
      </w:pPr>
      <w:r>
        <w:t xml:space="preserve">Why the cohort control behaves differently across the two models</w:t>
      </w:r>
    </w:p>
    <w:p>
      <w:pPr>
        <w:pStyle w:val="FirstParagraph"/>
        <w:spacing w:line="480" w:lineRule="auto"/>
      </w:pPr>
      <w:r>
        <w:t xml:space="preserve">For a skeptical reader, a careful reader will notice that log cohort size is essentially null in the length model, with a t statistic of -1.41, yet significant in the hazard model, with a z statistic of 1.98 and a p-value near 0.047. This is not a contradiction, and explaining it demonstrates that the two estimators are genuinely reading the data differently rather than mechanically reproducing one another. The length model asks how many days the cohort adds or subtracts on average, and in this panel large rideshare deployments span both short and long gaps, so their average effect on gap length is small and imprecisely estimated. The hazard model asks about the rate of registration at each moment, and there the ordering of events gives the cohort variable more traction, because the large cohorts that do register early register very early, which the rank-based hazard model registers as a positive effect on the instantaneous rate.</w:t>
      </w:r>
    </w:p>
    <w:p>
      <w:pPr>
        <w:pStyle w:val="BodyText"/>
        <w:spacing w:line="480" w:lineRule="auto"/>
        <w:ind w:firstLine="720"/>
      </w:pPr>
      <w:r>
        <w:t xml:space="preserve">The lesson is methodological. When a control behaves consistently in sign but differently in significance across a magnitude-based and a rank-based estimator, the divergence is informative about how the variable operates rather than evidence of instability. For the central alignment variable, by contrast, the two estimators agree in both sign and significance, which is exactly the concordance that makes the alignment finding robust and the cohort finding secondary. The study does not build its claim on the cohort coefficient; it builds the claim on the alignment coefficient, which behaves identically under both framings.</w:t>
      </w:r>
    </w:p>
    <w:bookmarkEnd w:id="129"/>
    <w:bookmarkStart w:id="130" w:name="X41d4857596196ce2077aef83e9cde860854cc38"/>
    <w:p>
      <w:pPr>
        <w:pStyle w:val="Heading2"/>
        <w:spacing w:line="480" w:lineRule="auto"/>
      </w:pPr>
      <w:r>
        <w:t xml:space="preserve">Placing the numbers in the governance frame</w:t>
      </w:r>
    </w:p>
    <w:p>
      <w:pPr>
        <w:pStyle w:val="FirstParagraph"/>
        <w:spacing w:line="480" w:lineRule="auto"/>
      </w:pPr>
      <w:r>
        <w:t xml:space="preserve">The coefficients acquire their meaning only when returned to the governance question that motivated them. The finding is that the public registry describes aligned dyads quickly and misaligned dyads slowly, and the estimated gap between the two, whatever its exact transportable magnitude, is measured in many months. For the traffic-management systems that consume public registry data, many months is a long time to operate with an incompletely attributed object in a congested regime</w:t>
      </w:r>
      <w:r>
        <w:t xml:space="preserve"> </w:t>
      </w:r>
      <w:hyperlink w:anchor="ref-3">
        <w:r>
          <w:rPr>
            <w:rStyle w:val="Hyperlink"/>
          </w:rPr>
          <w:t xml:space="preserve">[3]</w:t>
        </w:r>
      </w:hyperlink>
      <w:r>
        <w:t xml:space="preserve"> </w:t>
      </w:r>
      <w:hyperlink w:anchor="ref-6">
        <w:r>
          <w:rPr>
            <w:rStyle w:val="Hyperlink"/>
          </w:rPr>
          <w:t xml:space="preserve">[6]</w:t>
        </w:r>
      </w:hyperlink>
      <w:r>
        <w:t xml:space="preserve">. For the sustainability instruments that score operators on transparency, a systematically slower register for contested dyads means those instruments are least reliable precisely where the political stakes are highest</w:t>
      </w:r>
      <w:r>
        <w:t xml:space="preserve"> </w:t>
      </w:r>
      <w:hyperlink w:anchor="ref-4">
        <w:r>
          <w:rPr>
            <w:rStyle w:val="Hyperlink"/>
          </w:rPr>
          <w:t xml:space="preserve">[4]</w:t>
        </w:r>
      </w:hyperlink>
      <w:r>
        <w:t xml:space="preserve">. For the supervision architectures that require known responsibility before an approach, a delayed registration is a delayed clearance to act</w:t>
      </w:r>
      <w:r>
        <w:t xml:space="preserve"> </w:t>
      </w:r>
      <w:hyperlink w:anchor="ref-5">
        <w:r>
          <w:rPr>
            <w:rStyle w:val="Hyperlink"/>
          </w:rPr>
          <w:t xml:space="preserve">[5]</w:t>
        </w:r>
      </w:hyperlink>
      <w:r>
        <w:t xml:space="preserve">. The numbers in the chapter are not merely statistical outputs; they are estimates of how long the orbital information environment runs incomplete, and how that incompleteness correlates with geopolitics.</w:t>
      </w:r>
    </w:p>
    <w:p>
      <w:pPr>
        <w:pStyle w:val="BodyText"/>
        <w:spacing w:line="480" w:lineRule="auto"/>
        <w:ind w:firstLine="720"/>
      </w:pPr>
      <w:r>
        <w:t xml:space="preserve">This is why the study reports the estimates exactly and interprets them carefully rather than either suppressing the awkward magnitudes or inflating the modest ones. For the registry question, the exact alignment coefficient of -656.90 days in the length model and 12.78 in the hazard model, the exact standard errors of 63.76 and 3.29, the exact p-values below 0.001 and near 0.0001, and the exact sample of 24 objects with 24 events are the empirical facts the rest of the study must honor. Chapter 7 tests how far those facts generalize, and Chapter 8 draws out what they imply for how the public registry should be built and read. The facts themselves are fixed here, reported as the estimators produced them, so that every later argument is anchored to numbers a reader can check against the object panel rather than to impressions the prose might otherwise smuggle in.</w:t>
      </w:r>
    </w:p>
    <w:bookmarkEnd w:id="130"/>
    <w:bookmarkEnd w:id="131"/>
    <w:bookmarkStart w:id="146" w:name="chapter-7.-discussion-and-limitations"/>
    <w:p>
      <w:pPr>
        <w:pStyle w:val="Heading1"/>
        <w:spacing w:line="480" w:lineRule="auto"/>
      </w:pPr>
      <w:r>
        <w:t xml:space="preserve">Chapter 7. Discussion and Limitations</w:t>
      </w:r>
    </w:p>
    <w:p>
      <w:pPr>
        <w:pStyle w:val="FirstParagraph"/>
        <w:spacing w:line="480" w:lineRule="auto"/>
      </w:pPr>
      <w:r>
        <w:t xml:space="preserve">The estimates in Chapter 6 are strong in one narrow sense and fragile in several others, and a doctoral treatment owes the reader both halves of that ledger. For the registry question, the chapter interprets what the findings mean, then subjects them to the threats they must survive: sample size and separation, selection on registered objects, measurement error in dates, the alignment proxy, and the absence of fixed effects. The aim is not to explain the findings away. The record is to state precisely how much weight they can bear and where a skeptic is right to push.</w:t>
      </w:r>
    </w:p>
    <w:bookmarkStart w:id="132" w:name="what-the-findings-mean"/>
    <w:p>
      <w:pPr>
        <w:pStyle w:val="Heading2"/>
        <w:spacing w:line="480" w:lineRule="auto"/>
      </w:pPr>
      <w:r>
        <w:t xml:space="preserve">What the findings mean</w:t>
      </w:r>
    </w:p>
    <w:p>
      <w:pPr>
        <w:pStyle w:val="FirstParagraph"/>
        <w:spacing w:line="480" w:lineRule="auto"/>
      </w:pPr>
      <w:r>
        <w:t xml:space="preserve">Two estimators, reading the same twenty-four objects, agree that higher alignment is associated with faster registration. The length model puts a large negative coefficient on alignment; the hazard model puts a large positive one. For a skeptical reader, taken at face value, the object panel says that when a state accepting responsibility and a launch-site government vote together at the United Nations, the object launched between them acquires its public legal identity quickly, and when they do not, the object can sit unclaimed for a year or more. That is the sovereignty-signaling pattern the theory anticipated, and its appearance under two methods with different sensitivities is the strongest thing this study can claim. Read it as a conditional. The meaning is best stated that way. If the object panel is representative of the broader registration process, and if the alignment proxy captures what the theory needs it to, then timing of registry filing is politically conditioned, and the registry’s reliability varies across dyads. For the registry question, both conditionals are contestable, which is why the empirical finding is an invitation to a larger study rather than a verdict. The value of the pilot design is that it makes the invitation concrete: it shows the pattern is present and sizable in real records, so a full extraction is worth the effort. A null result in the pilot design would have counseled against that effort.</w:t>
      </w:r>
    </w:p>
    <w:bookmarkEnd w:id="132"/>
    <w:bookmarkStart w:id="133" w:name="the-small-sample-and-near-separation"/>
    <w:p>
      <w:pPr>
        <w:pStyle w:val="Heading2"/>
        <w:spacing w:line="480" w:lineRule="auto"/>
      </w:pPr>
      <w:r>
        <w:t xml:space="preserve">The small sample and near-separation</w:t>
      </w:r>
    </w:p>
    <w:p>
      <w:pPr>
        <w:pStyle w:val="FirstParagraph"/>
        <w:spacing w:line="480" w:lineRule="auto"/>
      </w:pPr>
      <w:r>
        <w:t xml:space="preserve">The first and largest limitation is that twenty-four objects is a small panel, and in a small panel a strong predictor can nearly separate the outcome. Alignment does exactly that here.</w:t>
      </w:r>
    </w:p>
    <w:p>
      <w:pPr>
        <w:pStyle w:val="BodyText"/>
        <w:spacing w:line="480" w:lineRule="auto"/>
        <w:ind w:firstLine="720"/>
      </w:pPr>
      <w:r>
        <w:t xml:space="preserve">For a skeptical reader, the aligned objects cluster at short gaps and the misaligned objects cluster at long gaps, with little overlap, so the estimators reward alignment with very large coefficients. The clusters barely overlap. This is why the Cox hazard ratio is astronomically large and must not be read as a literal effect size. Near-separation inflates magnitudes without necessarily inflating the reliability of the sign, but it does mean the specific numbers, the six-hundred-fifty-seven-day ordinary least squares slope and the double-digit Cox coefficient, are properties of this sample rather than estimates of a stable population parameter. The precision reported in Chapter 6, with p-values below 0.001, should be read in that light. For the registry question, the coefficients are precisely estimated within the object panel, but precision within a bounded, purposively assembled sample is not the same as generalizability. A larger panel with more overlap between aligned and misaligned dyads at similar gap lengths would very likely produce a smaller, more stable coefficient, and that is the estimate a policy reader should eventually want. The pilot design establishes direction and presence; it does not pin down magnitude, and it does not pretend to.</w:t>
      </w:r>
    </w:p>
    <w:bookmarkEnd w:id="133"/>
    <w:bookmarkStart w:id="134" w:name="selection-on-registered-objects"/>
    <w:p>
      <w:pPr>
        <w:pStyle w:val="Heading2"/>
        <w:spacing w:line="480" w:lineRule="auto"/>
      </w:pPr>
      <w:r>
        <w:t xml:space="preserve">Selection on registered objects</w:t>
      </w:r>
    </w:p>
    <w:p>
      <w:pPr>
        <w:pStyle w:val="FirstParagraph"/>
        <w:spacing w:line="480" w:lineRule="auto"/>
      </w:pPr>
      <w:r>
        <w:t xml:space="preserve">The second limitation is structural to how the object panel was built. Every object in it was eventually registered, which means the Cox model contains no censored cases. For a skeptical reader, it estimates the speed of registration among objects that registered, not the probability that a launched object ever registers. This is a meaningful gap between the pilot design and the prospectus design, which called for launched-but-unregistered objects to remain in the risk set as right-censored observations. The direction of the resulting bias is worth stating. If misaligned dyads are not only slower to register but also more likely to never register, then excluding never-registered objects removes the most extreme misaligned cases, and the true alignment effect on the full launched population would be even larger than the object panel shows. If instead never-registration is unrelated to alignment, the exclusion mostly costs statistical power rather than biasing the sign. For the registry question, either way, the honest reading is that this pilot speaks to registered objects, and a full study must add the censored ones before the empirical finding can be extended to the act of registering at all rather than the speed of it</w:t>
      </w:r>
      <w:r>
        <w:t xml:space="preserve"> </w:t>
      </w:r>
      <w:hyperlink w:anchor="ref-8">
        <w:r>
          <w:rPr>
            <w:rStyle w:val="Hyperlink"/>
          </w:rPr>
          <w:t xml:space="preserve">[8]</w:t>
        </w:r>
      </w:hyperlink>
      <w:r>
        <w:t xml:space="preserve"> </w:t>
      </w:r>
      <w:hyperlink w:anchor="ref-24">
        <w:r>
          <w:rPr>
            <w:rStyle w:val="Hyperlink"/>
          </w:rPr>
          <w:t xml:space="preserve">[24]</w:t>
        </w:r>
      </w:hyperlink>
      <w:r>
        <w:t xml:space="preserve">.</w:t>
      </w:r>
    </w:p>
    <w:bookmarkEnd w:id="134"/>
    <w:bookmarkStart w:id="135" w:name="measurement-error-in-dates"/>
    <w:p>
      <w:pPr>
        <w:pStyle w:val="Heading2"/>
        <w:spacing w:line="480" w:lineRule="auto"/>
      </w:pPr>
      <w:r>
        <w:t xml:space="preserve">Measurement error in dates</w:t>
      </w:r>
    </w:p>
    <w:p>
      <w:pPr>
        <w:pStyle w:val="FirstParagraph"/>
        <w:spacing w:line="480" w:lineRule="auto"/>
      </w:pPr>
      <w:r>
        <w:t xml:space="preserve">Registration dates are not always clean. A submission may be dated to receipt, to publication, or to the document itself, and public mirrors of the public registry can update at different speeds.</w:t>
      </w:r>
    </w:p>
    <w:p>
      <w:pPr>
        <w:pStyle w:val="BodyText"/>
        <w:spacing w:line="480" w:lineRule="auto"/>
        <w:ind w:firstLine="720"/>
      </w:pPr>
      <w:r>
        <w:t xml:space="preserve">The object panel adopts a strict rule, taking the formal registry filing date rather than any operational catalog appearance, and cross-checks object identity against public catalogs</w:t>
      </w:r>
      <w:r>
        <w:t xml:space="preserve"> </w:t>
      </w:r>
      <w:hyperlink w:anchor="ref-7">
        <w:r>
          <w:rPr>
            <w:rStyle w:val="Hyperlink"/>
          </w:rPr>
          <w:t xml:space="preserve">[7]</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That discipline reduces one class of error but cannot eliminate it. If date definitions vary systematically with the state accepting responsibility, and if that variation correlates with alignment, some of the estimated effect could reflect measurement convention rather than behavior. A full study would test alternative date definitions and report sensitivity to month-level rather than day-level timing, as the prospectus anticipated. The pilot design flags the vulnerability rather than resolving it.</w:t>
      </w:r>
    </w:p>
    <w:bookmarkEnd w:id="135"/>
    <w:bookmarkStart w:id="136" w:name="the-alignment-proxy"/>
    <w:p>
      <w:pPr>
        <w:pStyle w:val="Heading2"/>
        <w:spacing w:line="480" w:lineRule="auto"/>
      </w:pPr>
      <w:r>
        <w:t xml:space="preserve">The alignment proxy</w:t>
      </w:r>
    </w:p>
    <w:p>
      <w:pPr>
        <w:pStyle w:val="FirstParagraph"/>
        <w:spacing w:line="480" w:lineRule="auto"/>
      </w:pPr>
      <w:r>
        <w:t xml:space="preserve">Voting agreement is an observable proxy for diplomatic proximity, not a complete measure of it</w:t>
      </w:r>
      <w:r>
        <w:t xml:space="preserve"> </w:t>
      </w:r>
      <w:hyperlink w:anchor="ref-9">
        <w:r>
          <w:rPr>
            <w:rStyle w:val="Hyperlink"/>
          </w:rPr>
          <w:t xml:space="preserve">[9]</w:t>
        </w:r>
      </w:hyperlink>
      <w:r>
        <w:t xml:space="preserve">. Two states can vote together at the United Nations while cooperating poorly on space matters, or vote apart while maintaining a working technical relationship through their space agencies. For the registry question, the proxy captures general political alignment, which the interdependence and shared-interest literatures link to smoother cooperation across domains</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but the link from general alignment to the specific bureaucratic act of registration is an inference, not a measurement. The study treats it as an inference throughout and never claims to have observed the submission decision itself.</w:t>
      </w:r>
    </w:p>
    <w:p>
      <w:pPr>
        <w:pStyle w:val="BodyText"/>
        <w:spacing w:line="480" w:lineRule="auto"/>
        <w:ind w:firstLine="720"/>
      </w:pPr>
      <w:r>
        <w:t xml:space="preserve">The record contains a subtler concern. For self-launches the political-proximity score is one by construction, because a state agrees with itself, and self-launches are also the objects with the shortest gaps and the strongest bureaucratic capacity.</w:t>
      </w:r>
    </w:p>
    <w:p>
      <w:pPr>
        <w:pStyle w:val="BodyText"/>
        <w:spacing w:line="480" w:lineRule="auto"/>
        <w:ind w:firstLine="720"/>
      </w:pPr>
      <w:r>
        <w:t xml:space="preserve">Some of the alignment effect could therefore be a capacity effect wearing an alignment mask, since the most aligned observations are precisely the most capable filers. For a skeptical reader, the cross-national launches in the object panel guard against this partly, by providing alignment variation among objects that are not self-launches, but the concern is real and a full design with responsible-state fixed effects is the proper remedy. Fixed effects would ask whether a given state registers faster when its launch-site relationship is warmer, holding the state’s own capacity constant, which is the clean version of the test.</w:t>
      </w:r>
    </w:p>
    <w:bookmarkEnd w:id="136"/>
    <w:bookmarkStart w:id="137" w:name="the-absence-of-fixed-effects"/>
    <w:p>
      <w:pPr>
        <w:pStyle w:val="Heading2"/>
        <w:spacing w:line="480" w:lineRule="auto"/>
      </w:pPr>
      <w:r>
        <w:t xml:space="preserve">The absence of fixed effects</w:t>
      </w:r>
    </w:p>
    <w:p>
      <w:pPr>
        <w:pStyle w:val="FirstParagraph"/>
        <w:spacing w:line="480" w:lineRule="auto"/>
      </w:pPr>
      <w:r>
        <w:t xml:space="preserve">The pilot design fits no responsible-state, launch-site-state, launch-year, or orbit-class fixed effects. It approximates their protection by spanning a deliberate range of launch arrangements, but approximation is not absorption.</w:t>
      </w:r>
    </w:p>
    <w:p>
      <w:pPr>
        <w:pStyle w:val="BodyText"/>
        <w:spacing w:line="480" w:lineRule="auto"/>
        <w:ind w:firstLine="720"/>
      </w:pPr>
      <w:r>
        <w:t xml:space="preserve">Without fixed effects, the estimators cannot fully separate the alignment signal from stable differences in bureaucratic culture, launch-provider routine, or the registration climate of a particular year. For the registry question, the prospectus design includes all four sets of fixed effects for exactly this reason, and the pilot design’s job is to justify building the object panel large enough to support them, not to substitute for them. The traffic-management and supervision literatures make that expansion worth the cost, because a politically conditioned registry undermines the coordination those literatures depend on, and confirming the conditioning rigorously is a precondition for addressing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7"/>
    <w:bookmarkStart w:id="138" w:name="what-the-data-cannot-show"/>
    <w:p>
      <w:pPr>
        <w:pStyle w:val="Heading2"/>
        <w:spacing w:line="480" w:lineRule="auto"/>
      </w:pPr>
      <w:r>
        <w:t xml:space="preserve">What the data cannot show</w:t>
      </w:r>
    </w:p>
    <w:p>
      <w:pPr>
        <w:pStyle w:val="FirstParagraph"/>
        <w:spacing w:line="480" w:lineRule="auto"/>
      </w:pPr>
      <w:r>
        <w:t xml:space="preserve">Three things lie permanently beyond this design. It cannot show intent; an association between alignment and timing is compatible with deliberate signaling, with unconscious bureaucratic friction, and with confounders no one has measured.</w:t>
      </w:r>
    </w:p>
    <w:p>
      <w:pPr>
        <w:pStyle w:val="BodyText"/>
        <w:spacing w:line="480" w:lineRule="auto"/>
        <w:ind w:firstLine="720"/>
      </w:pPr>
      <w:r>
        <w:t xml:space="preserve">It cannot show mechanism; the coefficients do not distinguish trust from shared bureaucratic channels from simple familiarity between agencies. For a skeptical reader, and it cannot show causation; alignment is chosen, not assigned, and no bounded observational panel can rule out that some third factor drives both the partnership and the quickness. The study holds all three lines. Its claim is an association, precisely stated, in a bounded panel of registered objects, consistent with a theory that a larger and better-identified study should now test. That is a modest claim, and Chapter 8 argues it is nonetheless a useful one.</w:t>
      </w:r>
    </w:p>
    <w:bookmarkEnd w:id="138"/>
    <w:bookmarkStart w:id="139" w:name="Xa13e7789de2f3425125892f05dd01132f24bbd3"/>
    <w:p>
      <w:pPr>
        <w:pStyle w:val="Heading2"/>
        <w:spacing w:line="480" w:lineRule="auto"/>
      </w:pPr>
      <w:r>
        <w:t xml:space="preserve">Reverse causation and the timing of alignment</w:t>
      </w:r>
    </w:p>
    <w:p>
      <w:pPr>
        <w:pStyle w:val="FirstParagraph"/>
        <w:spacing w:line="480" w:lineRule="auto"/>
      </w:pPr>
      <w:r>
        <w:t xml:space="preserve">One threat deserves separate treatment because it is easy to overlook: the possibility that the causal arrow runs backward or sideways. For the registry question, the study treats alignment as prior to timing of registry filing, measuring roll-call agreement in the launch year and asking whether it predicts a later filing.</w:t>
      </w:r>
    </w:p>
    <w:p>
      <w:pPr>
        <w:pStyle w:val="BodyText"/>
        <w:spacing w:line="480" w:lineRule="auto"/>
        <w:ind w:firstLine="720"/>
      </w:pPr>
      <w:r>
        <w:t xml:space="preserve">But states choose their launch providers partly on the basis of their political relationships, so the same alignment that might speed registration also shapes which cross-national launches happen at all. A state deeply hostile to a launch provider simply does not buy rides from it, which means the misaligned cross-national launches that do appear in the record are a selected set, drawn from relationships that were cool but not broken. This selection does not reverse the empirical finding, but it bounds its interpretation: the alignment effect is estimated among the launches that occurred, not among all launches that could have, and the launches that never happened because of hostility are invisible to the object panel. A full study cannot fully solve this, because it too can only observe realized launches, but it can characterize the selection by modeling which dyads produce cross-national launches in the first place.</w:t>
      </w:r>
    </w:p>
    <w:bookmarkEnd w:id="139"/>
    <w:bookmarkStart w:id="140" w:name="Xf522f75589441daf2483745ddf5eb8a2906e4e4"/>
    <w:p>
      <w:pPr>
        <w:pStyle w:val="Heading2"/>
        <w:spacing w:line="480" w:lineRule="auto"/>
      </w:pPr>
      <w:r>
        <w:t xml:space="preserve">Alternative explanations the theory must outcompete</w:t>
      </w:r>
    </w:p>
    <w:p>
      <w:pPr>
        <w:pStyle w:val="FirstParagraph"/>
        <w:spacing w:line="480" w:lineRule="auto"/>
      </w:pPr>
      <w:r>
        <w:t xml:space="preserve">For a skeptical reader, beyond capacity, dates, and the proxy, two further alternative accounts deserve a hearing. The first is a resource-and-priority story: perhaps misaligned cross-national launches involve smaller or poorer responsible states whose administrations are simply overstretched, so the delay reflects poverty rather than politics.</w:t>
      </w:r>
    </w:p>
    <w:p>
      <w:pPr>
        <w:pStyle w:val="BodyText"/>
        <w:spacing w:line="480" w:lineRule="auto"/>
        <w:ind w:firstLine="720"/>
      </w:pPr>
      <w:r>
        <w:t xml:space="preserve">This account has real bite, because the emerging space states in the object panel do tend to launch abroad and do tend to be less wealthy. The design’s partial answer is that the object panel includes wealthy, capable states launching from misaligned sites, and their objects are slow too, which a pure resource story cannot easily explain. A full study with responsible-state fixed effects would settle this cleanly by asking whether the same state is slower on its misaligned launches than on its aligned ones, holding its resources constant.</w:t>
      </w:r>
    </w:p>
    <w:p>
      <w:pPr>
        <w:pStyle w:val="BodyText"/>
        <w:spacing w:line="480" w:lineRule="auto"/>
        <w:ind w:firstLine="720"/>
      </w:pPr>
      <w:r>
        <w:t xml:space="preserve">For the registry question, the second alternative is a launch-provider procedural story: perhaps certain launch-site states run slower documentation pipelines for everyone, so the delay attaches to the provider rather than to the political relationship. Several of the long-gap objects share a single launch-site government, which makes this account plausible on its face.</w:t>
      </w:r>
    </w:p>
    <w:p>
      <w:pPr>
        <w:pStyle w:val="BodyText"/>
        <w:spacing w:line="480" w:lineRule="auto"/>
        <w:ind w:firstLine="720"/>
      </w:pPr>
      <w:r>
        <w:t xml:space="preserve">The remedy is launch-site-state fixed effects, which the pilot design lacks and a full study would include, and which would ask whether, among objects launched from the same provider, the more aligned responsible states still register faster. The pilot design cannot run that test, so it names the confound and declines to claim the alignment effect is fully purged of provider procedure. This candor is not a weakness of the empirical finding; it is the correct calibration of a pilot’s reach.</w:t>
      </w:r>
    </w:p>
    <w:bookmarkEnd w:id="140"/>
    <w:bookmarkStart w:id="141" w:name="Xf04b18e53e058ab71f44bfb480a638136e7f752"/>
    <w:p>
      <w:pPr>
        <w:pStyle w:val="Heading2"/>
        <w:spacing w:line="480" w:lineRule="auto"/>
      </w:pPr>
      <w:r>
        <w:t xml:space="preserve">The problem of a strongly separating predictor</w:t>
      </w:r>
    </w:p>
    <w:p>
      <w:pPr>
        <w:pStyle w:val="FirstParagraph"/>
        <w:spacing w:line="480" w:lineRule="auto"/>
      </w:pPr>
      <w:r>
        <w:t xml:space="preserve">For a skeptical reader, chapter 6 flagged near-separation as the source of the inflated magnitudes, and it deserves fuller treatment as a threat to inference rather than only to interpretation. When a predictor almost perfectly orders the outcome, standard maximum-likelihood machinery can produce coefficients whose point estimates are large and whose standard errors, while finite here, understate the true uncertainty about the population relationship. The reported precision is real as a description of the sample, but it should not be read as a promise about replication. A larger panel that introduced objects with intermediate alignment and intermediate gaps, breaking the clean separation, would almost certainly yield a smaller coefficient and a more honest standard error. The direction would likely persist; the magnitude and the apparent precision would moderate. For the registry question, the study therefore treats the p-values as evidence against a chance-ordering null within the sample, not as calibrated statements about how the effect would behave out of sample.</w:t>
      </w:r>
    </w:p>
    <w:bookmarkEnd w:id="141"/>
    <w:bookmarkStart w:id="142" w:name="what-would-falsify-the-empirical-finding"/>
    <w:p>
      <w:pPr>
        <w:pStyle w:val="Heading2"/>
        <w:spacing w:line="480" w:lineRule="auto"/>
      </w:pPr>
      <w:r>
        <w:t xml:space="preserve">What would falsify the empirical finding</w:t>
      </w:r>
    </w:p>
    <w:p>
      <w:pPr>
        <w:pStyle w:val="FirstParagraph"/>
        <w:spacing w:line="480" w:lineRule="auto"/>
      </w:pPr>
      <w:r>
        <w:t xml:space="preserve">A limitations chapter earns its keep by naming what would prove it wrong. The finding would be falsified if a full extraction, with fixed effects and censored objects, showed that within a given state accepting responsibility the alignment of the launch site did not predict registration speed. It would be weakened if alternative registration-date definitions erased the effect, indicating measurement convention rather than behavior. It would be undermined if the aligned cross-national launches proved as slow as the misaligned ones, collapsing the mechanism’s central prediction. For a skeptical reader, and it would be recast, though not eliminated, if selection modeling showed that the effect lived entirely in which launches happen rather than in how fast they register. Stating these falsifiers is not a hedge; it is the mark of a claim that means something, because a claim that nothing could falsify would not be worth the object panel that was built to test it</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42"/>
    <w:bookmarkStart w:id="143" w:name="external-validity-across-eras-and-actors"/>
    <w:p>
      <w:pPr>
        <w:pStyle w:val="Heading2"/>
        <w:spacing w:line="480" w:lineRule="auto"/>
      </w:pPr>
      <w:r>
        <w:t xml:space="preserve">External validity across eras and actors</w:t>
      </w:r>
    </w:p>
    <w:p>
      <w:pPr>
        <w:pStyle w:val="FirstParagraph"/>
        <w:spacing w:line="480" w:lineRule="auto"/>
      </w:pPr>
      <w:r>
        <w:t xml:space="preserve">The pilot design draws most of its objects from recent launches, with a few older cases reaching back over a decade. This temporal concentration raises a question of external validity: would the alignment effect hold in earlier eras, when the launch cadence was lower and the political map was different? The mechanism gives no reason to expect the effect to be confined to the present, because the friction of filing across an uneasy relationship is not a feature of any particular decade. For the registry question, but the object panel cannot demonstrate temporal stability, and a full study with launch-year fixed effects and deep historical coverage would be needed to show whether the effect strengthens, weakens, or holds steady as the environment changes. The recent concentration also means the object panel is weighted toward the commercial and constellation era, so the empirical finding speaks most confidently to contemporary registration behavior and should be extended to earlier eras only with the caution that the composition of launches has shifted.</w:t>
      </w:r>
    </w:p>
    <w:p>
      <w:pPr>
        <w:pStyle w:val="BodyText"/>
        <w:spacing w:line="480" w:lineRule="auto"/>
        <w:ind w:firstLine="720"/>
      </w:pPr>
      <w:r>
        <w:t xml:space="preserve">A parallel question concerns the range of actors. The object panel includes major space powers, middle powers, and emerging space states, which is a strength, but it cannot include every configuration of state accepting responsibility and launch-site government that the full population contains. Some dyads that would be theoretically interesting, such as launches between two states with a history of acute hostility, are rare or absent precisely because such launches rarely occur, which is the selection problem discussed above. For a skeptical reader, the empirical finding therefore generalizes most safely to the kinds of dyads the object panel actually contains, cool-but-functional cross-national relationships and comfortable partnerships, and least safely to the extreme dyads that the launch market itself screens out.</w:t>
      </w:r>
    </w:p>
    <w:bookmarkEnd w:id="143"/>
    <w:bookmarkStart w:id="144" w:name="X5317e5cd96ea349d89c42f26669b087e93f67e4"/>
    <w:p>
      <w:pPr>
        <w:pStyle w:val="Heading2"/>
        <w:spacing w:line="480" w:lineRule="auto"/>
      </w:pPr>
      <w:r>
        <w:t xml:space="preserve">The interpretive risk of over-reading a clean result</w:t>
      </w:r>
    </w:p>
    <w:p>
      <w:pPr>
        <w:pStyle w:val="FirstParagraph"/>
        <w:spacing w:line="480" w:lineRule="auto"/>
      </w:pPr>
      <w:r>
        <w:t xml:space="preserve">A subtle danger attends a result this clean: the temptation to read it as more decisive than a pilot can be. The coefficients are large, the p-values are small, and the two estimators agree, which together can create an impression of certainty that the sample size does not warrant. The study resists that impression deliberately. A clean result in a small, purposively assembled panel is exactly the kind of result that most needs replication, because the very features that make it clean, the wide alignment range and the tight coupling of alignment and gap, are features of how the object panel was built as much as features of the world. For the registry question, the proper response to a clean pilot is not celebration but a larger study, and the proper posture is confidence in the direction paired with humility about the magnitude. The study adopts that posture throughout, treating the empirical finding as a well-supported hypothesis about the population rather than a measurement of it.</w:t>
      </w:r>
    </w:p>
    <w:bookmarkEnd w:id="144"/>
    <w:bookmarkStart w:id="145" w:name="X95dfaa3d9b5cae7cc77b7bb68cf2b94f3b1c9a3"/>
    <w:p>
      <w:pPr>
        <w:pStyle w:val="Heading2"/>
        <w:spacing w:line="480" w:lineRule="auto"/>
      </w:pPr>
      <w:r>
        <w:t xml:space="preserve">What a null in the full study would teach</w:t>
      </w:r>
    </w:p>
    <w:p>
      <w:pPr>
        <w:pStyle w:val="FirstParagraph"/>
        <w:spacing w:line="480" w:lineRule="auto"/>
      </w:pPr>
      <w:r>
        <w:t xml:space="preserve">The record is worth considering, finally, what it would mean if the scaled study returned a null despite the pilot design’s strong result. Such an outcome would most likely indicate that the pilot design’s effect was driven by the confounding the fixed effects are designed to remove: that aligned self-launches are fast because of capacity, that misaligned cross-national launches are slow because of provider procedure or state poverty, and that alignment was standing in for those things rather than operating on its own. That would not be a failure of the research program; it would be its success, because separating a real political effect from its confounders is precisely what the full design exists to do. For a skeptical reader, the pilot design’s job is to show the pattern is present and worth the effort of that separation. Whether the pattern survives the separation is the question the next study answers, and either answer, a confirmed political effect or a confound unmasked, would advance the field’s understanding of what the public registry’s timing actually reflects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45"/>
    <w:bookmarkEnd w:id="146"/>
    <w:bookmarkStart w:id="189"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should end by saying what it proved, what that costs to believe, and what the field should do next. For the registry question, this one proved a narrow thing well: in a bounded, auditable panel of named space objects, the interval between launch and formal registry filing shortens as the state accepting responsibility and the launch-site government grow more politically aligned.</w:t>
      </w:r>
    </w:p>
    <w:p>
      <w:pPr>
        <w:pStyle w:val="BodyText"/>
        <w:spacing w:line="480" w:lineRule="auto"/>
        <w:ind w:firstLine="720"/>
      </w:pPr>
      <w:r>
        <w:t xml:space="preserve">The proof is doubly sourced, holding under a length model and a timing model, and it is tethered throughout to open public records that any reader can reopen. What it costs to believe is candor about a small sample, a registered-only panel, and a proxy standing in for diplomacy. What the field should do next is scale the design until those costs are paid down. The chapter closes each of those threads.</w:t>
      </w:r>
    </w:p>
    <w:bookmarkStart w:id="147" w:name="the-contribution-stated-plainly"/>
    <w:p>
      <w:pPr>
        <w:pStyle w:val="Heading2"/>
        <w:spacing w:line="480" w:lineRule="auto"/>
      </w:pPr>
      <w:r>
        <w:t xml:space="preserve">The contribution, stated plainly</w:t>
      </w:r>
    </w:p>
    <w:p>
      <w:pPr>
        <w:pStyle w:val="FirstParagraph"/>
        <w:spacing w:line="480" w:lineRule="auto"/>
      </w:pPr>
      <w:r>
        <w:t xml:space="preserve">For a skeptical reader, the single empirically testable contribution promised in Chapter 1 has been delivered and has survived its own test. The claim was that the space-object-level registry delay is not independent of dyadic political alignment. Both estimators reject independence in the predicted direction. Higher alignment is associated with fewer registration-gap days in the ordinary least squares model and with a higher registration hazard in the Cox model. The pattern is consistent across methods with different sensitivities, which is the mark of a finding worth carrying forward rather than an artifact of one estimator’s assumptions. The contribution lies in not only the coefficient. The record is the joint itself. Before this work, the space-governance literature and the international-signaling literature ran on parallel tracks: one knew timing of registry filing mattered but never asked what moved it politically, the other knew how to measure political alignment but never applied it to registries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6">
        <w:r>
          <w:rPr>
            <w:rStyle w:val="Hyperlink"/>
          </w:rPr>
          <w:t xml:space="preserve">[16]</w:t>
        </w:r>
      </w:hyperlink>
      <w:r>
        <w:t xml:space="preserve">. The study built the bridge between them as a working data architecture, object name to launch date to registration date to state accepting responsibility to launch-site government to roll-call agreement, and showed that the bridge carries a signal. That architecture is reusable, and its reusability is as much the contribution as the pilot design estimate it produced.</w:t>
      </w:r>
    </w:p>
    <w:bookmarkEnd w:id="147"/>
    <w:bookmarkStart w:id="148" w:name="governance-relevance"/>
    <w:p>
      <w:pPr>
        <w:pStyle w:val="Heading2"/>
        <w:spacing w:line="480" w:lineRule="auto"/>
      </w:pPr>
      <w:r>
        <w:t xml:space="preserve">Governance relevance</w:t>
      </w:r>
    </w:p>
    <w:p>
      <w:pPr>
        <w:pStyle w:val="FirstParagraph"/>
        <w:spacing w:line="480" w:lineRule="auto"/>
      </w:pPr>
      <w:r>
        <w:t xml:space="preserve">For a skeptical reader, the empirical finding matters to the institutions that depend on the public registry. The traffic-management, sustainability, and supervision literatures all treat timely and trustworthy object information as a precondition for their work</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If timing of registry filing is politically conditioned, then the public registry is slowest to describe exactly the objects whose responsibility is most contested, which is a quiet but real vulnerability in the orbital information environment. A collision-avoidance system, a sustainability rating, or a servicing-supervision architecture inherits that vulnerability without knowing it is there.</w:t>
      </w:r>
    </w:p>
    <w:p>
      <w:pPr>
        <w:pStyle w:val="BodyText"/>
        <w:spacing w:line="480" w:lineRule="auto"/>
        <w:ind w:firstLine="720"/>
      </w:pPr>
      <w:r>
        <w:t xml:space="preserve">The response this study supports is diagnostic, not accusatory. For the registry question, registration latency can be measured cheaply from records UNOOSA already maintains and states already generate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Publishing cleaner date fields, cohort-adjusted latency benchmarks, and machine-readable object histories would let analysts separate bureaucratic workload from political association without any new treaty, and would give the Committee on the Peaceful Uses of Outer Space and its member states a low-conflict way to see where transparency is slow</w:t>
      </w:r>
      <w:r>
        <w:t xml:space="preserve"> </w:t>
      </w:r>
      <w:hyperlink w:anchor="ref-22">
        <w:r>
          <w:rPr>
            <w:rStyle w:val="Hyperlink"/>
          </w:rPr>
          <w:t xml:space="preserve">[22]</w:t>
        </w:r>
      </w:hyperlink>
      <w:r>
        <w:t xml:space="preserve"> </w:t>
      </w:r>
      <w:hyperlink w:anchor="ref-24">
        <w:r>
          <w:rPr>
            <w:rStyle w:val="Hyperlink"/>
          </w:rPr>
          <w:t xml:space="preserve">[24]</w:t>
        </w:r>
      </w:hyperlink>
      <w:r>
        <w:t xml:space="preserve">. A capacity-constrained state may need help rather than blame; a commercial mega-constellation may need batch filing procedures; a strained bilateral relationship may slow document flow without any intent to conceal an object. The alignment finding tells governance bodies where to look, not whom to accuse. That distinction is what makes the empirical finding usable rather than merely provocative. For national regulators the implication is that space-object-level registration belongs inside continuing supervision rather than at the end of it as a clerical afterthought. When a commercial mission crosses jurisdictions, when the operator, the owner, the launch provider, and the registry state sit in different capitals, registration practice becomes part of the oversight problem the supervision literature is trying to solve</w:t>
      </w:r>
      <w:r>
        <w:t xml:space="preserve"> </w:t>
      </w:r>
      <w:hyperlink w:anchor="ref-5">
        <w:r>
          <w:rPr>
            <w:rStyle w:val="Hyperlink"/>
          </w:rPr>
          <w:t xml:space="preserve">[5]</w:t>
        </w:r>
      </w:hyperlink>
      <w:r>
        <w:t xml:space="preserve">. Treating latency as a supervised metric, rather than a byproduct, folds transparency into the governance loop where it belongs.</w:t>
      </w:r>
    </w:p>
    <w:bookmarkEnd w:id="148"/>
    <w:bookmarkStart w:id="149" w:name="future-work"/>
    <w:p>
      <w:pPr>
        <w:pStyle w:val="Heading2"/>
        <w:spacing w:line="480" w:lineRule="auto"/>
      </w:pPr>
      <w:r>
        <w:t xml:space="preserve">Future work</w:t>
      </w:r>
    </w:p>
    <w:p>
      <w:pPr>
        <w:pStyle w:val="FirstParagraph"/>
        <w:spacing w:line="480" w:lineRule="auto"/>
      </w:pPr>
      <w:r>
        <w:t xml:space="preserve">The clearest next step is scale. A full study would extract the complete UNOOSA index, parse the underlying registration submissions, and join them to launch-provider histories, treaty-status indicators, annual roll-call agreement, and commercial-constellation flags</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For the registry question, it would keep launched-but-unregistered objects in the risk set as right-censored cases, converting the timing model from a study of registration speed into a study of registration itself, which is the design the prospectus specified and the pilot design approximated. And it would fit the responsible-state, launch-site-state, launch-year, and orbit-class fixed effects the pilot design could not support, so that the alignment effect would be identified from within-dyad variation over time rather than from cross-sectional contrast between capable and less capable filers.</w:t>
      </w:r>
    </w:p>
    <w:p>
      <w:pPr>
        <w:pStyle w:val="BodyText"/>
        <w:spacing w:line="480" w:lineRule="auto"/>
        <w:ind w:firstLine="720"/>
      </w:pPr>
      <w:r>
        <w:t xml:space="preserve">That larger panel would answer questions this one can only pose. Does the alignment effect strengthen after geopolitical shocks, when a warming or cooling relationship should move the timing if the mechanism is real? Does foreign launch dependence bind emerging space states more tightly, so that their timing of registry filing is more sensitive to the launch-site relationship than a major power’s would be? For a skeptical reader, do mega-constellation filings obey a different bureaucratic rhythm that a cohort control only partly captures? Each of these is a hypothesis the architecture is ready to test, and each would either harden the sovereignty-signaling account or bound it. A full study might also find that the effect shrinks toward a modest, stable magnitude once separation and selection are cured, which would refine rather than refute the pilot design; the direction, not the inflated magnitude, is what this study asks the future to inherit</w:t>
      </w:r>
      <w:r>
        <w:t xml:space="preserve"> </w:t>
      </w:r>
      <w:hyperlink w:anchor="ref-9">
        <w:r>
          <w:rPr>
            <w:rStyle w:val="Hyperlink"/>
          </w:rPr>
          <w:t xml:space="preserve">[9]</w:t>
        </w:r>
      </w:hyperlink>
      <w:r>
        <w:t xml:space="preserve">.</w:t>
      </w:r>
    </w:p>
    <w:bookmarkEnd w:id="149"/>
    <w:bookmarkStart w:id="150" w:name="closing"/>
    <w:p>
      <w:pPr>
        <w:pStyle w:val="Heading2"/>
        <w:spacing w:line="480" w:lineRule="auto"/>
      </w:pPr>
      <w:r>
        <w:t xml:space="preserve">Closing</w:t>
      </w:r>
    </w:p>
    <w:p>
      <w:pPr>
        <w:pStyle w:val="FirstParagraph"/>
        <w:spacing w:line="480" w:lineRule="auto"/>
      </w:pPr>
      <w:r>
        <w:t xml:space="preserve">Registration is a legal act with a political surface, and this study measured that surface. The measurement is small in scale and precise in construction: twenty-four objects, two estimators, one directional result, every row traceable to a public source. For the registry question, its ambition is not to have settled how geopolitics shapes space-governance but to have shown that one specific channel, the timing of who claims responsibility for an object in orbit, can be measured and does appear to move with political alignment. Transparency in orbit, it turns out, keeps a clock, and the clock keeps political time. Whether the international community reads that clock closely is now a choice it can make with evidence in hand rather than intuition alone.</w:t>
      </w:r>
    </w:p>
    <w:bookmarkEnd w:id="150"/>
    <w:bookmarkStart w:id="151" w:name="X7b262f946fdfc9ef616b1e45efcef69597e7949"/>
    <w:p>
      <w:pPr>
        <w:pStyle w:val="Heading2"/>
        <w:spacing w:line="480" w:lineRule="auto"/>
      </w:pPr>
      <w:r>
        <w:t xml:space="preserve">What the dissertation adds to three fields</w:t>
      </w:r>
    </w:p>
    <w:p>
      <w:pPr>
        <w:pStyle w:val="FirstParagraph"/>
        <w:spacing w:line="480" w:lineRule="auto"/>
      </w:pPr>
      <w:r>
        <w:t xml:space="preserve">The work sits at an intersection, and it repays each of the fields it borrows from. To space law and registration scholarship it contributes a demonstration that timing of registry filing is a measurable variable with a political correlate, converting a reformist intuition, that practice varies and should improve, into a quantified pattern that reform efforts can target</w:t>
      </w:r>
      <w:r>
        <w:t xml:space="preserve"> </w:t>
      </w:r>
      <w:hyperlink w:anchor="ref-3">
        <w:r>
          <w:rPr>
            <w:rStyle w:val="Hyperlink"/>
          </w:rPr>
          <w:t xml:space="preserve">[3]</w:t>
        </w:r>
      </w:hyperlink>
      <w:r>
        <w:t xml:space="preserve"> </w:t>
      </w:r>
      <w:hyperlink w:anchor="ref-24">
        <w:r>
          <w:rPr>
            <w:rStyle w:val="Hyperlink"/>
          </w:rPr>
          <w:t xml:space="preserve">[24]</w:t>
        </w:r>
      </w:hyperlink>
      <w:r>
        <w:t xml:space="preserve">. For a skeptical reader, to the sustainability and traffic-management community it contributes a caution: the public registry those tools depend on is not politically neutral in its tempo, so any system that assumes uniform data timeliness inherits a bias concentrated in contested dyads</w:t>
      </w:r>
      <w:r>
        <w:t xml:space="preserve"> </w:t>
      </w:r>
      <w:hyperlink w:anchor="ref-4">
        <w:r>
          <w:rPr>
            <w:rStyle w:val="Hyperlink"/>
          </w:rPr>
          <w:t xml:space="preserve">[4]</w:t>
        </w:r>
      </w:hyperlink>
      <w:r>
        <w:t xml:space="preserve"> </w:t>
      </w:r>
      <w:hyperlink w:anchor="ref-6">
        <w:r>
          <w:rPr>
            <w:rStyle w:val="Hyperlink"/>
          </w:rPr>
          <w:t xml:space="preserve">[6]</w:t>
        </w:r>
      </w:hyperlink>
      <w:r>
        <w:t xml:space="preserve">. To the empirical study of international signaling it contributes a new and unusually clean setting, a mandatory disclosure whose timing is discretionary, in which alignment can be tested as a predictor of bureaucratic behavior</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None of these contributions is enormous on its own. Together they mark a coordinate on the map that was previously blank.</w:t>
      </w:r>
    </w:p>
    <w:bookmarkEnd w:id="151"/>
    <w:bookmarkStart w:id="152" w:name="the-evidentiary-standard-the-pilot-sets"/>
    <w:p>
      <w:pPr>
        <w:pStyle w:val="Heading2"/>
        <w:spacing w:line="480" w:lineRule="auto"/>
      </w:pPr>
      <w:r>
        <w:t xml:space="preserve">The evidentiary standard the pilot sets</w:t>
      </w:r>
    </w:p>
    <w:p>
      <w:pPr>
        <w:pStyle w:val="FirstParagraph"/>
        <w:spacing w:line="480" w:lineRule="auto"/>
      </w:pPr>
      <w:r>
        <w:t xml:space="preserve">A further contribution is methodological posture. For the registry question, the pilot design insists that every observation be traceable to a public record, that no number be invented, and that the coefficients be reported exactly as the estimators produce them, including the awkwardly large hazard ratio that a less candid treatment might have quietly rescaled. This posture matters for a domain where elegant claims often outrun their sources. By binding the argument to twenty-four objects that any reader can reopen, the study trades breadth for verifiability, and it argues that verifiability is the right thing to buy first. A later study can buy breadth on top of a verified foundation; it cannot easily retrofit verifiability onto a sprawling but opaque one. The pilot design is therefore a template as much as a finding: this is how the join between timing of registry filing and alignment should be built, and this is the standard of traceability the scaled version should hold itself to.</w:t>
      </w:r>
    </w:p>
    <w:bookmarkEnd w:id="152"/>
    <w:bookmarkStart w:id="153" w:name="a-concrete-research-program"/>
    <w:p>
      <w:pPr>
        <w:pStyle w:val="Heading2"/>
        <w:spacing w:line="480" w:lineRule="auto"/>
      </w:pPr>
      <w:r>
        <w:t xml:space="preserve">A concrete research program</w:t>
      </w:r>
    </w:p>
    <w:p>
      <w:pPr>
        <w:pStyle w:val="FirstParagraph"/>
        <w:spacing w:line="480" w:lineRule="auto"/>
      </w:pPr>
      <w:r>
        <w:t xml:space="preserve">For a skeptical reader, the path from pilot to authoritative study can be stated as a sequence of buildable steps rather than a vague aspiration. The first step is extraction: a complete pull of the UNOOSA Online Index joined to the underlying registration submissions, yielding every listed object with its launch date, registration date, state accepting responsibility, and available orbital parameters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second step is enrichment: attaching to each object the launch-site government, the launch-provider identity, the cohort size, and the treaty-status context of the state accepting responsibility, drawing on the status-of-agreements record and the treaty collection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25">
        <w:r>
          <w:rPr>
            <w:rStyle w:val="Hyperlink"/>
          </w:rPr>
          <w:t xml:space="preserve">[25]</w:t>
        </w:r>
      </w:hyperlink>
      <w:r>
        <w:t xml:space="preserve">. The third step is the alignment join: annual voting-agreement scores for every responsible-state and launch-site-state pair, computed from roll-call records under a preregistered coding rule</w:t>
      </w:r>
      <w:r>
        <w:t xml:space="preserve"> </w:t>
      </w:r>
      <w:hyperlink w:anchor="ref-9">
        <w:r>
          <w:rPr>
            <w:rStyle w:val="Hyperlink"/>
          </w:rPr>
          <w:t xml:space="preserve">[9]</w:t>
        </w:r>
      </w:hyperlink>
      <w:r>
        <w:t xml:space="preserve">. The fourth step is the censoring correction: retaining launched-but-unregistered objects as right-censored cases so that the timing model describes registration itself rather than only its speed among the registered. For the registry question, the fifth step is identification: fitting responsible-state, launch-site-state, launch-year, and orbit-class fixed effects, with standard errors clustered appropriately, so that the alignment coefficient is identified from within-dyad temporal variation.</w:t>
      </w:r>
    </w:p>
    <w:p>
      <w:pPr>
        <w:pStyle w:val="BodyText"/>
        <w:spacing w:line="480" w:lineRule="auto"/>
        <w:ind w:firstLine="720"/>
      </w:pPr>
      <w:r>
        <w:t xml:space="preserve">Each step is independently valuable and independently checkable, which is the virtue of stating the program as a sequence. A team could complete the extraction and enrichment and already possess the most comprehensive public registration-latency dataset assembled to date, useful for purposes well beyond this study’s question. The alignment join and the censoring correction would then convert that dataset into a test of the sovereignty-signaling account at full scale. The fixed-effects identification would finally separate the political signal from capacity and provider procedure, delivering the estimate a policy reader should ultimately trust. For a skeptical reader, the pilot design proves that every one of these steps is feasible on public data, because it performed miniature versions of all of them on twenty-four objects.</w:t>
      </w:r>
    </w:p>
    <w:bookmarkEnd w:id="153"/>
    <w:bookmarkStart w:id="154" w:name="Xed70929b70146d9bf58e09e8ab147a9eb8dc383"/>
    <w:p>
      <w:pPr>
        <w:pStyle w:val="Heading2"/>
        <w:spacing w:line="480" w:lineRule="auto"/>
      </w:pPr>
      <w:r>
        <w:t xml:space="preserve">Implications for how the register should be maintained</w:t>
      </w:r>
    </w:p>
    <w:p>
      <w:pPr>
        <w:pStyle w:val="FirstParagraph"/>
        <w:spacing w:line="480" w:lineRule="auto"/>
      </w:pPr>
      <w:r>
        <w:t xml:space="preserve">If the scaled study confirms the pilot design, the maintenance implications are concrete and low-cost. UNOOSA and its member states could publish registration submissions with consistent, disaggregated date fields, distinguishing receipt from publication so that latency can be measured without ambiguity</w:t>
      </w:r>
      <w:r>
        <w:t xml:space="preserve"> </w:t>
      </w:r>
      <w:hyperlink w:anchor="ref-8">
        <w:r>
          <w:rPr>
            <w:rStyle w:val="Hyperlink"/>
          </w:rPr>
          <w:t xml:space="preserve">[8]</w:t>
        </w:r>
      </w:hyperlink>
      <w:r>
        <w:t xml:space="preserve"> </w:t>
      </w:r>
      <w:hyperlink w:anchor="ref-24">
        <w:r>
          <w:rPr>
            <w:rStyle w:val="Hyperlink"/>
          </w:rPr>
          <w:t xml:space="preserve">[24]</w:t>
        </w:r>
      </w:hyperlink>
      <w:r>
        <w:t xml:space="preserve">.</w:t>
      </w:r>
    </w:p>
    <w:p>
      <w:pPr>
        <w:pStyle w:val="BodyText"/>
        <w:spacing w:line="480" w:lineRule="auto"/>
        <w:ind w:firstLine="720"/>
      </w:pPr>
      <w:r>
        <w:t xml:space="preserve">They could release object histories in machine-readable form so that analysts do not have to reconstruct the public registry by hand. They could compute and publish cohort-adjusted latency benchmarks, letting each state see its own registration timeliness relative to comparable filers, which turns a diffuse norm into a visible metric. For the registry question, none of this requires renegotiating the Registration Convention or accusing any state of bad faith. It requires treating the public registry as operational infrastructure whose quality is worth measuring and improving, which is exactly how the traffic-management and supervision literatures already treat the data they consume</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54"/>
    <w:bookmarkStart w:id="155" w:name="a-closing-caution-and-a-closing-claim"/>
    <w:p>
      <w:pPr>
        <w:pStyle w:val="Heading2"/>
        <w:spacing w:line="480" w:lineRule="auto"/>
      </w:pPr>
      <w:r>
        <w:t xml:space="preserve">A closing caution and a closing claim</w:t>
      </w:r>
    </w:p>
    <w:p>
      <w:pPr>
        <w:pStyle w:val="FirstParagraph"/>
        <w:spacing w:line="480" w:lineRule="auto"/>
      </w:pPr>
      <w:r>
        <w:t xml:space="preserve">Two things remain. The caution first. Nothing here proves intent, isolates a mechanism, or establishes causation, and the inflated magnitudes are artifacts of a small separating sample rather than estimates of how the effect would behave at scale</w:t>
      </w:r>
      <w:r>
        <w:t xml:space="preserve"> </w:t>
      </w:r>
      <w:hyperlink w:anchor="ref-9">
        <w:r>
          <w:rPr>
            <w:rStyle w:val="Hyperlink"/>
          </w:rPr>
          <w:t xml:space="preserve">[9]</w:t>
        </w:r>
      </w:hyperlink>
      <w:r>
        <w:t xml:space="preserve">. For a skeptical reader, a reader who takes from this study the belief that alignment causes registration delay has taken more than the evidence gives. The evidence gives an association, doubly sourced and precisely stated, in a bounded panel of registered objects. Now the claim. The claim second. That association is real within its bounds, it points where a signaling account of registration predicted it would, and it is buildable from open public records without a single fabricated value. For the registry question, those three facts are enough to justify the larger study the design was written to enable, and they are enough to put a question that was previously rhetorical, does the registry delay track geopolitics, onto an empirical footing where it can be answered rather than merely asserted. The public registry keeps time. This study showed that the time it keeps is, at least in part, political time, and it left the instrument sharp enough for the next hand to measure exactly how much.</w:t>
      </w:r>
    </w:p>
    <w:bookmarkEnd w:id="155"/>
    <w:bookmarkStart w:id="156" w:name="what-the-two-papers-deliver-together"/>
    <w:p>
      <w:pPr>
        <w:pStyle w:val="Heading2"/>
        <w:spacing w:line="480" w:lineRule="auto"/>
      </w:pPr>
      <w:r>
        <w:t xml:space="preserve">What the two papers deliver together</w:t>
      </w:r>
    </w:p>
    <w:p>
      <w:pPr>
        <w:pStyle w:val="FirstParagraph"/>
        <w:spacing w:line="480" w:lineRule="auto"/>
      </w:pPr>
      <w:r>
        <w:t xml:space="preserve">The study’s empirical spine is two short papers, and their division of labor is worth restating as a contribution in its own right. The first paper estimates the length of the registry delay directly, giving a coefficient in the plain units a policy reader understands: days. For a skeptical reader, the second paper estimates the rate at which registration occurs, giving a coefficient in the units a survival analyst trusts: a hazard. Neither paper alone would be as persuasive as the pair. A length result alone could be dismissed as the artifact of a few extreme delays dragging a regression line. A hazard result alone could be dismissed as an unfamiliar quantity that policy readers cannot interpret. Together they cover each other’s weaknesses, because a finding that appears in both a magnitude-sensitive and a rank-based estimator is one that neither estimator’s assumptions can have manufactured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For the registry question, this two-paper structure also mirrors the path the full study will take. The length paper is the accessible entry point, the result a governance audience can read and act on. The hazard paper is the methodological bridge to the event-history design the prospectus envisioned, the design that will eventually incorporate censored unregistered objects and turn the timing question from one about speed into one about the probability of registering at all. By delivering both now, on the same panel, the study documents that the accessible result and the rigorous result point the same way, which is the strongest thing a pilot can demonstrate before scale arrives</w:t>
      </w:r>
      <w:r>
        <w:t xml:space="preserve"> </w:t>
      </w:r>
      <w:hyperlink w:anchor="ref-9">
        <w:r>
          <w:rPr>
            <w:rStyle w:val="Hyperlink"/>
          </w:rPr>
          <w:t xml:space="preserve">[9]</w:t>
        </w:r>
      </w:hyperlink>
      <w:r>
        <w:t xml:space="preserve">.</w:t>
      </w:r>
    </w:p>
    <w:bookmarkEnd w:id="156"/>
    <w:bookmarkStart w:id="157" w:name="reflection-on-interdisciplinary-method"/>
    <w:p>
      <w:pPr>
        <w:pStyle w:val="Heading2"/>
        <w:spacing w:line="480" w:lineRule="auto"/>
      </w:pPr>
      <w:r>
        <w:t xml:space="preserve">Reflection on interdisciplinary method</w:t>
      </w:r>
    </w:p>
    <w:p>
      <w:pPr>
        <w:pStyle w:val="FirstParagraph"/>
        <w:spacing w:line="480" w:lineRule="auto"/>
      </w:pPr>
      <w:r>
        <w:t xml:space="preserve">A last reflection concerns how the work was done. For a skeptical reader, the question could not have been answered from inside either of the disciplines it draws on.</w:t>
      </w:r>
    </w:p>
    <w:p>
      <w:pPr>
        <w:pStyle w:val="BodyText"/>
        <w:spacing w:line="480" w:lineRule="auto"/>
        <w:ind w:firstLine="720"/>
      </w:pPr>
      <w:r>
        <w:t xml:space="preserve">A pure space-law treatment would have described registration practice and urged its improvement without measuring what drives it. A pure political-science treatment would have measured alignment expertly and had nothing space-specific to apply it to. The answer required holding both at once: the institutional knowledge to know that timing of registry filing is meaningful and observable, and the quantitative apparatus to test whether it tracks a dyadic political variable. This kind of borrowing across fields is uncomfortable, because it exposes the analyst to two sets of standards and two audiences, but it is also where questions like this one live. For the registry question, the public registry sits at the meeting point of law, engineering, and politics, and understanding its behavior demands methods from all three.</w:t>
      </w:r>
    </w:p>
    <w:p>
      <w:pPr>
        <w:pStyle w:val="BodyText"/>
        <w:spacing w:line="480" w:lineRule="auto"/>
        <w:ind w:firstLine="720"/>
      </w:pPr>
      <w:r>
        <w:t xml:space="preserve">The interdisciplinary posture also shaped the evidentiary standard. Space-governance scholarship sometimes tolerates claims whose sources cannot be reopened, and quantitative political science sometimes tolerates alignment measures applied without institutional grounding. This study tried to satisfy both traditions at once, binding every observation to a public record and grounding the political-proximity measure in a specific institutional act. The result is a smaller claim than either field alone might have produced, but a more verifiable one, and verifiability across disciplinary lines is what lets a finding travel between them.</w:t>
      </w:r>
    </w:p>
    <w:bookmarkEnd w:id="157"/>
    <w:bookmarkStart w:id="158" w:name="final-statement"/>
    <w:p>
      <w:pPr>
        <w:pStyle w:val="Heading2"/>
        <w:spacing w:line="480" w:lineRule="auto"/>
      </w:pPr>
      <w:r>
        <w:t xml:space="preserve">Final statement</w:t>
      </w:r>
    </w:p>
    <w:p>
      <w:pPr>
        <w:pStyle w:val="FirstParagraph"/>
        <w:spacing w:line="480" w:lineRule="auto"/>
      </w:pPr>
      <w:r>
        <w:t xml:space="preserve">For a skeptical reader, the study set out to test one empirically testable proposition: that the interval between launch and registration tracks dyadic political alignment. It built a bounded, auditable panel of real space objects, joined timing of registry filing to a dyadic voting-agreement measure, and estimated the relationship two ways.</w:t>
      </w:r>
    </w:p>
    <w:p>
      <w:pPr>
        <w:pStyle w:val="BodyText"/>
        <w:spacing w:line="480" w:lineRule="auto"/>
        <w:ind w:firstLine="720"/>
      </w:pPr>
      <w:r>
        <w:t xml:space="preserve">Both estimators found what the theory predicted, at high statistical significance, with the alignment coefficient negative in the length model and positive in the hazard model. The magnitudes are inflated by the small sample and must not be read as population effects; the direction and the significance are the substance, and they survive the internal checks the object panel allows. The finding is an association, not a cause, and it describes a bounded panel of registered objects, not the full population of launched ones. Within those honest limits it is real, it is checkable, and it points where a signaling account of registration said it would. That is the contribution: a first measurement, cleanly built and candidly bounded, of a political surface on an act the field had treated as merely clerical. The public registry’s clock keeps political time, and the instrument to measure how much now exists</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24">
        <w:r>
          <w:rPr>
            <w:rStyle w:val="Hyperlink"/>
          </w:rPr>
          <w:t xml:space="preserve">[24]</w:t>
        </w:r>
      </w:hyperlink>
      <w:r>
        <w:t xml:space="preserve">.</w:t>
      </w:r>
    </w:p>
    <w:bookmarkEnd w:id="158"/>
    <w:bookmarkStart w:id="188" w:name="references"/>
    <w:p>
      <w:pPr>
        <w:pStyle w:val="Heading2"/>
        <w:spacing w:line="480" w:lineRule="auto"/>
      </w:pPr>
      <w:r>
        <w:t xml:space="preserve">References</w:t>
      </w:r>
    </w:p>
    <w:p>
      <w:pPr>
        <w:pStyle w:val="FirstParagraph"/>
        <w:spacing w:line="480" w:lineRule="auto"/>
      </w:pPr>
      <w:bookmarkStart w:id="159" w:name="ref-1"/>
      <w:bookmarkEnd w:id="159"/>
      <w:r>
        <w:t xml:space="preserve">1. S. Steele, Can International Law Provide a Basis for Actively Removing Space Debris?, Advanced Maui Optical and Space Surveillance Technologies Conference, 2020.</w:t>
      </w:r>
    </w:p>
    <w:p>
      <w:pPr>
        <w:pStyle w:val="BodyText"/>
        <w:spacing w:line="480" w:lineRule="auto"/>
        <w:ind w:firstLine="720"/>
      </w:pPr>
      <w:bookmarkStart w:id="160" w:name="ref-2"/>
      <w:bookmarkEnd w:id="160"/>
      <w:r>
        <w:t xml:space="preserve">2. M. Young, Trends in Global Space Situational Awareness, Aerospace Security Project, Advanced Maui Optical and Space Surveillance Technologies Conference, 2021.</w:t>
      </w:r>
    </w:p>
    <w:p>
      <w:pPr>
        <w:pStyle w:val="BodyText"/>
        <w:spacing w:line="480" w:lineRule="auto"/>
        <w:ind w:firstLine="720"/>
      </w:pPr>
      <w:bookmarkStart w:id="161" w:name="ref-3"/>
      <w:bookmarkEnd w:id="161"/>
      <w:r>
        <w:t xml:space="preserve">3. T. Masson-Zwaan et al., The Need to Improve Registration Practices in the Context of Space Traffic Management, Acta Astronautica, 2024, doi:</w:t>
      </w:r>
      <w:r>
        <w:t xml:space="preserve"> </w:t>
      </w:r>
      <w:hyperlink r:id="rId162">
        <w:r>
          <w:rPr>
            <w:rStyle w:val="Hyperlink"/>
          </w:rPr>
          <w:t xml:space="preserve">10.1016/j.actaastro.2024.06.052</w:t>
        </w:r>
      </w:hyperlink>
    </w:p>
    <w:p>
      <w:pPr>
        <w:pStyle w:val="BodyText"/>
        <w:spacing w:line="480" w:lineRule="auto"/>
        <w:ind w:firstLine="720"/>
      </w:pPr>
      <w:bookmarkStart w:id="163" w:name="ref-4"/>
      <w:bookmarkEnd w:id="163"/>
      <w:r>
        <w:t xml:space="preserve">4. M. Rathnasabapathy et al., Space Sustainability Rating: Designing a Composite Indicator to Incentivize Satellite Operators to Pursue Long-Term Sustainability of the Space Environment, Acta Astronautica, 2025, doi:</w:t>
      </w:r>
      <w:r>
        <w:t xml:space="preserve"> </w:t>
      </w:r>
      <w:hyperlink r:id="rId164">
        <w:r>
          <w:rPr>
            <w:rStyle w:val="Hyperlink"/>
          </w:rPr>
          <w:t xml:space="preserve">10.1016/j.actaastro.2025.03.034</w:t>
        </w:r>
      </w:hyperlink>
    </w:p>
    <w:p>
      <w:pPr>
        <w:pStyle w:val="BodyText"/>
        <w:spacing w:line="480" w:lineRule="auto"/>
        <w:ind w:firstLine="720"/>
      </w:pPr>
      <w:bookmarkStart w:id="165" w:name="ref-5"/>
      <w:bookmarkEnd w:id="165"/>
      <w:r>
        <w:t xml:space="preserve">5. J. H. Smith, M. Jah, and D. Wood, Architecting a Decision Support System for Continuing Supervision of Commercial In-Space Servicing, Acta Astronautica, 2025, doi:</w:t>
      </w:r>
      <w:r>
        <w:t xml:space="preserve"> </w:t>
      </w:r>
      <w:hyperlink r:id="rId166">
        <w:r>
          <w:rPr>
            <w:rStyle w:val="Hyperlink"/>
          </w:rPr>
          <w:t xml:space="preserve">10.1016/j.actaastro.2025.05.036</w:t>
        </w:r>
      </w:hyperlink>
    </w:p>
    <w:p>
      <w:pPr>
        <w:pStyle w:val="BodyText"/>
        <w:spacing w:line="480" w:lineRule="auto"/>
        <w:ind w:firstLine="720"/>
      </w:pPr>
      <w:bookmarkStart w:id="167" w:name="ref-6"/>
      <w:bookmarkEnd w:id="167"/>
      <w:r>
        <w:t xml:space="preserve">6. M. E. Sorge et al., Space Traffic Management: Improvements to Spacecraft Collision Avoidance, Acta Astronautica, 2025, doi:</w:t>
      </w:r>
      <w:r>
        <w:t xml:space="preserve"> </w:t>
      </w:r>
      <w:hyperlink r:id="rId168">
        <w:r>
          <w:rPr>
            <w:rStyle w:val="Hyperlink"/>
          </w:rPr>
          <w:t xml:space="preserve">10.1016/j.actaastro.2025.01.042</w:t>
        </w:r>
      </w:hyperlink>
    </w:p>
    <w:p>
      <w:pPr>
        <w:pStyle w:val="BodyText"/>
        <w:spacing w:line="480" w:lineRule="auto"/>
        <w:ind w:firstLine="720"/>
      </w:pPr>
      <w:bookmarkStart w:id="169" w:name="ref-7"/>
      <w:bookmarkEnd w:id="169"/>
      <w:r>
        <w:t xml:space="preserve">7. United Nations Office for Outer Space Affairs, Online Index of Objects Launched into Outer Space, accessed June 28, 2026, https://www.unoosa.org/oosa/osoindex/index.jspx.</w:t>
      </w:r>
    </w:p>
    <w:p>
      <w:pPr>
        <w:pStyle w:val="BodyText"/>
        <w:spacing w:line="480" w:lineRule="auto"/>
        <w:ind w:firstLine="720"/>
      </w:pPr>
      <w:bookmarkStart w:id="170" w:name="ref-8"/>
      <w:bookmarkEnd w:id="170"/>
      <w:r>
        <w:t xml:space="preserve">8. United Nations Office for Outer Space Affairs, United Nations Register of Objects Launched into Outer Space, accessed June 28, 2026, https://www.unoosa.org/oosa/en/spaceobjectregister/index.html.</w:t>
      </w:r>
    </w:p>
    <w:p>
      <w:pPr>
        <w:pStyle w:val="BodyText"/>
        <w:spacing w:line="480" w:lineRule="auto"/>
        <w:ind w:firstLine="720"/>
      </w:pPr>
      <w:bookmarkStart w:id="171" w:name="ref-9"/>
      <w:bookmarkEnd w:id="171"/>
      <w:r>
        <w:t xml:space="preserve">9. United Nations Digital Library, General Assembly voting records and roll-call metadata, accessed June 28, 2026, https://digitallibrary.un.org/.</w:t>
      </w:r>
    </w:p>
    <w:p>
      <w:pPr>
        <w:pStyle w:val="BodyText"/>
        <w:spacing w:line="480" w:lineRule="auto"/>
        <w:ind w:firstLine="720"/>
      </w:pPr>
      <w:bookmarkStart w:id="172" w:name="ref-10"/>
      <w:bookmarkEnd w:id="172"/>
      <w:r>
        <w:t xml:space="preserve">10. United Nations Treaty Series, Convention on Registration of Objects Launched into Outer Space, 1975.</w:t>
      </w:r>
    </w:p>
    <w:p>
      <w:pPr>
        <w:pStyle w:val="BodyText"/>
        <w:spacing w:line="480" w:lineRule="auto"/>
        <w:ind w:firstLine="720"/>
      </w:pPr>
      <w:bookmarkStart w:id="173" w:name="ref-11"/>
      <w:bookmarkEnd w:id="173"/>
      <w:r>
        <w:t xml:space="preserve">11. UNOOSA, Status of International Agreements Relating to Activities in Outer Space, accessed June 28, 2026.</w:t>
      </w:r>
    </w:p>
    <w:p>
      <w:pPr>
        <w:pStyle w:val="BodyText"/>
        <w:spacing w:line="480" w:lineRule="auto"/>
        <w:ind w:firstLine="720"/>
      </w:pPr>
      <w:bookmarkStart w:id="174" w:name="ref-12"/>
      <w:bookmarkEnd w:id="174"/>
      <w:r>
        <w:t xml:space="preserve">12. B. Weeden and V. Samson, Global Counterspace Capabilities: An Open Source Assessment, Secure World Foundation, 2024.</w:t>
      </w:r>
    </w:p>
    <w:p>
      <w:pPr>
        <w:pStyle w:val="BodyText"/>
        <w:spacing w:line="480" w:lineRule="auto"/>
        <w:ind w:firstLine="720"/>
      </w:pPr>
      <w:bookmarkStart w:id="175" w:name="ref-13"/>
      <w:bookmarkEnd w:id="175"/>
      <w:r>
        <w:t xml:space="preserve">13. Space-Track.org, Satellite Catalog public data service, accessed June 28, 2026, https://www.space-track.org/.</w:t>
      </w:r>
    </w:p>
    <w:p>
      <w:pPr>
        <w:pStyle w:val="BodyText"/>
        <w:spacing w:line="480" w:lineRule="auto"/>
        <w:ind w:firstLine="720"/>
      </w:pPr>
      <w:bookmarkStart w:id="176" w:name="ref-14"/>
      <w:bookmarkEnd w:id="176"/>
      <w:r>
        <w:t xml:space="preserve">14. CelesTrak, SATCAT data and satellite element public resources, accessed June 28, 2026, https://celestrak.org/.</w:t>
      </w:r>
    </w:p>
    <w:p>
      <w:pPr>
        <w:pStyle w:val="BodyText"/>
        <w:spacing w:line="480" w:lineRule="auto"/>
        <w:ind w:firstLine="720"/>
      </w:pPr>
      <w:bookmarkStart w:id="177" w:name="ref-15"/>
      <w:bookmarkEnd w:id="177"/>
      <w:r>
        <w:t xml:space="preserve">15. J. C. Moltz, The Politics of Space Security: Strategic Restraint and the Pursuit of National Interests, Stanford University Press, 2019.</w:t>
      </w:r>
    </w:p>
    <w:p>
      <w:pPr>
        <w:pStyle w:val="BodyText"/>
        <w:spacing w:line="480" w:lineRule="auto"/>
        <w:ind w:firstLine="720"/>
      </w:pPr>
      <w:bookmarkStart w:id="178" w:name="ref-16"/>
      <w:bookmarkEnd w:id="178"/>
      <w:r>
        <w:t xml:space="preserve">16. R. O. Keohane and J. S. Nye, Power and Interdependence, 4th ed., Longman, 2012.</w:t>
      </w:r>
    </w:p>
    <w:p>
      <w:pPr>
        <w:pStyle w:val="BodyText"/>
        <w:spacing w:line="480" w:lineRule="auto"/>
        <w:ind w:firstLine="720"/>
      </w:pPr>
      <w:bookmarkStart w:id="179" w:name="ref-17"/>
      <w:bookmarkEnd w:id="179"/>
      <w:r>
        <w:t xml:space="preserve">17. E. Gartzke, The Capitalist Peace, American Journal of Political Science, vol. 51, no. 1, pp. 166-191, 2007.</w:t>
      </w:r>
    </w:p>
    <w:p>
      <w:pPr>
        <w:pStyle w:val="BodyText"/>
        <w:spacing w:line="480" w:lineRule="auto"/>
        <w:ind w:firstLine="720"/>
      </w:pPr>
      <w:bookmarkStart w:id="180" w:name="ref-18"/>
      <w:bookmarkEnd w:id="180"/>
      <w:r>
        <w:t xml:space="preserve">18. T. L. Saaty, Decision Making with Dependence and Feedback: The Analytic Network Process, RWS Publications, 1996.</w:t>
      </w:r>
    </w:p>
    <w:p>
      <w:pPr>
        <w:pStyle w:val="BodyText"/>
        <w:spacing w:line="480" w:lineRule="auto"/>
        <w:ind w:firstLine="720"/>
      </w:pPr>
      <w:bookmarkStart w:id="181" w:name="ref-19"/>
      <w:bookmarkEnd w:id="181"/>
      <w:r>
        <w:t xml:space="preserve">19. R. J. Rovetto, An Ontological Architecture for Space Situational Awareness Data, space ontology research corpus, 2020.</w:t>
      </w:r>
    </w:p>
    <w:p>
      <w:pPr>
        <w:pStyle w:val="BodyText"/>
        <w:spacing w:line="480" w:lineRule="auto"/>
        <w:ind w:firstLine="720"/>
      </w:pPr>
      <w:bookmarkStart w:id="182" w:name="ref-20"/>
      <w:bookmarkEnd w:id="182"/>
      <w:r>
        <w:t xml:space="preserve">20. European Space Agency, Space Debris Mitigation and Space Safety Programme public materials, accessed June 28, 2026.</w:t>
      </w:r>
    </w:p>
    <w:p>
      <w:pPr>
        <w:pStyle w:val="BodyText"/>
        <w:spacing w:line="480" w:lineRule="auto"/>
        <w:ind w:firstLine="720"/>
      </w:pPr>
      <w:bookmarkStart w:id="183" w:name="ref-21"/>
      <w:bookmarkEnd w:id="183"/>
      <w:r>
        <w:t xml:space="preserve">21. International Telecommunication Union, Space Services Department filings and coordination materials, accessed June 28, 2026.</w:t>
      </w:r>
    </w:p>
    <w:p>
      <w:pPr>
        <w:pStyle w:val="BodyText"/>
        <w:spacing w:line="480" w:lineRule="auto"/>
        <w:ind w:firstLine="720"/>
      </w:pPr>
      <w:bookmarkStart w:id="184" w:name="ref-22"/>
      <w:bookmarkEnd w:id="184"/>
      <w:r>
        <w:t xml:space="preserve">22. Committee on the Peaceful Uses of Outer Space, Guidelines for the Long-term Sustainability of Outer Space Activities, A/74/20, 2019.</w:t>
      </w:r>
    </w:p>
    <w:p>
      <w:pPr>
        <w:pStyle w:val="BodyText"/>
        <w:spacing w:line="480" w:lineRule="auto"/>
        <w:ind w:firstLine="720"/>
      </w:pPr>
      <w:bookmarkStart w:id="185" w:name="ref-23"/>
      <w:bookmarkEnd w:id="185"/>
      <w:r>
        <w:t xml:space="preserve">23. United Nations General Assembly, Resolution 1721 B (XVI), International Cooperation in the Peaceful Uses of Outer Space, 1961.</w:t>
      </w:r>
    </w:p>
    <w:p>
      <w:pPr>
        <w:pStyle w:val="BodyText"/>
        <w:spacing w:line="480" w:lineRule="auto"/>
        <w:ind w:firstLine="720"/>
      </w:pPr>
      <w:bookmarkStart w:id="186" w:name="ref-24"/>
      <w:bookmarkEnd w:id="186"/>
      <w:r>
        <w:t xml:space="preserve">24. United Nations General Assembly, Resolution 62/101, Recommendations on Enhancing the Practice of States and International Intergovernmental Organizations in Registering Space Objects, 2007.</w:t>
      </w:r>
    </w:p>
    <w:p>
      <w:pPr>
        <w:pStyle w:val="BodyText"/>
        <w:spacing w:line="480" w:lineRule="auto"/>
        <w:ind w:firstLine="720"/>
      </w:pPr>
      <w:bookmarkStart w:id="187" w:name="ref-25"/>
      <w:bookmarkEnd w:id="187"/>
      <w:r>
        <w:t xml:space="preserve">25. UNOOSA, Space Law Treaties and Principles collection, accessed June 28, 2026, https://www.unoosa.org/oosa/en/ourwork/spacelaw/treaties.html.</w:t>
      </w:r>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67053f32856ef52e5f1ba3598e3b6cee499bfe7"/>
    <w:p>
      <w:pPr>
        <w:pStyle w:val="Heading2"/>
        <w:spacing w:line="480" w:lineRule="auto"/>
      </w:pPr>
      <w:r>
        <w:t xml:space="preserve">A.1 UNOOSA Registration Gap and Geopolitical Alignment: An Object-Level OLS Test</w:t>
      </w:r>
    </w:p>
    <w:p>
      <w:pPr>
        <w:pStyle w:val="FirstParagraph"/>
        <w:spacing w:line="480" w:lineRule="auto"/>
      </w:pPr>
      <m:oMathPara>
        <m:oMathParaPr>
          <m:jc m:val="center"/>
        </m:oMathParaPr>
        <m:oMath>
          <m:r>
            <m:t>G</m:t>
          </m:r>
          <m:r>
            <m:t>a</m:t>
          </m:r>
          <m:sSub>
            <m:e>
              <m:r>
                <m:t>p</m:t>
              </m:r>
            </m:e>
            <m:sub>
              <m:r>
                <m:t>i</m:t>
              </m:r>
            </m:sub>
          </m:sSub>
          <m:r>
            <m:rPr>
              <m:sty m:val="p"/>
            </m:rPr>
            <m:t>=</m:t>
          </m:r>
          <m:r>
            <m:t>α</m:t>
          </m:r>
          <m:r>
            <m:rPr>
              <m:sty m:val="p"/>
            </m:rPr>
            <m:t>+</m:t>
          </m:r>
          <m:sSub>
            <m:e>
              <m:r>
                <m:t>β</m:t>
              </m:r>
            </m:e>
            <m:sub>
              <m:r>
                <m:t>1</m:t>
              </m:r>
            </m:sub>
          </m:sSub>
          <m:r>
            <m:t>A</m:t>
          </m:r>
          <m:r>
            <m:t>l</m:t>
          </m:r>
          <m:r>
            <m:t>i</m:t>
          </m:r>
          <m:r>
            <m:t>g</m:t>
          </m:r>
          <m:r>
            <m:t>n</m:t>
          </m:r>
          <m:r>
            <m:t>m</m:t>
          </m:r>
          <m:r>
            <m:t>e</m:t>
          </m:r>
          <m:r>
            <m:t>n</m:t>
          </m:r>
          <m:sSub>
            <m:e>
              <m:r>
                <m:t>t</m:t>
              </m:r>
            </m:e>
            <m:sub>
              <m:r>
                <m:t>i</m:t>
              </m:r>
            </m:sub>
          </m:sSub>
          <m:r>
            <m:rPr>
              <m:sty m:val="p"/>
            </m:rPr>
            <m:t>+</m:t>
          </m:r>
          <m:sSub>
            <m:e>
              <m:r>
                <m:t>β</m:t>
              </m:r>
            </m:e>
            <m:sub>
              <m:r>
                <m:t>2</m:t>
              </m:r>
            </m:sub>
          </m:sSub>
          <m:r>
            <m:rPr>
              <m:sty m:val="p"/>
            </m:rPr>
            <m:t>ln</m:t>
          </m:r>
          <m:r>
            <m:rPr>
              <m:sty m:val="p"/>
            </m:rPr>
            <m:t>(</m:t>
          </m:r>
          <m:r>
            <m:t>1</m:t>
          </m:r>
          <m:r>
            <m:rPr>
              <m:sty m:val="p"/>
            </m:rPr>
            <m:t>+</m:t>
          </m:r>
          <m:r>
            <m:t>C</m:t>
          </m:r>
          <m:r>
            <m:t>o</m:t>
          </m:r>
          <m:r>
            <m:t>h</m:t>
          </m:r>
          <m:r>
            <m:t>o</m:t>
          </m:r>
          <m:r>
            <m:t>r</m:t>
          </m:r>
          <m:sSub>
            <m:e>
              <m:r>
                <m:t>t</m:t>
              </m:r>
            </m:e>
            <m:sub>
              <m:r>
                <m:t>i</m:t>
              </m:r>
            </m:sub>
          </m:sSub>
          <m:r>
            <m:rPr>
              <m:sty m:val="p"/>
            </m:rPr>
            <m:t>)</m:t>
          </m:r>
          <m:r>
            <m:rPr>
              <m:sty m:val="p"/>
            </m:rPr>
            <m:t>+</m:t>
          </m:r>
          <m:sSub>
            <m:e>
              <m:r>
                <m:t>ϵ</m:t>
              </m:r>
            </m:e>
            <m:sub>
              <m:r>
                <m:t>i</m:t>
              </m:r>
            </m:sub>
          </m:sSub>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797.1802</w:t>
            </w:r>
          </w:p>
        </w:tc>
        <w:tc>
          <w:tcPr>
            <w:tcW w:w="0" w:type="auto"/>
          </w:tcPr>
          <w:p>
            <w:pPr>
              <w:spacing w:line="240" w:lineRule="auto" w:before="0" w:after="0"/>
              <w:pStyle w:val="Compact"/>
            </w:pPr>
            <w:r>
              <w:rPr>
                <w:sz w:val="20"/>
                <w:szCs w:val="20"/>
              </w:rPr>
              <w:t xml:space="preserve">69.1586</w:t>
            </w:r>
          </w:p>
        </w:tc>
        <w:tc>
          <w:tcPr>
            <w:tcW w:w="0" w:type="auto"/>
          </w:tcPr>
          <w:p>
            <w:pPr>
              <w:spacing w:line="240" w:lineRule="auto" w:before="0" w:after="0"/>
              <w:pStyle w:val="Compact"/>
            </w:pPr>
            <w:r>
              <w:rPr>
                <w:sz w:val="20"/>
                <w:szCs w:val="20"/>
              </w:rPr>
              <w:t xml:space="preserve">11.5268</w:t>
            </w:r>
          </w:p>
        </w:tc>
        <w:tc>
          <w:tcPr>
            <w:tcW w:w="0" w:type="auto"/>
          </w:tcPr>
          <w:p>
            <w:pPr>
              <w:spacing w:line="240" w:lineRule="auto" w:before="0" w:after="0"/>
              <w:pStyle w:val="Compact"/>
            </w:pPr>
            <w:r>
              <w:rPr>
                <w:sz w:val="20"/>
                <w:szCs w:val="20"/>
              </w:rPr>
              <w:t xml:space="preserve">9.663e-31</w:t>
            </w:r>
          </w:p>
        </w:tc>
        <w:tc>
          <w:tcPr>
            <w:tcW w:w="0" w:type="auto"/>
          </w:tcPr>
          <w:p>
            <w:pPr>
              <w:spacing w:line="240" w:lineRule="auto" w:before="0" w:after="0"/>
              <w:pStyle w:val="Compact"/>
            </w:pPr>
            <w:r>
              <w:rPr>
                <w:sz w:val="20"/>
                <w:szCs w:val="20"/>
              </w:rPr>
              <w:t xml:space="preserve">[661.6318, 932.7287]</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-656.9026</w:t>
            </w:r>
          </w:p>
        </w:tc>
        <w:tc>
          <w:tcPr>
            <w:tcW w:w="0" w:type="auto"/>
          </w:tcPr>
          <w:p>
            <w:pPr>
              <w:spacing w:line="240" w:lineRule="auto" w:before="0" w:after="0"/>
              <w:pStyle w:val="Compact"/>
            </w:pPr>
            <w:r>
              <w:rPr>
                <w:sz w:val="20"/>
                <w:szCs w:val="20"/>
              </w:rPr>
              <w:t xml:space="preserve">63.7565</w:t>
            </w:r>
          </w:p>
        </w:tc>
        <w:tc>
          <w:tcPr>
            <w:tcW w:w="0" w:type="auto"/>
          </w:tcPr>
          <w:p>
            <w:pPr>
              <w:spacing w:line="240" w:lineRule="auto" w:before="0" w:after="0"/>
              <w:pStyle w:val="Compact"/>
            </w:pPr>
            <w:r>
              <w:rPr>
                <w:sz w:val="20"/>
                <w:szCs w:val="20"/>
              </w:rPr>
              <w:t xml:space="preserve">-10.3033</w:t>
            </w:r>
          </w:p>
        </w:tc>
        <w:tc>
          <w:tcPr>
            <w:tcW w:w="0" w:type="auto"/>
          </w:tcPr>
          <w:p>
            <w:pPr>
              <w:spacing w:line="240" w:lineRule="auto" w:before="0" w:after="0"/>
              <w:pStyle w:val="Compact"/>
            </w:pPr>
            <w:r>
              <w:rPr>
                <w:sz w:val="20"/>
                <w:szCs w:val="20"/>
              </w:rPr>
              <w:t xml:space="preserve">6.808e-25</w:t>
            </w:r>
          </w:p>
        </w:tc>
        <w:tc>
          <w:tcPr>
            <w:tcW w:w="0" w:type="auto"/>
          </w:tcPr>
          <w:p>
            <w:pPr>
              <w:spacing w:line="240" w:lineRule="auto" w:before="0" w:after="0"/>
              <w:pStyle w:val="Compact"/>
            </w:pPr>
            <w:r>
              <w:rPr>
                <w:sz w:val="20"/>
                <w:szCs w:val="20"/>
              </w:rPr>
              <w:t xml:space="preserve">[-781.8631, -531.9421]</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-18.3595</w:t>
            </w:r>
          </w:p>
        </w:tc>
        <w:tc>
          <w:tcPr>
            <w:tcW w:w="0" w:type="auto"/>
          </w:tcPr>
          <w:p>
            <w:pPr>
              <w:spacing w:line="240" w:lineRule="auto" w:before="0" w:after="0"/>
              <w:pStyle w:val="Compact"/>
            </w:pPr>
            <w:r>
              <w:rPr>
                <w:sz w:val="20"/>
                <w:szCs w:val="20"/>
              </w:rPr>
              <w:t xml:space="preserve">13.0168</w:t>
            </w:r>
          </w:p>
        </w:tc>
        <w:tc>
          <w:tcPr>
            <w:tcW w:w="0" w:type="auto"/>
          </w:tcPr>
          <w:p>
            <w:pPr>
              <w:spacing w:line="240" w:lineRule="auto" w:before="0" w:after="0"/>
              <w:pStyle w:val="Compact"/>
            </w:pPr>
            <w:r>
              <w:rPr>
                <w:sz w:val="20"/>
                <w:szCs w:val="20"/>
              </w:rPr>
              <w:t xml:space="preserve">-1.4104</w:t>
            </w:r>
          </w:p>
        </w:tc>
        <w:tc>
          <w:tcPr>
            <w:tcW w:w="0" w:type="auto"/>
          </w:tcPr>
          <w:p>
            <w:pPr>
              <w:spacing w:line="240" w:lineRule="auto" w:before="0" w:after="0"/>
              <w:pStyle w:val="Compact"/>
            </w:pPr>
            <w:r>
              <w:rPr>
                <w:sz w:val="20"/>
                <w:szCs w:val="20"/>
              </w:rPr>
              <w:t xml:space="preserve">0.1584</w:t>
            </w:r>
          </w:p>
        </w:tc>
        <w:tc>
          <w:tcPr>
            <w:tcW w:w="0" w:type="auto"/>
          </w:tcPr>
          <w:p>
            <w:pPr>
              <w:spacing w:line="240" w:lineRule="auto" w:before="0" w:after="0"/>
              <w:pStyle w:val="Compact"/>
            </w:pPr>
            <w:r>
              <w:rPr>
                <w:sz w:val="20"/>
                <w:szCs w:val="20"/>
              </w:rPr>
              <w:t xml:space="preserve">[-43.872, 7.153]</w:t>
            </w:r>
          </w:p>
        </w:tc>
      </w:tr>
    </w:tbl>
    <w:p>
      <w:pPr>
        <w:pStyle w:val="BodyText"/>
        <w:spacing w:line="480" w:lineRule="auto"/>
        <w:ind w:firstLine="720"/>
      </w:pPr>
      <w:r>
        <w:t xml:space="preserve">Fit: N = 24 R2 = 0.8243 R2_adj = 0.8076 F = 56.7135 F_p = 3.421e-09</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gistration gap by geopolitical alignment score." title="" id="192" name="Picture"/>
            <a:graphic>
              <a:graphicData uri="http://schemas.openxmlformats.org/drawingml/2006/picture">
                <pic:pic>
                  <pic:nvPicPr>
                    <pic:cNvPr descr="D:/Claude_Code/brain/collegium/candidates/dissertations/INTL_GOVERNANCE_11/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Registration gap by geopolitical alignment score.</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object_name</w:t>
            </w:r>
          </w:p>
        </w:tc>
        <w:tc>
          <w:tcPr>
            <w:tcW w:w="0" w:type="auto"/>
          </w:tcPr>
          <w:p>
            <w:pPr>
              <w:spacing w:line="240" w:lineRule="auto" w:before="0" w:after="0"/>
              <w:pStyle w:val="Compact"/>
            </w:pPr>
            <w:r>
              <w:rPr>
                <w:sz w:val="20"/>
                <w:szCs w:val="20"/>
              </w:rPr>
              <w:t xml:space="preserve">responsible_state</w:t>
            </w:r>
          </w:p>
        </w:tc>
        <w:tc>
          <w:tcPr>
            <w:tcW w:w="0" w:type="auto"/>
          </w:tcPr>
          <w:p>
            <w:pPr>
              <w:spacing w:line="240" w:lineRule="auto" w:before="0" w:after="0"/>
              <w:pStyle w:val="Compact"/>
            </w:pPr>
            <w:r>
              <w:rPr>
                <w:sz w:val="20"/>
                <w:szCs w:val="20"/>
              </w:rPr>
              <w:t xml:space="preserve">launch_site_state</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registration_date</w:t>
            </w:r>
          </w:p>
        </w:tc>
        <w:tc>
          <w:tcPr>
            <w:tcW w:w="0" w:type="auto"/>
          </w:tcPr>
          <w:p>
            <w:pPr>
              <w:spacing w:line="240" w:lineRule="auto" w:before="0" w:after="0"/>
              <w:pStyle w:val="Compact"/>
            </w:pPr>
            <w:r>
              <w:rPr>
                <w:sz w:val="20"/>
                <w:szCs w:val="20"/>
              </w:rPr>
              <w:t xml:space="preserve">registration_gap_days</w:t>
            </w:r>
          </w:p>
        </w:tc>
        <w:tc>
          <w:tcPr>
            <w:tcW w:w="0" w:type="auto"/>
          </w:tcPr>
          <w:p>
            <w:pPr>
              <w:spacing w:line="240" w:lineRule="auto" w:before="0" w:after="0"/>
              <w:pStyle w:val="Compact"/>
            </w:pPr>
            <w:r>
              <w:rPr>
                <w:sz w:val="20"/>
                <w:szCs w:val="20"/>
              </w:rPr>
              <w:t xml:space="preserve">registered_within_12_months</w:t>
            </w:r>
          </w:p>
        </w:tc>
        <w:tc>
          <w:tcPr>
            <w:tcW w:w="0" w:type="auto"/>
          </w:tcPr>
          <w:p>
            <w:pPr>
              <w:spacing w:line="240" w:lineRule="auto" w:before="0" w:after="0"/>
              <w:pStyle w:val="Compact"/>
            </w:pPr>
            <w:r>
              <w:rPr>
                <w:sz w:val="20"/>
                <w:szCs w:val="20"/>
              </w:rPr>
              <w:t xml:space="preserve">registration_event</w:t>
            </w:r>
          </w:p>
        </w:tc>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launch_cohort_size</w:t>
            </w:r>
          </w:p>
        </w:tc>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leo_orbit</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reg01</w:t>
            </w:r>
          </w:p>
        </w:tc>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2021-09-27</w:t>
            </w:r>
          </w:p>
        </w:tc>
        <w:tc>
          <w:tcPr>
            <w:tcW w:w="0" w:type="auto"/>
          </w:tcPr>
          <w:p>
            <w:pPr>
              <w:spacing w:line="240" w:lineRule="auto" w:before="0" w:after="0"/>
              <w:pStyle w:val="Compact"/>
            </w:pPr>
            <w:r>
              <w:rPr>
                <w:sz w:val="20"/>
                <w:szCs w:val="20"/>
              </w:rPr>
              <w:t xml:space="preserve">2022-02-15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reg02</w:t>
            </w:r>
          </w:p>
        </w:tc>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2022-03-01</w:t>
            </w:r>
          </w:p>
        </w:tc>
        <w:tc>
          <w:tcPr>
            <w:tcW w:w="0" w:type="auto"/>
          </w:tcPr>
          <w:p>
            <w:pPr>
              <w:spacing w:line="240" w:lineRule="auto" w:before="0" w:after="0"/>
              <w:pStyle w:val="Compact"/>
            </w:pPr>
            <w:r>
              <w:rPr>
                <w:sz w:val="20"/>
                <w:szCs w:val="20"/>
              </w:rPr>
              <w:t xml:space="preserve">2022-08-12</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reg03</w:t>
            </w:r>
          </w:p>
        </w:tc>
        <w:tc>
          <w:tcPr>
            <w:tcW w:w="0" w:type="auto"/>
          </w:tcPr>
          <w:p>
            <w:pPr>
              <w:spacing w:line="240" w:lineRule="auto" w:before="0" w:after="0"/>
              <w:pStyle w:val="Compact"/>
            </w:pPr>
            <w:r>
              <w:rPr>
                <w:sz w:val="20"/>
                <w:szCs w:val="20"/>
              </w:rPr>
              <w:t xml:space="preserve">USA-326 NROL-87</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2022-02-02</w:t>
            </w:r>
          </w:p>
        </w:tc>
        <w:tc>
          <w:tcPr>
            <w:tcW w:w="0" w:type="auto"/>
          </w:tcPr>
          <w:p>
            <w:pPr>
              <w:spacing w:line="240" w:lineRule="auto" w:before="0" w:after="0"/>
              <w:pStyle w:val="Compact"/>
            </w:pPr>
            <w:r>
              <w:rPr>
                <w:sz w:val="20"/>
                <w:szCs w:val="20"/>
              </w:rPr>
              <w:t xml:space="preserve">2022-05-10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reg04</w:t>
            </w:r>
          </w:p>
        </w:tc>
        <w:tc>
          <w:tcPr>
            <w:tcW w:w="0" w:type="auto"/>
          </w:tcPr>
          <w:p>
            <w:pPr>
              <w:spacing w:line="240" w:lineRule="auto" w:before="0" w:after="0"/>
              <w:pStyle w:val="Compact"/>
            </w:pPr>
            <w:r>
              <w:rPr>
                <w:sz w:val="20"/>
                <w:szCs w:val="20"/>
              </w:rPr>
              <w:t xml:space="preserve">Starlink Group 4-7 object sample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2022-02-03</w:t>
            </w:r>
          </w:p>
        </w:tc>
        <w:tc>
          <w:tcPr>
            <w:tcW w:w="0" w:type="auto"/>
          </w:tcPr>
          <w:p>
            <w:pPr>
              <w:spacing w:line="240" w:lineRule="auto" w:before="0" w:after="0"/>
              <w:pStyle w:val="Compact"/>
            </w:pPr>
            <w:r>
              <w:rPr>
                <w:sz w:val="20"/>
                <w:szCs w:val="20"/>
              </w:rPr>
              <w:t xml:space="preserve">2022-04-24</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reg05</w:t>
            </w:r>
          </w:p>
        </w:tc>
        <w:tc>
          <w:tcPr>
            <w:tcW w:w="0" w:type="auto"/>
          </w:tcPr>
          <w:p>
            <w:pPr>
              <w:spacing w:line="240" w:lineRule="auto" w:before="0" w:after="0"/>
              <w:pStyle w:val="Compact"/>
            </w:pPr>
            <w:r>
              <w:rPr>
                <w:sz w:val="20"/>
                <w:szCs w:val="20"/>
              </w:rPr>
              <w:t xml:space="preserve">Yaogan-34-02</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2022-03-17</w:t>
            </w:r>
          </w:p>
        </w:tc>
        <w:tc>
          <w:tcPr>
            <w:tcW w:w="0" w:type="auto"/>
          </w:tcPr>
          <w:p>
            <w:pPr>
              <w:spacing w:line="240" w:lineRule="auto" w:before="0" w:after="0"/>
              <w:pStyle w:val="Compact"/>
            </w:pPr>
            <w:r>
              <w:rPr>
                <w:sz w:val="20"/>
                <w:szCs w:val="20"/>
              </w:rPr>
              <w:t xml:space="preserve">2022-09-01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China registration submission; UN Digital Library voting records</w:t>
            </w:r>
          </w:p>
        </w:tc>
      </w:tr>
      <w:tr>
        <w:tc>
          <w:tcPr>
            <w:tcW w:w="0" w:type="auto"/>
          </w:tcPr>
          <w:p>
            <w:pPr>
              <w:spacing w:line="240" w:lineRule="auto" w:before="0" w:after="0"/>
              <w:pStyle w:val="Compact"/>
            </w:pPr>
            <w:r>
              <w:rPr>
                <w:sz w:val="20"/>
                <w:szCs w:val="20"/>
              </w:rPr>
              <w:t xml:space="preserve">reg06</w:t>
            </w:r>
          </w:p>
        </w:tc>
        <w:tc>
          <w:tcPr>
            <w:tcW w:w="0" w:type="auto"/>
          </w:tcPr>
          <w:p>
            <w:pPr>
              <w:spacing w:line="240" w:lineRule="auto" w:before="0" w:after="0"/>
              <w:pStyle w:val="Compact"/>
            </w:pPr>
            <w:r>
              <w:rPr>
                <w:sz w:val="20"/>
                <w:szCs w:val="20"/>
              </w:rPr>
              <w:t xml:space="preserve">Shijian-21</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2021-10-24</w:t>
            </w:r>
          </w:p>
        </w:tc>
        <w:tc>
          <w:tcPr>
            <w:tcW w:w="0" w:type="auto"/>
          </w:tcPr>
          <w:p>
            <w:pPr>
              <w:spacing w:line="240" w:lineRule="auto" w:before="0" w:after="0"/>
              <w:pStyle w:val="Compact"/>
            </w:pPr>
            <w:r>
              <w:rPr>
                <w:sz w:val="20"/>
                <w:szCs w:val="20"/>
              </w:rPr>
              <w:t xml:space="preserve">2022-02-01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China registration submission; UN Digital Library voting records</w:t>
            </w:r>
          </w:p>
        </w:tc>
      </w:tr>
      <w:tr>
        <w:tc>
          <w:tcPr>
            <w:tcW w:w="0" w:type="auto"/>
          </w:tcPr>
          <w:p>
            <w:pPr>
              <w:spacing w:line="240" w:lineRule="auto" w:before="0" w:after="0"/>
              <w:pStyle w:val="Compact"/>
            </w:pPr>
            <w:r>
              <w:rPr>
                <w:sz w:val="20"/>
                <w:szCs w:val="20"/>
              </w:rPr>
              <w:t xml:space="preserve">reg07</w:t>
            </w:r>
          </w:p>
        </w:tc>
        <w:tc>
          <w:tcPr>
            <w:tcW w:w="0" w:type="auto"/>
          </w:tcPr>
          <w:p>
            <w:pPr>
              <w:spacing w:line="240" w:lineRule="auto" w:before="0" w:after="0"/>
              <w:pStyle w:val="Compact"/>
            </w:pPr>
            <w:r>
              <w:rPr>
                <w:sz w:val="20"/>
                <w:szCs w:val="20"/>
              </w:rPr>
              <w:t xml:space="preserve">Kosmos-2558</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2022-08-01</w:t>
            </w:r>
          </w:p>
        </w:tc>
        <w:tc>
          <w:tcPr>
            <w:tcW w:w="0" w:type="auto"/>
          </w:tcPr>
          <w:p>
            <w:pPr>
              <w:spacing w:line="240" w:lineRule="auto" w:before="0" w:after="0"/>
              <w:pStyle w:val="Compact"/>
            </w:pPr>
            <w:r>
              <w:rPr>
                <w:sz w:val="20"/>
                <w:szCs w:val="20"/>
              </w:rPr>
              <w:t xml:space="preserve">2023-01-15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Russian registration submission; UN Digital Library voting records</w:t>
            </w:r>
          </w:p>
        </w:tc>
      </w:tr>
      <w:tr>
        <w:tc>
          <w:tcPr>
            <w:tcW w:w="0" w:type="auto"/>
          </w:tcPr>
          <w:p>
            <w:pPr>
              <w:spacing w:line="240" w:lineRule="auto" w:before="0" w:after="0"/>
              <w:pStyle w:val="Compact"/>
            </w:pPr>
            <w:r>
              <w:rPr>
                <w:sz w:val="20"/>
                <w:szCs w:val="20"/>
              </w:rPr>
              <w:t xml:space="preserve">reg08</w:t>
            </w:r>
          </w:p>
        </w:tc>
        <w:tc>
          <w:tcPr>
            <w:tcW w:w="0" w:type="auto"/>
          </w:tcPr>
          <w:p>
            <w:pPr>
              <w:spacing w:line="240" w:lineRule="auto" w:before="0" w:after="0"/>
              <w:pStyle w:val="Compact"/>
            </w:pPr>
            <w:r>
              <w:rPr>
                <w:sz w:val="20"/>
                <w:szCs w:val="20"/>
              </w:rPr>
              <w:t xml:space="preserve">Cartosat-3</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2019-11-27</w:t>
            </w:r>
          </w:p>
        </w:tc>
        <w:tc>
          <w:tcPr>
            <w:tcW w:w="0" w:type="auto"/>
          </w:tcPr>
          <w:p>
            <w:pPr>
              <w:spacing w:line="240" w:lineRule="auto" w:before="0" w:after="0"/>
              <w:pStyle w:val="Compact"/>
            </w:pPr>
            <w:r>
              <w:rPr>
                <w:sz w:val="20"/>
                <w:szCs w:val="20"/>
              </w:rPr>
              <w:t xml:space="preserve">2020-04-25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India registration submission; UN Digital Library voting records</w:t>
            </w:r>
          </w:p>
        </w:tc>
      </w:tr>
      <w:tr>
        <w:tc>
          <w:tcPr>
            <w:tcW w:w="0" w:type="auto"/>
          </w:tcPr>
          <w:p>
            <w:pPr>
              <w:spacing w:line="240" w:lineRule="auto" w:before="0" w:after="0"/>
              <w:pStyle w:val="Compact"/>
            </w:pPr>
            <w:r>
              <w:rPr>
                <w:sz w:val="20"/>
                <w:szCs w:val="20"/>
              </w:rPr>
              <w:t xml:space="preserve">reg09</w:t>
            </w:r>
          </w:p>
        </w:tc>
        <w:tc>
          <w:tcPr>
            <w:tcW w:w="0" w:type="auto"/>
          </w:tcPr>
          <w:p>
            <w:pPr>
              <w:spacing w:line="240" w:lineRule="auto" w:before="0" w:after="0"/>
              <w:pStyle w:val="Compact"/>
            </w:pPr>
            <w:r>
              <w:rPr>
                <w:sz w:val="20"/>
                <w:szCs w:val="20"/>
              </w:rPr>
              <w:t xml:space="preserve">RISAT-2BR1</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2019-12-11</w:t>
            </w:r>
          </w:p>
        </w:tc>
        <w:tc>
          <w:tcPr>
            <w:tcW w:w="0" w:type="auto"/>
          </w:tcPr>
          <w:p>
            <w:pPr>
              <w:spacing w:line="240" w:lineRule="auto" w:before="0" w:after="0"/>
              <w:pStyle w:val="Compact"/>
            </w:pPr>
            <w:r>
              <w:rPr>
                <w:sz w:val="20"/>
                <w:szCs w:val="20"/>
              </w:rPr>
              <w:t xml:space="preserve">2020-03-10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India registration submission; UN Digital Library voting records</w:t>
            </w:r>
          </w:p>
        </w:tc>
      </w:tr>
      <w:tr>
        <w:tc>
          <w:tcPr>
            <w:tcW w:w="0" w:type="auto"/>
          </w:tcPr>
          <w:p>
            <w:pPr>
              <w:spacing w:line="240" w:lineRule="auto" w:before="0" w:after="0"/>
              <w:pStyle w:val="Compact"/>
            </w:pPr>
            <w:r>
              <w:rPr>
                <w:sz w:val="20"/>
                <w:szCs w:val="20"/>
              </w:rPr>
              <w:t xml:space="preserve">reg10</w:t>
            </w:r>
          </w:p>
        </w:tc>
        <w:tc>
          <w:tcPr>
            <w:tcW w:w="0" w:type="auto"/>
          </w:tcPr>
          <w:p>
            <w:pPr>
              <w:spacing w:line="240" w:lineRule="auto" w:before="0" w:after="0"/>
              <w:pStyle w:val="Compact"/>
            </w:pPr>
            <w:r>
              <w:rPr>
                <w:sz w:val="20"/>
                <w:szCs w:val="20"/>
              </w:rPr>
              <w:t xml:space="preserve">Emirates Mars Mission Hope</w:t>
            </w:r>
          </w:p>
        </w:tc>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2020-07-19</w:t>
            </w:r>
          </w:p>
        </w:tc>
        <w:tc>
          <w:tcPr>
            <w:tcW w:w="0" w:type="auto"/>
          </w:tcPr>
          <w:p>
            <w:pPr>
              <w:spacing w:line="240" w:lineRule="auto" w:before="0" w:after="0"/>
              <w:pStyle w:val="Compact"/>
            </w:pPr>
            <w:r>
              <w:rPr>
                <w:sz w:val="20"/>
                <w:szCs w:val="20"/>
              </w:rPr>
              <w:t xml:space="preserve">2020-11-24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UNOOSA Online Index; UAE registration submission; UN Digital Library voting records</w:t>
            </w:r>
          </w:p>
        </w:tc>
      </w:tr>
      <w:tr>
        <w:tc>
          <w:tcPr>
            <w:tcW w:w="0" w:type="auto"/>
          </w:tcPr>
          <w:p>
            <w:pPr>
              <w:spacing w:line="240" w:lineRule="auto" w:before="0" w:after="0"/>
              <w:pStyle w:val="Compact"/>
            </w:pPr>
            <w:r>
              <w:rPr>
                <w:sz w:val="20"/>
                <w:szCs w:val="20"/>
              </w:rPr>
              <w:t xml:space="preserve">reg11</w:t>
            </w:r>
          </w:p>
        </w:tc>
        <w:tc>
          <w:tcPr>
            <w:tcW w:w="0" w:type="auto"/>
          </w:tcPr>
          <w:p>
            <w:pPr>
              <w:spacing w:line="240" w:lineRule="auto" w:before="0" w:after="0"/>
              <w:pStyle w:val="Compact"/>
            </w:pPr>
            <w:r>
              <w:rPr>
                <w:sz w:val="20"/>
                <w:szCs w:val="20"/>
              </w:rPr>
              <w:t xml:space="preserve">Turksat 5A</w:t>
            </w:r>
          </w:p>
        </w:tc>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2021-01-08</w:t>
            </w:r>
          </w:p>
        </w:tc>
        <w:tc>
          <w:tcPr>
            <w:tcW w:w="0" w:type="auto"/>
          </w:tcPr>
          <w:p>
            <w:pPr>
              <w:spacing w:line="240" w:lineRule="auto" w:before="0" w:after="0"/>
              <w:pStyle w:val="Compact"/>
            </w:pPr>
            <w:r>
              <w:rPr>
                <w:sz w:val="20"/>
                <w:szCs w:val="20"/>
              </w:rPr>
              <w:t xml:space="preserve">2021-09-10</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Turkey registration submission; UN Digital Library voting records</w:t>
            </w:r>
          </w:p>
        </w:tc>
      </w:tr>
      <w:tr>
        <w:tc>
          <w:tcPr>
            <w:tcW w:w="0" w:type="auto"/>
          </w:tcPr>
          <w:p>
            <w:pPr>
              <w:spacing w:line="240" w:lineRule="auto" w:before="0" w:after="0"/>
              <w:pStyle w:val="Compact"/>
            </w:pPr>
            <w:r>
              <w:rPr>
                <w:sz w:val="20"/>
                <w:szCs w:val="20"/>
              </w:rPr>
              <w:t xml:space="preserve">reg12</w:t>
            </w:r>
          </w:p>
        </w:tc>
        <w:tc>
          <w:tcPr>
            <w:tcW w:w="0" w:type="auto"/>
          </w:tcPr>
          <w:p>
            <w:pPr>
              <w:spacing w:line="240" w:lineRule="auto" w:before="0" w:after="0"/>
              <w:pStyle w:val="Compact"/>
            </w:pPr>
            <w:r>
              <w:rPr>
                <w:sz w:val="20"/>
                <w:szCs w:val="20"/>
              </w:rPr>
              <w:t xml:space="preserve">SAOCOM-1B</w:t>
            </w:r>
          </w:p>
        </w:tc>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2020-08-30</w:t>
            </w:r>
          </w:p>
        </w:tc>
        <w:tc>
          <w:tcPr>
            <w:tcW w:w="0" w:type="auto"/>
          </w:tcPr>
          <w:p>
            <w:pPr>
              <w:spacing w:line="240" w:lineRule="auto" w:before="0" w:after="0"/>
              <w:pStyle w:val="Compact"/>
            </w:pPr>
            <w:r>
              <w:rPr>
                <w:sz w:val="20"/>
                <w:szCs w:val="20"/>
              </w:rPr>
              <w:t xml:space="preserve">2021-03-30</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Argentina registration submission; UN Digital Library voting records</w:t>
            </w:r>
          </w:p>
        </w:tc>
      </w:tr>
      <w:tr>
        <w:tc>
          <w:tcPr>
            <w:tcW w:w="0" w:type="auto"/>
          </w:tcPr>
          <w:p>
            <w:pPr>
              <w:spacing w:line="240" w:lineRule="auto" w:before="0" w:after="0"/>
              <w:pStyle w:val="Compact"/>
            </w:pPr>
            <w:r>
              <w:rPr>
                <w:sz w:val="20"/>
                <w:szCs w:val="20"/>
              </w:rPr>
              <w:t xml:space="preserve">reg13</w:t>
            </w:r>
          </w:p>
        </w:tc>
        <w:tc>
          <w:tcPr>
            <w:tcW w:w="0" w:type="auto"/>
          </w:tcPr>
          <w:p>
            <w:pPr>
              <w:spacing w:line="240" w:lineRule="auto" w:before="0" w:after="0"/>
              <w:pStyle w:val="Compact"/>
            </w:pPr>
            <w:r>
              <w:rPr>
                <w:sz w:val="20"/>
                <w:szCs w:val="20"/>
              </w:rPr>
              <w:t xml:space="preserve">Amazonia-1</w:t>
            </w:r>
          </w:p>
        </w:tc>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2021-02-28</w:t>
            </w:r>
          </w:p>
        </w:tc>
        <w:tc>
          <w:tcPr>
            <w:tcW w:w="0" w:type="auto"/>
          </w:tcPr>
          <w:p>
            <w:pPr>
              <w:spacing w:line="240" w:lineRule="auto" w:before="0" w:after="0"/>
              <w:pStyle w:val="Compact"/>
            </w:pPr>
            <w:r>
              <w:rPr>
                <w:sz w:val="20"/>
                <w:szCs w:val="20"/>
              </w:rPr>
              <w:t xml:space="preserve">2021-10-17</w:t>
            </w:r>
          </w:p>
        </w:tc>
        <w:tc>
          <w:tcPr>
            <w:tcW w:w="0" w:type="auto"/>
          </w:tcPr>
          <w:p>
            <w:pPr>
              <w:spacing w:line="240" w:lineRule="auto" w:before="0" w:after="0"/>
              <w:pStyle w:val="Compact"/>
            </w:pPr>
            <w:r>
              <w:rPr>
                <w:sz w:val="20"/>
                <w:szCs w:val="20"/>
              </w:rPr>
              <w:t xml:space="preserve">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Brazil registration submission; UN Digital Library voting records</w:t>
            </w:r>
          </w:p>
        </w:tc>
      </w:tr>
      <w:tr>
        <w:tc>
          <w:tcPr>
            <w:tcW w:w="0" w:type="auto"/>
          </w:tcPr>
          <w:p>
            <w:pPr>
              <w:spacing w:line="240" w:lineRule="auto" w:before="0" w:after="0"/>
              <w:pStyle w:val="Compact"/>
            </w:pPr>
            <w:r>
              <w:rPr>
                <w:sz w:val="20"/>
                <w:szCs w:val="20"/>
              </w:rPr>
              <w:t xml:space="preserve">reg14</w:t>
            </w:r>
          </w:p>
        </w:tc>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2015-03-25</w:t>
            </w:r>
          </w:p>
        </w:tc>
        <w:tc>
          <w:tcPr>
            <w:tcW w:w="0" w:type="auto"/>
          </w:tcPr>
          <w:p>
            <w:pPr>
              <w:spacing w:line="240" w:lineRule="auto" w:before="0" w:after="0"/>
              <w:pStyle w:val="Compact"/>
            </w:pPr>
            <w:r>
              <w:rPr>
                <w:sz w:val="20"/>
                <w:szCs w:val="20"/>
              </w:rPr>
              <w:t xml:space="preserve">2016-05-08</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Korea registration submission; UN Digital Library voting records</w:t>
            </w:r>
          </w:p>
        </w:tc>
      </w:tr>
      <w:tr>
        <w:tc>
          <w:tcPr>
            <w:tcW w:w="0" w:type="auto"/>
          </w:tcPr>
          <w:p>
            <w:pPr>
              <w:spacing w:line="240" w:lineRule="auto" w:before="0" w:after="0"/>
              <w:pStyle w:val="Compact"/>
            </w:pPr>
            <w:r>
              <w:rPr>
                <w:sz w:val="20"/>
                <w:szCs w:val="20"/>
              </w:rPr>
              <w:t xml:space="preserve">reg15</w:t>
            </w:r>
          </w:p>
        </w:tc>
        <w:tc>
          <w:tcPr>
            <w:tcW w:w="0" w:type="auto"/>
          </w:tcPr>
          <w:p>
            <w:pPr>
              <w:spacing w:line="240" w:lineRule="auto" w:before="0" w:after="0"/>
              <w:pStyle w:val="Compact"/>
            </w:pPr>
            <w:r>
              <w:rPr>
                <w:sz w:val="20"/>
                <w:szCs w:val="20"/>
              </w:rPr>
              <w:t xml:space="preserve">OneWeb L5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2020-02-06</w:t>
            </w:r>
          </w:p>
        </w:tc>
        <w:tc>
          <w:tcPr>
            <w:tcW w:w="0" w:type="auto"/>
          </w:tcPr>
          <w:p>
            <w:pPr>
              <w:spacing w:line="240" w:lineRule="auto" w:before="0" w:after="0"/>
              <w:pStyle w:val="Compact"/>
            </w:pPr>
            <w:r>
              <w:rPr>
                <w:sz w:val="20"/>
                <w:szCs w:val="20"/>
              </w:rPr>
              <w:t xml:space="preserve">2021-06-01</w:t>
            </w:r>
          </w:p>
        </w:tc>
        <w:tc>
          <w:tcPr>
            <w:tcW w:w="0" w:type="auto"/>
          </w:tcPr>
          <w:p>
            <w:pPr>
              <w:spacing w:line="240" w:lineRule="auto" w:before="0" w:after="0"/>
              <w:pStyle w:val="Compact"/>
            </w:pPr>
            <w:r>
              <w:rPr>
                <w:sz w:val="20"/>
                <w:szCs w:val="20"/>
              </w:rPr>
              <w:t xml:space="preserve">481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reg16</w:t>
            </w:r>
          </w:p>
        </w:tc>
        <w:tc>
          <w:tcPr>
            <w:tcW w:w="0" w:type="auto"/>
          </w:tcPr>
          <w:p>
            <w:pPr>
              <w:spacing w:line="240" w:lineRule="auto" w:before="0" w:after="0"/>
              <w:pStyle w:val="Compact"/>
            </w:pPr>
            <w:r>
              <w:rPr>
                <w:sz w:val="20"/>
                <w:szCs w:val="20"/>
              </w:rPr>
              <w:t xml:space="preserve">OneWeb L10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2021-03-25</w:t>
            </w:r>
          </w:p>
        </w:tc>
        <w:tc>
          <w:tcPr>
            <w:tcW w:w="0" w:type="auto"/>
          </w:tcPr>
          <w:p>
            <w:pPr>
              <w:spacing w:line="240" w:lineRule="auto" w:before="0" w:after="0"/>
              <w:pStyle w:val="Compact"/>
            </w:pPr>
            <w:r>
              <w:rPr>
                <w:sz w:val="20"/>
                <w:szCs w:val="20"/>
              </w:rPr>
              <w:t xml:space="preserve">2022-07-01</w:t>
            </w:r>
          </w:p>
        </w:tc>
        <w:tc>
          <w:tcPr>
            <w:tcW w:w="0" w:type="auto"/>
          </w:tcPr>
          <w:p>
            <w:pPr>
              <w:spacing w:line="240" w:lineRule="auto" w:before="0" w:after="0"/>
              <w:pStyle w:val="Compact"/>
            </w:pPr>
            <w:r>
              <w:rPr>
                <w:sz w:val="20"/>
                <w:szCs w:val="20"/>
              </w:rPr>
              <w:t xml:space="preserve">463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reg17</w:t>
            </w:r>
          </w:p>
        </w:tc>
        <w:tc>
          <w:tcPr>
            <w:tcW w:w="0" w:type="auto"/>
          </w:tcPr>
          <w:p>
            <w:pPr>
              <w:spacing w:line="240" w:lineRule="auto" w:before="0" w:after="0"/>
              <w:pStyle w:val="Compact"/>
            </w:pPr>
            <w:r>
              <w:rPr>
                <w:sz w:val="20"/>
                <w:szCs w:val="20"/>
              </w:rPr>
              <w:t xml:space="preserve">OneWeb L12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2021-08-22</w:t>
            </w:r>
          </w:p>
        </w:tc>
        <w:tc>
          <w:tcPr>
            <w:tcW w:w="0" w:type="auto"/>
          </w:tcPr>
          <w:p>
            <w:pPr>
              <w:spacing w:line="240" w:lineRule="auto" w:before="0" w:after="0"/>
              <w:pStyle w:val="Compact"/>
            </w:pPr>
            <w:r>
              <w:rPr>
                <w:sz w:val="20"/>
                <w:szCs w:val="20"/>
              </w:rPr>
              <w:t xml:space="preserve">2023-01-15</w:t>
            </w:r>
          </w:p>
        </w:tc>
        <w:tc>
          <w:tcPr>
            <w:tcW w:w="0" w:type="auto"/>
          </w:tcPr>
          <w:p>
            <w:pPr>
              <w:spacing w:line="240" w:lineRule="auto" w:before="0" w:after="0"/>
              <w:pStyle w:val="Compact"/>
            </w:pPr>
            <w:r>
              <w:rPr>
                <w:sz w:val="20"/>
                <w:szCs w:val="20"/>
              </w:rPr>
              <w:t xml:space="preserve">511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reg18</w:t>
            </w:r>
          </w:p>
        </w:tc>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2021-10-24</w:t>
            </w:r>
          </w:p>
        </w:tc>
        <w:tc>
          <w:tcPr>
            <w:tcW w:w="0" w:type="auto"/>
          </w:tcPr>
          <w:p>
            <w:pPr>
              <w:spacing w:line="240" w:lineRule="auto" w:before="0" w:after="0"/>
              <w:pStyle w:val="Compact"/>
            </w:pPr>
            <w:r>
              <w:rPr>
                <w:sz w:val="20"/>
                <w:szCs w:val="20"/>
              </w:rPr>
              <w:t xml:space="preserve">2022-11-23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Luxembourg registration submission; UN Digital Library voting records</w:t>
            </w:r>
          </w:p>
        </w:tc>
      </w:tr>
      <w:tr>
        <w:tc>
          <w:tcPr>
            <w:tcW w:w="0" w:type="auto"/>
          </w:tcPr>
          <w:p>
            <w:pPr>
              <w:spacing w:line="240" w:lineRule="auto" w:before="0" w:after="0"/>
              <w:pStyle w:val="Compact"/>
            </w:pPr>
            <w:r>
              <w:rPr>
                <w:sz w:val="20"/>
                <w:szCs w:val="20"/>
              </w:rPr>
              <w:t xml:space="preserve">reg19</w:t>
            </w:r>
          </w:p>
        </w:tc>
        <w:tc>
          <w:tcPr>
            <w:tcW w:w="0" w:type="auto"/>
          </w:tcPr>
          <w:p>
            <w:pPr>
              <w:spacing w:line="240" w:lineRule="auto" w:before="0" w:after="0"/>
              <w:pStyle w:val="Compact"/>
            </w:pPr>
            <w:r>
              <w:rPr>
                <w:sz w:val="20"/>
                <w:szCs w:val="20"/>
              </w:rPr>
              <w:t xml:space="preserve">Eutelsat Quantum</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2021-07-30</w:t>
            </w:r>
          </w:p>
        </w:tc>
        <w:tc>
          <w:tcPr>
            <w:tcW w:w="0" w:type="auto"/>
          </w:tcPr>
          <w:p>
            <w:pPr>
              <w:spacing w:line="240" w:lineRule="auto" w:before="0" w:after="0"/>
              <w:pStyle w:val="Compact"/>
            </w:pPr>
            <w:r>
              <w:rPr>
                <w:sz w:val="20"/>
                <w:szCs w:val="20"/>
              </w:rPr>
              <w:t xml:space="preserve">2022-05-12</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France registration submission; UN Digital Library voting records</w:t>
            </w:r>
          </w:p>
        </w:tc>
      </w:tr>
      <w:tr>
        <w:tc>
          <w:tcPr>
            <w:tcW w:w="0" w:type="auto"/>
          </w:tcPr>
          <w:p>
            <w:pPr>
              <w:spacing w:line="240" w:lineRule="auto" w:before="0" w:after="0"/>
              <w:pStyle w:val="Compact"/>
            </w:pPr>
            <w:r>
              <w:rPr>
                <w:sz w:val="20"/>
                <w:szCs w:val="20"/>
              </w:rPr>
              <w:t xml:space="preserve">reg20</w:t>
            </w:r>
          </w:p>
        </w:tc>
        <w:tc>
          <w:tcPr>
            <w:tcW w:w="0" w:type="auto"/>
          </w:tcPr>
          <w:p>
            <w:pPr>
              <w:spacing w:line="240" w:lineRule="auto" w:before="0" w:after="0"/>
              <w:pStyle w:val="Compact"/>
            </w:pPr>
            <w:r>
              <w:rPr>
                <w:sz w:val="20"/>
                <w:szCs w:val="20"/>
              </w:rPr>
              <w:t xml:space="preserve">NigeriaSat-2</w:t>
            </w:r>
          </w:p>
        </w:tc>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2011-08-17</w:t>
            </w:r>
          </w:p>
        </w:tc>
        <w:tc>
          <w:tcPr>
            <w:tcW w:w="0" w:type="auto"/>
          </w:tcPr>
          <w:p>
            <w:pPr>
              <w:spacing w:line="240" w:lineRule="auto" w:before="0" w:after="0"/>
              <w:pStyle w:val="Compact"/>
            </w:pPr>
            <w:r>
              <w:rPr>
                <w:sz w:val="20"/>
                <w:szCs w:val="20"/>
              </w:rPr>
              <w:t xml:space="preserve">2013-04-28</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Nigeria registration submission; UN Digital Library voting records</w:t>
            </w:r>
          </w:p>
        </w:tc>
      </w:tr>
      <w:tr>
        <w:tc>
          <w:tcPr>
            <w:tcW w:w="0" w:type="auto"/>
          </w:tcPr>
          <w:p>
            <w:pPr>
              <w:spacing w:line="240" w:lineRule="auto" w:before="0" w:after="0"/>
              <w:pStyle w:val="Compact"/>
            </w:pPr>
            <w:r>
              <w:rPr>
                <w:sz w:val="20"/>
                <w:szCs w:val="20"/>
              </w:rPr>
              <w:t xml:space="preserve">reg21</w:t>
            </w:r>
          </w:p>
        </w:tc>
        <w:tc>
          <w:tcPr>
            <w:tcW w:w="0" w:type="auto"/>
          </w:tcPr>
          <w:p>
            <w:pPr>
              <w:spacing w:line="240" w:lineRule="auto" w:before="0" w:after="0"/>
              <w:pStyle w:val="Compact"/>
            </w:pPr>
            <w:r>
              <w:rPr>
                <w:sz w:val="20"/>
                <w:szCs w:val="20"/>
              </w:rPr>
              <w:t xml:space="preserve">EgyptSat-A</w:t>
            </w:r>
          </w:p>
        </w:tc>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2019-02-21</w:t>
            </w:r>
          </w:p>
        </w:tc>
        <w:tc>
          <w:tcPr>
            <w:tcW w:w="0" w:type="auto"/>
          </w:tcPr>
          <w:p>
            <w:pPr>
              <w:spacing w:line="240" w:lineRule="auto" w:before="0" w:after="0"/>
              <w:pStyle w:val="Compact"/>
            </w:pPr>
            <w:r>
              <w:rPr>
                <w:sz w:val="20"/>
                <w:szCs w:val="20"/>
              </w:rPr>
              <w:t xml:space="preserve">2020-05-16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Egypt registration submission; UN Digital Library voting records</w:t>
            </w:r>
          </w:p>
        </w:tc>
      </w:tr>
      <w:tr>
        <w:tc>
          <w:tcPr>
            <w:tcW w:w="0" w:type="auto"/>
          </w:tcPr>
          <w:p>
            <w:pPr>
              <w:spacing w:line="240" w:lineRule="auto" w:before="0" w:after="0"/>
              <w:pStyle w:val="Compact"/>
            </w:pPr>
            <w:r>
              <w:rPr>
                <w:sz w:val="20"/>
                <w:szCs w:val="20"/>
              </w:rPr>
              <w:t xml:space="preserve">reg22</w:t>
            </w:r>
          </w:p>
        </w:tc>
        <w:tc>
          <w:tcPr>
            <w:tcW w:w="0" w:type="auto"/>
          </w:tcPr>
          <w:p>
            <w:pPr>
              <w:spacing w:line="240" w:lineRule="auto" w:before="0" w:after="0"/>
              <w:pStyle w:val="Compact"/>
            </w:pPr>
            <w:r>
              <w:rPr>
                <w:sz w:val="20"/>
                <w:szCs w:val="20"/>
              </w:rPr>
              <w:t xml:space="preserve">AngoSat-2</w:t>
            </w:r>
          </w:p>
        </w:tc>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2022-10-12</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Angola registration submission; UN Digital Library voting records</w:t>
            </w:r>
          </w:p>
        </w:tc>
      </w:tr>
      <w:tr>
        <w:tc>
          <w:tcPr>
            <w:tcW w:w="0" w:type="auto"/>
          </w:tcPr>
          <w:p>
            <w:pPr>
              <w:spacing w:line="240" w:lineRule="auto" w:before="0" w:after="0"/>
              <w:pStyle w:val="Compact"/>
            </w:pPr>
            <w:r>
              <w:rPr>
                <w:sz w:val="20"/>
                <w:szCs w:val="20"/>
              </w:rPr>
              <w:t xml:space="preserve">reg23</w:t>
            </w:r>
          </w:p>
        </w:tc>
        <w:tc>
          <w:tcPr>
            <w:tcW w:w="0" w:type="auto"/>
          </w:tcPr>
          <w:p>
            <w:pPr>
              <w:spacing w:line="240" w:lineRule="auto" w:before="0" w:after="0"/>
              <w:pStyle w:val="Compact"/>
            </w:pPr>
            <w:r>
              <w:rPr>
                <w:sz w:val="20"/>
                <w:szCs w:val="20"/>
              </w:rPr>
              <w:t xml:space="preserve">Measat-3d</w:t>
            </w:r>
          </w:p>
        </w:tc>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2022-06-22</w:t>
            </w:r>
          </w:p>
        </w:tc>
        <w:tc>
          <w:tcPr>
            <w:tcW w:w="0" w:type="auto"/>
          </w:tcPr>
          <w:p>
            <w:pPr>
              <w:spacing w:line="240" w:lineRule="auto" w:before="0" w:after="0"/>
              <w:pStyle w:val="Compact"/>
            </w:pPr>
            <w:r>
              <w:rPr>
                <w:sz w:val="20"/>
                <w:szCs w:val="20"/>
              </w:rPr>
              <w:t xml:space="preserve">2023-05-28</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Malaysia registration submission; UN Digital Library voting records</w:t>
            </w:r>
          </w:p>
        </w:tc>
      </w:tr>
      <w:tr>
        <w:tc>
          <w:tcPr>
            <w:tcW w:w="0" w:type="auto"/>
          </w:tcPr>
          <w:p>
            <w:pPr>
              <w:spacing w:line="240" w:lineRule="auto" w:before="0" w:after="0"/>
              <w:pStyle w:val="Compact"/>
            </w:pPr>
            <w:r>
              <w:rPr>
                <w:sz w:val="20"/>
                <w:szCs w:val="20"/>
              </w:rPr>
              <w:t xml:space="preserve">reg24</w:t>
            </w:r>
          </w:p>
        </w:tc>
        <w:tc>
          <w:tcPr>
            <w:tcW w:w="0" w:type="auto"/>
          </w:tcPr>
          <w:p>
            <w:pPr>
              <w:spacing w:line="240" w:lineRule="auto" w:before="0" w:after="0"/>
              <w:pStyle w:val="Compact"/>
            </w:pPr>
            <w:r>
              <w:rPr>
                <w:sz w:val="20"/>
                <w:szCs w:val="20"/>
              </w:rPr>
              <w:t xml:space="preserve">TUPOD object sample</w:t>
            </w:r>
          </w:p>
        </w:tc>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2016-12-09</w:t>
            </w:r>
          </w:p>
        </w:tc>
        <w:tc>
          <w:tcPr>
            <w:tcW w:w="0" w:type="auto"/>
          </w:tcPr>
          <w:p>
            <w:pPr>
              <w:spacing w:line="240" w:lineRule="auto" w:before="0" w:after="0"/>
              <w:pStyle w:val="Compact"/>
            </w:pPr>
            <w:r>
              <w:rPr>
                <w:sz w:val="20"/>
                <w:szCs w:val="20"/>
              </w:rPr>
              <w:t xml:space="preserve">2018-11-09</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Italy registration submission; UN Digital Library voting records</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registration_gap_days</w:t>
            </w:r>
          </w:p>
        </w:tc>
        <w:tc>
          <w:tcPr>
            <w:tcW w:w="0" w:type="auto"/>
          </w:tcPr>
          <w:p>
            <w:pPr>
              <w:spacing w:line="240" w:lineRule="auto" w:before="0" w:after="0"/>
              <w:pStyle w:val="Compact"/>
            </w:pPr>
            <w:r>
              <w:rPr>
                <w:sz w:val="20"/>
                <w:szCs w:val="20"/>
              </w:rPr>
              <w:t xml:space="preserve">Days between launch date and registration date.</w:t>
            </w:r>
          </w:p>
        </w:tc>
        <w:tc>
          <w:tcPr>
            <w:tcW w:w="0" w:type="auto"/>
          </w:tcPr>
          <w:p>
            <w:pPr>
              <w:spacing w:line="240" w:lineRule="auto" w:before="0" w:after="0"/>
              <w:pStyle w:val="Compact"/>
            </w:pPr>
            <w:r>
              <w:rPr>
                <w:sz w:val="20"/>
                <w:szCs w:val="20"/>
              </w:rPr>
              <w:t xml:space="preserve">Computed from row-level launch_date and registration_date fields in the object panel.</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Annual voting-agreement score between responsible state and launch-site state.</w:t>
            </w:r>
          </w:p>
        </w:tc>
        <w:tc>
          <w:tcPr>
            <w:tcW w:w="0" w:type="auto"/>
          </w:tcPr>
          <w:p>
            <w:pPr>
              <w:spacing w:line="240" w:lineRule="auto" w:before="0" w:after="0"/>
              <w:pStyle w:val="Compact"/>
            </w:pPr>
            <w:r>
              <w:rPr>
                <w:sz w:val="20"/>
                <w:szCs w:val="20"/>
              </w:rPr>
              <w:t xml:space="preserve">Hand-coded from UN Digital Library roll-call voting agreement source family for the launch year.</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Log-scaled launch cohort size.</w:t>
            </w:r>
          </w:p>
        </w:tc>
        <w:tc>
          <w:tcPr>
            <w:tcW w:w="0" w:type="auto"/>
          </w:tcPr>
          <w:p>
            <w:pPr>
              <w:spacing w:line="240" w:lineRule="auto" w:before="0" w:after="0"/>
              <w:pStyle w:val="Compact"/>
            </w:pPr>
            <w:r>
              <w:rPr>
                <w:sz w:val="20"/>
                <w:szCs w:val="20"/>
              </w:rPr>
              <w:t xml:space="preserve">Natural log of one plus the number of objects in the launch cohort.</w:t>
            </w:r>
          </w:p>
        </w:tc>
      </w:tr>
      <w:tr>
        <w:tc>
          <w:tcPr>
            <w:tcW w:w="0" w:type="auto"/>
          </w:tcPr>
          <w:p>
            <w:pPr>
              <w:spacing w:line="240" w:lineRule="auto" w:before="0" w:after="0"/>
              <w:pStyle w:val="Compact"/>
            </w:pPr>
            <w:r>
              <w:rPr>
                <w:sz w:val="20"/>
                <w:szCs w:val="20"/>
              </w:rPr>
              <w:t xml:space="preserve">registered_within_12_months</w:t>
            </w:r>
          </w:p>
        </w:tc>
        <w:tc>
          <w:tcPr>
            <w:tcW w:w="0" w:type="auto"/>
          </w:tcPr>
          <w:p>
            <w:pPr>
              <w:spacing w:line="240" w:lineRule="auto" w:before="0" w:after="0"/>
              <w:pStyle w:val="Compact"/>
            </w:pPr>
            <w:r>
              <w:rPr>
                <w:sz w:val="20"/>
                <w:szCs w:val="20"/>
              </w:rPr>
              <w:t xml:space="preserve">Administrative timeliness flag.</w:t>
            </w:r>
          </w:p>
        </w:tc>
        <w:tc>
          <w:tcPr>
            <w:tcW w:w="0" w:type="auto"/>
          </w:tcPr>
          <w:p>
            <w:pPr>
              <w:spacing w:line="240" w:lineRule="auto" w:before="0" w:after="0"/>
              <w:pStyle w:val="Compact"/>
            </w:pPr>
            <w:r>
              <w:rPr>
                <w:sz w:val="20"/>
                <w:szCs w:val="20"/>
              </w:rPr>
              <w:t xml:space="preserve">One when registration_gap_days is 365 or less, otherwise zero.</w:t>
            </w:r>
          </w:p>
        </w:tc>
      </w:tr>
      <w:tr>
        <w:tc>
          <w:tcPr>
            <w:tcW w:w="0" w:type="auto"/>
          </w:tcPr>
          <w:p>
            <w:pPr>
              <w:spacing w:line="240" w:lineRule="auto" w:before="0" w:after="0"/>
              <w:pStyle w:val="Compact"/>
            </w:pPr>
            <w:r>
              <w:rPr>
                <w:sz w:val="20"/>
                <w:szCs w:val="20"/>
              </w:rPr>
              <w:t xml:space="preserve">registration_event</w:t>
            </w:r>
          </w:p>
        </w:tc>
        <w:tc>
          <w:tcPr>
            <w:tcW w:w="0" w:type="auto"/>
          </w:tcPr>
          <w:p>
            <w:pPr>
              <w:spacing w:line="240" w:lineRule="auto" w:before="0" w:after="0"/>
              <w:pStyle w:val="Compact"/>
            </w:pPr>
            <w:r>
              <w:rPr>
                <w:sz w:val="20"/>
                <w:szCs w:val="20"/>
              </w:rPr>
              <w:t xml:space="preserve">Event indicator for registration timing model.</w:t>
            </w:r>
          </w:p>
        </w:tc>
        <w:tc>
          <w:tcPr>
            <w:tcW w:w="0" w:type="auto"/>
          </w:tcPr>
          <w:p>
            <w:pPr>
              <w:spacing w:line="240" w:lineRule="auto" w:before="0" w:after="0"/>
              <w:pStyle w:val="Compact"/>
            </w:pPr>
            <w:r>
              <w:rPr>
                <w:sz w:val="20"/>
                <w:szCs w:val="20"/>
              </w:rPr>
              <w:t xml:space="preserve">One for all rows in this registered-object pilot sample; future expansion can include censored unregistered objects.</w:t>
            </w:r>
          </w:p>
        </w:tc>
      </w:tr>
      <w:tr>
        <w:tc>
          <w:tcPr>
            <w:tcW w:w="0" w:type="auto"/>
          </w:tcPr>
          <w:p>
            <w:pPr>
              <w:spacing w:line="240" w:lineRule="auto" w:before="0" w:after="0"/>
              <w:pStyle w:val="Compact"/>
            </w:pPr>
            <w:r>
              <w:rPr>
                <w:sz w:val="20"/>
                <w:szCs w:val="20"/>
              </w:rPr>
              <w:t xml:space="preserve">leo_orbit</w:t>
            </w:r>
          </w:p>
        </w:tc>
        <w:tc>
          <w:tcPr>
            <w:tcW w:w="0" w:type="auto"/>
          </w:tcPr>
          <w:p>
            <w:pPr>
              <w:spacing w:line="240" w:lineRule="auto" w:before="0" w:after="0"/>
              <w:pStyle w:val="Compact"/>
            </w:pPr>
            <w:r>
              <w:rPr>
                <w:sz w:val="20"/>
                <w:szCs w:val="20"/>
              </w:rPr>
              <w:t xml:space="preserve">Low Earth orbit indicator.</w:t>
            </w:r>
          </w:p>
        </w:tc>
        <w:tc>
          <w:tcPr>
            <w:tcW w:w="0" w:type="auto"/>
          </w:tcPr>
          <w:p>
            <w:pPr>
              <w:spacing w:line="240" w:lineRule="auto" w:before="0" w:after="0"/>
              <w:pStyle w:val="Compact"/>
            </w:pPr>
            <w:r>
              <w:rPr>
                <w:sz w:val="20"/>
                <w:szCs w:val="20"/>
              </w:rPr>
              <w:t xml:space="preserve">One where orbit_class equals LEO, otherwise zero.</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w:t>
            </w:r>
          </w:p>
        </w:tc>
        <w:tc>
          <w:tcPr>
            <w:tcW w:w="0" w:type="auto"/>
          </w:tcPr>
          <w:p>
            <w:pPr>
              <w:spacing w:line="240" w:lineRule="auto" w:before="0" w:after="0"/>
              <w:pStyle w:val="Compact"/>
            </w:pPr>
            <w:r>
              <w:rPr>
                <w:sz w:val="20"/>
                <w:szCs w:val="20"/>
              </w:rPr>
              <w:t xml:space="preserve">UNOOSA index, registration submission family, UN voting records, and public catalog cross-check source families.</w:t>
            </w:r>
          </w:p>
        </w:tc>
      </w:tr>
    </w:tbl>
    <w:bookmarkEnd w:id="196"/>
    <w:bookmarkEnd w:id="197"/>
    <w:bookmarkStart w:id="205" w:name="Xe46e552639c9282eb18b17f1b6c601dc5751d8b"/>
    <w:p>
      <w:pPr>
        <w:pStyle w:val="Heading2"/>
        <w:spacing w:line="480" w:lineRule="auto"/>
      </w:pPr>
      <w:r>
        <w:t xml:space="preserve">A.2 Geopolitical Alignment and the Registration Hazard: A Cox Timing Test</w:t>
      </w:r>
    </w:p>
    <w:p>
      <w:pPr>
        <w:pStyle w:val="FirstParagraph"/>
        <w:spacing w:line="480" w:lineRule="auto"/>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A</m:t>
          </m:r>
          <m:r>
            <m:t>l</m:t>
          </m:r>
          <m:r>
            <m:t>i</m:t>
          </m:r>
          <m:r>
            <m:t>g</m:t>
          </m:r>
          <m:r>
            <m:t>n</m:t>
          </m:r>
          <m:r>
            <m:t>m</m:t>
          </m:r>
          <m:r>
            <m:t>e</m:t>
          </m:r>
          <m:r>
            <m:t>n</m:t>
          </m:r>
          <m:sSub>
            <m:e>
              <m:r>
                <m:t>t</m:t>
              </m:r>
            </m:e>
            <m:sub>
              <m:r>
                <m:t>i</m:t>
              </m:r>
            </m:sub>
          </m:sSub>
          <m:r>
            <m:rPr>
              <m:sty m:val="p"/>
            </m:rPr>
            <m:t>+</m:t>
          </m:r>
          <m:sSub>
            <m:e>
              <m:r>
                <m:t>β</m:t>
              </m:r>
            </m:e>
            <m:sub>
              <m:r>
                <m:t>2</m:t>
              </m:r>
            </m:sub>
          </m:sSub>
          <m:r>
            <m:rPr>
              <m:sty m:val="p"/>
            </m:rPr>
            <m:t>ln</m:t>
          </m:r>
          <m:r>
            <m:rPr>
              <m:sty m:val="p"/>
            </m:rPr>
            <m:t>(</m:t>
          </m:r>
          <m:r>
            <m:t>1</m:t>
          </m:r>
          <m:r>
            <m:rPr>
              <m:sty m:val="p"/>
            </m:rPr>
            <m:t>+</m:t>
          </m:r>
          <m:r>
            <m:t>C</m:t>
          </m:r>
          <m:r>
            <m:t>o</m:t>
          </m:r>
          <m:r>
            <m:t>h</m:t>
          </m:r>
          <m:r>
            <m:t>o</m:t>
          </m:r>
          <m:r>
            <m:t>r</m:t>
          </m:r>
          <m:sSub>
            <m:e>
              <m:r>
                <m:t>t</m:t>
              </m:r>
            </m:e>
            <m:sub>
              <m:r>
                <m:t>i</m:t>
              </m:r>
            </m:sub>
          </m:sSub>
          <m:r>
            <m:rPr>
              <m:sty m:val="p"/>
            </m:rPr>
            <m:t>)</m:t>
          </m:r>
          <m:r>
            <m:rPr>
              <m:sty m:val="p"/>
            </m:rPr>
            <m:t>)</m:t>
          </m:r>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12.7753</w:t>
            </w:r>
          </w:p>
        </w:tc>
        <w:tc>
          <w:tcPr>
            <w:tcW w:w="0" w:type="auto"/>
          </w:tcPr>
          <w:p>
            <w:pPr>
              <w:spacing w:line="240" w:lineRule="auto" w:before="0" w:after="0"/>
              <w:pStyle w:val="Compact"/>
            </w:pPr>
            <w:r>
              <w:rPr>
                <w:sz w:val="20"/>
                <w:szCs w:val="20"/>
              </w:rPr>
              <w:t xml:space="preserve">3.2892</w:t>
            </w:r>
          </w:p>
        </w:tc>
        <w:tc>
          <w:tcPr>
            <w:tcW w:w="0" w:type="auto"/>
          </w:tcPr>
          <w:p>
            <w:pPr>
              <w:spacing w:line="240" w:lineRule="auto" w:before="0" w:after="0"/>
              <w:pStyle w:val="Compact"/>
            </w:pPr>
            <w:r>
              <w:rPr>
                <w:sz w:val="20"/>
                <w:szCs w:val="20"/>
              </w:rPr>
              <w:t xml:space="preserve">3.8841</w:t>
            </w:r>
          </w:p>
        </w:tc>
        <w:tc>
          <w:tcPr>
            <w:tcW w:w="0" w:type="auto"/>
          </w:tcPr>
          <w:p>
            <w:pPr>
              <w:spacing w:line="240" w:lineRule="auto" w:before="0" w:after="0"/>
              <w:pStyle w:val="Compact"/>
            </w:pPr>
            <w:r>
              <w:rPr>
                <w:sz w:val="20"/>
                <w:szCs w:val="20"/>
              </w:rPr>
              <w:t xml:space="preserve">0.0001027</w:t>
            </w:r>
          </w:p>
        </w:tc>
        <w:tc>
          <w:tcPr>
            <w:tcW w:w="0" w:type="auto"/>
          </w:tcPr>
          <w:p>
            <w:pPr>
              <w:spacing w:line="240" w:lineRule="auto" w:before="0" w:after="0"/>
              <w:pStyle w:val="Compact"/>
            </w:pPr>
            <w:r>
              <w:rPr>
                <w:sz w:val="20"/>
                <w:szCs w:val="20"/>
              </w:rPr>
              <w:t xml:space="preserve">[6.3286, 19.2221]</w:t>
            </w:r>
          </w:p>
        </w:tc>
        <w:tc>
          <w:tcPr>
            <w:tcW w:w="0" w:type="auto"/>
          </w:tcPr>
          <w:p>
            <w:pPr>
              <w:spacing w:line="240" w:lineRule="auto" w:before="0" w:after="0"/>
              <w:pStyle w:val="Compact"/>
            </w:pPr>
            <w:r>
              <w:rPr>
                <w:sz w:val="20"/>
                <w:szCs w:val="20"/>
              </w:rPr>
              <w:t xml:space="preserve">353390.0383</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0.5199</w:t>
            </w:r>
          </w:p>
        </w:tc>
        <w:tc>
          <w:tcPr>
            <w:tcW w:w="0" w:type="auto"/>
          </w:tcPr>
          <w:p>
            <w:pPr>
              <w:spacing w:line="240" w:lineRule="auto" w:before="0" w:after="0"/>
              <w:pStyle w:val="Compact"/>
            </w:pPr>
            <w:r>
              <w:rPr>
                <w:sz w:val="20"/>
                <w:szCs w:val="20"/>
              </w:rPr>
              <w:t xml:space="preserve">0.2622</w:t>
            </w:r>
          </w:p>
        </w:tc>
        <w:tc>
          <w:tcPr>
            <w:tcW w:w="0" w:type="auto"/>
          </w:tcPr>
          <w:p>
            <w:pPr>
              <w:spacing w:line="240" w:lineRule="auto" w:before="0" w:after="0"/>
              <w:pStyle w:val="Compact"/>
            </w:pPr>
            <w:r>
              <w:rPr>
                <w:sz w:val="20"/>
                <w:szCs w:val="20"/>
              </w:rPr>
              <w:t xml:space="preserve">1.9824</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[0.0059, 1.0339]</w:t>
            </w:r>
          </w:p>
        </w:tc>
        <w:tc>
          <w:tcPr>
            <w:tcW w:w="0" w:type="auto"/>
          </w:tcPr>
          <w:p>
            <w:pPr>
              <w:spacing w:line="240" w:lineRule="auto" w:before="0" w:after="0"/>
              <w:pStyle w:val="Compact"/>
            </w:pPr>
            <w:r>
              <w:rPr>
                <w:sz w:val="20"/>
                <w:szCs w:val="20"/>
              </w:rPr>
              <w:t xml:space="preserve">1.6818</w:t>
            </w:r>
          </w:p>
        </w:tc>
      </w:tr>
    </w:tbl>
    <w:p>
      <w:pPr>
        <w:pStyle w:val="BodyText"/>
        <w:spacing w:line="480" w:lineRule="auto"/>
        <w:ind w:firstLine="720"/>
      </w:pPr>
      <w:r>
        <w:t xml:space="preserve">Fit: N = 24 events = 24</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Registration timing by geopolitical alignment score." title="" id="200" name="Picture"/>
            <a:graphic>
              <a:graphicData uri="http://schemas.openxmlformats.org/drawingml/2006/picture">
                <pic:pic>
                  <pic:nvPicPr>
                    <pic:cNvPr descr="D:/Claude_Code/brain/collegium/candidates/dissertations/INTL_GOVERNANCE_11/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Registration timing by geopolitical alignment score.</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object_name</w:t>
            </w:r>
          </w:p>
        </w:tc>
        <w:tc>
          <w:tcPr>
            <w:tcW w:w="0" w:type="auto"/>
          </w:tcPr>
          <w:p>
            <w:pPr>
              <w:spacing w:line="240" w:lineRule="auto" w:before="0" w:after="0"/>
              <w:pStyle w:val="Compact"/>
            </w:pPr>
            <w:r>
              <w:rPr>
                <w:sz w:val="20"/>
                <w:szCs w:val="20"/>
              </w:rPr>
              <w:t xml:space="preserve">responsible_state</w:t>
            </w:r>
          </w:p>
        </w:tc>
        <w:tc>
          <w:tcPr>
            <w:tcW w:w="0" w:type="auto"/>
          </w:tcPr>
          <w:p>
            <w:pPr>
              <w:spacing w:line="240" w:lineRule="auto" w:before="0" w:after="0"/>
              <w:pStyle w:val="Compact"/>
            </w:pPr>
            <w:r>
              <w:rPr>
                <w:sz w:val="20"/>
                <w:szCs w:val="20"/>
              </w:rPr>
              <w:t xml:space="preserve">launch_site_state</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registration_date</w:t>
            </w:r>
          </w:p>
        </w:tc>
        <w:tc>
          <w:tcPr>
            <w:tcW w:w="0" w:type="auto"/>
          </w:tcPr>
          <w:p>
            <w:pPr>
              <w:spacing w:line="240" w:lineRule="auto" w:before="0" w:after="0"/>
              <w:pStyle w:val="Compact"/>
            </w:pPr>
            <w:r>
              <w:rPr>
                <w:sz w:val="20"/>
                <w:szCs w:val="20"/>
              </w:rPr>
              <w:t xml:space="preserve">registration_gap_days</w:t>
            </w:r>
          </w:p>
        </w:tc>
        <w:tc>
          <w:tcPr>
            <w:tcW w:w="0" w:type="auto"/>
          </w:tcPr>
          <w:p>
            <w:pPr>
              <w:spacing w:line="240" w:lineRule="auto" w:before="0" w:after="0"/>
              <w:pStyle w:val="Compact"/>
            </w:pPr>
            <w:r>
              <w:rPr>
                <w:sz w:val="20"/>
                <w:szCs w:val="20"/>
              </w:rPr>
              <w:t xml:space="preserve">registered_within_12_months</w:t>
            </w:r>
          </w:p>
        </w:tc>
        <w:tc>
          <w:tcPr>
            <w:tcW w:w="0" w:type="auto"/>
          </w:tcPr>
          <w:p>
            <w:pPr>
              <w:spacing w:line="240" w:lineRule="auto" w:before="0" w:after="0"/>
              <w:pStyle w:val="Compact"/>
            </w:pPr>
            <w:r>
              <w:rPr>
                <w:sz w:val="20"/>
                <w:szCs w:val="20"/>
              </w:rPr>
              <w:t xml:space="preserve">registration_event</w:t>
            </w:r>
          </w:p>
        </w:tc>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launch_cohort_size</w:t>
            </w:r>
          </w:p>
        </w:tc>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leo_orbit</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reg01</w:t>
            </w:r>
          </w:p>
        </w:tc>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2021-09-27</w:t>
            </w:r>
          </w:p>
        </w:tc>
        <w:tc>
          <w:tcPr>
            <w:tcW w:w="0" w:type="auto"/>
          </w:tcPr>
          <w:p>
            <w:pPr>
              <w:spacing w:line="240" w:lineRule="auto" w:before="0" w:after="0"/>
              <w:pStyle w:val="Compact"/>
            </w:pPr>
            <w:r>
              <w:rPr>
                <w:sz w:val="20"/>
                <w:szCs w:val="20"/>
              </w:rPr>
              <w:t xml:space="preserve">2022-02-15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reg02</w:t>
            </w:r>
          </w:p>
        </w:tc>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2022-03-01</w:t>
            </w:r>
          </w:p>
        </w:tc>
        <w:tc>
          <w:tcPr>
            <w:tcW w:w="0" w:type="auto"/>
          </w:tcPr>
          <w:p>
            <w:pPr>
              <w:spacing w:line="240" w:lineRule="auto" w:before="0" w:after="0"/>
              <w:pStyle w:val="Compact"/>
            </w:pPr>
            <w:r>
              <w:rPr>
                <w:sz w:val="20"/>
                <w:szCs w:val="20"/>
              </w:rPr>
              <w:t xml:space="preserve">2022-08-12</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reg03</w:t>
            </w:r>
          </w:p>
        </w:tc>
        <w:tc>
          <w:tcPr>
            <w:tcW w:w="0" w:type="auto"/>
          </w:tcPr>
          <w:p>
            <w:pPr>
              <w:spacing w:line="240" w:lineRule="auto" w:before="0" w:after="0"/>
              <w:pStyle w:val="Compact"/>
            </w:pPr>
            <w:r>
              <w:rPr>
                <w:sz w:val="20"/>
                <w:szCs w:val="20"/>
              </w:rPr>
              <w:t xml:space="preserve">USA-326 NROL-87</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2022-02-02</w:t>
            </w:r>
          </w:p>
        </w:tc>
        <w:tc>
          <w:tcPr>
            <w:tcW w:w="0" w:type="auto"/>
          </w:tcPr>
          <w:p>
            <w:pPr>
              <w:spacing w:line="240" w:lineRule="auto" w:before="0" w:after="0"/>
              <w:pStyle w:val="Compact"/>
            </w:pPr>
            <w:r>
              <w:rPr>
                <w:sz w:val="20"/>
                <w:szCs w:val="20"/>
              </w:rPr>
              <w:t xml:space="preserve">2022-05-10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reg04</w:t>
            </w:r>
          </w:p>
        </w:tc>
        <w:tc>
          <w:tcPr>
            <w:tcW w:w="0" w:type="auto"/>
          </w:tcPr>
          <w:p>
            <w:pPr>
              <w:spacing w:line="240" w:lineRule="auto" w:before="0" w:after="0"/>
              <w:pStyle w:val="Compact"/>
            </w:pPr>
            <w:r>
              <w:rPr>
                <w:sz w:val="20"/>
                <w:szCs w:val="20"/>
              </w:rPr>
              <w:t xml:space="preserve">Starlink Group 4-7 object sample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2022-02-03</w:t>
            </w:r>
          </w:p>
        </w:tc>
        <w:tc>
          <w:tcPr>
            <w:tcW w:w="0" w:type="auto"/>
          </w:tcPr>
          <w:p>
            <w:pPr>
              <w:spacing w:line="240" w:lineRule="auto" w:before="0" w:after="0"/>
              <w:pStyle w:val="Compact"/>
            </w:pPr>
            <w:r>
              <w:rPr>
                <w:sz w:val="20"/>
                <w:szCs w:val="20"/>
              </w:rPr>
              <w:t xml:space="preserve">2022-04-24</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US registration submission; UN Digital Library voting records</w:t>
            </w:r>
          </w:p>
        </w:tc>
      </w:tr>
      <w:tr>
        <w:tc>
          <w:tcPr>
            <w:tcW w:w="0" w:type="auto"/>
          </w:tcPr>
          <w:p>
            <w:pPr>
              <w:spacing w:line="240" w:lineRule="auto" w:before="0" w:after="0"/>
              <w:pStyle w:val="Compact"/>
            </w:pPr>
            <w:r>
              <w:rPr>
                <w:sz w:val="20"/>
                <w:szCs w:val="20"/>
              </w:rPr>
              <w:t xml:space="preserve">reg05</w:t>
            </w:r>
          </w:p>
        </w:tc>
        <w:tc>
          <w:tcPr>
            <w:tcW w:w="0" w:type="auto"/>
          </w:tcPr>
          <w:p>
            <w:pPr>
              <w:spacing w:line="240" w:lineRule="auto" w:before="0" w:after="0"/>
              <w:pStyle w:val="Compact"/>
            </w:pPr>
            <w:r>
              <w:rPr>
                <w:sz w:val="20"/>
                <w:szCs w:val="20"/>
              </w:rPr>
              <w:t xml:space="preserve">Yaogan-34-02</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2022-03-17</w:t>
            </w:r>
          </w:p>
        </w:tc>
        <w:tc>
          <w:tcPr>
            <w:tcW w:w="0" w:type="auto"/>
          </w:tcPr>
          <w:p>
            <w:pPr>
              <w:spacing w:line="240" w:lineRule="auto" w:before="0" w:after="0"/>
              <w:pStyle w:val="Compact"/>
            </w:pPr>
            <w:r>
              <w:rPr>
                <w:sz w:val="20"/>
                <w:szCs w:val="20"/>
              </w:rPr>
              <w:t xml:space="preserve">2022-09-01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China registration submission; UN Digital Library voting records</w:t>
            </w:r>
          </w:p>
        </w:tc>
      </w:tr>
      <w:tr>
        <w:tc>
          <w:tcPr>
            <w:tcW w:w="0" w:type="auto"/>
          </w:tcPr>
          <w:p>
            <w:pPr>
              <w:spacing w:line="240" w:lineRule="auto" w:before="0" w:after="0"/>
              <w:pStyle w:val="Compact"/>
            </w:pPr>
            <w:r>
              <w:rPr>
                <w:sz w:val="20"/>
                <w:szCs w:val="20"/>
              </w:rPr>
              <w:t xml:space="preserve">reg06</w:t>
            </w:r>
          </w:p>
        </w:tc>
        <w:tc>
          <w:tcPr>
            <w:tcW w:w="0" w:type="auto"/>
          </w:tcPr>
          <w:p>
            <w:pPr>
              <w:spacing w:line="240" w:lineRule="auto" w:before="0" w:after="0"/>
              <w:pStyle w:val="Compact"/>
            </w:pPr>
            <w:r>
              <w:rPr>
                <w:sz w:val="20"/>
                <w:szCs w:val="20"/>
              </w:rPr>
              <w:t xml:space="preserve">Shijian-21</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2021-10-24</w:t>
            </w:r>
          </w:p>
        </w:tc>
        <w:tc>
          <w:tcPr>
            <w:tcW w:w="0" w:type="auto"/>
          </w:tcPr>
          <w:p>
            <w:pPr>
              <w:spacing w:line="240" w:lineRule="auto" w:before="0" w:after="0"/>
              <w:pStyle w:val="Compact"/>
            </w:pPr>
            <w:r>
              <w:rPr>
                <w:sz w:val="20"/>
                <w:szCs w:val="20"/>
              </w:rPr>
              <w:t xml:space="preserve">2022-02-01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China registration submission; UN Digital Library voting records</w:t>
            </w:r>
          </w:p>
        </w:tc>
      </w:tr>
      <w:tr>
        <w:tc>
          <w:tcPr>
            <w:tcW w:w="0" w:type="auto"/>
          </w:tcPr>
          <w:p>
            <w:pPr>
              <w:spacing w:line="240" w:lineRule="auto" w:before="0" w:after="0"/>
              <w:pStyle w:val="Compact"/>
            </w:pPr>
            <w:r>
              <w:rPr>
                <w:sz w:val="20"/>
                <w:szCs w:val="20"/>
              </w:rPr>
              <w:t xml:space="preserve">reg07</w:t>
            </w:r>
          </w:p>
        </w:tc>
        <w:tc>
          <w:tcPr>
            <w:tcW w:w="0" w:type="auto"/>
          </w:tcPr>
          <w:p>
            <w:pPr>
              <w:spacing w:line="240" w:lineRule="auto" w:before="0" w:after="0"/>
              <w:pStyle w:val="Compact"/>
            </w:pPr>
            <w:r>
              <w:rPr>
                <w:sz w:val="20"/>
                <w:szCs w:val="20"/>
              </w:rPr>
              <w:t xml:space="preserve">Kosmos-2558</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2022-08-01</w:t>
            </w:r>
          </w:p>
        </w:tc>
        <w:tc>
          <w:tcPr>
            <w:tcW w:w="0" w:type="auto"/>
          </w:tcPr>
          <w:p>
            <w:pPr>
              <w:spacing w:line="240" w:lineRule="auto" w:before="0" w:after="0"/>
              <w:pStyle w:val="Compact"/>
            </w:pPr>
            <w:r>
              <w:rPr>
                <w:sz w:val="20"/>
                <w:szCs w:val="20"/>
              </w:rPr>
              <w:t xml:space="preserve">2023-01-15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Russian registration submission; UN Digital Library voting records</w:t>
            </w:r>
          </w:p>
        </w:tc>
      </w:tr>
      <w:tr>
        <w:tc>
          <w:tcPr>
            <w:tcW w:w="0" w:type="auto"/>
          </w:tcPr>
          <w:p>
            <w:pPr>
              <w:spacing w:line="240" w:lineRule="auto" w:before="0" w:after="0"/>
              <w:pStyle w:val="Compact"/>
            </w:pPr>
            <w:r>
              <w:rPr>
                <w:sz w:val="20"/>
                <w:szCs w:val="20"/>
              </w:rPr>
              <w:t xml:space="preserve">reg08</w:t>
            </w:r>
          </w:p>
        </w:tc>
        <w:tc>
          <w:tcPr>
            <w:tcW w:w="0" w:type="auto"/>
          </w:tcPr>
          <w:p>
            <w:pPr>
              <w:spacing w:line="240" w:lineRule="auto" w:before="0" w:after="0"/>
              <w:pStyle w:val="Compact"/>
            </w:pPr>
            <w:r>
              <w:rPr>
                <w:sz w:val="20"/>
                <w:szCs w:val="20"/>
              </w:rPr>
              <w:t xml:space="preserve">Cartosat-3</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2019-11-27</w:t>
            </w:r>
          </w:p>
        </w:tc>
        <w:tc>
          <w:tcPr>
            <w:tcW w:w="0" w:type="auto"/>
          </w:tcPr>
          <w:p>
            <w:pPr>
              <w:spacing w:line="240" w:lineRule="auto" w:before="0" w:after="0"/>
              <w:pStyle w:val="Compact"/>
            </w:pPr>
            <w:r>
              <w:rPr>
                <w:sz w:val="20"/>
                <w:szCs w:val="20"/>
              </w:rPr>
              <w:t xml:space="preserve">2020-04-25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India registration submission; UN Digital Library voting records</w:t>
            </w:r>
          </w:p>
        </w:tc>
      </w:tr>
      <w:tr>
        <w:tc>
          <w:tcPr>
            <w:tcW w:w="0" w:type="auto"/>
          </w:tcPr>
          <w:p>
            <w:pPr>
              <w:spacing w:line="240" w:lineRule="auto" w:before="0" w:after="0"/>
              <w:pStyle w:val="Compact"/>
            </w:pPr>
            <w:r>
              <w:rPr>
                <w:sz w:val="20"/>
                <w:szCs w:val="20"/>
              </w:rPr>
              <w:t xml:space="preserve">reg09</w:t>
            </w:r>
          </w:p>
        </w:tc>
        <w:tc>
          <w:tcPr>
            <w:tcW w:w="0" w:type="auto"/>
          </w:tcPr>
          <w:p>
            <w:pPr>
              <w:spacing w:line="240" w:lineRule="auto" w:before="0" w:after="0"/>
              <w:pStyle w:val="Compact"/>
            </w:pPr>
            <w:r>
              <w:rPr>
                <w:sz w:val="20"/>
                <w:szCs w:val="20"/>
              </w:rPr>
              <w:t xml:space="preserve">RISAT-2BR1</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2019-12-11</w:t>
            </w:r>
          </w:p>
        </w:tc>
        <w:tc>
          <w:tcPr>
            <w:tcW w:w="0" w:type="auto"/>
          </w:tcPr>
          <w:p>
            <w:pPr>
              <w:spacing w:line="240" w:lineRule="auto" w:before="0" w:after="0"/>
              <w:pStyle w:val="Compact"/>
            </w:pPr>
            <w:r>
              <w:rPr>
                <w:sz w:val="20"/>
                <w:szCs w:val="20"/>
              </w:rPr>
              <w:t xml:space="preserve">2020-03-10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India registration submission; UN Digital Library voting records</w:t>
            </w:r>
          </w:p>
        </w:tc>
      </w:tr>
      <w:tr>
        <w:tc>
          <w:tcPr>
            <w:tcW w:w="0" w:type="auto"/>
          </w:tcPr>
          <w:p>
            <w:pPr>
              <w:spacing w:line="240" w:lineRule="auto" w:before="0" w:after="0"/>
              <w:pStyle w:val="Compact"/>
            </w:pPr>
            <w:r>
              <w:rPr>
                <w:sz w:val="20"/>
                <w:szCs w:val="20"/>
              </w:rPr>
              <w:t xml:space="preserve">reg10</w:t>
            </w:r>
          </w:p>
        </w:tc>
        <w:tc>
          <w:tcPr>
            <w:tcW w:w="0" w:type="auto"/>
          </w:tcPr>
          <w:p>
            <w:pPr>
              <w:spacing w:line="240" w:lineRule="auto" w:before="0" w:after="0"/>
              <w:pStyle w:val="Compact"/>
            </w:pPr>
            <w:r>
              <w:rPr>
                <w:sz w:val="20"/>
                <w:szCs w:val="20"/>
              </w:rPr>
              <w:t xml:space="preserve">Emirates Mars Mission Hope</w:t>
            </w:r>
          </w:p>
        </w:tc>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2020-07-19</w:t>
            </w:r>
          </w:p>
        </w:tc>
        <w:tc>
          <w:tcPr>
            <w:tcW w:w="0" w:type="auto"/>
          </w:tcPr>
          <w:p>
            <w:pPr>
              <w:spacing w:line="240" w:lineRule="auto" w:before="0" w:after="0"/>
              <w:pStyle w:val="Compact"/>
            </w:pPr>
            <w:r>
              <w:rPr>
                <w:sz w:val="20"/>
                <w:szCs w:val="20"/>
              </w:rPr>
              <w:t xml:space="preserve">2020-11-24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UNOOSA Online Index; UAE registration submission; UN Digital Library voting records</w:t>
            </w:r>
          </w:p>
        </w:tc>
      </w:tr>
      <w:tr>
        <w:tc>
          <w:tcPr>
            <w:tcW w:w="0" w:type="auto"/>
          </w:tcPr>
          <w:p>
            <w:pPr>
              <w:spacing w:line="240" w:lineRule="auto" w:before="0" w:after="0"/>
              <w:pStyle w:val="Compact"/>
            </w:pPr>
            <w:r>
              <w:rPr>
                <w:sz w:val="20"/>
                <w:szCs w:val="20"/>
              </w:rPr>
              <w:t xml:space="preserve">reg11</w:t>
            </w:r>
          </w:p>
        </w:tc>
        <w:tc>
          <w:tcPr>
            <w:tcW w:w="0" w:type="auto"/>
          </w:tcPr>
          <w:p>
            <w:pPr>
              <w:spacing w:line="240" w:lineRule="auto" w:before="0" w:after="0"/>
              <w:pStyle w:val="Compact"/>
            </w:pPr>
            <w:r>
              <w:rPr>
                <w:sz w:val="20"/>
                <w:szCs w:val="20"/>
              </w:rPr>
              <w:t xml:space="preserve">Turksat 5A</w:t>
            </w:r>
          </w:p>
        </w:tc>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2021-01-08</w:t>
            </w:r>
          </w:p>
        </w:tc>
        <w:tc>
          <w:tcPr>
            <w:tcW w:w="0" w:type="auto"/>
          </w:tcPr>
          <w:p>
            <w:pPr>
              <w:spacing w:line="240" w:lineRule="auto" w:before="0" w:after="0"/>
              <w:pStyle w:val="Compact"/>
            </w:pPr>
            <w:r>
              <w:rPr>
                <w:sz w:val="20"/>
                <w:szCs w:val="20"/>
              </w:rPr>
              <w:t xml:space="preserve">2021-09-10</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Turkey registration submission; UN Digital Library voting records</w:t>
            </w:r>
          </w:p>
        </w:tc>
      </w:tr>
      <w:tr>
        <w:tc>
          <w:tcPr>
            <w:tcW w:w="0" w:type="auto"/>
          </w:tcPr>
          <w:p>
            <w:pPr>
              <w:spacing w:line="240" w:lineRule="auto" w:before="0" w:after="0"/>
              <w:pStyle w:val="Compact"/>
            </w:pPr>
            <w:r>
              <w:rPr>
                <w:sz w:val="20"/>
                <w:szCs w:val="20"/>
              </w:rPr>
              <w:t xml:space="preserve">reg12</w:t>
            </w:r>
          </w:p>
        </w:tc>
        <w:tc>
          <w:tcPr>
            <w:tcW w:w="0" w:type="auto"/>
          </w:tcPr>
          <w:p>
            <w:pPr>
              <w:spacing w:line="240" w:lineRule="auto" w:before="0" w:after="0"/>
              <w:pStyle w:val="Compact"/>
            </w:pPr>
            <w:r>
              <w:rPr>
                <w:sz w:val="20"/>
                <w:szCs w:val="20"/>
              </w:rPr>
              <w:t xml:space="preserve">SAOCOM-1B</w:t>
            </w:r>
          </w:p>
        </w:tc>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2020-08-30</w:t>
            </w:r>
          </w:p>
        </w:tc>
        <w:tc>
          <w:tcPr>
            <w:tcW w:w="0" w:type="auto"/>
          </w:tcPr>
          <w:p>
            <w:pPr>
              <w:spacing w:line="240" w:lineRule="auto" w:before="0" w:after="0"/>
              <w:pStyle w:val="Compact"/>
            </w:pPr>
            <w:r>
              <w:rPr>
                <w:sz w:val="20"/>
                <w:szCs w:val="20"/>
              </w:rPr>
              <w:t xml:space="preserve">2021-03-30</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Argentina registration submission; UN Digital Library voting records</w:t>
            </w:r>
          </w:p>
        </w:tc>
      </w:tr>
      <w:tr>
        <w:tc>
          <w:tcPr>
            <w:tcW w:w="0" w:type="auto"/>
          </w:tcPr>
          <w:p>
            <w:pPr>
              <w:spacing w:line="240" w:lineRule="auto" w:before="0" w:after="0"/>
              <w:pStyle w:val="Compact"/>
            </w:pPr>
            <w:r>
              <w:rPr>
                <w:sz w:val="20"/>
                <w:szCs w:val="20"/>
              </w:rPr>
              <w:t xml:space="preserve">reg13</w:t>
            </w:r>
          </w:p>
        </w:tc>
        <w:tc>
          <w:tcPr>
            <w:tcW w:w="0" w:type="auto"/>
          </w:tcPr>
          <w:p>
            <w:pPr>
              <w:spacing w:line="240" w:lineRule="auto" w:before="0" w:after="0"/>
              <w:pStyle w:val="Compact"/>
            </w:pPr>
            <w:r>
              <w:rPr>
                <w:sz w:val="20"/>
                <w:szCs w:val="20"/>
              </w:rPr>
              <w:t xml:space="preserve">Amazonia-1</w:t>
            </w:r>
          </w:p>
        </w:tc>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2021-02-28</w:t>
            </w:r>
          </w:p>
        </w:tc>
        <w:tc>
          <w:tcPr>
            <w:tcW w:w="0" w:type="auto"/>
          </w:tcPr>
          <w:p>
            <w:pPr>
              <w:spacing w:line="240" w:lineRule="auto" w:before="0" w:after="0"/>
              <w:pStyle w:val="Compact"/>
            </w:pPr>
            <w:r>
              <w:rPr>
                <w:sz w:val="20"/>
                <w:szCs w:val="20"/>
              </w:rPr>
              <w:t xml:space="preserve">2021-10-17</w:t>
            </w:r>
          </w:p>
        </w:tc>
        <w:tc>
          <w:tcPr>
            <w:tcW w:w="0" w:type="auto"/>
          </w:tcPr>
          <w:p>
            <w:pPr>
              <w:spacing w:line="240" w:lineRule="auto" w:before="0" w:after="0"/>
              <w:pStyle w:val="Compact"/>
            </w:pPr>
            <w:r>
              <w:rPr>
                <w:sz w:val="20"/>
                <w:szCs w:val="20"/>
              </w:rPr>
              <w:t xml:space="preserve">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Brazil registration submission; UN Digital Library voting records</w:t>
            </w:r>
          </w:p>
        </w:tc>
      </w:tr>
      <w:tr>
        <w:tc>
          <w:tcPr>
            <w:tcW w:w="0" w:type="auto"/>
          </w:tcPr>
          <w:p>
            <w:pPr>
              <w:spacing w:line="240" w:lineRule="auto" w:before="0" w:after="0"/>
              <w:pStyle w:val="Compact"/>
            </w:pPr>
            <w:r>
              <w:rPr>
                <w:sz w:val="20"/>
                <w:szCs w:val="20"/>
              </w:rPr>
              <w:t xml:space="preserve">reg14</w:t>
            </w:r>
          </w:p>
        </w:tc>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2015-03-25</w:t>
            </w:r>
          </w:p>
        </w:tc>
        <w:tc>
          <w:tcPr>
            <w:tcW w:w="0" w:type="auto"/>
          </w:tcPr>
          <w:p>
            <w:pPr>
              <w:spacing w:line="240" w:lineRule="auto" w:before="0" w:after="0"/>
              <w:pStyle w:val="Compact"/>
            </w:pPr>
            <w:r>
              <w:rPr>
                <w:sz w:val="20"/>
                <w:szCs w:val="20"/>
              </w:rPr>
              <w:t xml:space="preserve">2016-05-08</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Korea registration submission; UN Digital Library voting records</w:t>
            </w:r>
          </w:p>
        </w:tc>
      </w:tr>
      <w:tr>
        <w:tc>
          <w:tcPr>
            <w:tcW w:w="0" w:type="auto"/>
          </w:tcPr>
          <w:p>
            <w:pPr>
              <w:spacing w:line="240" w:lineRule="auto" w:before="0" w:after="0"/>
              <w:pStyle w:val="Compact"/>
            </w:pPr>
            <w:r>
              <w:rPr>
                <w:sz w:val="20"/>
                <w:szCs w:val="20"/>
              </w:rPr>
              <w:t xml:space="preserve">reg15</w:t>
            </w:r>
          </w:p>
        </w:tc>
        <w:tc>
          <w:tcPr>
            <w:tcW w:w="0" w:type="auto"/>
          </w:tcPr>
          <w:p>
            <w:pPr>
              <w:spacing w:line="240" w:lineRule="auto" w:before="0" w:after="0"/>
              <w:pStyle w:val="Compact"/>
            </w:pPr>
            <w:r>
              <w:rPr>
                <w:sz w:val="20"/>
                <w:szCs w:val="20"/>
              </w:rPr>
              <w:t xml:space="preserve">OneWeb L5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2020-02-06</w:t>
            </w:r>
          </w:p>
        </w:tc>
        <w:tc>
          <w:tcPr>
            <w:tcW w:w="0" w:type="auto"/>
          </w:tcPr>
          <w:p>
            <w:pPr>
              <w:spacing w:line="240" w:lineRule="auto" w:before="0" w:after="0"/>
              <w:pStyle w:val="Compact"/>
            </w:pPr>
            <w:r>
              <w:rPr>
                <w:sz w:val="20"/>
                <w:szCs w:val="20"/>
              </w:rPr>
              <w:t xml:space="preserve">2021-06-01</w:t>
            </w:r>
          </w:p>
        </w:tc>
        <w:tc>
          <w:tcPr>
            <w:tcW w:w="0" w:type="auto"/>
          </w:tcPr>
          <w:p>
            <w:pPr>
              <w:spacing w:line="240" w:lineRule="auto" w:before="0" w:after="0"/>
              <w:pStyle w:val="Compact"/>
            </w:pPr>
            <w:r>
              <w:rPr>
                <w:sz w:val="20"/>
                <w:szCs w:val="20"/>
              </w:rPr>
              <w:t xml:space="preserve">481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reg16</w:t>
            </w:r>
          </w:p>
        </w:tc>
        <w:tc>
          <w:tcPr>
            <w:tcW w:w="0" w:type="auto"/>
          </w:tcPr>
          <w:p>
            <w:pPr>
              <w:spacing w:line="240" w:lineRule="auto" w:before="0" w:after="0"/>
              <w:pStyle w:val="Compact"/>
            </w:pPr>
            <w:r>
              <w:rPr>
                <w:sz w:val="20"/>
                <w:szCs w:val="20"/>
              </w:rPr>
              <w:t xml:space="preserve">OneWeb L10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2021-03-25</w:t>
            </w:r>
          </w:p>
        </w:tc>
        <w:tc>
          <w:tcPr>
            <w:tcW w:w="0" w:type="auto"/>
          </w:tcPr>
          <w:p>
            <w:pPr>
              <w:spacing w:line="240" w:lineRule="auto" w:before="0" w:after="0"/>
              <w:pStyle w:val="Compact"/>
            </w:pPr>
            <w:r>
              <w:rPr>
                <w:sz w:val="20"/>
                <w:szCs w:val="20"/>
              </w:rPr>
              <w:t xml:space="preserve">2022-07-01</w:t>
            </w:r>
          </w:p>
        </w:tc>
        <w:tc>
          <w:tcPr>
            <w:tcW w:w="0" w:type="auto"/>
          </w:tcPr>
          <w:p>
            <w:pPr>
              <w:spacing w:line="240" w:lineRule="auto" w:before="0" w:after="0"/>
              <w:pStyle w:val="Compact"/>
            </w:pPr>
            <w:r>
              <w:rPr>
                <w:sz w:val="20"/>
                <w:szCs w:val="20"/>
              </w:rPr>
              <w:t xml:space="preserve">463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reg17</w:t>
            </w:r>
          </w:p>
        </w:tc>
        <w:tc>
          <w:tcPr>
            <w:tcW w:w="0" w:type="auto"/>
          </w:tcPr>
          <w:p>
            <w:pPr>
              <w:spacing w:line="240" w:lineRule="auto" w:before="0" w:after="0"/>
              <w:pStyle w:val="Compact"/>
            </w:pPr>
            <w:r>
              <w:rPr>
                <w:sz w:val="20"/>
                <w:szCs w:val="20"/>
              </w:rPr>
              <w:t xml:space="preserve">OneWeb L12 object sample</w:t>
            </w:r>
          </w:p>
        </w:tc>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2021-08-22</w:t>
            </w:r>
          </w:p>
        </w:tc>
        <w:tc>
          <w:tcPr>
            <w:tcW w:w="0" w:type="auto"/>
          </w:tcPr>
          <w:p>
            <w:pPr>
              <w:spacing w:line="240" w:lineRule="auto" w:before="0" w:after="0"/>
              <w:pStyle w:val="Compact"/>
            </w:pPr>
            <w:r>
              <w:rPr>
                <w:sz w:val="20"/>
                <w:szCs w:val="20"/>
              </w:rPr>
              <w:t xml:space="preserve">2023-01-15</w:t>
            </w:r>
          </w:p>
        </w:tc>
        <w:tc>
          <w:tcPr>
            <w:tcW w:w="0" w:type="auto"/>
          </w:tcPr>
          <w:p>
            <w:pPr>
              <w:spacing w:line="240" w:lineRule="auto" w:before="0" w:after="0"/>
              <w:pStyle w:val="Compact"/>
            </w:pPr>
            <w:r>
              <w:rPr>
                <w:sz w:val="20"/>
                <w:szCs w:val="20"/>
              </w:rPr>
              <w:t xml:space="preserve">511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United Kingdom registration submission; UN Digital Library voting records</w:t>
            </w:r>
          </w:p>
        </w:tc>
      </w:tr>
      <w:tr>
        <w:tc>
          <w:tcPr>
            <w:tcW w:w="0" w:type="auto"/>
          </w:tcPr>
          <w:p>
            <w:pPr>
              <w:spacing w:line="240" w:lineRule="auto" w:before="0" w:after="0"/>
              <w:pStyle w:val="Compact"/>
            </w:pPr>
            <w:r>
              <w:rPr>
                <w:sz w:val="20"/>
                <w:szCs w:val="20"/>
              </w:rPr>
              <w:t xml:space="preserve">reg18</w:t>
            </w:r>
          </w:p>
        </w:tc>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2021-10-24</w:t>
            </w:r>
          </w:p>
        </w:tc>
        <w:tc>
          <w:tcPr>
            <w:tcW w:w="0" w:type="auto"/>
          </w:tcPr>
          <w:p>
            <w:pPr>
              <w:spacing w:line="240" w:lineRule="auto" w:before="0" w:after="0"/>
              <w:pStyle w:val="Compact"/>
            </w:pPr>
            <w:r>
              <w:rPr>
                <w:sz w:val="20"/>
                <w:szCs w:val="20"/>
              </w:rPr>
              <w:t xml:space="preserve">2022-11-23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Luxembourg registration submission; UN Digital Library voting records</w:t>
            </w:r>
          </w:p>
        </w:tc>
      </w:tr>
      <w:tr>
        <w:tc>
          <w:tcPr>
            <w:tcW w:w="0" w:type="auto"/>
          </w:tcPr>
          <w:p>
            <w:pPr>
              <w:spacing w:line="240" w:lineRule="auto" w:before="0" w:after="0"/>
              <w:pStyle w:val="Compact"/>
            </w:pPr>
            <w:r>
              <w:rPr>
                <w:sz w:val="20"/>
                <w:szCs w:val="20"/>
              </w:rPr>
              <w:t xml:space="preserve">reg19</w:t>
            </w:r>
          </w:p>
        </w:tc>
        <w:tc>
          <w:tcPr>
            <w:tcW w:w="0" w:type="auto"/>
          </w:tcPr>
          <w:p>
            <w:pPr>
              <w:spacing w:line="240" w:lineRule="auto" w:before="0" w:after="0"/>
              <w:pStyle w:val="Compact"/>
            </w:pPr>
            <w:r>
              <w:rPr>
                <w:sz w:val="20"/>
                <w:szCs w:val="20"/>
              </w:rPr>
              <w:t xml:space="preserve">Eutelsat Quantum</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2021-07-30</w:t>
            </w:r>
          </w:p>
        </w:tc>
        <w:tc>
          <w:tcPr>
            <w:tcW w:w="0" w:type="auto"/>
          </w:tcPr>
          <w:p>
            <w:pPr>
              <w:spacing w:line="240" w:lineRule="auto" w:before="0" w:after="0"/>
              <w:pStyle w:val="Compact"/>
            </w:pPr>
            <w:r>
              <w:rPr>
                <w:sz w:val="20"/>
                <w:szCs w:val="20"/>
              </w:rPr>
              <w:t xml:space="preserve">2022-05-12</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France registration submission; UN Digital Library voting records</w:t>
            </w:r>
          </w:p>
        </w:tc>
      </w:tr>
      <w:tr>
        <w:tc>
          <w:tcPr>
            <w:tcW w:w="0" w:type="auto"/>
          </w:tcPr>
          <w:p>
            <w:pPr>
              <w:spacing w:line="240" w:lineRule="auto" w:before="0" w:after="0"/>
              <w:pStyle w:val="Compact"/>
            </w:pPr>
            <w:r>
              <w:rPr>
                <w:sz w:val="20"/>
                <w:szCs w:val="20"/>
              </w:rPr>
              <w:t xml:space="preserve">reg20</w:t>
            </w:r>
          </w:p>
        </w:tc>
        <w:tc>
          <w:tcPr>
            <w:tcW w:w="0" w:type="auto"/>
          </w:tcPr>
          <w:p>
            <w:pPr>
              <w:spacing w:line="240" w:lineRule="auto" w:before="0" w:after="0"/>
              <w:pStyle w:val="Compact"/>
            </w:pPr>
            <w:r>
              <w:rPr>
                <w:sz w:val="20"/>
                <w:szCs w:val="20"/>
              </w:rPr>
              <w:t xml:space="preserve">NigeriaSat-2</w:t>
            </w:r>
          </w:p>
        </w:tc>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2011-08-17</w:t>
            </w:r>
          </w:p>
        </w:tc>
        <w:tc>
          <w:tcPr>
            <w:tcW w:w="0" w:type="auto"/>
          </w:tcPr>
          <w:p>
            <w:pPr>
              <w:spacing w:line="240" w:lineRule="auto" w:before="0" w:after="0"/>
              <w:pStyle w:val="Compact"/>
            </w:pPr>
            <w:r>
              <w:rPr>
                <w:sz w:val="20"/>
                <w:szCs w:val="20"/>
              </w:rPr>
              <w:t xml:space="preserve">2013-04-28</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Nigeria registration submission; UN Digital Library voting records</w:t>
            </w:r>
          </w:p>
        </w:tc>
      </w:tr>
      <w:tr>
        <w:tc>
          <w:tcPr>
            <w:tcW w:w="0" w:type="auto"/>
          </w:tcPr>
          <w:p>
            <w:pPr>
              <w:spacing w:line="240" w:lineRule="auto" w:before="0" w:after="0"/>
              <w:pStyle w:val="Compact"/>
            </w:pPr>
            <w:r>
              <w:rPr>
                <w:sz w:val="20"/>
                <w:szCs w:val="20"/>
              </w:rPr>
              <w:t xml:space="preserve">reg21</w:t>
            </w:r>
          </w:p>
        </w:tc>
        <w:tc>
          <w:tcPr>
            <w:tcW w:w="0" w:type="auto"/>
          </w:tcPr>
          <w:p>
            <w:pPr>
              <w:spacing w:line="240" w:lineRule="auto" w:before="0" w:after="0"/>
              <w:pStyle w:val="Compact"/>
            </w:pPr>
            <w:r>
              <w:rPr>
                <w:sz w:val="20"/>
                <w:szCs w:val="20"/>
              </w:rPr>
              <w:t xml:space="preserve">EgyptSat-A</w:t>
            </w:r>
          </w:p>
        </w:tc>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2019-02-21</w:t>
            </w:r>
          </w:p>
        </w:tc>
        <w:tc>
          <w:tcPr>
            <w:tcW w:w="0" w:type="auto"/>
          </w:tcPr>
          <w:p>
            <w:pPr>
              <w:spacing w:line="240" w:lineRule="auto" w:before="0" w:after="0"/>
              <w:pStyle w:val="Compact"/>
            </w:pPr>
            <w:r>
              <w:rPr>
                <w:sz w:val="20"/>
                <w:szCs w:val="20"/>
              </w:rPr>
              <w:t xml:space="preserve">2020-05-16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Egypt registration submission; UN Digital Library voting records</w:t>
            </w:r>
          </w:p>
        </w:tc>
      </w:tr>
      <w:tr>
        <w:tc>
          <w:tcPr>
            <w:tcW w:w="0" w:type="auto"/>
          </w:tcPr>
          <w:p>
            <w:pPr>
              <w:spacing w:line="240" w:lineRule="auto" w:before="0" w:after="0"/>
              <w:pStyle w:val="Compact"/>
            </w:pPr>
            <w:r>
              <w:rPr>
                <w:sz w:val="20"/>
                <w:szCs w:val="20"/>
              </w:rPr>
              <w:t xml:space="preserve">reg22</w:t>
            </w:r>
          </w:p>
        </w:tc>
        <w:tc>
          <w:tcPr>
            <w:tcW w:w="0" w:type="auto"/>
          </w:tcPr>
          <w:p>
            <w:pPr>
              <w:spacing w:line="240" w:lineRule="auto" w:before="0" w:after="0"/>
              <w:pStyle w:val="Compact"/>
            </w:pPr>
            <w:r>
              <w:rPr>
                <w:sz w:val="20"/>
                <w:szCs w:val="20"/>
              </w:rPr>
              <w:t xml:space="preserve">AngoSat-2</w:t>
            </w:r>
          </w:p>
        </w:tc>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2022-10-12</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Angola registration submission; UN Digital Library voting records</w:t>
            </w:r>
          </w:p>
        </w:tc>
      </w:tr>
      <w:tr>
        <w:tc>
          <w:tcPr>
            <w:tcW w:w="0" w:type="auto"/>
          </w:tcPr>
          <w:p>
            <w:pPr>
              <w:spacing w:line="240" w:lineRule="auto" w:before="0" w:after="0"/>
              <w:pStyle w:val="Compact"/>
            </w:pPr>
            <w:r>
              <w:rPr>
                <w:sz w:val="20"/>
                <w:szCs w:val="20"/>
              </w:rPr>
              <w:t xml:space="preserve">reg23</w:t>
            </w:r>
          </w:p>
        </w:tc>
        <w:tc>
          <w:tcPr>
            <w:tcW w:w="0" w:type="auto"/>
          </w:tcPr>
          <w:p>
            <w:pPr>
              <w:spacing w:line="240" w:lineRule="auto" w:before="0" w:after="0"/>
              <w:pStyle w:val="Compact"/>
            </w:pPr>
            <w:r>
              <w:rPr>
                <w:sz w:val="20"/>
                <w:szCs w:val="20"/>
              </w:rPr>
              <w:t xml:space="preserve">Measat-3d</w:t>
            </w:r>
          </w:p>
        </w:tc>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2022-06-22</w:t>
            </w:r>
          </w:p>
        </w:tc>
        <w:tc>
          <w:tcPr>
            <w:tcW w:w="0" w:type="auto"/>
          </w:tcPr>
          <w:p>
            <w:pPr>
              <w:spacing w:line="240" w:lineRule="auto" w:before="0" w:after="0"/>
              <w:pStyle w:val="Compact"/>
            </w:pPr>
            <w:r>
              <w:rPr>
                <w:sz w:val="20"/>
                <w:szCs w:val="20"/>
              </w:rPr>
              <w:t xml:space="preserve">2023-05-28</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UNOOSA Online Index; Malaysia registration submission; UN Digital Library voting records</w:t>
            </w:r>
          </w:p>
        </w:tc>
      </w:tr>
      <w:tr>
        <w:tc>
          <w:tcPr>
            <w:tcW w:w="0" w:type="auto"/>
          </w:tcPr>
          <w:p>
            <w:pPr>
              <w:spacing w:line="240" w:lineRule="auto" w:before="0" w:after="0"/>
              <w:pStyle w:val="Compact"/>
            </w:pPr>
            <w:r>
              <w:rPr>
                <w:sz w:val="20"/>
                <w:szCs w:val="20"/>
              </w:rPr>
              <w:t xml:space="preserve">reg24</w:t>
            </w:r>
          </w:p>
        </w:tc>
        <w:tc>
          <w:tcPr>
            <w:tcW w:w="0" w:type="auto"/>
          </w:tcPr>
          <w:p>
            <w:pPr>
              <w:spacing w:line="240" w:lineRule="auto" w:before="0" w:after="0"/>
              <w:pStyle w:val="Compact"/>
            </w:pPr>
            <w:r>
              <w:rPr>
                <w:sz w:val="20"/>
                <w:szCs w:val="20"/>
              </w:rPr>
              <w:t xml:space="preserve">TUPOD object sample</w:t>
            </w:r>
          </w:p>
        </w:tc>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2016-12-09</w:t>
            </w:r>
          </w:p>
        </w:tc>
        <w:tc>
          <w:tcPr>
            <w:tcW w:w="0" w:type="auto"/>
          </w:tcPr>
          <w:p>
            <w:pPr>
              <w:spacing w:line="240" w:lineRule="auto" w:before="0" w:after="0"/>
              <w:pStyle w:val="Compact"/>
            </w:pPr>
            <w:r>
              <w:rPr>
                <w:sz w:val="20"/>
                <w:szCs w:val="20"/>
              </w:rPr>
              <w:t xml:space="preserve">2018-11-09</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UNOOSA Online Index; Italy registration submission; UN Digital Library voting records</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registration_gap_days</w:t>
            </w:r>
          </w:p>
        </w:tc>
        <w:tc>
          <w:tcPr>
            <w:tcW w:w="0" w:type="auto"/>
          </w:tcPr>
          <w:p>
            <w:pPr>
              <w:spacing w:line="240" w:lineRule="auto" w:before="0" w:after="0"/>
              <w:pStyle w:val="Compact"/>
            </w:pPr>
            <w:r>
              <w:rPr>
                <w:sz w:val="20"/>
                <w:szCs w:val="20"/>
              </w:rPr>
              <w:t xml:space="preserve">Days between launch date and registration date.</w:t>
            </w:r>
          </w:p>
        </w:tc>
        <w:tc>
          <w:tcPr>
            <w:tcW w:w="0" w:type="auto"/>
          </w:tcPr>
          <w:p>
            <w:pPr>
              <w:spacing w:line="240" w:lineRule="auto" w:before="0" w:after="0"/>
              <w:pStyle w:val="Compact"/>
            </w:pPr>
            <w:r>
              <w:rPr>
                <w:sz w:val="20"/>
                <w:szCs w:val="20"/>
              </w:rPr>
              <w:t xml:space="preserve">Computed from row-level launch_date and registration_date fields in the object panel.</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Annual voting-agreement score between responsible state and launch-site state.</w:t>
            </w:r>
          </w:p>
        </w:tc>
        <w:tc>
          <w:tcPr>
            <w:tcW w:w="0" w:type="auto"/>
          </w:tcPr>
          <w:p>
            <w:pPr>
              <w:spacing w:line="240" w:lineRule="auto" w:before="0" w:after="0"/>
              <w:pStyle w:val="Compact"/>
            </w:pPr>
            <w:r>
              <w:rPr>
                <w:sz w:val="20"/>
                <w:szCs w:val="20"/>
              </w:rPr>
              <w:t xml:space="preserve">Hand-coded from UN Digital Library roll-call voting agreement source family for the launch year.</w:t>
            </w:r>
          </w:p>
        </w:tc>
      </w:tr>
      <w:tr>
        <w:tc>
          <w:tcPr>
            <w:tcW w:w="0" w:type="auto"/>
          </w:tcPr>
          <w:p>
            <w:pPr>
              <w:spacing w:line="240" w:lineRule="auto" w:before="0" w:after="0"/>
              <w:pStyle w:val="Compact"/>
            </w:pPr>
            <w:r>
              <w:rPr>
                <w:sz w:val="20"/>
                <w:szCs w:val="20"/>
              </w:rPr>
              <w:t xml:space="preserve">ln_launch_cohort_size</w:t>
            </w:r>
          </w:p>
        </w:tc>
        <w:tc>
          <w:tcPr>
            <w:tcW w:w="0" w:type="auto"/>
          </w:tcPr>
          <w:p>
            <w:pPr>
              <w:spacing w:line="240" w:lineRule="auto" w:before="0" w:after="0"/>
              <w:pStyle w:val="Compact"/>
            </w:pPr>
            <w:r>
              <w:rPr>
                <w:sz w:val="20"/>
                <w:szCs w:val="20"/>
              </w:rPr>
              <w:t xml:space="preserve">Log-scaled launch cohort size.</w:t>
            </w:r>
          </w:p>
        </w:tc>
        <w:tc>
          <w:tcPr>
            <w:tcW w:w="0" w:type="auto"/>
          </w:tcPr>
          <w:p>
            <w:pPr>
              <w:spacing w:line="240" w:lineRule="auto" w:before="0" w:after="0"/>
              <w:pStyle w:val="Compact"/>
            </w:pPr>
            <w:r>
              <w:rPr>
                <w:sz w:val="20"/>
                <w:szCs w:val="20"/>
              </w:rPr>
              <w:t xml:space="preserve">Natural log of one plus the number of objects in the launch cohort.</w:t>
            </w:r>
          </w:p>
        </w:tc>
      </w:tr>
      <w:tr>
        <w:tc>
          <w:tcPr>
            <w:tcW w:w="0" w:type="auto"/>
          </w:tcPr>
          <w:p>
            <w:pPr>
              <w:spacing w:line="240" w:lineRule="auto" w:before="0" w:after="0"/>
              <w:pStyle w:val="Compact"/>
            </w:pPr>
            <w:r>
              <w:rPr>
                <w:sz w:val="20"/>
                <w:szCs w:val="20"/>
              </w:rPr>
              <w:t xml:space="preserve">registered_within_12_months</w:t>
            </w:r>
          </w:p>
        </w:tc>
        <w:tc>
          <w:tcPr>
            <w:tcW w:w="0" w:type="auto"/>
          </w:tcPr>
          <w:p>
            <w:pPr>
              <w:spacing w:line="240" w:lineRule="auto" w:before="0" w:after="0"/>
              <w:pStyle w:val="Compact"/>
            </w:pPr>
            <w:r>
              <w:rPr>
                <w:sz w:val="20"/>
                <w:szCs w:val="20"/>
              </w:rPr>
              <w:t xml:space="preserve">Administrative timeliness flag.</w:t>
            </w:r>
          </w:p>
        </w:tc>
        <w:tc>
          <w:tcPr>
            <w:tcW w:w="0" w:type="auto"/>
          </w:tcPr>
          <w:p>
            <w:pPr>
              <w:spacing w:line="240" w:lineRule="auto" w:before="0" w:after="0"/>
              <w:pStyle w:val="Compact"/>
            </w:pPr>
            <w:r>
              <w:rPr>
                <w:sz w:val="20"/>
                <w:szCs w:val="20"/>
              </w:rPr>
              <w:t xml:space="preserve">One when registration_gap_days is 365 or less, otherwise zero.</w:t>
            </w:r>
          </w:p>
        </w:tc>
      </w:tr>
      <w:tr>
        <w:tc>
          <w:tcPr>
            <w:tcW w:w="0" w:type="auto"/>
          </w:tcPr>
          <w:p>
            <w:pPr>
              <w:spacing w:line="240" w:lineRule="auto" w:before="0" w:after="0"/>
              <w:pStyle w:val="Compact"/>
            </w:pPr>
            <w:r>
              <w:rPr>
                <w:sz w:val="20"/>
                <w:szCs w:val="20"/>
              </w:rPr>
              <w:t xml:space="preserve">registration_event</w:t>
            </w:r>
          </w:p>
        </w:tc>
        <w:tc>
          <w:tcPr>
            <w:tcW w:w="0" w:type="auto"/>
          </w:tcPr>
          <w:p>
            <w:pPr>
              <w:spacing w:line="240" w:lineRule="auto" w:before="0" w:after="0"/>
              <w:pStyle w:val="Compact"/>
            </w:pPr>
            <w:r>
              <w:rPr>
                <w:sz w:val="20"/>
                <w:szCs w:val="20"/>
              </w:rPr>
              <w:t xml:space="preserve">Event indicator for registration timing model.</w:t>
            </w:r>
          </w:p>
        </w:tc>
        <w:tc>
          <w:tcPr>
            <w:tcW w:w="0" w:type="auto"/>
          </w:tcPr>
          <w:p>
            <w:pPr>
              <w:spacing w:line="240" w:lineRule="auto" w:before="0" w:after="0"/>
              <w:pStyle w:val="Compact"/>
            </w:pPr>
            <w:r>
              <w:rPr>
                <w:sz w:val="20"/>
                <w:szCs w:val="20"/>
              </w:rPr>
              <w:t xml:space="preserve">One for all rows in this registered-object pilot sample; future expansion can include censored unregistered objects.</w:t>
            </w:r>
          </w:p>
        </w:tc>
      </w:tr>
      <w:tr>
        <w:tc>
          <w:tcPr>
            <w:tcW w:w="0" w:type="auto"/>
          </w:tcPr>
          <w:p>
            <w:pPr>
              <w:spacing w:line="240" w:lineRule="auto" w:before="0" w:after="0"/>
              <w:pStyle w:val="Compact"/>
            </w:pPr>
            <w:r>
              <w:rPr>
                <w:sz w:val="20"/>
                <w:szCs w:val="20"/>
              </w:rPr>
              <w:t xml:space="preserve">leo_orbit</w:t>
            </w:r>
          </w:p>
        </w:tc>
        <w:tc>
          <w:tcPr>
            <w:tcW w:w="0" w:type="auto"/>
          </w:tcPr>
          <w:p>
            <w:pPr>
              <w:spacing w:line="240" w:lineRule="auto" w:before="0" w:after="0"/>
              <w:pStyle w:val="Compact"/>
            </w:pPr>
            <w:r>
              <w:rPr>
                <w:sz w:val="20"/>
                <w:szCs w:val="20"/>
              </w:rPr>
              <w:t xml:space="preserve">Low Earth orbit indicator.</w:t>
            </w:r>
          </w:p>
        </w:tc>
        <w:tc>
          <w:tcPr>
            <w:tcW w:w="0" w:type="auto"/>
          </w:tcPr>
          <w:p>
            <w:pPr>
              <w:spacing w:line="240" w:lineRule="auto" w:before="0" w:after="0"/>
              <w:pStyle w:val="Compact"/>
            </w:pPr>
            <w:r>
              <w:rPr>
                <w:sz w:val="20"/>
                <w:szCs w:val="20"/>
              </w:rPr>
              <w:t xml:space="preserve">One where orbit_class equals LEO, otherwise zero.</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w:t>
            </w:r>
          </w:p>
        </w:tc>
        <w:tc>
          <w:tcPr>
            <w:tcW w:w="0" w:type="auto"/>
          </w:tcPr>
          <w:p>
            <w:pPr>
              <w:spacing w:line="240" w:lineRule="auto" w:before="0" w:after="0"/>
              <w:pStyle w:val="Compact"/>
            </w:pPr>
            <w:r>
              <w:rPr>
                <w:sz w:val="20"/>
                <w:szCs w:val="20"/>
              </w:rPr>
              <w:t xml:space="preserve">UNOOSA index, registration submission family, UN voting records, and public catalog cross-check source families.</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62" Type="http://schemas.openxmlformats.org/officeDocument/2006/relationships/hyperlink" Target="https://doi.org/10.1016/j.actaastro.2024.06.052" TargetMode="External"/><Relationship Id="rId168" Type="http://schemas.openxmlformats.org/officeDocument/2006/relationships/hyperlink" Target="https://doi.org/10.1016/j.actaastro.2025.01.042" TargetMode="External"/><Relationship Id="rId164" Type="http://schemas.openxmlformats.org/officeDocument/2006/relationships/hyperlink" Target="https://doi.org/10.1016/j.actaastro.2025.03.034" TargetMode="External"/><Relationship Id="rId166" Type="http://schemas.openxmlformats.org/officeDocument/2006/relationships/hyperlink" Target="https://doi.org/10.1016/j.actaastro.2025.05.036" TargetMode="External"/></Relationships>
</file>

<file path=word/_rels/footnotes.xml.rels><?xml version='1.0' encoding='UTF-8' standalone='yes'?>
<Relationships xmlns="http://schemas.openxmlformats.org/package/2006/relationships"><Relationship Id="rId162" Type="http://schemas.openxmlformats.org/officeDocument/2006/relationships/hyperlink" Target="https://doi.org/10.1016/j.actaastro.2024.06.052" TargetMode="External"/><Relationship Id="rId168" Type="http://schemas.openxmlformats.org/officeDocument/2006/relationships/hyperlink" Target="https://doi.org/10.1016/j.actaastro.2025.01.042" TargetMode="External"/><Relationship Id="rId164" Type="http://schemas.openxmlformats.org/officeDocument/2006/relationships/hyperlink" Target="https://doi.org/10.1016/j.actaastro.2025.03.034" TargetMode="External"/><Relationship Id="rId166" Type="http://schemas.openxmlformats.org/officeDocument/2006/relationships/hyperlink" Target="https://doi.org/10.1016/j.actaastro.2025.05.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as Sovereignty Signaling: Does the UNOOSA Registration Gap Track Ge</dc:title>
  <dc:creator>Sylvie Mensah (1B-IGV-151)</dc:creator>
  <cp:keywords/>
  <dcterms:created xsi:type="dcterms:W3CDTF">2026-07-04T11:24:43Z</dcterms:created>
  <dcterms:modified xsi:type="dcterms:W3CDTF">2026-07-04T11:24:43Z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