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2bdb7e58cc5927713a4c1518f949ace9768a0c1"/>
    <w:p>
      <w:pPr>
        <w:pStyle w:val="Heading1"/>
      </w:pPr>
      <w:r>
        <w:t xml:space="preserve">Attention Accumulation in Audience Costs in Space Brinkmanship Do ASAT Demonstrations Follow Domestic-Sig: A Learning-Curve Analysis of Citation Growth by Article Age</w:t>
      </w:r>
    </w:p>
    <w:bookmarkStart w:id="61" w:name="introduction"/>
    <w:p>
      <w:pPr>
        <w:pStyle w:val="Heading2"/>
      </w:pPr>
      <w:r>
        <w:t xml:space="preserve">1. Introduction</w:t>
      </w:r>
    </w:p>
    <w:p>
      <w:pPr>
        <w:pStyle w:val="FirstParagraph"/>
      </w:pPr>
      <w:r>
        <w:t xml:space="preserve">This empirical paper supports Tessa Frost (1B-IGV-215) and the dissertation project</w:t>
      </w:r>
      <w:r>
        <w:t xml:space="preserve"> </w:t>
      </w:r>
      <w:r>
        <w:rPr>
          <w:i/>
          <w:iCs/>
        </w:rPr>
        <w:t xml:space="preserve">Audience Costs in Space Brinkmanship: Do ASAT Demonstrations Follow Domestic-Sig</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R2=0.005226092490387968, elasticity_b=-0.10763740991505377, progress_ratio_2^b=0.9281067066376161. The exact term summary is: const coef=0.7538247875118782 p=0.01749796842584703; _ln_x coef=-0.10763740991505377 p=0.5715738992807335.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Makena Young, Aerospace Security Project. Trends in Global Space Situational Awareness (2021). [AMOS]</w:t>
      </w:r>
      <w:r>
        <w:t xml:space="preserve"> </w:t>
      </w:r>
      <w:bookmarkStart w:id="68" w:name="ref-2"/>
      <w:bookmarkEnd w:id="68"/>
      <w:r>
        <w:t xml:space="preserve">2.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69">
        <w:r>
          <w:rPr>
            <w:rStyle w:val="Hyperlink"/>
          </w:rPr>
          <w:t xml:space="preserve">10.64861/EIBC5616</w:t>
        </w:r>
      </w:hyperlink>
      <w:r>
        <w:t xml:space="preserve"> </w:t>
      </w:r>
      <w:bookmarkStart w:id="70" w:name="ref-3"/>
      <w:bookmarkEnd w:id="70"/>
      <w:r>
        <w:t xml:space="preserve">3. Todd Harrison, Center for Strategic and International Studies. International Perspectives on Space Weapons (2020). [AMOS]</w:t>
      </w:r>
      <w:r>
        <w:t xml:space="preserve"> </w:t>
      </w:r>
      <w:bookmarkStart w:id="71" w:name="ref-4"/>
      <w:bookmarkEnd w:id="71"/>
      <w:r>
        <w:t xml:space="preserve">4. Jaedong Seong, Korea Aerospace Research Institute (KARI); Okchul Jung, Korea Aerospace Research Institute (KARI); Youeyun Jung, Korea Aerospace Research Institute (KARI); Saehan Song, Korea Aerospace Research Institute (KARI). Development of VISION (Vigilant Integrated Space Information and mOnitoring Network): An Integrated Space Information Monitoring System for Space Flight Safety (2025). doi:</w:t>
      </w:r>
      <w:r>
        <w:t xml:space="preserve"> </w:t>
      </w:r>
      <w:hyperlink r:id="rId72">
        <w:r>
          <w:rPr>
            <w:rStyle w:val="Hyperlink"/>
          </w:rPr>
          <w:t xml:space="preserve">10.64861/OTAL2562</w:t>
        </w:r>
      </w:hyperlink>
      <w:r>
        <w:t xml:space="preserve"> </w:t>
      </w:r>
      <w:bookmarkStart w:id="73" w:name="ref-5"/>
      <w:bookmarkEnd w:id="73"/>
      <w:r>
        <w:t xml:space="preserve">5. Makena Young, Center for Strategic and International Studies; Akhil Thadani, Center for Strategic and International Studies. Low-Orbit, High Stakes: Winning the LEO Broadband Competition (2022). [AMOS]</w:t>
      </w:r>
      <w:r>
        <w:t xml:space="preserve"> </w:t>
      </w:r>
      <w:bookmarkStart w:id="74" w:name="ref-6"/>
      <w:bookmarkEnd w:id="74"/>
      <w:r>
        <w:t xml:space="preserve">6. John D. Ianni (AFRL, Human Effectiveness Directorate), Denise L. Aleva (AFRL, Human Effectiveness Directorate), Sharon A. Ellis (AFRL, Human Effectiveness Directorate). Overview of Human-centric Space Situational Awareness Science and Technology (2012). [AMOS]</w:t>
      </w:r>
      <w:r>
        <w:t xml:space="preserve"> </w:t>
      </w:r>
      <w:bookmarkStart w:id="75" w:name="ref-7"/>
      <w:bookmarkEnd w:id="75"/>
      <w:r>
        <w:t xml:space="preserve">7. Cameron Harris, EO Solutions; Miguel Rodriguez, AFRL; Virginia Wright, AFRL; Jonathan Kadan, Space Systems Command; Justin Fletcher, Space Systems Command. Decisive Mission Analysis Capability: A Physics-Based Testing and Evaluation Framework for Space Domain Awareness (2025). doi:</w:t>
      </w:r>
      <w:r>
        <w:t xml:space="preserve"> </w:t>
      </w:r>
      <w:hyperlink r:id="rId76">
        <w:r>
          <w:rPr>
            <w:rStyle w:val="Hyperlink"/>
          </w:rPr>
          <w:t xml:space="preserve">10.64861/CKQN3841</w:t>
        </w:r>
      </w:hyperlink>
      <w:r>
        <w:t xml:space="preserve"> </w:t>
      </w:r>
      <w:bookmarkStart w:id="77" w:name="ref-8"/>
      <w:bookmarkEnd w:id="77"/>
      <w:r>
        <w:t xml:space="preserve">8. Lt Col Hans Thatcher, Air Force Space Command. AFSPC A5CS SSA Activities (2011). [AMOS]</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0.7538</w:t>
            </w:r>
          </w:p>
        </w:tc>
        <w:tc>
          <w:tcPr>
            <w:tcW w:w="0" w:type="auto"/>
          </w:tcPr>
          <w:p>
            <w:pPr>
              <w:spacing w:line="240" w:lineRule="auto" w:before="0" w:after="0"/>
              <w:pStyle w:val="Compact"/>
            </w:pPr>
            <w:r>
              <w:rPr>
                <w:sz w:val="20"/>
                <w:szCs w:val="20"/>
              </w:rPr>
              <w:t xml:space="preserve">0.3173</w:t>
            </w:r>
          </w:p>
        </w:tc>
        <w:tc>
          <w:tcPr>
            <w:tcW w:w="0" w:type="auto"/>
          </w:tcPr>
          <w:p>
            <w:pPr>
              <w:spacing w:line="240" w:lineRule="auto" w:before="0" w:after="0"/>
              <w:pStyle w:val="Compact"/>
            </w:pPr>
            <w:r>
              <w:rPr>
                <w:sz w:val="20"/>
                <w:szCs w:val="20"/>
              </w:rPr>
              <w:t xml:space="preserve">2.3761</w:t>
            </w:r>
          </w:p>
        </w:tc>
        <w:tc>
          <w:tcPr>
            <w:tcW w:w="0" w:type="auto"/>
          </w:tcPr>
          <w:p>
            <w:pPr>
              <w:spacing w:line="240" w:lineRule="auto" w:before="0" w:after="0"/>
              <w:pStyle w:val="Compact"/>
            </w:pPr>
            <w:r>
              <w:rPr>
                <w:sz w:val="20"/>
                <w:szCs w:val="20"/>
              </w:rPr>
              <w:t xml:space="preserve">0.0175</w:t>
            </w:r>
          </w:p>
        </w:tc>
        <w:tc>
          <w:tcPr>
            <w:tcW w:w="0" w:type="auto"/>
          </w:tcPr>
          <w:p>
            <w:pPr>
              <w:spacing w:line="240" w:lineRule="auto" w:before="0" w:after="0"/>
              <w:pStyle w:val="Compact"/>
            </w:pPr>
            <w:r>
              <w:rPr>
                <w:sz w:val="20"/>
                <w:szCs w:val="20"/>
              </w:rPr>
              <w:t xml:space="preserve">[0.132, 1.3756]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-0.1076</w:t>
            </w:r>
          </w:p>
        </w:tc>
        <w:tc>
          <w:tcPr>
            <w:tcW w:w="0" w:type="auto"/>
          </w:tcPr>
          <w:p>
            <w:pPr>
              <w:spacing w:line="240" w:lineRule="auto" w:before="0" w:after="0"/>
              <w:pStyle w:val="Compact"/>
            </w:pPr>
            <w:r>
              <w:rPr>
                <w:sz w:val="20"/>
                <w:szCs w:val="20"/>
              </w:rPr>
              <w:t xml:space="preserve">0.1903</w:t>
            </w:r>
          </w:p>
        </w:tc>
        <w:tc>
          <w:tcPr>
            <w:tcW w:w="0" w:type="auto"/>
          </w:tcPr>
          <w:p>
            <w:pPr>
              <w:spacing w:line="240" w:lineRule="auto" w:before="0" w:after="0"/>
              <w:pStyle w:val="Compact"/>
            </w:pPr>
            <w:r>
              <w:rPr>
                <w:sz w:val="20"/>
                <w:szCs w:val="20"/>
              </w:rPr>
              <w:t xml:space="preserve">-0.5657</w:t>
            </w:r>
          </w:p>
        </w:tc>
        <w:tc>
          <w:tcPr>
            <w:tcW w:w="0" w:type="auto"/>
          </w:tcPr>
          <w:p>
            <w:pPr>
              <w:spacing w:line="240" w:lineRule="auto" w:before="0" w:after="0"/>
              <w:pStyle w:val="Compact"/>
            </w:pPr>
            <w:r>
              <w:rPr>
                <w:sz w:val="20"/>
                <w:szCs w:val="20"/>
              </w:rPr>
              <w:t xml:space="preserve">0.5716</w:t>
            </w:r>
          </w:p>
        </w:tc>
        <w:tc>
          <w:tcPr>
            <w:tcW w:w="0" w:type="auto"/>
          </w:tcPr>
          <w:p>
            <w:pPr>
              <w:spacing w:line="240" w:lineRule="auto" w:before="0" w:after="0"/>
              <w:pStyle w:val="Compact"/>
            </w:pPr>
            <w:r>
              <w:rPr>
                <w:sz w:val="20"/>
                <w:szCs w:val="20"/>
              </w:rPr>
              <w:t xml:space="preserve">[-0.4805, 0.2653]</w:t>
            </w:r>
          </w:p>
        </w:tc>
      </w:tr>
    </w:tbl>
    <w:p>
      <w:pPr>
        <w:pStyle w:val="BodyText"/>
      </w:pPr>
      <w:r>
        <w:t xml:space="preserve">Fit: N = 30 R2 = 0.0052 elasticity_b = -0.1076 progress_ratio_2^b = 0.9281</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INTL_GOVERNANCE_10\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10.64861/ZXJQ1584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10.64861/QEDJ9012</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https://amostech.space/year/2012/overview-of-human-centric-space-situational-awareness-science-and-technology/</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https://amostech.space/year/2011/afspc-a5cs-ssa-activities/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https://amostech.space/year/2021/investigating-the-risks-of-debris-generating-asat-tests-in-the-presence-of-megaconstellations/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https://amostech.space/year/2021/compact-solutions-for-detecting-space-and-ground-based-optical-threats-to-satellites/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10.1016/j.actaastro.2020.05.015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10.1016/j.actaastro.2026.02.051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10.1016/j.actaastro.2022.07.042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10.1016/j.actaastro.2026.04.055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 Wars: Anti-Satellite Weapons and Orbital Debris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10.1080/10242694.2023.2208020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The Space Imperative (Whole-of-Nation)</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0.7538</w:t>
            </w:r>
          </w:p>
        </w:tc>
        <w:tc>
          <w:tcPr>
            <w:tcW w:w="0" w:type="auto"/>
          </w:tcPr>
          <w:p>
            <w:pPr>
              <w:spacing w:line="240" w:lineRule="auto" w:before="0" w:after="0"/>
              <w:pStyle w:val="Compact"/>
            </w:pPr>
            <w:r>
              <w:rPr>
                <w:sz w:val="20"/>
                <w:szCs w:val="20"/>
              </w:rPr>
              <w:t xml:space="preserve">0.3173</w:t>
            </w:r>
          </w:p>
        </w:tc>
        <w:tc>
          <w:tcPr>
            <w:tcW w:w="0" w:type="auto"/>
          </w:tcPr>
          <w:p>
            <w:pPr>
              <w:spacing w:line="240" w:lineRule="auto" w:before="0" w:after="0"/>
              <w:pStyle w:val="Compact"/>
            </w:pPr>
            <w:r>
              <w:rPr>
                <w:sz w:val="20"/>
                <w:szCs w:val="20"/>
              </w:rPr>
              <w:t xml:space="preserve">2.3761</w:t>
            </w:r>
          </w:p>
        </w:tc>
        <w:tc>
          <w:tcPr>
            <w:tcW w:w="0" w:type="auto"/>
          </w:tcPr>
          <w:p>
            <w:pPr>
              <w:spacing w:line="240" w:lineRule="auto" w:before="0" w:after="0"/>
              <w:pStyle w:val="Compact"/>
            </w:pPr>
            <w:r>
              <w:rPr>
                <w:sz w:val="20"/>
                <w:szCs w:val="20"/>
              </w:rPr>
              <w:t xml:space="preserve">0.0175</w:t>
            </w:r>
          </w:p>
        </w:tc>
        <w:tc>
          <w:tcPr>
            <w:tcW w:w="0" w:type="auto"/>
          </w:tcPr>
          <w:p>
            <w:pPr>
              <w:spacing w:line="240" w:lineRule="auto" w:before="0" w:after="0"/>
              <w:pStyle w:val="Compact"/>
            </w:pPr>
            <w:r>
              <w:rPr>
                <w:sz w:val="20"/>
                <w:szCs w:val="20"/>
              </w:rPr>
              <w:t xml:space="preserve">[0.132, 1.3756]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-0.1076</w:t>
            </w:r>
          </w:p>
        </w:tc>
        <w:tc>
          <w:tcPr>
            <w:tcW w:w="0" w:type="auto"/>
          </w:tcPr>
          <w:p>
            <w:pPr>
              <w:spacing w:line="240" w:lineRule="auto" w:before="0" w:after="0"/>
              <w:pStyle w:val="Compact"/>
            </w:pPr>
            <w:r>
              <w:rPr>
                <w:sz w:val="20"/>
                <w:szCs w:val="20"/>
              </w:rPr>
              <w:t xml:space="preserve">0.1903</w:t>
            </w:r>
          </w:p>
        </w:tc>
        <w:tc>
          <w:tcPr>
            <w:tcW w:w="0" w:type="auto"/>
          </w:tcPr>
          <w:p>
            <w:pPr>
              <w:spacing w:line="240" w:lineRule="auto" w:before="0" w:after="0"/>
              <w:pStyle w:val="Compact"/>
            </w:pPr>
            <w:r>
              <w:rPr>
                <w:sz w:val="20"/>
                <w:szCs w:val="20"/>
              </w:rPr>
              <w:t xml:space="preserve">-0.5657</w:t>
            </w:r>
          </w:p>
        </w:tc>
        <w:tc>
          <w:tcPr>
            <w:tcW w:w="0" w:type="auto"/>
          </w:tcPr>
          <w:p>
            <w:pPr>
              <w:spacing w:line="240" w:lineRule="auto" w:before="0" w:after="0"/>
              <w:pStyle w:val="Compact"/>
            </w:pPr>
            <w:r>
              <w:rPr>
                <w:sz w:val="20"/>
                <w:szCs w:val="20"/>
              </w:rPr>
              <w:t xml:space="preserve">0.5716</w:t>
            </w:r>
          </w:p>
        </w:tc>
        <w:tc>
          <w:tcPr>
            <w:tcW w:w="0" w:type="auto"/>
          </w:tcPr>
          <w:p>
            <w:pPr>
              <w:spacing w:line="240" w:lineRule="auto" w:before="0" w:after="0"/>
              <w:pStyle w:val="Compact"/>
            </w:pPr>
            <w:r>
              <w:rPr>
                <w:sz w:val="20"/>
                <w:szCs w:val="20"/>
              </w:rPr>
              <w:t xml:space="preserve">[-0.4805, 0.2653]</w:t>
            </w:r>
          </w:p>
        </w:tc>
      </w:tr>
    </w:tbl>
    <w:p>
      <w:pPr>
        <w:pStyle w:val="BodyText"/>
      </w:pPr>
      <w:r>
        <w:t xml:space="preserve">Fit: N = 30 R2 = 0.0052 elasticity_b = -0.1076 progress_ratio_2^b = 0.9281</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6" Target="https://doi.org/10.64861/CKQN3841" TargetMode="External" /><Relationship Type="http://schemas.openxmlformats.org/officeDocument/2006/relationships/hyperlink" Id="rId69" Target="https://doi.org/10.64861/EIBC5616" TargetMode="External" /><Relationship Type="http://schemas.openxmlformats.org/officeDocument/2006/relationships/hyperlink" Id="rId72" Target="https://doi.org/10.64861/OTAL2562"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64861/CKQN3841" TargetMode="External" /><Relationship Type="http://schemas.openxmlformats.org/officeDocument/2006/relationships/hyperlink" Id="rId69" Target="https://doi.org/10.64861/EIBC5616" TargetMode="External" /><Relationship Type="http://schemas.openxmlformats.org/officeDocument/2006/relationships/hyperlink" Id="rId72" Target="https://doi.org/10.64861/OTAL256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2026-06-29T09:42:28Z</dcterms:created>
  <dcterms:modified xsi:type="dcterms:W3CDTF">2026-06-29T09:42:28Z</dcterms:modified>
</cp:coreProperties>
</file>

<file path=docProps/custom.xml><?xml version="1.0" encoding="utf-8"?>
<Properties xmlns="http://schemas.openxmlformats.org/officeDocument/2006/custom-properties" xmlns:vt="http://schemas.openxmlformats.org/officeDocument/2006/docPropsVTypes"/>
</file>