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AUDIENCE COSTS IN SPACE BRINKMANSHIP: DO ASAT DEMONSTRATIONS FOLLOW DOMESTIC-SIG</w:t>
      </w:r>
    </w:p>
    <w:p>
      <w:pPr>
        <w:jc w:val="center"/>
      </w:pPr>
    </w:p>
    <w:p>
      <w:pPr>
        <w:jc w:val="center"/>
      </w:pPr>
      <w:r>
        <w:rPr>
          <w:rFonts w:ascii="Times New Roman" w:hAnsi="Times New Roman"/>
          <w:sz w:val="24"/>
        </w:rPr>
        <w:t>by</w:t>
      </w:r>
    </w:p>
    <w:p>
      <w:pPr>
        <w:jc w:val="center"/>
      </w:pPr>
      <w:r>
        <w:rPr>
          <w:rFonts w:ascii="Times New Roman" w:hAnsi="Times New Roman"/>
          <w:b/>
          <w:sz w:val="28"/>
        </w:rPr>
        <w:t>Tessa Frost</w:t>
      </w:r>
    </w:p>
    <w:p>
      <w:pPr>
        <w:jc w:val="center"/>
      </w:pPr>
      <w:r>
        <w:rPr>
          <w:rFonts w:ascii="Times New Roman" w:hAnsi="Times New Roman"/>
          <w:sz w:val="24"/>
        </w:rPr>
        <w:t>1B-IGV-215</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9" w:name="chapter-1.-introduction"/>
    <w:p>
      <w:pPr>
        <w:pStyle w:val="Heading1"/>
        <w:spacing w:line="480" w:lineRule="auto"/>
      </w:pPr>
      <w:r>
        <w:t xml:space="preserve">Chapter 1. Introduction</w:t>
      </w:r>
    </w:p>
    <w:p>
      <w:pPr>
        <w:pStyle w:val="FirstParagraph"/>
        <w:spacing w:line="480" w:lineRule="auto"/>
      </w:pPr>
      <w:r>
        <w:t xml:space="preserve">A satellite breaks apart in low orbit, and within hours the world knows who did it. That knowledge is the puzzle. When a state destroys a target in orbit with a direct-ascent interceptor, it produces two very different outputs at once: a technical fact about kinetic reach, and a political signal aimed at audiences on the ground. This dissertation,</w:t>
      </w:r>
      <w:r>
        <w:t xml:space="preserve"> </w:t>
      </w:r>
      <w:r>
        <w:rPr>
          <w:i/>
          <w:iCs/>
        </w:rPr>
        <w:t xml:space="preserve">Audience Costs in Space Brinkmanship: Do ASAT Demonstrations Follow Domestic Signaling</w:t>
      </w:r>
      <w:r>
        <w:t xml:space="preserve">, treats that second output as the object worth measuring. The claim under examination is narrow and testable. If anti-satellite demonstrations work partly as domestic signals, then the way the surrounding topic is written about, cited, and archived should carry observable structure across time, attention, and publication venue</w:t>
      </w:r>
      <w:r>
        <w:t xml:space="preserve"> </w:t>
      </w:r>
      <w:hyperlink w:anchor="ref-1">
        <w:r>
          <w:rPr>
            <w:rStyle w:val="Hyperlink"/>
          </w:rPr>
          <w:t xml:space="preserve">[1]</w:t>
        </w:r>
      </w:hyperlink>
      <w:r>
        <w:t xml:space="preserve"> </w:t>
      </w:r>
      <w:hyperlink w:anchor="ref-3">
        <w:r>
          <w:rPr>
            <w:rStyle w:val="Hyperlink"/>
          </w:rPr>
          <w:t xml:space="preserve">[3]</w:t>
        </w:r>
      </w:hyperlink>
      <w:r>
        <w:t xml:space="preserve">. The stakes are not abstract. Kinetic anti-satellite tests have left long-lived debris in the orbital commons, and each new demonstration raises collision risk for inhabited stations and large constellations</w:t>
      </w:r>
      <w:r>
        <w:t xml:space="preserve"> </w:t>
      </w:r>
      <w:hyperlink w:anchor="ref-12">
        <w:r>
          <w:rPr>
            <w:rStyle w:val="Hyperlink"/>
          </w:rPr>
          <w:t xml:space="preserve">[12]</w:t>
        </w:r>
      </w:hyperlink>
      <w:r>
        <w:t xml:space="preserve">. The Cosmos 1408 fragmentation is the canonical recent case. A single destructive event generated a fragment population that immediately threatened neighboring spacecraft and forced avoidance maneuvers aboard crewed platforms</w:t>
      </w:r>
      <w:r>
        <w:t xml:space="preserve"> </w:t>
      </w:r>
      <w:hyperlink w:anchor="ref-12">
        <w:r>
          <w:rPr>
            <w:rStyle w:val="Hyperlink"/>
          </w:rPr>
          <w:t xml:space="preserve">[12]</w:t>
        </w:r>
      </w:hyperlink>
      <w:r>
        <w:t xml:space="preserve">. When capability display and orbital pollution travel together, the governance question stops being academic. A study that can show whether such demonstrations track a domestic signaling logic, rather than pure security necessity, hands policy analysts a sharper tool for anticipating when the next test might come and what might actually deter it.</w:t>
      </w:r>
    </w:p>
    <w:p>
      <w:pPr>
        <w:pStyle w:val="BodyText"/>
        <w:spacing w:line="480" w:lineRule="auto"/>
        <w:ind w:firstLine="720"/>
      </w:pPr>
      <w:r>
        <w:t xml:space="preserve">The problem is institutional as much as technical. Space governance tends to become visible before institutions converge on an operating rule. Attribution is now feasible in ways it was not a decade ago, and the analytic literature has begun to treat collision risk and attribution potential as coupled strategic variables</w:t>
      </w:r>
      <w:r>
        <w:t xml:space="preserve"> </w:t>
      </w:r>
      <w:hyperlink w:anchor="ref-2">
        <w:r>
          <w:rPr>
            <w:rStyle w:val="Hyperlink"/>
          </w:rPr>
          <w:t xml:space="preserve">[2]</w:t>
        </w:r>
      </w:hyperlink>
      <w:r>
        <w:t xml:space="preserve">. Yet the field still lacks a disciplined bridge from that domain visibility to a measured, reproducible claim. Technical records identify operational risk. They rarely explain why governance language hardens in one period and stays loose in another</w:t>
      </w:r>
      <w:r>
        <w:t xml:space="preserve"> </w:t>
      </w:r>
      <w:hyperlink w:anchor="ref-1">
        <w:r>
          <w:rPr>
            <w:rStyle w:val="Hyperlink"/>
          </w:rPr>
          <w:t xml:space="preserve">[1]</w:t>
        </w:r>
      </w:hyperlink>
      <w:r>
        <w:t xml:space="preserve"> </w:t>
      </w:r>
      <w:hyperlink w:anchor="ref-3">
        <w:r>
          <w:rPr>
            <w:rStyle w:val="Hyperlink"/>
          </w:rPr>
          <w:t xml:space="preserve">[3]</w:t>
        </w:r>
      </w:hyperlink>
      <w:r>
        <w:t xml:space="preserve">. That silence is the space this project works in.</w:t>
      </w:r>
    </w:p>
    <w:bookmarkStart w:id="61" w:name="the-falsifiable-contribution"/>
    <w:p>
      <w:pPr>
        <w:pStyle w:val="Heading2"/>
        <w:spacing w:line="480" w:lineRule="auto"/>
      </w:pPr>
      <w:r>
        <w:t xml:space="preserve">The falsifiable contribution</w:t>
      </w:r>
    </w:p>
    <w:p>
      <w:pPr>
        <w:pStyle w:val="FirstParagraph"/>
        <w:spacing w:line="480" w:lineRule="auto"/>
      </w:pPr>
      <w:r>
        <w:t xml:space="preserve">This dissertation makes one falsifiable claim and refuses to make more. The claim is that the candidate topic, audience-cost dynamics around anti-satellite brinkmanship, leaves a measurable footprint in the structure of its own literature. Stated as competing hypotheses, the design reads cleanly. H0: the candidate topic signal is unrelated to publication recency, citation attention, and venue family in the retrieved source corpus. H1: the candidate topic signal is systematically related to publication recency, citation attention, and venue family in the retrieved source corpus. If H1 holds, the topic is not a diffuse policy intuition; it has a detectable shape in the documentary record. If H0 holds, the honest conclusion is that the present evidence base cannot yet carry the weight the policy question demands. That framing is deliberately modest, and the modesty is the point. A doctoral inquiry can either clarify an evidentiary chain or hide weak inference behind confident prose. This study chooses the first path. Every number reported here is a workbook result. Every substantive claim is conditional on the sources available to the candidate. The design does not promise a causal estimate of why a given state tested a given weapon on a given day. It promises something smaller and firmer: an auditable measurement of whether the topic’s documentary signature is structured or noisy</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p>
      <w:pPr>
        <w:pStyle w:val="BodyText"/>
        <w:spacing w:line="480" w:lineRule="auto"/>
        <w:ind w:firstLine="720"/>
      </w:pPr>
      <w:r>
        <w:t xml:space="preserve">Why insist on such a bounded contribution when the underlying policy stakes are large?</w:t>
      </w:r>
    </w:p>
    <w:p>
      <w:pPr>
        <w:pStyle w:val="BodyText"/>
        <w:spacing w:line="480" w:lineRule="auto"/>
        <w:ind w:firstLine="720"/>
      </w:pPr>
      <w:r>
        <w:t xml:space="preserve">Because the alternative, an unbounded contribution, is what the field already has too much of. Space-weapons commentary is thick with confident assertion and thin with reproducible measurement</w:t>
      </w:r>
      <w:r>
        <w:t xml:space="preserve"> </w:t>
      </w:r>
      <w:hyperlink w:anchor="ref-3">
        <w:r>
          <w:rPr>
            <w:rStyle w:val="Hyperlink"/>
          </w:rPr>
          <w:t xml:space="preserve">[3]</w:t>
        </w:r>
      </w:hyperlink>
      <w:r>
        <w:t xml:space="preserve">. A dissertation that adds one more layer of assertion changes nothing. A dissertation that shows exactly how far a documentary test can go, and where it stops, changes the standard of evidence. The falsifiable core here is not the most dramatic claim available. It is the most defensible one.</w:t>
      </w:r>
    </w:p>
    <w:bookmarkEnd w:id="61"/>
    <w:bookmarkStart w:id="62" w:name="X2c470026e7869f3896afab72fc0b8dc52d388a3"/>
    <w:p>
      <w:pPr>
        <w:pStyle w:val="Heading2"/>
        <w:spacing w:line="480" w:lineRule="auto"/>
      </w:pPr>
      <w:r>
        <w:t xml:space="preserve">Why bibliometric structure is a legitimate test</w:t>
      </w:r>
    </w:p>
    <w:p>
      <w:pPr>
        <w:pStyle w:val="FirstParagraph"/>
        <w:spacing w:line="480" w:lineRule="auto"/>
      </w:pPr>
      <w:r>
        <w:t xml:space="preserve">A skeptic will ask why the citation and venue structure of a literature should tell us anything about the political behavior it describes.</w:t>
      </w:r>
    </w:p>
    <w:p>
      <w:pPr>
        <w:pStyle w:val="BodyText"/>
        <w:spacing w:line="480" w:lineRule="auto"/>
        <w:ind w:firstLine="720"/>
      </w:pPr>
      <w:r>
        <w:t xml:space="preserve">The answer runs through attention. When a class of events carries domestic signaling value, it draws sustained analytic attention, and that attention deposits traces: clustered publication years, citation accumulation, venue migration from conference proceedings toward archival journals</w:t>
      </w:r>
      <w:r>
        <w:t xml:space="preserve"> </w:t>
      </w:r>
      <w:hyperlink w:anchor="ref-6">
        <w:r>
          <w:rPr>
            <w:rStyle w:val="Hyperlink"/>
          </w:rPr>
          <w:t xml:space="preserve">[6]</w:t>
        </w:r>
      </w:hyperlink>
      <w:r>
        <w:t xml:space="preserve">. The literature on space situational awareness has itself grown in exactly this attention-driven way, from early capability overviews</w:t>
      </w:r>
      <w:r>
        <w:t xml:space="preserve"> </w:t>
      </w:r>
      <w:hyperlink w:anchor="ref-8">
        <w:r>
          <w:rPr>
            <w:rStyle w:val="Hyperlink"/>
          </w:rPr>
          <w:t xml:space="preserve">[8]</w:t>
        </w:r>
      </w:hyperlink>
      <w:r>
        <w:t xml:space="preserve"> </w:t>
      </w:r>
      <w:r>
        <w:t xml:space="preserve">toward integrated monitoring architectures</w:t>
      </w:r>
      <w:r>
        <w:t xml:space="preserve"> </w:t>
      </w:r>
      <w:hyperlink w:anchor="ref-4">
        <w:r>
          <w:rPr>
            <w:rStyle w:val="Hyperlink"/>
          </w:rPr>
          <w:t xml:space="preserve">[4]</w:t>
        </w:r>
      </w:hyperlink>
      <w:r>
        <w:t xml:space="preserve"> </w:t>
      </w:r>
      <w:r>
        <w:t xml:space="preserve">and physics-based evaluation frameworks</w:t>
      </w:r>
      <w:r>
        <w:t xml:space="preserve"> </w:t>
      </w:r>
      <w:hyperlink w:anchor="ref-7">
        <w:r>
          <w:rPr>
            <w:rStyle w:val="Hyperlink"/>
          </w:rPr>
          <w:t xml:space="preserve">[7]</w:t>
        </w:r>
      </w:hyperlink>
      <w:r>
        <w:t xml:space="preserve">. If audience-cost dynamics shape which orbital events get written about and remembered, the structure of the corpus becomes a proxy, imperfect but inspectable, for the salience of the underlying behavior. The proxy is imperfect, and the design says so plainly. Citation counts drawn from a local index are not universal citation counts. Venue-family coding is ordinal and should not be overread. A design-stage dissertation of this kind tests corpus structure, not final causal policy impact. Naming those limits early is not a hedge. It is the condition under which the empirical results can be trusted at all.</w:t>
      </w:r>
    </w:p>
    <w:p>
      <w:pPr>
        <w:pStyle w:val="BodyText"/>
        <w:spacing w:line="480" w:lineRule="auto"/>
        <w:ind w:firstLine="720"/>
      </w:pPr>
      <w:r>
        <w:t xml:space="preserve">There is a second reason bibliometric structure earns its place. It is cheap to reproduce and hard to fake. A reader who doubts the finding can open the same source records, recompute the same variables, and rerun the same estimator. Attribution studies in the orbital-debris literature have made a similar methodological bet, arguing that transparent, reproducible collision-risk modeling is more credible than closed intelligence assessment</w:t>
      </w:r>
      <w:r>
        <w:t xml:space="preserve"> </w:t>
      </w:r>
      <w:hyperlink w:anchor="ref-2">
        <w:r>
          <w:rPr>
            <w:rStyle w:val="Hyperlink"/>
          </w:rPr>
          <w:t xml:space="preserve">[2]</w:t>
        </w:r>
      </w:hyperlink>
      <w:r>
        <w:t xml:space="preserve">. This project extends that bet from physics to metadata. The test is modest, but it is inspectable end to end.</w:t>
      </w:r>
    </w:p>
    <w:p>
      <w:pPr>
        <w:pStyle w:val="BodyText"/>
        <w:spacing w:line="480" w:lineRule="auto"/>
        <w:ind w:firstLine="720"/>
      </w:pPr>
      <w:r>
        <w:t xml:space="preserve">The alternative sources one might reach for instead are worse, not better, for a doctoral test.</w:t>
      </w:r>
    </w:p>
    <w:p>
      <w:pPr>
        <w:pStyle w:val="BodyText"/>
        <w:spacing w:line="480" w:lineRule="auto"/>
        <w:ind w:firstLine="720"/>
      </w:pPr>
      <w:r>
        <w:t xml:space="preserve">Event databases of anti-satellite tests exist, but they are small, disputed, and dominated by a handful of well-known incidents that would give any regression almost no variation to work with. Expert-coded resolve or salience scores exist, but they import the analyst’s judgment into the measurement, which is exactly what an audience-cost skeptic would attack. Government assessments exist, but they are closed, and a closed source cannot ground a reproducible claim. Against those options, a corpus of retrievable documents with deterministic, recomputable metadata is the most honest instrument available, precisely because its weaknesses are visible rather than hidden</w:t>
      </w:r>
      <w:r>
        <w:t xml:space="preserve"> </w:t>
      </w:r>
      <w:hyperlink w:anchor="ref-3">
        <w:r>
          <w:rPr>
            <w:rStyle w:val="Hyperlink"/>
          </w:rPr>
          <w:t xml:space="preserve">[3]</w:t>
        </w:r>
      </w:hyperlink>
      <w:r>
        <w:t xml:space="preserve"> </w:t>
      </w:r>
      <w:hyperlink w:anchor="ref-6">
        <w:r>
          <w:rPr>
            <w:rStyle w:val="Hyperlink"/>
          </w:rPr>
          <w:t xml:space="preserve">[6]</w:t>
        </w:r>
      </w:hyperlink>
      <w:r>
        <w:t xml:space="preserve">. The design chooses the instrument whose flaws a reader can see.</w:t>
      </w:r>
    </w:p>
    <w:bookmarkEnd w:id="62"/>
    <w:bookmarkStart w:id="63" w:name="the-empirical-spine"/>
    <w:p>
      <w:pPr>
        <w:pStyle w:val="Heading2"/>
        <w:spacing w:line="480" w:lineRule="auto"/>
      </w:pPr>
      <w:r>
        <w:t xml:space="preserve">The empirical spine</w:t>
      </w:r>
    </w:p>
    <w:p>
      <w:pPr>
        <w:pStyle w:val="FirstParagraph"/>
        <w:spacing w:line="480" w:lineRule="auto"/>
      </w:pPr>
      <w:r>
        <w:t xml:space="preserve">Two estimators carry the empirical weight, and they ask complementary questions. Paper 1 is cross-sectional. It regresses a composite topic-signal score on three predictors, publication recency, reported citation count, and venue family, using ordinary least squares with robust standard errors across thirty retrieved source records. Its hypothesis is directional: the topic-signal score should rise with recency and citation attention if the field is actively accumulating attention. Paper 2 is temporal. It fits a log-log learning-curve model of citation accumulation against article age across the same thirty records, asking whether attention follows a measurable age-based curve. One estimator studies structure at a moment. The other studies accumulation across time. Neither settles the full policy question alone. Together they discipline the evidence and show how the retrieved corpus is actually shaped</w:t>
      </w:r>
      <w:r>
        <w:t xml:space="preserve"> </w:t>
      </w:r>
      <w:hyperlink w:anchor="ref-2">
        <w:r>
          <w:rPr>
            <w:rStyle w:val="Hyperlink"/>
          </w:rPr>
          <w:t xml:space="preserve">[2]</w:t>
        </w:r>
      </w:hyperlink>
      <w:r>
        <w:t xml:space="preserve"> </w:t>
      </w:r>
      <w:hyperlink w:anchor="ref-5">
        <w:r>
          <w:rPr>
            <w:rStyle w:val="Hyperlink"/>
          </w:rPr>
          <w:t xml:space="preserve">[5]</w:t>
        </w:r>
      </w:hyperlink>
      <w:r>
        <w:t xml:space="preserve">. The choice to run two estimators rather than one deserves a sentence of justification here, because it shapes everything that follows. Cross-sectional structure and temporal accumulation are separable phenomena, and a single pooled model would have blurred them into an uninterpretable average. A field can be organized by attention at a given moment while showing no lawful accumulation of attention over time, and that specific combination is one of the more informative outcomes the design can produce. Keeping Paper 1 and Paper 2 apart is what makes that combination visible instead of hidden inside a composite coefficient</w:t>
      </w:r>
      <w:r>
        <w:t xml:space="preserve"> </w:t>
      </w:r>
      <w:hyperlink w:anchor="ref-4">
        <w:r>
          <w:rPr>
            <w:rStyle w:val="Hyperlink"/>
          </w:rPr>
          <w:t xml:space="preserve">[4]</w:t>
        </w:r>
      </w:hyperlink>
      <w:r>
        <w:t xml:space="preserve"> </w:t>
      </w:r>
      <w:hyperlink w:anchor="ref-7">
        <w:r>
          <w:rPr>
            <w:rStyle w:val="Hyperlink"/>
          </w:rPr>
          <w:t xml:space="preserve">[7]</w:t>
        </w:r>
      </w:hyperlink>
      <w:r>
        <w:t xml:space="preserve">. The two papers are not redundant robustness checks on one another. They answer different questions and are allowed to disagree.</w:t>
      </w:r>
    </w:p>
    <w:p>
      <w:pPr>
        <w:pStyle w:val="BodyText"/>
        <w:spacing w:line="480" w:lineRule="auto"/>
        <w:ind w:firstLine="720"/>
      </w:pPr>
      <w:r>
        <w:t xml:space="preserve">The thirty-record sample size is the design’s most obvious vulnerability and its most deliberate choice. A larger corpus was not available to the candidate, and rather than pad the sample with loosely related documents that would dilute the topic, the design accepts the small N and reports its consequences honestly through robust standard errors and prominent display of the imprecise terms. Thirty observations with three predictors is near the floor of what ordinary least squares can responsibly support, and the adjusted R-squared in Paper 1 will show exactly how little survives the penalty for that thinness</w:t>
      </w:r>
      <w:r>
        <w:t xml:space="preserve"> </w:t>
      </w:r>
      <w:hyperlink w:anchor="ref-5">
        <w:r>
          <w:rPr>
            <w:rStyle w:val="Hyperlink"/>
          </w:rPr>
          <w:t xml:space="preserve">[5]</w:t>
        </w:r>
      </w:hyperlink>
      <w:r>
        <w:t xml:space="preserve"> </w:t>
      </w:r>
      <w:hyperlink w:anchor="ref-9">
        <w:r>
          <w:rPr>
            <w:rStyle w:val="Hyperlink"/>
          </w:rPr>
          <w:t xml:space="preserve">[9]</w:t>
        </w:r>
      </w:hyperlink>
      <w:r>
        <w:t xml:space="preserve">. The design does not hide behind the small sample; it builds the interpretation around it. The headline results, reported exactly in Chapter 6, are sobering in a productive way. Paper 1 returns an R-squared of 0.1205 and an overall F-test p-value of 0.2544, with only the citation-count coefficient approaching conventional significance at p = 0.0662. Paper 2 returns an R-squared of 0.0052 and a slope that cannot be distinguished from zero at p = 0.5716. Read naively, these look like failures. Read correctly, they are findings. They tell us that citation attention carries the strongest, though still weak, structural signal; that recency and venue add little once attention is controlled; and that the field has no clean age-based accumulation curve. A dissertation that reports these numbers honestly is worth more than one that dresses up noise as discovery.</w:t>
      </w:r>
    </w:p>
    <w:bookmarkEnd w:id="63"/>
    <w:bookmarkStart w:id="64" w:name="the-disciplinary-home-of-the-question"/>
    <w:p>
      <w:pPr>
        <w:pStyle w:val="Heading2"/>
        <w:spacing w:line="480" w:lineRule="auto"/>
      </w:pPr>
      <w:r>
        <w:t xml:space="preserve">The disciplinary home of the question</w:t>
      </w:r>
    </w:p>
    <w:p>
      <w:pPr>
        <w:pStyle w:val="FirstParagraph"/>
        <w:spacing w:line="480" w:lineRule="auto"/>
      </w:pPr>
      <w:r>
        <w:t xml:space="preserve">Where does a question like this live? It sits at the intersection of three fields that do not usually share a table. Security studies supplies the audience-cost theory and the vocabulary of signaling and resolve</w:t>
      </w:r>
      <w:r>
        <w:t xml:space="preserve"> </w:t>
      </w:r>
      <w:hyperlink w:anchor="ref-3">
        <w:r>
          <w:rPr>
            <w:rStyle w:val="Hyperlink"/>
          </w:rPr>
          <w:t xml:space="preserve">[3]</w:t>
        </w:r>
      </w:hyperlink>
      <w:r>
        <w:t xml:space="preserve">. Space situational awareness, an engineering discipline, supplies the attribution capability that makes signaling legible and the debris models that make the externality concrete</w:t>
      </w:r>
      <w:r>
        <w:t xml:space="preserve"> </w:t>
      </w:r>
      <w:hyperlink w:anchor="ref-1">
        <w:r>
          <w:rPr>
            <w:rStyle w:val="Hyperlink"/>
          </w:rPr>
          <w:t xml:space="preserve">[1]</w:t>
        </w:r>
      </w:hyperlink>
      <w:r>
        <w:t xml:space="preserve"> </w:t>
      </w:r>
      <w:hyperlink w:anchor="ref-4">
        <w:r>
          <w:rPr>
            <w:rStyle w:val="Hyperlink"/>
          </w:rPr>
          <w:t xml:space="preserve">[4]</w:t>
        </w:r>
      </w:hyperlink>
      <w:r>
        <w:t xml:space="preserve"> </w:t>
      </w:r>
      <w:hyperlink w:anchor="ref-12">
        <w:r>
          <w:rPr>
            <w:rStyle w:val="Hyperlink"/>
          </w:rPr>
          <w:t xml:space="preserve">[12]</w:t>
        </w:r>
      </w:hyperlink>
      <w:r>
        <w:t xml:space="preserve">. Science and technology studies, or more precisely the quantitative study of scholarly communication, supplies the tools for reading a literature’s own structure as data</w:t>
      </w:r>
      <w:r>
        <w:t xml:space="preserve"> </w:t>
      </w:r>
      <w:hyperlink w:anchor="ref-6">
        <w:r>
          <w:rPr>
            <w:rStyle w:val="Hyperlink"/>
          </w:rPr>
          <w:t xml:space="preserve">[6]</w:t>
        </w:r>
      </w:hyperlink>
      <w:r>
        <w:t xml:space="preserve">. Each field on its own would produce a different dissertation. Security studies alone would produce a case narrative. Engineering alone would produce a debris model. The measurement field alone would produce a bibliometric exercise with no stakes. The contribution here comes from forcing the three to constrain one another. That triangulation also explains the design’s humility. A security scholar might find the empirical test thin, because it never touches a state’s decision calculus. An engineer might find it soft, because topic-signal score is a metadata construct rather than a physical measurement. A bibliometrician might find the sample tiny. All three criticisms are correct, and the design absorbs them rather than resisting. The claim is not that this single test resolves the question for any of the three fields. The claim is that it builds an inspectable span between them, which none of the three had built before</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bookmarkEnd w:id="64"/>
    <w:bookmarkStart w:id="65" w:name="X233113560871c26ac197aa2e759d4b4ef3d328b"/>
    <w:p>
      <w:pPr>
        <w:pStyle w:val="Heading2"/>
        <w:spacing w:line="480" w:lineRule="auto"/>
      </w:pPr>
      <w:r>
        <w:t xml:space="preserve">What counts as an anti-satellite demonstration</w:t>
      </w:r>
    </w:p>
    <w:p>
      <w:pPr>
        <w:pStyle w:val="FirstParagraph"/>
        <w:spacing w:line="480" w:lineRule="auto"/>
      </w:pPr>
      <w:r>
        <w:t xml:space="preserve">Precision about the object of study prevents inflated claims later. A demonstration, in this dissertation, is a public act of orbital capability display whose consequences are attributable and, in the kinetic case, physically irreversible. The paradigm is the direct-ascent kinetic test, but the category is broader. It includes co-orbital maneuvers that shadow another state’s satellites, electronic and directed-energy interference, and rendezvous operations that could serve inspection or attack depending on intent. What unites them is that each is legible to an external observer and each carries a message beyond its technical effect</w:t>
      </w:r>
      <w:r>
        <w:t xml:space="preserve"> </w:t>
      </w:r>
      <w:hyperlink w:anchor="ref-3">
        <w:r>
          <w:rPr>
            <w:rStyle w:val="Hyperlink"/>
          </w:rPr>
          <w:t xml:space="preserve">[3]</w:t>
        </w:r>
      </w:hyperlink>
      <w:r>
        <w:t xml:space="preserve">. The kinetic subclass matters most for this design because it produces the debris that makes attention unavoidable</w:t>
      </w:r>
      <w:r>
        <w:t xml:space="preserve"> </w:t>
      </w:r>
      <w:hyperlink w:anchor="ref-12">
        <w:r>
          <w:rPr>
            <w:rStyle w:val="Hyperlink"/>
          </w:rPr>
          <w:t xml:space="preserve">[12]</w:t>
        </w:r>
      </w:hyperlink>
      <w:r>
        <w:t xml:space="preserve">. Not every capability display is a demonstration in the audience-cost sense. A quiet, unannounced test that leaves no attributable trace generates no domestic signal, because there is no public to reckon with the act. The signaling logic requires visibility, and visibility is exactly what improved space situational awareness now supplies almost automatically</w:t>
      </w:r>
      <w:r>
        <w:t xml:space="preserve"> </w:t>
      </w:r>
      <w:hyperlink w:anchor="ref-1">
        <w:r>
          <w:rPr>
            <w:rStyle w:val="Hyperlink"/>
          </w:rPr>
          <w:t xml:space="preserve">[1]</w:t>
        </w:r>
      </w:hyperlink>
      <w:r>
        <w:t xml:space="preserve"> </w:t>
      </w:r>
      <w:hyperlink w:anchor="ref-4">
        <w:r>
          <w:rPr>
            <w:rStyle w:val="Hyperlink"/>
          </w:rPr>
          <w:t xml:space="preserve">[4]</w:t>
        </w:r>
      </w:hyperlink>
      <w:r>
        <w:t xml:space="preserve">. That coupling, better sensing making acts harder to hide, is why the audience-cost framing has become more relevant over the period this corpus covers, not less. A demonstration that could once have been deniable is now catalogued, modeled, and published within days</w:t>
      </w:r>
      <w:r>
        <w:t xml:space="preserve"> </w:t>
      </w:r>
      <w:hyperlink w:anchor="ref-2">
        <w:r>
          <w:rPr>
            <w:rStyle w:val="Hyperlink"/>
          </w:rPr>
          <w:t xml:space="preserve">[2]</w:t>
        </w:r>
      </w:hyperlink>
      <w:r>
        <w:t xml:space="preserve"> </w:t>
      </w:r>
      <w:hyperlink w:anchor="ref-12">
        <w:r>
          <w:rPr>
            <w:rStyle w:val="Hyperlink"/>
          </w:rPr>
          <w:t xml:space="preserve">[12]</w:t>
        </w:r>
      </w:hyperlink>
      <w:r>
        <w:t xml:space="preserve">.</w:t>
      </w:r>
    </w:p>
    <w:bookmarkEnd w:id="65"/>
    <w:bookmarkStart w:id="66" w:name="the-governance-stakes-in-one-paragraph"/>
    <w:p>
      <w:pPr>
        <w:pStyle w:val="Heading2"/>
        <w:spacing w:line="480" w:lineRule="auto"/>
      </w:pPr>
      <w:r>
        <w:t xml:space="preserve">The governance stakes in one paragraph</w:t>
      </w:r>
    </w:p>
    <w:p>
      <w:pPr>
        <w:pStyle w:val="FirstParagraph"/>
        <w:spacing w:line="480" w:lineRule="auto"/>
      </w:pPr>
      <w:r>
        <w:t xml:space="preserve">The reason any of this deserves a dissertation is that the governance regime for orbital force is thin and contested. There is no treaty banning kinetic anti-satellite testing, no agreed threshold for what counts as an attack, and no reliable enforcement mechanism for the debris externality</w:t>
      </w:r>
      <w:r>
        <w:t xml:space="preserve"> </w:t>
      </w:r>
      <w:hyperlink w:anchor="ref-3">
        <w:r>
          <w:rPr>
            <w:rStyle w:val="Hyperlink"/>
          </w:rPr>
          <w:t xml:space="preserve">[3]</w:t>
        </w:r>
      </w:hyperlink>
      <w:r>
        <w:t xml:space="preserve"> </w:t>
      </w:r>
      <w:hyperlink w:anchor="ref-16">
        <w:r>
          <w:rPr>
            <w:rStyle w:val="Hyperlink"/>
          </w:rPr>
          <w:t xml:space="preserve">[16]</w:t>
        </w:r>
      </w:hyperlink>
      <w:r>
        <w:t xml:space="preserve">. Into that vacuum, states substitute demonstrations for rules, using capability display to communicate resolve when institutions cannot. If those demonstrations follow a domestic-signaling logic rather than a purely strategic one, then the timing and frequency of orbital force become partly predictable from domestic conditions, which is information a governance regime could use. That is the practical payoff the dissertation gestures toward, even though its own test operates one level removed, on the documentary trace rather than the behavior</w:t>
      </w:r>
      <w:r>
        <w:t xml:space="preserve"> </w:t>
      </w:r>
      <w:hyperlink w:anchor="ref-5">
        <w:r>
          <w:rPr>
            <w:rStyle w:val="Hyperlink"/>
          </w:rPr>
          <w:t xml:space="preserve">[5]</w:t>
        </w:r>
      </w:hyperlink>
      <w:r>
        <w:t xml:space="preserve">.</w:t>
      </w:r>
    </w:p>
    <w:bookmarkEnd w:id="66"/>
    <w:bookmarkStart w:id="67" w:name="roadmap"/>
    <w:p>
      <w:pPr>
        <w:pStyle w:val="Heading2"/>
        <w:spacing w:line="480" w:lineRule="auto"/>
      </w:pPr>
      <w:r>
        <w:t xml:space="preserve">Roadmap</w:t>
      </w:r>
    </w:p>
    <w:p>
      <w:pPr>
        <w:pStyle w:val="FirstParagraph"/>
        <w:spacing w:line="480" w:lineRule="auto"/>
      </w:pPr>
      <w:r>
        <w:t xml:space="preserve">The chapters follow the logic of the inquiry. Chapter 2 situates the project against the prior literature on space situational awareness, orbital debris, space weapons, and the measurement of scholarly attention, drawing the reference pool into a single conversation. Chapter 3 develops the theory: the audience-cost mechanism, its translation into bibliometric predictions, and the specific testable hypotheses. Chapter 4 sets out the methodology and identification strategy, explaining why ordinary least squares and the learning-curve specification are the right instruments and what they can and cannot identify. Chapter 5 describes the data and measurement, documenting variable construction, sources, and the thirty-record sample. Chapter 6 reports the two estimators’ outputs exactly and interprets the signs and magnitudes. Chapter 7 turns to discussion and limitations, separating what the findings mean from what the data cannot show. Chapter 8 closes with the contribution, its relevance to governance and program analysis, and the next empirical step</w:t>
      </w:r>
      <w:r>
        <w:t xml:space="preserve"> </w:t>
      </w:r>
      <w:hyperlink w:anchor="ref-4">
        <w:r>
          <w:rPr>
            <w:rStyle w:val="Hyperlink"/>
          </w:rPr>
          <w:t xml:space="preserve">[4]</w:t>
        </w:r>
      </w:hyperlink>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67"/>
    <w:bookmarkStart w:id="68" w:name="how-to-read-the-numbers-that-follow"/>
    <w:p>
      <w:pPr>
        <w:pStyle w:val="Heading2"/>
        <w:spacing w:line="480" w:lineRule="auto"/>
      </w:pPr>
      <w:r>
        <w:t xml:space="preserve">How to read the numbers that follow</w:t>
      </w:r>
    </w:p>
    <w:p>
      <w:pPr>
        <w:pStyle w:val="FirstParagraph"/>
        <w:spacing w:line="480" w:lineRule="auto"/>
      </w:pPr>
      <w:r>
        <w:t xml:space="preserve">A reader who is not a specialist in regression deserves a short guide to what the coefficients in Chapter 6 do and do not mean, offered here so the results land correctly when they arrive. A coefficient is a slope: it says how much the topic-signal score is expected to change when a predictor rises by one unit and the others are held fixed. A p-value is a caution light: it says how easily a coefficient this large could have arisen if the true relationship were zero, with smaller values meaning more caution against dismissing the association as chance. An R-squared is a coverage figure: it says what fraction of the variation in the outcome the model captures, with values near zero meaning the model leaves almost everything unexplained</w:t>
      </w:r>
      <w:r>
        <w:t xml:space="preserve"> </w:t>
      </w:r>
      <w:hyperlink w:anchor="ref-5">
        <w:r>
          <w:rPr>
            <w:rStyle w:val="Hyperlink"/>
          </w:rPr>
          <w:t xml:space="preserve">[5]</w:t>
        </w:r>
      </w:hyperlink>
      <w:r>
        <w:t xml:space="preserve">. None of these is a truth claim about the world. Each is a summary of a relationship inside thirty specific records. Holding that guide in mind prevents the two errors that ruin readings of empirical work. The first error is treating a significant coefficient as proof of causation; the design blocks it by calling every coefficient a within-corpus association and nothing more. The second error is treating an insignificant coefficient as proof of no relationship; the design blocks it too, by noting that a thirty-record sample lacks the power to rule out modest effects</w:t>
      </w:r>
      <w:r>
        <w:t xml:space="preserve"> </w:t>
      </w:r>
      <w:hyperlink w:anchor="ref-1">
        <w:r>
          <w:rPr>
            <w:rStyle w:val="Hyperlink"/>
          </w:rPr>
          <w:t xml:space="preserve">[1]</w:t>
        </w:r>
      </w:hyperlink>
      <w:r>
        <w:t xml:space="preserve"> </w:t>
      </w:r>
      <w:hyperlink w:anchor="ref-9">
        <w:r>
          <w:rPr>
            <w:rStyle w:val="Hyperlink"/>
          </w:rPr>
          <w:t xml:space="preserve">[9]</w:t>
        </w:r>
      </w:hyperlink>
      <w:r>
        <w:t xml:space="preserve">. Between those two errors lies the narrow, honest reading the dissertation aims for, and the guide above is meant to keep the reader inside it.</w:t>
      </w:r>
    </w:p>
    <w:p>
      <w:pPr>
        <w:pStyle w:val="BodyText"/>
        <w:spacing w:line="480" w:lineRule="auto"/>
        <w:ind w:firstLine="720"/>
      </w:pPr>
      <w:r>
        <w:t xml:space="preserve">A last word on posture before the argument begins. This dissertation is written to be disbelieved and checked, not admired. It states one falsifiable claim, reports the numbers that bear on it exactly, and marks every place where inference stops short of the policy question. Where the evidence is weak, the prose says weak. Where a predictor failed, the failure is reported beside the predictor that survived. The ambition is not to prove that anti-satellite brinkmanship follows domestic signaling. The ambition is to show, reproducibly, how much of that proposition the available documentary record can and cannot carry, and to leave the next researcher a cleaner starting line than the one this project inherited</w:t>
      </w:r>
      <w:r>
        <w:t xml:space="preserve"> </w:t>
      </w:r>
      <w:hyperlink w:anchor="ref-7">
        <w:r>
          <w:rPr>
            <w:rStyle w:val="Hyperlink"/>
          </w:rPr>
          <w:t xml:space="preserve">[7]</w:t>
        </w:r>
      </w:hyperlink>
      <w:r>
        <w:t xml:space="preserve"> </w:t>
      </w:r>
      <w:hyperlink w:anchor="ref-8">
        <w:r>
          <w:rPr>
            <w:rStyle w:val="Hyperlink"/>
          </w:rPr>
          <w:t xml:space="preserve">[8]</w:t>
        </w:r>
      </w:hyperlink>
      <w:r>
        <w:t xml:space="preserve"> </w:t>
      </w:r>
      <w:hyperlink w:anchor="ref-9">
        <w:r>
          <w:rPr>
            <w:rStyle w:val="Hyperlink"/>
          </w:rPr>
          <w:t xml:space="preserve">[9]</w:t>
        </w:r>
      </w:hyperlink>
      <w:r>
        <w:t xml:space="preserve">.</w:t>
      </w:r>
    </w:p>
    <w:bookmarkEnd w:id="68"/>
    <w:bookmarkEnd w:id="69"/>
    <w:bookmarkStart w:id="79" w:name="chapter-2.-literature-review"/>
    <w:p>
      <w:pPr>
        <w:pStyle w:val="Heading1"/>
        <w:spacing w:line="480" w:lineRule="auto"/>
      </w:pPr>
      <w:r>
        <w:t xml:space="preserve">Chapter 2. Literature Review</w:t>
      </w:r>
    </w:p>
    <w:p>
      <w:pPr>
        <w:pStyle w:val="FirstParagraph"/>
        <w:spacing w:line="480" w:lineRule="auto"/>
      </w:pPr>
      <w:r>
        <w:t xml:space="preserve">Two literatures speak to this dissertation, and they rarely speak to each other. The first is the domain literature on space security: technical writing on situational awareness, orbital debris, space weapons, and the governance forums that try to regulate them. The second is the measurement literature that turns documents, citations, publication years, and venues into variables. This project sits in the seam between them. Its contribution is to join the two without pretending that domain salience and bibliometric structure are the same thing</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bookmarkStart w:id="70" w:name="the-space-security-domain-literature"/>
    <w:p>
      <w:pPr>
        <w:pStyle w:val="Heading2"/>
        <w:spacing w:line="480" w:lineRule="auto"/>
      </w:pPr>
      <w:r>
        <w:t xml:space="preserve">The space-security domain literature</w:t>
      </w:r>
    </w:p>
    <w:p>
      <w:pPr>
        <w:pStyle w:val="FirstParagraph"/>
        <w:spacing w:line="480" w:lineRule="auto"/>
      </w:pPr>
      <w:r>
        <w:t xml:space="preserve">Start with what the domain literature establishes: that the object of study is real, dangerous, and increasingly instrumented.</w:t>
      </w:r>
    </w:p>
    <w:p>
      <w:pPr>
        <w:pStyle w:val="BodyText"/>
        <w:spacing w:line="480" w:lineRule="auto"/>
        <w:ind w:firstLine="720"/>
      </w:pPr>
      <w:r>
        <w:t xml:space="preserve">Space situational awareness has moved from a niche military function to a broad civil and commercial concern within a single decade. Early accounts framed it as an operations problem for a small set of national actors</w:t>
      </w:r>
      <w:r>
        <w:t xml:space="preserve"> </w:t>
      </w:r>
      <w:hyperlink w:anchor="ref-8">
        <w:r>
          <w:rPr>
            <w:rStyle w:val="Hyperlink"/>
          </w:rPr>
          <w:t xml:space="preserve">[8]</w:t>
        </w:r>
      </w:hyperlink>
      <w:r>
        <w:t xml:space="preserve">. Later surveys describe a global enterprise with many sensors, many owners, and a rising demand for shared catalogs and warning services</w:t>
      </w:r>
      <w:r>
        <w:t xml:space="preserve"> </w:t>
      </w:r>
      <w:hyperlink w:anchor="ref-1">
        <w:r>
          <w:rPr>
            <w:rStyle w:val="Hyperlink"/>
          </w:rPr>
          <w:t xml:space="preserve">[1]</w:t>
        </w:r>
      </w:hyperlink>
      <w:r>
        <w:t xml:space="preserve">. The trajectory is itself evidence of attention. A topic does not accumulate this many overviews, frameworks, and monitoring architectures unless something in the strategic environment is pulling analytic effort toward it</w:t>
      </w:r>
      <w:r>
        <w:t xml:space="preserve"> </w:t>
      </w:r>
      <w:hyperlink w:anchor="ref-4">
        <w:r>
          <w:rPr>
            <w:rStyle w:val="Hyperlink"/>
          </w:rPr>
          <w:t xml:space="preserve">[4]</w:t>
        </w:r>
      </w:hyperlink>
      <w:r>
        <w:t xml:space="preserve"> </w:t>
      </w:r>
      <w:hyperlink w:anchor="ref-7">
        <w:r>
          <w:rPr>
            <w:rStyle w:val="Hyperlink"/>
          </w:rPr>
          <w:t xml:space="preserve">[7]</w:t>
        </w:r>
      </w:hyperlink>
      <w:r>
        <w:t xml:space="preserve">. Anti-satellite capability is the sharp edge of that environment. Harrison’s comparative treatment of international perspectives on space weapons documents how differently states frame the same kinetic and non-kinetic capabilities, and how that framing shapes what each is willing to demonstrate publicly</w:t>
      </w:r>
      <w:r>
        <w:t xml:space="preserve"> </w:t>
      </w:r>
      <w:hyperlink w:anchor="ref-3">
        <w:r>
          <w:rPr>
            <w:rStyle w:val="Hyperlink"/>
          </w:rPr>
          <w:t xml:space="preserve">[3]</w:t>
        </w:r>
      </w:hyperlink>
      <w:r>
        <w:t xml:space="preserve">. The framing question matters for this dissertation. If states choose demonstrations partly for their signaling value to domestic and allied audiences, then the public record around those demonstrations should not be uniform. It should cluster, spike, and migrate as attention responds to salient events</w:t>
      </w:r>
      <w:r>
        <w:t xml:space="preserve"> </w:t>
      </w:r>
      <w:hyperlink w:anchor="ref-3">
        <w:r>
          <w:rPr>
            <w:rStyle w:val="Hyperlink"/>
          </w:rPr>
          <w:t xml:space="preserve">[3]</w:t>
        </w:r>
      </w:hyperlink>
      <w:r>
        <w:t xml:space="preserve">.</w:t>
      </w:r>
    </w:p>
    <w:p>
      <w:pPr>
        <w:pStyle w:val="BodyText"/>
        <w:spacing w:line="480" w:lineRule="auto"/>
        <w:ind w:firstLine="720"/>
      </w:pPr>
      <w:r>
        <w:t xml:space="preserve">Debris is where capability display becomes an externality. The Cosmos 1408 event is the clearest recent illustration: a destructive test produced a fragment population that immediately raised conjunction risk for the International Space Station and for large commercial constellations</w:t>
      </w:r>
      <w:r>
        <w:t xml:space="preserve"> </w:t>
      </w:r>
      <w:hyperlink w:anchor="ref-12">
        <w:r>
          <w:rPr>
            <w:rStyle w:val="Hyperlink"/>
          </w:rPr>
          <w:t xml:space="preserve">[12]</w:t>
        </w:r>
      </w:hyperlink>
      <w:r>
        <w:t xml:space="preserve">. That analysis matters here for two reasons. It confirms that anti-satellite demonstrations impose diffuse, long-lived costs on the commons, and it shows that the technical community can quantify those costs quickly and publicly</w:t>
      </w:r>
      <w:r>
        <w:t xml:space="preserve"> </w:t>
      </w:r>
      <w:hyperlink w:anchor="ref-12">
        <w:r>
          <w:rPr>
            <w:rStyle w:val="Hyperlink"/>
          </w:rPr>
          <w:t xml:space="preserve">[12]</w:t>
        </w:r>
      </w:hyperlink>
      <w:r>
        <w:t xml:space="preserve">. Public quantification is itself a form of attention, and attention is what the bibliometric design measures. The strategic-stability strand pushes the argument further. Dalal, Boley, and Byers examine collision risk and attribution potential in geostationary orbit and argue that the two are linked: as attribution improves, the political calculus around deliberate debris generation changes</w:t>
      </w:r>
      <w:r>
        <w:t xml:space="preserve"> </w:t>
      </w:r>
      <w:hyperlink w:anchor="ref-2">
        <w:r>
          <w:rPr>
            <w:rStyle w:val="Hyperlink"/>
          </w:rPr>
          <w:t xml:space="preserve">[2]</w:t>
        </w:r>
      </w:hyperlink>
      <w:r>
        <w:t xml:space="preserve">. Attribution is precisely the mechanism that makes an audience-cost story plausible. A demonstration that could not be attributed would carry little domestic signaling value; a demonstration that can be attributed, and quantified, becomes a public act with public consequences</w:t>
      </w:r>
      <w:r>
        <w:t xml:space="preserve"> </w:t>
      </w:r>
      <w:hyperlink w:anchor="ref-2">
        <w:r>
          <w:rPr>
            <w:rStyle w:val="Hyperlink"/>
          </w:rPr>
          <w:t xml:space="preserve">[2]</w:t>
        </w:r>
      </w:hyperlink>
      <w:r>
        <w:t xml:space="preserve">. The domain literature thus supplies the causal vocabulary that the measurement design later tries to detect in documentary form.</w:t>
      </w:r>
    </w:p>
    <w:p>
      <w:pPr>
        <w:pStyle w:val="BodyText"/>
        <w:spacing w:line="480" w:lineRule="auto"/>
        <w:ind w:firstLine="720"/>
      </w:pPr>
      <w:r>
        <w:t xml:space="preserve">Adjacent work fills in the operational and institutional texture. Monitoring architectures such as the VISION integrated system show how states are building the sensor and data infrastructure that makes attribution routine</w:t>
      </w:r>
      <w:r>
        <w:t xml:space="preserve"> </w:t>
      </w:r>
      <w:hyperlink w:anchor="ref-4">
        <w:r>
          <w:rPr>
            <w:rStyle w:val="Hyperlink"/>
          </w:rPr>
          <w:t xml:space="preserve">[4]</w:t>
        </w:r>
      </w:hyperlink>
      <w:r>
        <w:t xml:space="preserve">. Physics-based evaluation frameworks for space domain awareness formalize how capability claims get tested and validated</w:t>
      </w:r>
      <w:r>
        <w:t xml:space="preserve"> </w:t>
      </w:r>
      <w:hyperlink w:anchor="ref-7">
        <w:r>
          <w:rPr>
            <w:rStyle w:val="Hyperlink"/>
          </w:rPr>
          <w:t xml:space="preserve">[7]</w:t>
        </w:r>
      </w:hyperlink>
      <w:r>
        <w:t xml:space="preserve">. Human-centric treatments of situational awareness remind the field that these systems are operated by people whose judgment and workload shape outcomes</w:t>
      </w:r>
      <w:r>
        <w:t xml:space="preserve"> </w:t>
      </w:r>
      <w:hyperlink w:anchor="ref-6">
        <w:r>
          <w:rPr>
            <w:rStyle w:val="Hyperlink"/>
          </w:rPr>
          <w:t xml:space="preserve">[6]</w:t>
        </w:r>
      </w:hyperlink>
      <w:r>
        <w:t xml:space="preserve">. Institutional analyses of new capabilities, such as the study of laser utilization and its governance bottlenecks, show that technical progress consistently outruns the rules meant to contain it</w:t>
      </w:r>
      <w:r>
        <w:t xml:space="preserve"> </w:t>
      </w:r>
      <w:hyperlink w:anchor="ref-9">
        <w:r>
          <w:rPr>
            <w:rStyle w:val="Hyperlink"/>
          </w:rPr>
          <w:t xml:space="preserve">[9]</w:t>
        </w:r>
      </w:hyperlink>
      <w:r>
        <w:t xml:space="preserve">. Each of these is a node of attention, and each contributes rows to the corpus this dissertation measures.</w:t>
      </w:r>
    </w:p>
    <w:p>
      <w:pPr>
        <w:pStyle w:val="BodyText"/>
        <w:spacing w:line="480" w:lineRule="auto"/>
        <w:ind w:firstLine="720"/>
      </w:pPr>
      <w:r>
        <w:t xml:space="preserve">The governance literature closes the loop by showing how salience becomes policy, or fails to.</w:t>
      </w:r>
    </w:p>
    <w:p>
      <w:pPr>
        <w:pStyle w:val="BodyText"/>
        <w:spacing w:line="480" w:lineRule="auto"/>
        <w:ind w:firstLine="720"/>
      </w:pPr>
      <w:r>
        <w:t xml:space="preserve">Work on uncontrolled reentries and aviation safety documents how a technical hazard migrates into regulatory debate once it threatens a second constituency</w:t>
      </w:r>
      <w:r>
        <w:t xml:space="preserve"> </w:t>
      </w:r>
      <w:hyperlink w:anchor="ref-10">
        <w:r>
          <w:rPr>
            <w:rStyle w:val="Hyperlink"/>
          </w:rPr>
          <w:t xml:space="preserve">[10]</w:t>
        </w:r>
      </w:hyperlink>
      <w:r>
        <w:t xml:space="preserve">. Analyses of hybrid threats to European space and ground systems show how security framing draws space into wider defense strategy</w:t>
      </w:r>
      <w:r>
        <w:t xml:space="preserve"> </w:t>
      </w:r>
      <w:hyperlink w:anchor="ref-16">
        <w:r>
          <w:rPr>
            <w:rStyle w:val="Hyperlink"/>
          </w:rPr>
          <w:t xml:space="preserve">[16]</w:t>
        </w:r>
      </w:hyperlink>
      <w:r>
        <w:t xml:space="preserve">. A parallel body of outreach and education work, from space-traffic-management public engagement to gamified debris-mitigation exercises and analog missions, reveals a field actively trying to widen its audience</w:t>
      </w:r>
      <w:r>
        <w:t xml:space="preserve"> </w:t>
      </w:r>
      <w:hyperlink w:anchor="ref-13">
        <w:r>
          <w:rPr>
            <w:rStyle w:val="Hyperlink"/>
          </w:rPr>
          <w:t xml:space="preserve">[13]</w:t>
        </w:r>
      </w:hyperlink>
      <w:r>
        <w:t xml:space="preserve"> </w:t>
      </w:r>
      <w:hyperlink w:anchor="ref-14">
        <w:r>
          <w:rPr>
            <w:rStyle w:val="Hyperlink"/>
          </w:rPr>
          <w:t xml:space="preserve">[14]</w:t>
        </w:r>
      </w:hyperlink>
      <w:r>
        <w:t xml:space="preserve"> </w:t>
      </w:r>
      <w:hyperlink w:anchor="ref-15">
        <w:r>
          <w:rPr>
            <w:rStyle w:val="Hyperlink"/>
          </w:rPr>
          <w:t xml:space="preserve">[15]</w:t>
        </w:r>
      </w:hyperlink>
      <w:r>
        <w:t xml:space="preserve">. That widening is the audience-cost story told from the supply side: the community is building the very publics whose reactions signaling is meant to move. Commercial pressure runs underneath all of it. The competition for low-orbit broadband has drawn enormous capital and political attention into the same orbital shells that anti-satellite tests contaminate</w:t>
      </w:r>
      <w:r>
        <w:t xml:space="preserve"> </w:t>
      </w:r>
      <w:hyperlink w:anchor="ref-5">
        <w:r>
          <w:rPr>
            <w:rStyle w:val="Hyperlink"/>
          </w:rPr>
          <w:t xml:space="preserve">[5]</w:t>
        </w:r>
      </w:hyperlink>
      <w:r>
        <w:t xml:space="preserve">. When a single destructive event threatens constellations worth billions, the audience for that event expands from defense ministries to shareholders, insurers, and regulators</w:t>
      </w:r>
      <w:r>
        <w:t xml:space="preserve"> </w:t>
      </w:r>
      <w:hyperlink w:anchor="ref-5">
        <w:r>
          <w:rPr>
            <w:rStyle w:val="Hyperlink"/>
          </w:rPr>
          <w:t xml:space="preserve">[5]</w:t>
        </w:r>
      </w:hyperlink>
      <w:r>
        <w:t xml:space="preserve"> </w:t>
      </w:r>
      <w:hyperlink w:anchor="ref-12">
        <w:r>
          <w:rPr>
            <w:rStyle w:val="Hyperlink"/>
          </w:rPr>
          <w:t xml:space="preserve">[12]</w:t>
        </w:r>
      </w:hyperlink>
      <w:r>
        <w:t xml:space="preserve">. The domain literature, read as a whole, describes a topic whose stakeholders have multiplied. That multiplication is the precondition for audience costs, and it is what a bibliometric footprint should register if the mechanism is real.</w:t>
      </w:r>
    </w:p>
    <w:bookmarkEnd w:id="70"/>
    <w:bookmarkStart w:id="71" w:name="Xa3dcdc1691c19e088b8c0a4a1622dcee2f5fd01"/>
    <w:p>
      <w:pPr>
        <w:pStyle w:val="Heading2"/>
        <w:spacing w:line="480" w:lineRule="auto"/>
      </w:pPr>
      <w:r>
        <w:t xml:space="preserve">The audience-cost tradition and its transfer to space</w:t>
      </w:r>
    </w:p>
    <w:p>
      <w:pPr>
        <w:pStyle w:val="FirstParagraph"/>
        <w:spacing w:line="480" w:lineRule="auto"/>
      </w:pPr>
      <w:r>
        <w:t xml:space="preserve">The audience-cost concept did not originate in space studies, and understanding its home discipline clarifies both its power and its limits when transplanted.</w:t>
      </w:r>
    </w:p>
    <w:p>
      <w:pPr>
        <w:pStyle w:val="BodyText"/>
        <w:spacing w:line="480" w:lineRule="auto"/>
        <w:ind w:firstLine="720"/>
      </w:pPr>
      <w:r>
        <w:t xml:space="preserve">In its original setting, the idea explains why democratic leaders who make public threats and then back down suffer domestic punishment, which in turn makes their threats more credible in the first place. The mechanism is a commitment device: publicity converts a cheap statement into a costly one. Transplanted to orbit, the device changes shape but keeps its logic. A kinetic anti-satellite test is not a verbal threat, but it is a public, irreversible act whose failure or backlash would fall on the leader who ordered it</w:t>
      </w:r>
      <w:r>
        <w:t xml:space="preserve"> </w:t>
      </w:r>
      <w:hyperlink w:anchor="ref-3">
        <w:r>
          <w:rPr>
            <w:rStyle w:val="Hyperlink"/>
          </w:rPr>
          <w:t xml:space="preserve">[3]</w:t>
        </w:r>
      </w:hyperlink>
      <w:r>
        <w:t xml:space="preserve">. Attribution supplies the publicity that the original theory took for granted</w:t>
      </w:r>
      <w:r>
        <w:t xml:space="preserve"> </w:t>
      </w:r>
      <w:hyperlink w:anchor="ref-2">
        <w:r>
          <w:rPr>
            <w:rStyle w:val="Hyperlink"/>
          </w:rPr>
          <w:t xml:space="preserve">[2]</w:t>
        </w:r>
      </w:hyperlink>
      <w:r>
        <w:t xml:space="preserve">. The transplant is not seamless, and honest scholarship names the seams. The classic audience-cost setting assumes a democratic public that can punish leaders electorally, while several of the states most active in anti-satellite testing are not democracies. The space literature has begun to grapple with this by broadening the relevant audience from voters to elite coalitions, allied governments, and commercial stakeholders whose confidence a leader needs</w:t>
      </w:r>
      <w:r>
        <w:t xml:space="preserve"> </w:t>
      </w:r>
      <w:hyperlink w:anchor="ref-5">
        <w:r>
          <w:rPr>
            <w:rStyle w:val="Hyperlink"/>
          </w:rPr>
          <w:t xml:space="preserve">[5]</w:t>
        </w:r>
      </w:hyperlink>
      <w:r>
        <w:t xml:space="preserve"> </w:t>
      </w:r>
      <w:hyperlink w:anchor="ref-16">
        <w:r>
          <w:rPr>
            <w:rStyle w:val="Hyperlink"/>
          </w:rPr>
          <w:t xml:space="preserve">[16]</w:t>
        </w:r>
      </w:hyperlink>
      <w:r>
        <w:t xml:space="preserve">. That broadening is visible in the domain corpus itself: as commercial constellations raised the economic stakes of orbital debris, the audience for any destructive test expanded well beyond national security elites</w:t>
      </w:r>
      <w:r>
        <w:t xml:space="preserve"> </w:t>
      </w:r>
      <w:hyperlink w:anchor="ref-5">
        <w:r>
          <w:rPr>
            <w:rStyle w:val="Hyperlink"/>
          </w:rPr>
          <w:t xml:space="preserve">[5]</w:t>
        </w:r>
      </w:hyperlink>
      <w:r>
        <w:t xml:space="preserve"> </w:t>
      </w:r>
      <w:hyperlink w:anchor="ref-12">
        <w:r>
          <w:rPr>
            <w:rStyle w:val="Hyperlink"/>
          </w:rPr>
          <w:t xml:space="preserve">[12]</w:t>
        </w:r>
      </w:hyperlink>
      <w:r>
        <w:t xml:space="preserve">. This dissertation does not adjudicate the transplant. It takes the broadened audience as given and asks whether the resulting salience leaves a documentary trace.</w:t>
      </w:r>
    </w:p>
    <w:bookmarkEnd w:id="71"/>
    <w:bookmarkStart w:id="72" w:name="where-prior-work-stops"/>
    <w:p>
      <w:pPr>
        <w:pStyle w:val="Heading2"/>
        <w:spacing w:line="480" w:lineRule="auto"/>
      </w:pPr>
      <w:r>
        <w:t xml:space="preserve">Where prior work stops</w:t>
      </w:r>
    </w:p>
    <w:p>
      <w:pPr>
        <w:pStyle w:val="FirstParagraph"/>
        <w:spacing w:line="480" w:lineRule="auto"/>
      </w:pPr>
      <w:r>
        <w:t xml:space="preserve">Reading the two strands together reveals a specific stopping point that this dissertation is built to pass. The domain literature is rich in mechanism and case, thin in measurement. It can tell you, in careful prose, why a debris-generating test should draw wide attention and hard governance language, and it can model the physical consequences with precision</w:t>
      </w:r>
      <w:r>
        <w:t xml:space="preserve"> </w:t>
      </w:r>
      <w:hyperlink w:anchor="ref-12">
        <w:r>
          <w:rPr>
            <w:rStyle w:val="Hyperlink"/>
          </w:rPr>
          <w:t xml:space="preserve">[12]</w:t>
        </w:r>
      </w:hyperlink>
      <w:r>
        <w:t xml:space="preserve"> </w:t>
      </w:r>
      <w:hyperlink w:anchor="ref-2">
        <w:r>
          <w:rPr>
            <w:rStyle w:val="Hyperlink"/>
          </w:rPr>
          <w:t xml:space="preserve">[2]</w:t>
        </w:r>
      </w:hyperlink>
      <w:r>
        <w:t xml:space="preserve">. What it does not do is convert that prose into a reproducible test of whether the attention actually materialized in the structure of the field’s own output. The measurement literature, conversely, has the tools to read a corpus as data but rarely trains them on a security-relevant space topic with an explicit political mechanism in view. Each strand stops just short of the other. The consequence is that a proposition central to space-security debate, that orbital force display follows domestic-signaling logic, has never received even a first-pass documentary screen. Analysts assert it, contest it, and illustrate it with cases, but no one has asked the narrow, checkable question of whether the topic’s citation and venue structure behaves as the mechanism predicts</w:t>
      </w:r>
      <w:r>
        <w:t xml:space="preserve"> </w:t>
      </w:r>
      <w:hyperlink w:anchor="ref-3">
        <w:r>
          <w:rPr>
            <w:rStyle w:val="Hyperlink"/>
          </w:rPr>
          <w:t xml:space="preserve">[3]</w:t>
        </w:r>
      </w:hyperlink>
      <w:r>
        <w:t xml:space="preserve"> </w:t>
      </w:r>
      <w:hyperlink w:anchor="ref-6">
        <w:r>
          <w:rPr>
            <w:rStyle w:val="Hyperlink"/>
          </w:rPr>
          <w:t xml:space="preserve">[6]</w:t>
        </w:r>
      </w:hyperlink>
      <w:r>
        <w:t xml:space="preserve">. That unasked question is the gap. It is small, and answering it will not settle the debate, but a first reproducible measurement is worth more than the next round of assertion. This dissertation supplies that measurement and, as Chapter 6 will show, returns a deflationary answer that is itself informative.</w:t>
      </w:r>
    </w:p>
    <w:bookmarkEnd w:id="72"/>
    <w:bookmarkStart w:id="73" w:name="the-measurement-literature"/>
    <w:p>
      <w:pPr>
        <w:pStyle w:val="Heading2"/>
        <w:spacing w:line="480" w:lineRule="auto"/>
      </w:pPr>
      <w:r>
        <w:t xml:space="preserve">The measurement literature</w:t>
      </w:r>
    </w:p>
    <w:p>
      <w:pPr>
        <w:pStyle w:val="FirstParagraph"/>
        <w:spacing w:line="480" w:lineRule="auto"/>
      </w:pPr>
      <w:r>
        <w:t xml:space="preserve">The measurement strand asks a different question. Not whether the topic matters, but whether its mattering can be coded consistently. Bibliometric analysis treats a document as a bundle of observable attributes: a publication year, a venue, a citation count, a set of topic terms. Each attribute becomes a candidate variable. The discipline of the approach is that it forbids the analyst from importing conclusions the metadata cannot support. A citation count is evidence of attention, not of truth. A recent publication year is evidence of currency, not of importance. A venue score is evidence of publication practice, not of substantive weight. This dissertation follows that discipline by treating the thirty retrieved records as observations rather than as authorities. Paper 1 does not claim to measure the political behavior of states. It measures the structure visible in the candidate’s retained corpus, and it reports that structure with robust standard errors so the reader can see how much is signal and how much is noise. The estimator returns N = 30, R2 = 0.1205, F_p = 0.2544, with the citation-count coefficient the only predictor approaching conventional significance at p = 0.0662. The measurement literature would read that pattern as a weak but non-trivial association between attention and topic signal, and as a strong caution against overclaiming from recency or venue alone.</w:t>
      </w:r>
    </w:p>
    <w:p>
      <w:pPr>
        <w:pStyle w:val="BodyText"/>
        <w:spacing w:line="480" w:lineRule="auto"/>
        <w:ind w:firstLine="720"/>
      </w:pPr>
      <w:r>
        <w:t xml:space="preserve">Paper 2 adds the temporal dimension the measurement literature prizes. An isolated influential document and a steadily accumulating evidence base look different under a learning-curve lens, and they mean different things for governance. The log-log specification returns N = 30, R2 = 0.0052, with an age slope of -0.1076 at p = 0.5716. The measurement reading is that the retrieved field has no clean age-based accumulation curve: older records do not reliably carry more citations than younger ones within this sample. That is a finding about corpus maturity, not a defect in the design.</w:t>
      </w:r>
    </w:p>
    <w:bookmarkEnd w:id="73"/>
    <w:bookmarkStart w:id="74" w:name="Xc56133797f87031bcf935aa8dbc3099777f7aeb"/>
    <w:p>
      <w:pPr>
        <w:pStyle w:val="Heading2"/>
        <w:spacing w:line="480" w:lineRule="auto"/>
      </w:pPr>
      <w:r>
        <w:t xml:space="preserve">The debris-consequence subliterature as a natural experiment</w:t>
      </w:r>
    </w:p>
    <w:p>
      <w:pPr>
        <w:pStyle w:val="FirstParagraph"/>
        <w:spacing w:line="480" w:lineRule="auto"/>
      </w:pPr>
      <w:r>
        <w:t xml:space="preserve">One cluster of the domain literature deserves separate treatment because it functions almost as a natural experiment in attention. When a real fragmentation event occurs, the technical community responds with a burst of quantitative modeling, and the citation trajectory of that modeling becomes a visible record of how much the event mattered. The Cosmos 1408 analysis is the exemplar: it quantified the near-term collision risk to inhabited stations and large constellations within a short window of the event, and it was written for an audience that extended from mission operators to constellation owners</w:t>
      </w:r>
      <w:r>
        <w:t xml:space="preserve"> </w:t>
      </w:r>
      <w:hyperlink w:anchor="ref-12">
        <w:r>
          <w:rPr>
            <w:rStyle w:val="Hyperlink"/>
          </w:rPr>
          <w:t xml:space="preserve">[12]</w:t>
        </w:r>
      </w:hyperlink>
      <w:r>
        <w:t xml:space="preserve">. The reentry-safety literature plays a parallel role, converting a diffuse hazard into a regulatory concern once it threatens civil aviation</w:t>
      </w:r>
      <w:r>
        <w:t xml:space="preserve"> </w:t>
      </w:r>
      <w:hyperlink w:anchor="ref-10">
        <w:r>
          <w:rPr>
            <w:rStyle w:val="Hyperlink"/>
          </w:rPr>
          <w:t xml:space="preserve">[10]</w:t>
        </w:r>
      </w:hyperlink>
      <w:r>
        <w:t xml:space="preserve">. These are the records that, in the sample used here, carry the heaviest citation counts, and their prominence is not accidental. High-consequence, high-audience events generate high-attention documents, which is the audience-cost mechanism operating inside the literature itself. This subliterature also warns against a naive reading of the measurement results. The citation weight of the debris-consequence articles reflects their scientific utility and their breadth of stakeholder relevance at once, and the metadata cannot separate the two. A regression that finds citation attention correlated with topic signal is picking up both the analytic quality of these articles and the political salience of the events they describe, tangled together</w:t>
      </w:r>
      <w:r>
        <w:t xml:space="preserve"> </w:t>
      </w:r>
      <w:hyperlink w:anchor="ref-2">
        <w:r>
          <w:rPr>
            <w:rStyle w:val="Hyperlink"/>
          </w:rPr>
          <w:t xml:space="preserve">[2]</w:t>
        </w:r>
      </w:hyperlink>
      <w:r>
        <w:t xml:space="preserve"> </w:t>
      </w:r>
      <w:hyperlink w:anchor="ref-12">
        <w:r>
          <w:rPr>
            <w:rStyle w:val="Hyperlink"/>
          </w:rPr>
          <w:t xml:space="preserve">[12]</w:t>
        </w:r>
      </w:hyperlink>
      <w:r>
        <w:t xml:space="preserve">. Any interpretation that leans on the citation channel, as Chapter 6’s does, must carry that caveat forward rather than resolving it, because the design has no way to disentangle the two contributions.</w:t>
      </w:r>
    </w:p>
    <w:bookmarkEnd w:id="74"/>
    <w:bookmarkStart w:id="75" w:name="the-outreach-and-governance-periphery"/>
    <w:p>
      <w:pPr>
        <w:pStyle w:val="Heading2"/>
        <w:spacing w:line="480" w:lineRule="auto"/>
      </w:pPr>
      <w:r>
        <w:t xml:space="preserve">The outreach and governance periphery</w:t>
      </w:r>
    </w:p>
    <w:p>
      <w:pPr>
        <w:pStyle w:val="FirstParagraph"/>
        <w:spacing w:line="480" w:lineRule="auto"/>
      </w:pPr>
      <w:r>
        <w:t xml:space="preserve">A final band of the corpus sits at the periphery of the security question but illuminates the audience dimension directly. Work on space-traffic-management outreach, gamified debris-mitigation exercises, and analog missions in schools is not about brinkmanship at all, yet it documents a field deliberately cultivating public understanding and public constituencies</w:t>
      </w:r>
      <w:r>
        <w:t xml:space="preserve"> </w:t>
      </w:r>
      <w:hyperlink w:anchor="ref-13">
        <w:r>
          <w:rPr>
            <w:rStyle w:val="Hyperlink"/>
          </w:rPr>
          <w:t xml:space="preserve">[13]</w:t>
        </w:r>
      </w:hyperlink>
      <w:r>
        <w:t xml:space="preserve"> </w:t>
      </w:r>
      <w:hyperlink w:anchor="ref-14">
        <w:r>
          <w:rPr>
            <w:rStyle w:val="Hyperlink"/>
          </w:rPr>
          <w:t xml:space="preserve">[14]</w:t>
        </w:r>
      </w:hyperlink>
      <w:r>
        <w:t xml:space="preserve"> </w:t>
      </w:r>
      <w:hyperlink w:anchor="ref-15">
        <w:r>
          <w:rPr>
            <w:rStyle w:val="Hyperlink"/>
          </w:rPr>
          <w:t xml:space="preserve">[15]</w:t>
        </w:r>
      </w:hyperlink>
      <w:r>
        <w:t xml:space="preserve">. Read through the audience-cost lens, this outreach is the supply side of the same phenomenon: the community is building and educating the very publics whose reactions signaling is meant to move. That these records show low citation counts and low topic-signal scores in the sample is itself consistent with the mechanism, because outreach documents describe the audience rather than the salient events that mobilize it</w:t>
      </w:r>
      <w:r>
        <w:t xml:space="preserve"> </w:t>
      </w:r>
      <w:hyperlink w:anchor="ref-6">
        <w:r>
          <w:rPr>
            <w:rStyle w:val="Hyperlink"/>
          </w:rPr>
          <w:t xml:space="preserve">[6]</w:t>
        </w:r>
      </w:hyperlink>
      <w:r>
        <w:t xml:space="preserve">. Their presence in the corpus keeps the venue-family predictor from being a pure proxy for security content, which matters when Chapter 6 finds that venue carries no reliable signal.</w:t>
      </w:r>
    </w:p>
    <w:bookmarkEnd w:id="75"/>
    <w:bookmarkStart w:id="76" w:name="X6271a632956087c340d883681a65afeb8b2152a"/>
    <w:p>
      <w:pPr>
        <w:pStyle w:val="Heading2"/>
        <w:spacing w:line="480" w:lineRule="auto"/>
      </w:pPr>
      <w:r>
        <w:t xml:space="preserve">The hybrid-threat and defense-strategy strand</w:t>
      </w:r>
    </w:p>
    <w:p>
      <w:pPr>
        <w:pStyle w:val="FirstParagraph"/>
        <w:spacing w:line="480" w:lineRule="auto"/>
      </w:pPr>
      <w:r>
        <w:t xml:space="preserve">A further band of the corpus connects space security to the wider defense conversation, and it matters because it widens the audience the mechanism depends on. Work on European defense and security strategy against hybrid threats treats space and ground systems as a single contested surface, drawing space capabilities into the general logic of deterrence and resilience</w:t>
      </w:r>
      <w:r>
        <w:t xml:space="preserve"> </w:t>
      </w:r>
      <w:hyperlink w:anchor="ref-16">
        <w:r>
          <w:rPr>
            <w:rStyle w:val="Hyperlink"/>
          </w:rPr>
          <w:t xml:space="preserve">[16]</w:t>
        </w:r>
      </w:hyperlink>
      <w:r>
        <w:t xml:space="preserve">. When space is framed this way, the audience for an anti-satellite demonstration is no longer confined to space specialists; it includes defense ministries, allied governments, and the publics who follow security news. That widening is precisely the condition under which audience costs bite, because a larger and more attentive audience raises the domestic price of a demonstration that goes wrong</w:t>
      </w:r>
      <w:r>
        <w:t xml:space="preserve"> </w:t>
      </w:r>
      <w:hyperlink w:anchor="ref-3">
        <w:r>
          <w:rPr>
            <w:rStyle w:val="Hyperlink"/>
          </w:rPr>
          <w:t xml:space="preserve">[3]</w:t>
        </w:r>
      </w:hyperlink>
      <w:r>
        <w:t xml:space="preserve"> </w:t>
      </w:r>
      <w:hyperlink w:anchor="ref-16">
        <w:r>
          <w:rPr>
            <w:rStyle w:val="Hyperlink"/>
          </w:rPr>
          <w:t xml:space="preserve">[16]</w:t>
        </w:r>
      </w:hyperlink>
      <w:r>
        <w:t xml:space="preserve">. The defense-strategy strand also complicates the measurement, and the literature review should say so rather than gloss it. Documents written in a hybrid-threat frame may score differently on topic signal than documents written in a technical situational-awareness frame, because their vocabulary and keyword conventions differ</w:t>
      </w:r>
      <w:r>
        <w:t xml:space="preserve"> </w:t>
      </w:r>
      <w:hyperlink w:anchor="ref-4">
        <w:r>
          <w:rPr>
            <w:rStyle w:val="Hyperlink"/>
          </w:rPr>
          <w:t xml:space="preserve">[4]</w:t>
        </w:r>
      </w:hyperlink>
      <w:r>
        <w:t xml:space="preserve"> </w:t>
      </w:r>
      <w:hyperlink w:anchor="ref-16">
        <w:r>
          <w:rPr>
            <w:rStyle w:val="Hyperlink"/>
          </w:rPr>
          <w:t xml:space="preserve">[16]</w:t>
        </w:r>
      </w:hyperlink>
      <w:r>
        <w:t xml:space="preserve">. The corpus mixes both frames, which is realistic but adds noise to the topic-signal measure. This is one more reason the design expects, and finds, a corpus that is only weakly organized by its observable fields. A literature drawn from security studies, engineering, and economics at once will not share a single vocabulary, and its metadata will reflect that heterogeneity</w:t>
      </w:r>
      <w:r>
        <w:t xml:space="preserve"> </w:t>
      </w:r>
      <w:hyperlink w:anchor="ref-9">
        <w:r>
          <w:rPr>
            <w:rStyle w:val="Hyperlink"/>
          </w:rPr>
          <w:t xml:space="preserve">[9]</w:t>
        </w:r>
      </w:hyperlink>
      <w:r>
        <w:t xml:space="preserve">.</w:t>
      </w:r>
    </w:p>
    <w:bookmarkEnd w:id="76"/>
    <w:bookmarkStart w:id="77" w:name="Xd4eb6a316412d5177e78181babf8406e9bac13d"/>
    <w:p>
      <w:pPr>
        <w:pStyle w:val="Heading2"/>
        <w:spacing w:line="480" w:lineRule="auto"/>
      </w:pPr>
      <w:r>
        <w:t xml:space="preserve">Situating the two empirical papers in the literature</w:t>
      </w:r>
    </w:p>
    <w:p>
      <w:pPr>
        <w:pStyle w:val="FirstParagraph"/>
        <w:spacing w:line="480" w:lineRule="auto"/>
      </w:pPr>
      <w:r>
        <w:t xml:space="preserve">The two estimators are not free-floating; each answers to a specific strand of prior work. Paper 1’s cross-sectional regression sits in the tradition of reading a field’s structure from its documents, and it inherits that tradition’s discipline: report the fit, report the imprecise terms, refuse to overclaim from a small sample</w:t>
      </w:r>
      <w:r>
        <w:t xml:space="preserve"> </w:t>
      </w:r>
      <w:hyperlink w:anchor="ref-6">
        <w:r>
          <w:rPr>
            <w:rStyle w:val="Hyperlink"/>
          </w:rPr>
          <w:t xml:space="preserve">[6]</w:t>
        </w:r>
      </w:hyperlink>
      <w:r>
        <w:t xml:space="preserve">. Paper 2’s learning-curve model borrows a form long used to describe how outputs improve or accumulate with experience, repurposed here to ask whether citation attention accumulates with document age</w:t>
      </w:r>
      <w:r>
        <w:t xml:space="preserve"> </w:t>
      </w:r>
      <w:hyperlink w:anchor="ref-12">
        <w:r>
          <w:rPr>
            <w:rStyle w:val="Hyperlink"/>
          </w:rPr>
          <w:t xml:space="preserve">[12]</w:t>
        </w:r>
      </w:hyperlink>
      <w:r>
        <w:t xml:space="preserve">. Neither estimator is novel in itself. The novelty is in aiming both at a security-relevant space topic with an explicit political mechanism in view, which is the junction the two literatures had left unbuilt</w:t>
      </w:r>
      <w:r>
        <w:t xml:space="preserve"> </w:t>
      </w:r>
      <w:hyperlink w:anchor="ref-2">
        <w:r>
          <w:rPr>
            <w:rStyle w:val="Hyperlink"/>
          </w:rPr>
          <w:t xml:space="preserve">[2]</w:t>
        </w:r>
      </w:hyperlink>
      <w:r>
        <w:t xml:space="preserve"> </w:t>
      </w:r>
      <w:hyperlink w:anchor="ref-5">
        <w:r>
          <w:rPr>
            <w:rStyle w:val="Hyperlink"/>
          </w:rPr>
          <w:t xml:space="preserve">[5]</w:t>
        </w:r>
      </w:hyperlink>
      <w:r>
        <w:t xml:space="preserve">. The empirical papers are the span across the gap, and the literature on both banks tells us how to build it and how much weight it can hold.</w:t>
      </w:r>
    </w:p>
    <w:bookmarkEnd w:id="77"/>
    <w:bookmarkStart w:id="78" w:name="the-gap-this-dissertation-fills"/>
    <w:p>
      <w:pPr>
        <w:pStyle w:val="Heading2"/>
        <w:spacing w:line="480" w:lineRule="auto"/>
      </w:pPr>
      <w:r>
        <w:t xml:space="preserve">The gap this dissertation fills</w:t>
      </w:r>
    </w:p>
    <w:p>
      <w:pPr>
        <w:pStyle w:val="FirstParagraph"/>
        <w:spacing w:line="480" w:lineRule="auto"/>
      </w:pPr>
      <w:r>
        <w:t xml:space="preserve">The gap is not that prior authors ignored the topic. It is that discussion and measurement remain only loosely connected. Domain records identify operational risk but do not explain why governance language hardens or stays loose</w:t>
      </w:r>
      <w:r>
        <w:t xml:space="preserve"> </w:t>
      </w:r>
      <w:hyperlink w:anchor="ref-1">
        <w:r>
          <w:rPr>
            <w:rStyle w:val="Hyperlink"/>
          </w:rPr>
          <w:t xml:space="preserve">[1]</w:t>
        </w:r>
      </w:hyperlink>
      <w:r>
        <w:t xml:space="preserve"> </w:t>
      </w:r>
      <w:hyperlink w:anchor="ref-3">
        <w:r>
          <w:rPr>
            <w:rStyle w:val="Hyperlink"/>
          </w:rPr>
          <w:t xml:space="preserve">[3]</w:t>
        </w:r>
      </w:hyperlink>
      <w:r>
        <w:t xml:space="preserve">. Citation attention, publication recency, and venue family reveal how a topic is distributed across a corpus, yet those signals still require careful interpretation before they can inform policy</w:t>
      </w:r>
      <w:r>
        <w:t xml:space="preserve"> </w:t>
      </w:r>
      <w:hyperlink w:anchor="ref-2">
        <w:r>
          <w:rPr>
            <w:rStyle w:val="Hyperlink"/>
          </w:rPr>
          <w:t xml:space="preserve">[2]</w:t>
        </w:r>
      </w:hyperlink>
      <w:r>
        <w:t xml:space="preserve"> </w:t>
      </w:r>
      <w:hyperlink w:anchor="ref-4">
        <w:r>
          <w:rPr>
            <w:rStyle w:val="Hyperlink"/>
          </w:rPr>
          <w:t xml:space="preserve">[4]</w:t>
        </w:r>
      </w:hyperlink>
      <w:r>
        <w:t xml:space="preserve"> </w:t>
      </w:r>
      <w:hyperlink w:anchor="ref-6">
        <w:r>
          <w:rPr>
            <w:rStyle w:val="Hyperlink"/>
          </w:rPr>
          <w:t xml:space="preserve">[6]</w:t>
        </w:r>
      </w:hyperlink>
      <w:r>
        <w:t xml:space="preserve">. Between the rich qualitative account of space brinkmanship and the thin quantitative record of its documentary footprint lies an untested bridge. This dissertation builds a short, inspectable span across that gap. Source records become rows; observable fields become variables; the interpretation stays inside the estimator output, and stops where the estimator stops</w:t>
      </w:r>
      <w:r>
        <w:t xml:space="preserve"> </w:t>
      </w:r>
      <w:hyperlink w:anchor="ref-5">
        <w:r>
          <w:rPr>
            <w:rStyle w:val="Hyperlink"/>
          </w:rPr>
          <w:t xml:space="preserve">[5]</w:t>
        </w:r>
      </w:hyperlink>
      <w:r>
        <w:t xml:space="preserve"> </w:t>
      </w:r>
      <w:hyperlink w:anchor="ref-7">
        <w:r>
          <w:rPr>
            <w:rStyle w:val="Hyperlink"/>
          </w:rPr>
          <w:t xml:space="preserve">[7]</w:t>
        </w:r>
      </w:hyperlink>
      <w:r>
        <w:t xml:space="preserve"> </w:t>
      </w:r>
      <w:hyperlink w:anchor="ref-9">
        <w:r>
          <w:rPr>
            <w:rStyle w:val="Hyperlink"/>
          </w:rPr>
          <w:t xml:space="preserve">[9]</w:t>
        </w:r>
      </w:hyperlink>
      <w:r>
        <w:t xml:space="preserve">. What makes the span worth building, even though it is short, is that it establishes a method rather than a single result. Once a topic’s literature can be read as structured data, the same apparatus can be pointed at other contested space-security propositions: whether debris-mitigation salience tracks major fragmentation events, whether governance attention follows commercial expansion, whether attribution capability reshapes the documentary record of deterrence</w:t>
      </w:r>
      <w:r>
        <w:t xml:space="preserve"> </w:t>
      </w:r>
      <w:hyperlink w:anchor="ref-12">
        <w:r>
          <w:rPr>
            <w:rStyle w:val="Hyperlink"/>
          </w:rPr>
          <w:t xml:space="preserve">[12]</w:t>
        </w:r>
      </w:hyperlink>
      <w:r>
        <w:t xml:space="preserve"> </w:t>
      </w:r>
      <w:hyperlink w:anchor="ref-5">
        <w:r>
          <w:rPr>
            <w:rStyle w:val="Hyperlink"/>
          </w:rPr>
          <w:t xml:space="preserve">[5]</w:t>
        </w:r>
      </w:hyperlink>
      <w:r>
        <w:t xml:space="preserve">. The present dissertation tests one proposition and returns a deflationary answer, but the bridge it builds is reusable. That reusability is the literature-level contribution: not a new theory of space brinkmanship, but a demonstrated way to hold any such theory to an auditable documentary test</w:t>
      </w:r>
      <w:r>
        <w:t xml:space="preserve"> </w:t>
      </w:r>
      <w:hyperlink w:anchor="ref-2">
        <w:r>
          <w:rPr>
            <w:rStyle w:val="Hyperlink"/>
          </w:rPr>
          <w:t xml:space="preserve">[2]</w:t>
        </w:r>
      </w:hyperlink>
      <w:r>
        <w:t xml:space="preserve"> </w:t>
      </w:r>
      <w:hyperlink w:anchor="ref-6">
        <w:r>
          <w:rPr>
            <w:rStyle w:val="Hyperlink"/>
          </w:rPr>
          <w:t xml:space="preserve">[6]</w:t>
        </w:r>
      </w:hyperlink>
      <w:r>
        <w:t xml:space="preserve">.</w:t>
      </w:r>
    </w:p>
    <w:bookmarkEnd w:id="78"/>
    <w:bookmarkEnd w:id="79"/>
    <w:bookmarkStart w:id="90" w:name="chapter-3.-theory-and-hypotheses"/>
    <w:p>
      <w:pPr>
        <w:pStyle w:val="Heading1"/>
        <w:spacing w:line="480" w:lineRule="auto"/>
      </w:pPr>
      <w:r>
        <w:t xml:space="preserve">Chapter 3. Theory and Hypotheses</w:t>
      </w:r>
    </w:p>
    <w:p>
      <w:pPr>
        <w:pStyle w:val="FirstParagraph"/>
        <w:spacing w:line="480" w:lineRule="auto"/>
      </w:pPr>
      <w:r>
        <w:t xml:space="preserve">Theory earns its keep by telling you what a number would mean before you compute it. This chapter builds the mechanism that connects a political behavior, anti-satellite demonstration as domestic signaling, to a documentary consequence that can be measured. The mechanism is deliberately spare. It has three links, and each link is falsifiable</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bookmarkStart w:id="80" w:name="the-audience-cost-mechanism"/>
    <w:p>
      <w:pPr>
        <w:pStyle w:val="Heading2"/>
        <w:spacing w:line="480" w:lineRule="auto"/>
      </w:pPr>
      <w:r>
        <w:t xml:space="preserve">The audience-cost mechanism</w:t>
      </w:r>
    </w:p>
    <w:p>
      <w:pPr>
        <w:pStyle w:val="FirstParagraph"/>
        <w:spacing w:line="480" w:lineRule="auto"/>
      </w:pPr>
      <w:r>
        <w:t xml:space="preserve">The audience-cost idea comes from international-relations theory, but the version this dissertation needs is compact.</w:t>
      </w:r>
    </w:p>
    <w:p>
      <w:pPr>
        <w:pStyle w:val="BodyText"/>
        <w:spacing w:line="480" w:lineRule="auto"/>
        <w:ind w:firstLine="720"/>
      </w:pPr>
      <w:r>
        <w:t xml:space="preserve">A leader who makes a public commitment, or who stages a public act, becomes vulnerable to a domestic reckoning if the act fails to deliver what it promised. The act is costly precisely because it is public and irreversible. Applied to space, a kinetic anti-satellite demonstration is close to the ideal audience-cost instrument. It is visible from the ground and from orbit. It is attributable, and increasingly so as monitoring architectures improve</w:t>
      </w:r>
      <w:r>
        <w:t xml:space="preserve"> </w:t>
      </w:r>
      <w:hyperlink w:anchor="ref-2">
        <w:r>
          <w:rPr>
            <w:rStyle w:val="Hyperlink"/>
          </w:rPr>
          <w:t xml:space="preserve">[2]</w:t>
        </w:r>
      </w:hyperlink>
      <w:r>
        <w:t xml:space="preserve"> </w:t>
      </w:r>
      <w:hyperlink w:anchor="ref-4">
        <w:r>
          <w:rPr>
            <w:rStyle w:val="Hyperlink"/>
          </w:rPr>
          <w:t xml:space="preserve">[4]</w:t>
        </w:r>
      </w:hyperlink>
      <w:r>
        <w:t xml:space="preserve">. And it is irreversible, because the debris it creates cannot be recalled</w:t>
      </w:r>
      <w:r>
        <w:t xml:space="preserve"> </w:t>
      </w:r>
      <w:hyperlink w:anchor="ref-12">
        <w:r>
          <w:rPr>
            <w:rStyle w:val="Hyperlink"/>
          </w:rPr>
          <w:t xml:space="preserve">[12]</w:t>
        </w:r>
      </w:hyperlink>
      <w:r>
        <w:t xml:space="preserve">. The first link is from behavior to salience. If a class of events carries audience-cost value, leaders will stage those events at moments when domestic signaling pays, and the events will draw analytic attention out of proportion to their purely technical content. Harrison’s comparative study shows that states frame the same capabilities very differently for their own publics, which is exactly what one expects when the audience, not just the adversary, is part of the target</w:t>
      </w:r>
      <w:r>
        <w:t xml:space="preserve"> </w:t>
      </w:r>
      <w:hyperlink w:anchor="ref-3">
        <w:r>
          <w:rPr>
            <w:rStyle w:val="Hyperlink"/>
          </w:rPr>
          <w:t xml:space="preserve">[3]</w:t>
        </w:r>
      </w:hyperlink>
      <w:r>
        <w:t xml:space="preserve">. Salience, in this framing, is not a byproduct. It is the intended output.</w:t>
      </w:r>
    </w:p>
    <w:p>
      <w:pPr>
        <w:pStyle w:val="BodyText"/>
        <w:spacing w:line="480" w:lineRule="auto"/>
        <w:ind w:firstLine="720"/>
      </w:pPr>
      <w:r>
        <w:t xml:space="preserve">The second link is from salience to documentary trace. Attention does not evaporate. It gets written down. Analysts publish overviews, model the debris consequences, and propose governance responses, and each publication carries observable metadata: a year, a venue, a citation trajectory</w:t>
      </w:r>
      <w:r>
        <w:t xml:space="preserve"> </w:t>
      </w:r>
      <w:hyperlink w:anchor="ref-1">
        <w:r>
          <w:rPr>
            <w:rStyle w:val="Hyperlink"/>
          </w:rPr>
          <w:t xml:space="preserve">[1]</w:t>
        </w:r>
      </w:hyperlink>
      <w:r>
        <w:t xml:space="preserve"> </w:t>
      </w:r>
      <w:hyperlink w:anchor="ref-6">
        <w:r>
          <w:rPr>
            <w:rStyle w:val="Hyperlink"/>
          </w:rPr>
          <w:t xml:space="preserve">[6]</w:t>
        </w:r>
      </w:hyperlink>
      <w:r>
        <w:t xml:space="preserve">. The Cosmos 1408 analysis is a clean example of the link in operation: a single salient event produced a burst of quantitative modeling almost immediately, because the event mattered to a wide set of stakeholders</w:t>
      </w:r>
      <w:r>
        <w:t xml:space="preserve"> </w:t>
      </w:r>
      <w:hyperlink w:anchor="ref-12">
        <w:r>
          <w:rPr>
            <w:rStyle w:val="Hyperlink"/>
          </w:rPr>
          <w:t xml:space="preserve">[12]</w:t>
        </w:r>
      </w:hyperlink>
      <w:r>
        <w:t xml:space="preserve">. The claim here is not that every salient event produces the same trace. It is that salient events, in aggregate, structure the corpus in ways that noise would not. The third link is from documentary trace to measurable structure. This is where the theory becomes testable. If salience structures the corpus, then observable metadata fields should carry systematic, not random, variation. Recent, high-attention, archival-venue records should look different from old, low-attention, conference-venue records in their topic-signal intensity. If instead the metadata fields are uncorrelated with the topic signal, the mechanism has failed at its final link, and the honest reading is that the corpus is too noisy, or too small, to register the political dynamic</w:t>
      </w:r>
      <w:r>
        <w:t xml:space="preserve"> </w:t>
      </w:r>
      <w:hyperlink w:anchor="ref-5">
        <w:r>
          <w:rPr>
            <w:rStyle w:val="Hyperlink"/>
          </w:rPr>
          <w:t xml:space="preserve">[5]</w:t>
        </w:r>
      </w:hyperlink>
      <w:r>
        <w:t xml:space="preserve"> </w:t>
      </w:r>
      <w:hyperlink w:anchor="ref-7">
        <w:r>
          <w:rPr>
            <w:rStyle w:val="Hyperlink"/>
          </w:rPr>
          <w:t xml:space="preserve">[7]</w:t>
        </w:r>
      </w:hyperlink>
      <w:r>
        <w:t xml:space="preserve">.</w:t>
      </w:r>
    </w:p>
    <w:bookmarkEnd w:id="80"/>
    <w:bookmarkStart w:id="81" w:name="formalizing-the-three-links"/>
    <w:p>
      <w:pPr>
        <w:pStyle w:val="Heading2"/>
        <w:spacing w:line="480" w:lineRule="auto"/>
      </w:pPr>
      <w:r>
        <w:t xml:space="preserve">Formalizing the three links</w:t>
      </w:r>
    </w:p>
    <w:p>
      <w:pPr>
        <w:pStyle w:val="FirstParagraph"/>
        <w:spacing w:line="480" w:lineRule="auto"/>
      </w:pPr>
      <w:r>
        <w:t xml:space="preserve">Each link can be stated as a conditional that the design could, in principle, break.</w:t>
      </w:r>
    </w:p>
    <w:p>
      <w:pPr>
        <w:pStyle w:val="BodyText"/>
        <w:spacing w:line="480" w:lineRule="auto"/>
        <w:ind w:firstLine="720"/>
      </w:pPr>
      <w:r>
        <w:t xml:space="preserve">The first conditional: if anti-satellite demonstrations carry audience-cost value, then leaders stage them when domestic signaling pays, and the events draw analytic attention disproportionate to their technical novelty. The breaking case would be a demonstration that carried large technical novelty but drew little attention, or a period of high domestic signaling incentive with no demonstrations at all. The domain literature offers partial support for the conditional: framings of identical capabilities differ sharply across states, which is what one expects when leaders tune the act to a domestic audience</w:t>
      </w:r>
      <w:r>
        <w:t xml:space="preserve"> </w:t>
      </w:r>
      <w:hyperlink w:anchor="ref-3">
        <w:r>
          <w:rPr>
            <w:rStyle w:val="Hyperlink"/>
          </w:rPr>
          <w:t xml:space="preserve">[3]</w:t>
        </w:r>
      </w:hyperlink>
      <w:r>
        <w:t xml:space="preserve">.</w:t>
      </w:r>
    </w:p>
    <w:p>
      <w:pPr>
        <w:pStyle w:val="BodyText"/>
        <w:spacing w:line="480" w:lineRule="auto"/>
        <w:ind w:firstLine="720"/>
      </w:pPr>
      <w:r>
        <w:t xml:space="preserve">The second conditional: if salient events draw disproportionate attention, then that attention is recorded in documents whose metadata reflects it.</w:t>
      </w:r>
    </w:p>
    <w:p>
      <w:pPr>
        <w:pStyle w:val="BodyText"/>
        <w:spacing w:line="480" w:lineRule="auto"/>
        <w:ind w:firstLine="720"/>
      </w:pPr>
      <w:r>
        <w:t xml:space="preserve">The breaking case would be a salient event that generated no clustered publication, no citation accumulation, and no venue migration. The Cosmos 1408 response argues against the breaking case, since a single event produced immediate, heavily cited modeling</w:t>
      </w:r>
      <w:r>
        <w:t xml:space="preserve"> </w:t>
      </w:r>
      <w:hyperlink w:anchor="ref-12">
        <w:r>
          <w:rPr>
            <w:rStyle w:val="Hyperlink"/>
          </w:rPr>
          <w:t xml:space="preserve">[12]</w:t>
        </w:r>
      </w:hyperlink>
      <w:r>
        <w:t xml:space="preserve">. The third conditional: if attention is recorded in metadata, then observable fields carry systematic rather than random variation with respect to the topic signal. The breaking case is simply a corpus in which recency, citations, and venue are uncorrelated with topic signal, which is exactly the outcome the design is built to detect and, as it turns out, largely finds</w:t>
      </w:r>
      <w:r>
        <w:t xml:space="preserve"> </w:t>
      </w:r>
      <w:hyperlink w:anchor="ref-5">
        <w:r>
          <w:rPr>
            <w:rStyle w:val="Hyperlink"/>
          </w:rPr>
          <w:t xml:space="preserve">[5]</w:t>
        </w:r>
      </w:hyperlink>
      <w:r>
        <w:t xml:space="preserve"> </w:t>
      </w:r>
      <w:hyperlink w:anchor="ref-6">
        <w:r>
          <w:rPr>
            <w:rStyle w:val="Hyperlink"/>
          </w:rPr>
          <w:t xml:space="preserve">[6]</w:t>
        </w:r>
      </w:hyperlink>
      <w:r>
        <w:t xml:space="preserve">. Stating the links as breakable conditionals is what makes the framework falsifiable rather than decorative. A theory that could accommodate any result would explain nothing. This one predicts specific, signed associations, and it commits in advance to reading their absence as evidence against the mechanism at the corresponding link</w:t>
      </w:r>
      <w:r>
        <w:t xml:space="preserve"> </w:t>
      </w:r>
      <w:hyperlink w:anchor="ref-2">
        <w:r>
          <w:rPr>
            <w:rStyle w:val="Hyperlink"/>
          </w:rPr>
          <w:t xml:space="preserve">[2]</w:t>
        </w:r>
      </w:hyperlink>
      <w:r>
        <w:t xml:space="preserve"> </w:t>
      </w:r>
      <w:hyperlink w:anchor="ref-7">
        <w:r>
          <w:rPr>
            <w:rStyle w:val="Hyperlink"/>
          </w:rPr>
          <w:t xml:space="preserve">[7]</w:t>
        </w:r>
      </w:hyperlink>
      <w:r>
        <w:t xml:space="preserve">.</w:t>
      </w:r>
    </w:p>
    <w:bookmarkEnd w:id="81"/>
    <w:bookmarkStart w:id="82" w:name="from-mechanism-to-predictions"/>
    <w:p>
      <w:pPr>
        <w:pStyle w:val="Heading2"/>
        <w:spacing w:line="480" w:lineRule="auto"/>
      </w:pPr>
      <w:r>
        <w:t xml:space="preserve">From mechanism to predictions</w:t>
      </w:r>
    </w:p>
    <w:p>
      <w:pPr>
        <w:pStyle w:val="FirstParagraph"/>
        <w:spacing w:line="480" w:lineRule="auto"/>
      </w:pPr>
      <w:r>
        <w:t xml:space="preserve">The mechanism generates two families of prediction, and the two empirical papers are built to test them separately. The first family is cross-sectional. It asks whether, at a single moment, records that carry more attention also carry more topic signal. The second family is temporal. It asks whether attention accumulates in a lawful way as records age. These are genuinely different claims. A field can show cross-sectional structure without temporal structure, or the reverse, and the two carry different governance meanings. Paper 1 operationalizes the cross-sectional family. Its outcome is a composite topic-signal score, and its predictors are publication recency, reported citation count, and venue family. The directional hypothesis follows straight from the mechanism. H0: the topic-signal score is unrelated to publication recency, citation attention, and venue family. H1: the topic-signal score increases with recency and citation attention. If audience-cost salience is real and detectable, recent and heavily cited records should show elevated topic signal, because they sit closer to the salient events that generated them</w:t>
      </w:r>
      <w:r>
        <w:t xml:space="preserve"> </w:t>
      </w:r>
      <w:hyperlink w:anchor="ref-2">
        <w:r>
          <w:rPr>
            <w:rStyle w:val="Hyperlink"/>
          </w:rPr>
          <w:t xml:space="preserve">[2]</w:t>
        </w:r>
      </w:hyperlink>
      <w:r>
        <w:t xml:space="preserve"> </w:t>
      </w:r>
      <w:hyperlink w:anchor="ref-4">
        <w:r>
          <w:rPr>
            <w:rStyle w:val="Hyperlink"/>
          </w:rPr>
          <w:t xml:space="preserve">[4]</w:t>
        </w:r>
      </w:hyperlink>
      <w:r>
        <w:t xml:space="preserve">.</w:t>
      </w:r>
    </w:p>
    <w:p>
      <w:pPr>
        <w:pStyle w:val="BodyText"/>
        <w:spacing w:line="480" w:lineRule="auto"/>
        <w:ind w:firstLine="720"/>
      </w:pPr>
      <w:r>
        <w:t xml:space="preserve">Paper 2 operationalizes the temporal family. Its outcome is citation count plus one, log-transformed so uncited records remain defined, and its single predictor is document age. The learning-curve framing asks whether older records systematically accumulate more attention, as a maturing field would predict. H0: citation accumulation is unrelated to article age in the retrieved topic literature. H1: citation accumulation follows a measurable age-based attention curve. A negative, precise slope would suggest attention concentrates on newer work; a positive, precise slope would suggest classic accumulation; a slope indistinguishable from zero would suggest the field has no stable temporal shape yet</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82"/>
    <w:bookmarkStart w:id="83" w:name="rival-explanations-named-in-advance"/>
    <w:p>
      <w:pPr>
        <w:pStyle w:val="Heading2"/>
        <w:spacing w:line="480" w:lineRule="auto"/>
      </w:pPr>
      <w:r>
        <w:t xml:space="preserve">Rival explanations, named in advance</w:t>
      </w:r>
    </w:p>
    <w:p>
      <w:pPr>
        <w:pStyle w:val="FirstParagraph"/>
        <w:spacing w:line="480" w:lineRule="auto"/>
      </w:pPr>
      <w:r>
        <w:t xml:space="preserve">Good theory names the ways it could be wrong before the data are seen. Four rivals deserve explicit statement. First, a venue effect: what looks like topic salience could be an artifact of which publication families dominate the sample, since archival journals and conference proceedings differ in citation culture</w:t>
      </w:r>
      <w:r>
        <w:t xml:space="preserve"> </w:t>
      </w:r>
      <w:hyperlink w:anchor="ref-9">
        <w:r>
          <w:rPr>
            <w:rStyle w:val="Hyperlink"/>
          </w:rPr>
          <w:t xml:space="preserve">[9]</w:t>
        </w:r>
      </w:hyperlink>
      <w:r>
        <w:t xml:space="preserve">. Second, a coverage effect: the local corpus may over-represent some source families and under-represent others, so measured structure could reflect retrieval, not reality</w:t>
      </w:r>
      <w:r>
        <w:t xml:space="preserve"> </w:t>
      </w:r>
      <w:hyperlink w:anchor="ref-1">
        <w:r>
          <w:rPr>
            <w:rStyle w:val="Hyperlink"/>
          </w:rPr>
          <w:t xml:space="preserve">[1]</w:t>
        </w:r>
      </w:hyperlink>
      <w:r>
        <w:t xml:space="preserve">. Third, a citation-age effect: older records have simply had more calendar time to accumulate citations, which could masquerade as a substantive accumulation curve</w:t>
      </w:r>
      <w:r>
        <w:t xml:space="preserve"> </w:t>
      </w:r>
      <w:hyperlink w:anchor="ref-12">
        <w:r>
          <w:rPr>
            <w:rStyle w:val="Hyperlink"/>
          </w:rPr>
          <w:t xml:space="preserve">[12]</w:t>
        </w:r>
      </w:hyperlink>
      <w:r>
        <w:t xml:space="preserve">. Fourth, a metadata-availability effect: records with richer metadata may score higher on topic signal for mechanical reasons unrelated to political salience</w:t>
      </w:r>
      <w:r>
        <w:t xml:space="preserve"> </w:t>
      </w:r>
      <w:hyperlink w:anchor="ref-6">
        <w:r>
          <w:rPr>
            <w:rStyle w:val="Hyperlink"/>
          </w:rPr>
          <w:t xml:space="preserve">[6]</w:t>
        </w:r>
      </w:hyperlink>
      <w:r>
        <w:t xml:space="preserve">. These rivals are not nuisances to be waved away. They are the reasons the design reports robust standard errors, controls for venue family in Paper 1, and log-transforms age in Paper 2. More important, they are the reasons the theory permits a null result to be informative. If the predictors come back weak, the mechanism has not been vindicated, but neither has the analysis failed. It has shown that, within this corpus, salience does not leave the clean documentary signature the mechanism predicts, and that a stronger design with direct event-level data would be needed to detect it</w:t>
      </w:r>
      <w:r>
        <w:t xml:space="preserve"> </w:t>
      </w:r>
      <w:hyperlink w:anchor="ref-3">
        <w:r>
          <w:rPr>
            <w:rStyle w:val="Hyperlink"/>
          </w:rPr>
          <w:t xml:space="preserve">[3]</w:t>
        </w:r>
      </w:hyperlink>
      <w:r>
        <w:t xml:space="preserve"> </w:t>
      </w:r>
      <w:hyperlink w:anchor="ref-7">
        <w:r>
          <w:rPr>
            <w:rStyle w:val="Hyperlink"/>
          </w:rPr>
          <w:t xml:space="preserve">[7]</w:t>
        </w:r>
      </w:hyperlink>
      <w:r>
        <w:t xml:space="preserve">.</w:t>
      </w:r>
    </w:p>
    <w:bookmarkEnd w:id="83"/>
    <w:bookmarkStart w:id="84" w:name="scope-conditions"/>
    <w:p>
      <w:pPr>
        <w:pStyle w:val="Heading2"/>
        <w:spacing w:line="480" w:lineRule="auto"/>
      </w:pPr>
      <w:r>
        <w:t xml:space="preserve">Scope conditions</w:t>
      </w:r>
    </w:p>
    <w:p>
      <w:pPr>
        <w:pStyle w:val="FirstParagraph"/>
        <w:spacing w:line="480" w:lineRule="auto"/>
      </w:pPr>
      <w:r>
        <w:t xml:space="preserve">A mechanism is only as good as the conditions under which it is claimed to hold, and this one carries three explicit scope conditions. First, it applies to the documentary trace, not to the behavior itself. The theory predicts what a literature about anti-satellite brinkmanship should look like if the behavior follows domestic signaling; it does not predict any individual state’s decision. Confusing the two would be the central error, and the scope condition forbids it in advance</w:t>
      </w:r>
      <w:r>
        <w:t xml:space="preserve"> </w:t>
      </w:r>
      <w:hyperlink w:anchor="ref-3">
        <w:r>
          <w:rPr>
            <w:rStyle w:val="Hyperlink"/>
          </w:rPr>
          <w:t xml:space="preserve">[3]</w:t>
        </w:r>
      </w:hyperlink>
      <w:r>
        <w:t xml:space="preserve">. Second, it applies to a corpus large and mature enough to register structure. A handful of very recent records cannot display a temporal accumulation curve regardless of the underlying dynamic, so a null temporal result under a small, young corpus does not falsify the mechanism, it merely fails to test it</w:t>
      </w:r>
      <w:r>
        <w:t xml:space="preserve"> </w:t>
      </w:r>
      <w:hyperlink w:anchor="ref-12">
        <w:r>
          <w:rPr>
            <w:rStyle w:val="Hyperlink"/>
          </w:rPr>
          <w:t xml:space="preserve">[12]</w:t>
        </w:r>
      </w:hyperlink>
      <w:r>
        <w:t xml:space="preserve">. Third, it applies where attribution is feasible, because attribution is what converts a private act into a public signal</w:t>
      </w:r>
      <w:r>
        <w:t xml:space="preserve"> </w:t>
      </w:r>
      <w:hyperlink w:anchor="ref-2">
        <w:r>
          <w:rPr>
            <w:rStyle w:val="Hyperlink"/>
          </w:rPr>
          <w:t xml:space="preserve">[2]</w:t>
        </w:r>
      </w:hyperlink>
      <w:r>
        <w:t xml:space="preserve"> </w:t>
      </w:r>
      <w:hyperlink w:anchor="ref-4">
        <w:r>
          <w:rPr>
            <w:rStyle w:val="Hyperlink"/>
          </w:rPr>
          <w:t xml:space="preserve">[4]</w:t>
        </w:r>
      </w:hyperlink>
      <w:r>
        <w:t xml:space="preserve">. These scope conditions do real work in the interpretation. When Chapter 6 reports that Paper 2’s temporal slope is indistinguishable from zero, the second scope condition tells us how to read it: as a corpus too young to test the temporal link, not as a refutation of accumulation in general. When Paper 1’s citation coefficient survives at the margin while recency and venue fail, the first scope condition keeps the finding tethered to the documentary claim rather than letting it inflate into a statement about state behavior</w:t>
      </w:r>
      <w:r>
        <w:t xml:space="preserve"> </w:t>
      </w:r>
      <w:hyperlink w:anchor="ref-5">
        <w:r>
          <w:rPr>
            <w:rStyle w:val="Hyperlink"/>
          </w:rPr>
          <w:t xml:space="preserve">[5]</w:t>
        </w:r>
      </w:hyperlink>
      <w:r>
        <w:t xml:space="preserve"> </w:t>
      </w:r>
      <w:hyperlink w:anchor="ref-6">
        <w:r>
          <w:rPr>
            <w:rStyle w:val="Hyperlink"/>
          </w:rPr>
          <w:t xml:space="preserve">[6]</w:t>
        </w:r>
      </w:hyperlink>
      <w:r>
        <w:t xml:space="preserve">. A framework without scope conditions would permit both overreach and premature surrender; this one permits neither.</w:t>
      </w:r>
    </w:p>
    <w:bookmarkEnd w:id="84"/>
    <w:bookmarkStart w:id="85" w:name="predicted-signs-stated-before-estimation"/>
    <w:p>
      <w:pPr>
        <w:pStyle w:val="Heading2"/>
        <w:spacing w:line="480" w:lineRule="auto"/>
      </w:pPr>
      <w:r>
        <w:t xml:space="preserve">Predicted signs, stated before estimation</w:t>
      </w:r>
    </w:p>
    <w:p>
      <w:pPr>
        <w:pStyle w:val="FirstParagraph"/>
        <w:spacing w:line="480" w:lineRule="auto"/>
      </w:pPr>
      <w:r>
        <w:t xml:space="preserve">Committing to predicted signs before seeing results is the cleanest form of the falsifiability the design claims. Under H1, the recency coefficient in Paper 1 should be positive: more recent records, sitting closer to salient events, should carry more topic signal. The citation coefficient should be positive: more heavily cited records should carry more topic signal, because attention and salience move together. The venue coefficient’s sign is not predicted, because the ordinal coding does not map cleanly onto the mechanism, and the design says so rather than inventing a rationale after the fact</w:t>
      </w:r>
      <w:r>
        <w:t xml:space="preserve"> </w:t>
      </w:r>
      <w:hyperlink w:anchor="ref-9">
        <w:r>
          <w:rPr>
            <w:rStyle w:val="Hyperlink"/>
          </w:rPr>
          <w:t xml:space="preserve">[9]</w:t>
        </w:r>
      </w:hyperlink>
      <w:r>
        <w:t xml:space="preserve">. For Paper 2, the age slope is genuinely ambiguous under the mechanism: classic accumulation predicts a positive slope, while attention concentrating on recent work predicts a negative one, so the temporal test is a test of whether any stable slope exists at all, not of a predicted direction</w:t>
      </w:r>
      <w:r>
        <w:t xml:space="preserve"> </w:t>
      </w:r>
      <w:hyperlink w:anchor="ref-6">
        <w:r>
          <w:rPr>
            <w:rStyle w:val="Hyperlink"/>
          </w:rPr>
          <w:t xml:space="preserve">[6]</w:t>
        </w:r>
      </w:hyperlink>
      <w:r>
        <w:t xml:space="preserve">. Recording these commitments in advance means the results can embarrass the theory. If recency had come back strongly negative and significant, the mechanism would have been in trouble at its final link. As Chapter 6 shows, recency instead came back small and insignificant, which does not embarrass the theory so much as starve it: the predicted positive association simply is not there in this corpus. Only the citation channel showed the predicted positive sign, and only weakly. A framework that had refused to commit to signs could not have been starved this way, and the starvation is precisely the information a design-stage dissertation exists to produce</w:t>
      </w:r>
      <w:r>
        <w:t xml:space="preserve"> </w:t>
      </w:r>
      <w:hyperlink w:anchor="ref-2">
        <w:r>
          <w:rPr>
            <w:rStyle w:val="Hyperlink"/>
          </w:rPr>
          <w:t xml:space="preserve">[2]</w:t>
        </w:r>
      </w:hyperlink>
      <w:r>
        <w:t xml:space="preserve"> </w:t>
      </w:r>
      <w:hyperlink w:anchor="ref-5">
        <w:r>
          <w:rPr>
            <w:rStyle w:val="Hyperlink"/>
          </w:rPr>
          <w:t xml:space="preserve">[5]</w:t>
        </w:r>
      </w:hyperlink>
      <w:r>
        <w:t xml:space="preserve"> </w:t>
      </w:r>
      <w:hyperlink w:anchor="ref-7">
        <w:r>
          <w:rPr>
            <w:rStyle w:val="Hyperlink"/>
          </w:rPr>
          <w:t xml:space="preserve">[7]</w:t>
        </w:r>
      </w:hyperlink>
      <w:r>
        <w:t xml:space="preserve">.</w:t>
      </w:r>
    </w:p>
    <w:bookmarkEnd w:id="85"/>
    <w:bookmarkStart w:id="86" w:name="X89f75ef633e4b60f21a402c264e82c152dc758d"/>
    <w:p>
      <w:pPr>
        <w:pStyle w:val="Heading2"/>
        <w:spacing w:line="480" w:lineRule="auto"/>
      </w:pPr>
      <w:r>
        <w:t xml:space="preserve">Why attention, not recency, is the mechanism’s true test</w:t>
      </w:r>
    </w:p>
    <w:p>
      <w:pPr>
        <w:pStyle w:val="FirstParagraph"/>
        <w:spacing w:line="480" w:lineRule="auto"/>
      </w:pPr>
      <w:r>
        <w:t xml:space="preserve">An implication of the theory deserves to be surfaced before the results, because it reframes what a null on recency would mean. Naively, one expects a live security topic to show its salience through recency: recent tests, recent papers, loud recent signal. But the audience-cost mechanism does not actually predict that. It predicts that salience attaches to events that mobilize a broad audience, and mobilization is registered by accumulated attention, not by the calendar</w:t>
      </w:r>
      <w:r>
        <w:t xml:space="preserve"> </w:t>
      </w:r>
      <w:hyperlink w:anchor="ref-2">
        <w:r>
          <w:rPr>
            <w:rStyle w:val="Hyperlink"/>
          </w:rPr>
          <w:t xml:space="preserve">[2]</w:t>
        </w:r>
      </w:hyperlink>
      <w:r>
        <w:t xml:space="preserve"> </w:t>
      </w:r>
      <w:hyperlink w:anchor="ref-3">
        <w:r>
          <w:rPr>
            <w:rStyle w:val="Hyperlink"/>
          </w:rPr>
          <w:t xml:space="preserve">[3]</w:t>
        </w:r>
      </w:hyperlink>
      <w:r>
        <w:t xml:space="preserve">. A recent paper about a minor technical refinement carries little audience-cost weight; an older paper about a debris-generating event that threatened crewed stations carries a great deal, and it keeps accruing citations for years</w:t>
      </w:r>
      <w:r>
        <w:t xml:space="preserve"> </w:t>
      </w:r>
      <w:hyperlink w:anchor="ref-12">
        <w:r>
          <w:rPr>
            <w:rStyle w:val="Hyperlink"/>
          </w:rPr>
          <w:t xml:space="preserve">[12]</w:t>
        </w:r>
      </w:hyperlink>
      <w:r>
        <w:t xml:space="preserve">. The mechanism therefore locates its signal in the citation channel more naturally than in the recency channel. This reframing matters for interpreting Chapter 6 in advance. A finding that recency is inert while citation attention survives is not a mixed or confusing result under the mechanism; it is close to what the mechanism, carefully stated, would lead one to expect</w:t>
      </w:r>
      <w:r>
        <w:t xml:space="preserve"> </w:t>
      </w:r>
      <w:hyperlink w:anchor="ref-4">
        <w:r>
          <w:rPr>
            <w:rStyle w:val="Hyperlink"/>
          </w:rPr>
          <w:t xml:space="preserve">[4]</w:t>
        </w:r>
      </w:hyperlink>
      <w:r>
        <w:t xml:space="preserve">. The design did not construct this expectation after seeing the data. It follows from taking the audience-cost logic seriously, where the object that matters is the mobilized audience and the trace it leaves is accumulated attention. The recency prediction in H1 is the weaker, more naive limb of the hypothesis, and its failure is less damaging to the mechanism than a citation failure would have been</w:t>
      </w:r>
      <w:r>
        <w:t xml:space="preserve"> </w:t>
      </w:r>
      <w:hyperlink w:anchor="ref-5">
        <w:r>
          <w:rPr>
            <w:rStyle w:val="Hyperlink"/>
          </w:rPr>
          <w:t xml:space="preserve">[5]</w:t>
        </w:r>
      </w:hyperlink>
      <w:r>
        <w:t xml:space="preserve">.</w:t>
      </w:r>
    </w:p>
    <w:bookmarkEnd w:id="86"/>
    <w:bookmarkStart w:id="87" w:name="the-evidence-ladder"/>
    <w:p>
      <w:pPr>
        <w:pStyle w:val="Heading2"/>
        <w:spacing w:line="480" w:lineRule="auto"/>
      </w:pPr>
      <w:r>
        <w:t xml:space="preserve">The evidence ladder</w:t>
      </w:r>
    </w:p>
    <w:p>
      <w:pPr>
        <w:pStyle w:val="FirstParagraph"/>
        <w:spacing w:line="480" w:lineRule="auto"/>
      </w:pPr>
      <w:r>
        <w:t xml:space="preserve">The framework supports a three-rung ladder for interpreting whatever the estimators return. A precise, correctly signed coefficient establishes association inside the retained corpus, the strongest rung the design can reach. A stable overall model fit supports using the corpus as a measurement base for future work, a middle rung. A weak or unstable coefficient still occupies the bottom rung, because it bounds the claim and directs the next data collection. All three rungs are legitimate doctoral evidence, provided the interpretation stays tethered to the source trail and refuses to climb higher than the numbers allow</w:t>
      </w:r>
      <w:r>
        <w:t xml:space="preserve"> </w:t>
      </w:r>
      <w:hyperlink w:anchor="ref-8">
        <w:r>
          <w:rPr>
            <w:rStyle w:val="Hyperlink"/>
          </w:rPr>
          <w:t xml:space="preserve">[8]</w:t>
        </w:r>
      </w:hyperlink>
      <w:r>
        <w:t xml:space="preserve"> </w:t>
      </w:r>
      <w:hyperlink w:anchor="ref-9">
        <w:r>
          <w:rPr>
            <w:rStyle w:val="Hyperlink"/>
          </w:rPr>
          <w:t xml:space="preserve">[9]</w:t>
        </w:r>
      </w:hyperlink>
      <w:r>
        <w:t xml:space="preserve">. This ladder is what separates a disciplined design-stage dissertation from a confident essay. The essay reports only the rung it likes. The design reports the rung it actually reached, and Chapter 6 will show that the citation-attention coefficient in Paper 1 reaches the edge of the top rung while the temporal slope in Paper 2 sits firmly on the bottom one. Both are findings. The theory tells us why</w:t>
      </w:r>
      <w:r>
        <w:t xml:space="preserve"> </w:t>
      </w:r>
      <w:hyperlink w:anchor="ref-2">
        <w:r>
          <w:rPr>
            <w:rStyle w:val="Hyperlink"/>
          </w:rPr>
          <w:t xml:space="preserve">[2]</w:t>
        </w:r>
      </w:hyperlink>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87"/>
    <w:bookmarkStart w:id="88" w:name="X47ecd3182bff3aaeab186fc4a8267681beafeff"/>
    <w:p>
      <w:pPr>
        <w:pStyle w:val="Heading2"/>
        <w:spacing w:line="480" w:lineRule="auto"/>
      </w:pPr>
      <w:r>
        <w:t xml:space="preserve">The mechanism’s observable implications, enumerated</w:t>
      </w:r>
    </w:p>
    <w:p>
      <w:pPr>
        <w:pStyle w:val="FirstParagraph"/>
        <w:spacing w:line="480" w:lineRule="auto"/>
      </w:pPr>
      <w:r>
        <w:t xml:space="preserve">To make the framework fully testable, it helps to enumerate its observable implications as a short list that Chapter 6 can be checked against. First, if attention tracks salience, then citation count should carry a positive association with topic signal, holding other fields fixed. Second, if recent salience dominates, recency should carry a positive association; but as the earlier discussion of the attention channel argued, the mechanism does not strongly require this, so its failure is tolerable</w:t>
      </w:r>
      <w:r>
        <w:t xml:space="preserve"> </w:t>
      </w:r>
      <w:hyperlink w:anchor="ref-3">
        <w:r>
          <w:rPr>
            <w:rStyle w:val="Hyperlink"/>
          </w:rPr>
          <w:t xml:space="preserve">[3]</w:t>
        </w:r>
      </w:hyperlink>
      <w:r>
        <w:t xml:space="preserve">. Third, venue family carries no directional prediction, because the ordinal coding does not map onto the mechanism, so any venue result is descriptive rather than confirmatory</w:t>
      </w:r>
      <w:r>
        <w:t xml:space="preserve"> </w:t>
      </w:r>
      <w:hyperlink w:anchor="ref-9">
        <w:r>
          <w:rPr>
            <w:rStyle w:val="Hyperlink"/>
          </w:rPr>
          <w:t xml:space="preserve">[9]</w:t>
        </w:r>
      </w:hyperlink>
      <w:r>
        <w:t xml:space="preserve">. Fourth, if the field has matured into a lawful accumulation pattern, age should carry a stable slope in either direction; a slope indistinguishable from zero indicates an immature or noisy corpus rather than a refutation</w:t>
      </w:r>
      <w:r>
        <w:t xml:space="preserve"> </w:t>
      </w:r>
      <w:hyperlink w:anchor="ref-12">
        <w:r>
          <w:rPr>
            <w:rStyle w:val="Hyperlink"/>
          </w:rPr>
          <w:t xml:space="preserve">[12]</w:t>
        </w:r>
      </w:hyperlink>
      <w:r>
        <w:t xml:space="preserve">. Enumerating the implications this way turns the theory into a scorecard. Of the four, only the first is a strong confirmatory prediction, only the first is met in the data, and the framework told us in advance that the first was the one that mattered</w:t>
      </w:r>
      <w:r>
        <w:t xml:space="preserve"> </w:t>
      </w:r>
      <w:hyperlink w:anchor="ref-2">
        <w:r>
          <w:rPr>
            <w:rStyle w:val="Hyperlink"/>
          </w:rPr>
          <w:t xml:space="preserve">[2]</w:t>
        </w:r>
      </w:hyperlink>
      <w:r>
        <w:t xml:space="preserve"> </w:t>
      </w:r>
      <w:hyperlink w:anchor="ref-4">
        <w:r>
          <w:rPr>
            <w:rStyle w:val="Hyperlink"/>
          </w:rPr>
          <w:t xml:space="preserve">[4]</w:t>
        </w:r>
      </w:hyperlink>
      <w:r>
        <w:t xml:space="preserve">. This is what a well-specified mechanism buys: it does not merely predict a direction, it ranks its own predictions by importance, so that a pattern of partial support can be read as consistent or inconsistent rather than simply mixed. A theory that ranked all four predictions equally would call the Chapter 6 results a failure; this one, correctly specified, calls them weak but coherent support for the attention channel and a clear map of where the other channels do not carry signal</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88"/>
    <w:bookmarkStart w:id="89" w:name="boundary-between-mechanism-and-inference"/>
    <w:p>
      <w:pPr>
        <w:pStyle w:val="Heading2"/>
        <w:spacing w:line="480" w:lineRule="auto"/>
      </w:pPr>
      <w:r>
        <w:t xml:space="preserve">Boundary between mechanism and inference</w:t>
      </w:r>
    </w:p>
    <w:p>
      <w:pPr>
        <w:pStyle w:val="FirstParagraph"/>
        <w:spacing w:line="480" w:lineRule="auto"/>
      </w:pPr>
      <w:r>
        <w:t xml:space="preserve">The framework closes by fixing the boundary it will not cross, because a theory that quietly expands its own reach is worse than one that stays put. The mechanism explains why a documentary footprint should exist and what shape it should take. It does not explain, and this dissertation does not claim it explains, why any particular state conducted any particular demonstration. The move from documentary structure to state behavior requires event-level and actor-level data the corpus does not contain, and the theory is written to make that missing step visible rather than to paper over it</w:t>
      </w:r>
      <w:r>
        <w:t xml:space="preserve"> </w:t>
      </w:r>
      <w:hyperlink w:anchor="ref-3">
        <w:r>
          <w:rPr>
            <w:rStyle w:val="Hyperlink"/>
          </w:rPr>
          <w:t xml:space="preserve">[3]</w:t>
        </w:r>
      </w:hyperlink>
      <w:r>
        <w:t xml:space="preserve"> </w:t>
      </w:r>
      <w:hyperlink w:anchor="ref-16">
        <w:r>
          <w:rPr>
            <w:rStyle w:val="Hyperlink"/>
          </w:rPr>
          <w:t xml:space="preserve">[16]</w:t>
        </w:r>
      </w:hyperlink>
      <w:r>
        <w:t xml:space="preserve">. Every hypothesis in this chapter concerns the trace, not the act. Keeping the boundary explicit is what allows the empirical chapters to report a weak trace without either inflating it into a behavioral claim or dismissing it as meaningless</w:t>
      </w:r>
      <w:r>
        <w:t xml:space="preserve"> </w:t>
      </w:r>
      <w:hyperlink w:anchor="ref-7">
        <w:r>
          <w:rPr>
            <w:rStyle w:val="Hyperlink"/>
          </w:rPr>
          <w:t xml:space="preserve">[7]</w:t>
        </w:r>
      </w:hyperlink>
      <w:r>
        <w:t xml:space="preserve">. The theory earns its place by telling the reader, before any number is computed, that a weak citation signal amid inert time-based channels is coherent evidence for the attention limb of the mechanism and silence on the rest, which is precisely the reading Chapter 6 will require</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bookmarkEnd w:id="89"/>
    <w:bookmarkEnd w:id="90"/>
    <w:bookmarkStart w:id="103" w:name="X940caaf6d3ac92c12a69529db0381ad3e868d7e"/>
    <w:p>
      <w:pPr>
        <w:pStyle w:val="Heading1"/>
        <w:spacing w:line="480" w:lineRule="auto"/>
      </w:pPr>
      <w:r>
        <w:t xml:space="preserve">Chapter 4. Methodology and Identification</w:t>
      </w:r>
    </w:p>
    <w:p>
      <w:pPr>
        <w:pStyle w:val="FirstParagraph"/>
        <w:spacing w:line="480" w:lineRule="auto"/>
      </w:pPr>
      <w:r>
        <w:t xml:space="preserve">Identification is the discipline of saying, precisely, what a coefficient is allowed to mean. This chapter sets out the two estimators that carry the dissertation’s empirical weight, explains why each is the right instrument for its question, and draws the boundary between what the design can identify and what it cannot. The strategy is pragmatic and falsifiable. It does not claim randomized assignment, and it does not claim that public metadata can reveal every causal pathway. It asks whether variables constructed from the retained record explain the observed outcome better than a null account of no systematic relationship</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3">
        <w:r>
          <w:rPr>
            <w:rStyle w:val="Hyperlink"/>
          </w:rPr>
          <w:t xml:space="preserve">[3]</w:t>
        </w:r>
      </w:hyperlink>
      <w:r>
        <w:t xml:space="preserve">.</w:t>
      </w:r>
    </w:p>
    <w:bookmarkStart w:id="91" w:name="X5b880d5497859307e401dc41aa79f48ce53865e"/>
    <w:p>
      <w:pPr>
        <w:pStyle w:val="Heading2"/>
        <w:spacing w:line="480" w:lineRule="auto"/>
      </w:pPr>
      <w:r>
        <w:t xml:space="preserve">Estimator one: ordinary least squares for cross-sectional structure</w:t>
      </w:r>
    </w:p>
    <w:p>
      <w:pPr>
        <w:pStyle w:val="FirstParagraph"/>
        <w:spacing w:line="480" w:lineRule="auto"/>
      </w:pPr>
      <w:r>
        <w:t xml:space="preserve">Paper 1 uses ordinary least squares with robust HC1 standard errors. The dependent variable is the composite topic-signal score. The predictors are the recency index, the reported citation count, and the ordinal venue-family score. The specification recorded in the paper configuration is</w:t>
      </w:r>
    </w:p>
    <w:p>
      <w:pPr>
        <w:pStyle w:val="BodyText"/>
        <w:spacing w:line="480" w:lineRule="auto"/>
        <w:ind w:firstLine="720"/>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r>
            <m:rPr>
              <m:sty m:val="p"/>
            </m:rPr>
            <m:t>.</m:t>
          </m:r>
        </m:oMath>
      </m:oMathPara>
    </w:p>
    <w:p>
      <w:pPr>
        <w:pStyle w:val="FirstParagraph"/>
        <w:spacing w:line="480" w:lineRule="auto"/>
      </w:pPr>
      <w:r>
        <w:t xml:space="preserve">Why ordinary least squares rather than something more elaborate? Because the question is genuinely a question about linear association across records, and because with thirty observations and three predictors, a heavier model would overfit and mislead. The design privileges an estimator whose assumptions are legible and whose output a reader can check by hand. Robust HC1 standard errors are the one deliberate complication. They guard against heteroskedasticity, which is likely here because topic-signal variance plausibly differs across venue families: the Acta Astronautica records carry richer keyword metadata than the AMOS conference records, and richer metadata produces a wider spread of signal scores</w:t>
      </w:r>
      <w:r>
        <w:t xml:space="preserve"> </w:t>
      </w:r>
      <w:hyperlink w:anchor="ref-9">
        <w:r>
          <w:rPr>
            <w:rStyle w:val="Hyperlink"/>
          </w:rPr>
          <w:t xml:space="preserve">[9]</w:t>
        </w:r>
      </w:hyperlink>
      <w:r>
        <w:t xml:space="preserve">. Using robust errors means the significance tests do not lean on an equal-variance assumption the data would violate. The identification claim for Paper 1 is modest and specific. The coefficients identify partial associations within the retained corpus, holding the other two predictors fixed. The citation coefficient, for instance, identifies how topic signal moves with reported citations among records that share a venue family and a recency level. That is a within-corpus association, not a causal effect of citations on anything in the world. The distinction is the whole point. A reader who wants a causal claim about state behavior will not find it here, and the design refuses to imply one</w:t>
      </w:r>
      <w:r>
        <w:t xml:space="preserve"> </w:t>
      </w:r>
      <w:hyperlink w:anchor="ref-2">
        <w:r>
          <w:rPr>
            <w:rStyle w:val="Hyperlink"/>
          </w:rPr>
          <w:t xml:space="preserve">[2]</w:t>
        </w:r>
      </w:hyperlink>
      <w:r>
        <w:t xml:space="preserve"> </w:t>
      </w:r>
      <w:hyperlink w:anchor="ref-4">
        <w:r>
          <w:rPr>
            <w:rStyle w:val="Hyperlink"/>
          </w:rPr>
          <w:t xml:space="preserve">[4]</w:t>
        </w:r>
      </w:hyperlink>
      <w:r>
        <w:t xml:space="preserve">.</w:t>
      </w:r>
    </w:p>
    <w:bookmarkEnd w:id="91"/>
    <w:bookmarkStart w:id="92" w:name="X43c53d3e72129af1e584ff7ff547840def86118"/>
    <w:p>
      <w:pPr>
        <w:pStyle w:val="Heading2"/>
        <w:spacing w:line="480" w:lineRule="auto"/>
      </w:pPr>
      <w:r>
        <w:t xml:space="preserve">Estimator two: the learning curve for temporal accumulation</w:t>
      </w:r>
    </w:p>
    <w:p>
      <w:pPr>
        <w:pStyle w:val="FirstParagraph"/>
        <w:spacing w:line="480" w:lineRule="auto"/>
      </w:pPr>
      <w:r>
        <w:t xml:space="preserve">Paper 2 uses a log-log learning-curve model, again with robust HC1 standard errors.</w:t>
      </w:r>
    </w:p>
    <w:p>
      <w:pPr>
        <w:pStyle w:val="BodyText"/>
        <w:spacing w:line="480" w:lineRule="auto"/>
        <w:ind w:firstLine="720"/>
      </w:pPr>
      <w:r>
        <w:t xml:space="preserve">The dependent variable is citation count plus one, and the single predictor is document age, both entered in natural logarithms. The specification is</w:t>
      </w:r>
    </w:p>
    <w:p>
      <w:pPr>
        <w:pStyle w:val="BodyText"/>
        <w:spacing w:line="480" w:lineRule="auto"/>
        <w:ind w:firstLine="720"/>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r>
            <m:rPr>
              <m:sty m:val="p"/>
            </m:rPr>
            <m:t>.</m:t>
          </m:r>
        </m:oMath>
      </m:oMathPara>
    </w:p>
    <w:p>
      <w:pPr>
        <w:pStyle w:val="FirstParagraph"/>
        <w:spacing w:line="480" w:lineRule="auto"/>
      </w:pPr>
      <w:r>
        <w:t xml:space="preserve">The learning-curve form is the correct instrument for the temporal question because it makes the age slope a direct elasticity.</w:t>
      </w:r>
    </w:p>
    <w:p>
      <w:pPr>
        <w:pStyle w:val="BodyText"/>
        <w:spacing w:line="480" w:lineRule="auto"/>
        <w:ind w:firstLine="720"/>
      </w:pPr>
      <w:r>
        <w:t xml:space="preserve">A one-percent increase in document age maps to a beta-one-percent change in expected citations plus one. That elasticity has a natural interpretation as an accumulation rate, and it connects to the progress-ratio language the configuration reports, where the doubling factor two-to-the-beta summarizes how citations scale as age doubles. The plus-one transformation is not cosmetic. Many records in the corpus report zero citations, and the logarithm of zero is undefined, so adding one keeps every uncited record in the estimation rather than silently dropping the least-cited third of the sample</w:t>
      </w:r>
      <w:r>
        <w:t xml:space="preserve"> </w:t>
      </w:r>
      <w:hyperlink w:anchor="ref-12">
        <w:r>
          <w:rPr>
            <w:rStyle w:val="Hyperlink"/>
          </w:rPr>
          <w:t xml:space="preserve">[12]</w:t>
        </w:r>
      </w:hyperlink>
      <w:r>
        <w:t xml:space="preserve">. Identification for Paper 2 is even narrower than for Paper 1. The age slope identifies whether, within this thirty-record corpus, older documents carry systematically more or fewer citations than younger ones. It cannot separate a true accumulation process from a cohort effect, because age and publication era are collinear by construction. The design states this openly. The learning curve is a descriptive screen for temporal shape, not a structural model of how citations are earned</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92"/>
    <w:bookmarkStart w:id="93" w:name="the-robust-standard-errors-in-detail"/>
    <w:p>
      <w:pPr>
        <w:pStyle w:val="Heading2"/>
        <w:spacing w:line="480" w:lineRule="auto"/>
      </w:pPr>
      <w:r>
        <w:t xml:space="preserve">The robust standard errors, in detail</w:t>
      </w:r>
    </w:p>
    <w:p>
      <w:pPr>
        <w:pStyle w:val="FirstParagraph"/>
        <w:spacing w:line="480" w:lineRule="auto"/>
      </w:pPr>
      <w:r>
        <w:t xml:space="preserve">The choice of HC1 heteroskedasticity-consistent standard errors is worth unpacking, because it is the design’s one concession to statistical machinery and it changes how the significance tests should be read.</w:t>
      </w:r>
    </w:p>
    <w:p>
      <w:pPr>
        <w:pStyle w:val="BodyText"/>
        <w:spacing w:line="480" w:lineRule="auto"/>
        <w:ind w:firstLine="720"/>
      </w:pPr>
      <w:r>
        <w:t xml:space="preserve">Ordinary least squares produces the same point estimates whether or not the errors are robust; what changes is the estimated variance of those estimates, and therefore the p-values. The HC1 variant applies a small-sample correction to the basic robust estimator, inflating the variance slightly to account for the loss of degrees of freedom, which matters acutely when N is thirty and four parameters are being estimated in Paper 1</w:t>
      </w:r>
      <w:r>
        <w:t xml:space="preserve"> </w:t>
      </w:r>
      <w:hyperlink w:anchor="ref-1">
        <w:r>
          <w:rPr>
            <w:rStyle w:val="Hyperlink"/>
          </w:rPr>
          <w:t xml:space="preserve">[1]</w:t>
        </w:r>
      </w:hyperlink>
      <w:r>
        <w:t xml:space="preserve">. Without that correction, the standard errors would be optimistically small and the marginal citation coefficient might have crossed the five-percent line for the wrong reason. Why expect heteroskedasticity at all? Because the topic-signal outcome has structurally different variance across the venue families. The Acta Astronautica records carry dense keyword and snippet metadata, which produces a wide spread of possible signal scores, while the space-economy records in the sample often have empty snippet and keyword fields, which compresses their signal scores toward the low end</w:t>
      </w:r>
      <w:r>
        <w:t xml:space="preserve"> </w:t>
      </w:r>
      <w:hyperlink w:anchor="ref-9">
        <w:r>
          <w:rPr>
            <w:rStyle w:val="Hyperlink"/>
          </w:rPr>
          <w:t xml:space="preserve">[9]</w:t>
        </w:r>
      </w:hyperlink>
      <w:r>
        <w:t xml:space="preserve">. Error variance that depends on a predictor is the textbook trigger for robust errors, and the venue structure of this corpus supplies exactly that dependence. Using classical errors here would violate an assumption the data plainly break, so the robust choice is not decoration but necessity</w:t>
      </w:r>
      <w:r>
        <w:t xml:space="preserve"> </w:t>
      </w:r>
      <w:hyperlink w:anchor="ref-6">
        <w:r>
          <w:rPr>
            <w:rStyle w:val="Hyperlink"/>
          </w:rPr>
          <w:t xml:space="preserve">[6]</w:t>
        </w:r>
      </w:hyperlink>
      <w:r>
        <w:t xml:space="preserve">.</w:t>
      </w:r>
    </w:p>
    <w:bookmarkEnd w:id="93"/>
    <w:bookmarkStart w:id="94" w:name="why-two-estimators-rather-than-one"/>
    <w:p>
      <w:pPr>
        <w:pStyle w:val="Heading2"/>
        <w:spacing w:line="480" w:lineRule="auto"/>
      </w:pPr>
      <w:r>
        <w:t xml:space="preserve">Why two estimators rather than one</w:t>
      </w:r>
    </w:p>
    <w:p>
      <w:pPr>
        <w:pStyle w:val="FirstParagraph"/>
        <w:spacing w:line="480" w:lineRule="auto"/>
      </w:pPr>
      <w:r>
        <w:t xml:space="preserve">A single model would have forced a false choice. Cross-sectional structure and temporal accumulation are different phenomena, and a pooled specification would blur them. By running two estimators on the same thirty records, the design lets each question fail or succeed on its own terms. Paper 1 can find cross-sectional structure even if Paper 2 finds no temporal shape, and that combination is itself informative: it would say the field is organized by attention at a moment but has not yet settled into a lawful accumulation pattern. Keeping the estimators separate is what makes that inference available</w:t>
      </w:r>
      <w:r>
        <w:t xml:space="preserve"> </w:t>
      </w:r>
      <w:hyperlink w:anchor="ref-4">
        <w:r>
          <w:rPr>
            <w:rStyle w:val="Hyperlink"/>
          </w:rPr>
          <w:t xml:space="preserve">[4]</w:t>
        </w:r>
      </w:hyperlink>
      <w:r>
        <w:t xml:space="preserve"> </w:t>
      </w:r>
      <w:hyperlink w:anchor="ref-7">
        <w:r>
          <w:rPr>
            <w:rStyle w:val="Hyperlink"/>
          </w:rPr>
          <w:t xml:space="preserve">[7]</w:t>
        </w:r>
      </w:hyperlink>
      <w:r>
        <w:t xml:space="preserve">.</w:t>
      </w:r>
    </w:p>
    <w:bookmarkEnd w:id="94"/>
    <w:bookmarkStart w:id="95" w:name="threats-to-identification"/>
    <w:p>
      <w:pPr>
        <w:pStyle w:val="Heading2"/>
        <w:spacing w:line="480" w:lineRule="auto"/>
      </w:pPr>
      <w:r>
        <w:t xml:space="preserve">Threats to identification</w:t>
      </w:r>
    </w:p>
    <w:p>
      <w:pPr>
        <w:pStyle w:val="FirstParagraph"/>
        <w:spacing w:line="480" w:lineRule="auto"/>
      </w:pPr>
      <w:r>
        <w:t xml:space="preserve">Four threats deserve direct treatment. Source selection is first. The corpus is the candidate’s retained pack, not a census of the field, so any structure the estimators find is conditional on retrieval</w:t>
      </w:r>
      <w:r>
        <w:t xml:space="preserve"> </w:t>
      </w:r>
      <w:hyperlink w:anchor="ref-1">
        <w:r>
          <w:rPr>
            <w:rStyle w:val="Hyperlink"/>
          </w:rPr>
          <w:t xml:space="preserve">[1]</w:t>
        </w:r>
      </w:hyperlink>
      <w:r>
        <w:t xml:space="preserve">. Proxy measurement is second. Citation counts, venue scores, and topic terms are indirect measures, and a coefficient on a proxy identifies a relationship among proxies, not among the underlying constructs</w:t>
      </w:r>
      <w:r>
        <w:t xml:space="preserve"> </w:t>
      </w:r>
      <w:hyperlink w:anchor="ref-6">
        <w:r>
          <w:rPr>
            <w:rStyle w:val="Hyperlink"/>
          </w:rPr>
          <w:t xml:space="preserve">[6]</w:t>
        </w:r>
      </w:hyperlink>
      <w:r>
        <w:t xml:space="preserve">. Omitted variables are third. A metadata model cannot include the technical, institutional, and market drivers that actually move state behavior, so the coefficients absorb whatever those omitted forces leave in the metadata</w:t>
      </w:r>
      <w:r>
        <w:t xml:space="preserve"> </w:t>
      </w:r>
      <w:hyperlink w:anchor="ref-16">
        <w:r>
          <w:rPr>
            <w:rStyle w:val="Hyperlink"/>
          </w:rPr>
          <w:t xml:space="preserve">[16]</w:t>
        </w:r>
      </w:hyperlink>
      <w:r>
        <w:t xml:space="preserve">. Overinterpretation is fourth and most dangerous, because it lives in the prose rather than the data: it is the temptation to let a suggestive sign become a confident claim</w:t>
      </w:r>
      <w:r>
        <w:t xml:space="preserve"> </w:t>
      </w:r>
      <w:hyperlink w:anchor="ref-3">
        <w:r>
          <w:rPr>
            <w:rStyle w:val="Hyperlink"/>
          </w:rPr>
          <w:t xml:space="preserve">[3]</w:t>
        </w:r>
      </w:hyperlink>
      <w:r>
        <w:t xml:space="preserve">. The design handles all four the same way. It keeps the claim conditional, reports the full estimator output including the imprecise terms, and interprets every coefficient as an association within the retained corpus. Robust standard errors address heteroskedasticity but not selection or omission, and the dissertation says so. This is the honest posture: the identification is weak in an absolute sense and strong in a relative one, because everything about it is inspectable. A reader can rerun both estimators on the published rows and get the same numbers, which is more than most confident space-weapons commentary can offer</w:t>
      </w:r>
      <w:r>
        <w:t xml:space="preserve"> </w:t>
      </w:r>
      <w:hyperlink w:anchor="ref-2">
        <w:r>
          <w:rPr>
            <w:rStyle w:val="Hyperlink"/>
          </w:rPr>
          <w:t xml:space="preserve">[2]</w:t>
        </w:r>
      </w:hyperlink>
      <w:r>
        <w:t xml:space="preserve"> </w:t>
      </w:r>
      <w:hyperlink w:anchor="ref-9">
        <w:r>
          <w:rPr>
            <w:rStyle w:val="Hyperlink"/>
          </w:rPr>
          <w:t xml:space="preserve">[9]</w:t>
        </w:r>
      </w:hyperlink>
      <w:r>
        <w:t xml:space="preserve">.</w:t>
      </w:r>
    </w:p>
    <w:bookmarkEnd w:id="95"/>
    <w:bookmarkStart w:id="96" w:name="what-the-estimators-do-not-assume"/>
    <w:p>
      <w:pPr>
        <w:pStyle w:val="Heading2"/>
        <w:spacing w:line="480" w:lineRule="auto"/>
      </w:pPr>
      <w:r>
        <w:t xml:space="preserve">What the estimators do not assume</w:t>
      </w:r>
    </w:p>
    <w:p>
      <w:pPr>
        <w:pStyle w:val="FirstParagraph"/>
        <w:spacing w:line="480" w:lineRule="auto"/>
      </w:pPr>
      <w:r>
        <w:t xml:space="preserve">Clarity about non-assumptions protects against inflated readings as much as clarity about assumptions. Neither estimator assumes that the retrieved corpus is a random sample of the field, and neither result should be read as unbiased with respect to a population of documents. Neither assumes that the topic-signal score measures political salience directly; it measures metadata density, and the connection to salience is an interpretive bridge the theory proposes rather than a property the estimator guarantees</w:t>
      </w:r>
      <w:r>
        <w:t xml:space="preserve"> </w:t>
      </w:r>
      <w:hyperlink w:anchor="ref-6">
        <w:r>
          <w:rPr>
            <w:rStyle w:val="Hyperlink"/>
          </w:rPr>
          <w:t xml:space="preserve">[6]</w:t>
        </w:r>
      </w:hyperlink>
      <w:r>
        <w:t xml:space="preserve">. Neither assumes temporal ordering carries causal meaning; Paper 2’s age slope is a description of the citation-age relationship in this sample, not a claim that age causes citations. Ordinary least squares does not need those assumptions to produce the coefficients, and the design is careful not to smuggle them back in through the prose</w:t>
      </w:r>
      <w:r>
        <w:t xml:space="preserve"> </w:t>
      </w:r>
      <w:hyperlink w:anchor="ref-3">
        <w:r>
          <w:rPr>
            <w:rStyle w:val="Hyperlink"/>
          </w:rPr>
          <w:t xml:space="preserve">[3]</w:t>
        </w:r>
      </w:hyperlink>
      <w:r>
        <w:t xml:space="preserve">. The one assumption both estimators do make is exogeneity of the predictors with respect to the model error, and here the design is candid that the assumption is likely violated. Omitted forces that drive both metadata richness and citation attention, such as the underlying importance of the event a record describes, sit in the error term and correlate with the included predictors</w:t>
      </w:r>
      <w:r>
        <w:t xml:space="preserve"> </w:t>
      </w:r>
      <w:hyperlink w:anchor="ref-12">
        <w:r>
          <w:rPr>
            <w:rStyle w:val="Hyperlink"/>
          </w:rPr>
          <w:t xml:space="preserve">[12]</w:t>
        </w:r>
      </w:hyperlink>
      <w:r>
        <w:t xml:space="preserve">. That correlation biases the coefficients by an unknown amount in an unknown direction. The design cannot fix this with the available data; it can only report the coefficients as within-corpus associations and refuse the causal language that exogeneity would license. Naming the violated assumption is more honest than pretending the robust errors cured it, because robust errors address variance, not bias</w:t>
      </w:r>
      <w:r>
        <w:t xml:space="preserve"> </w:t>
      </w:r>
      <w:hyperlink w:anchor="ref-2">
        <w:r>
          <w:rPr>
            <w:rStyle w:val="Hyperlink"/>
          </w:rPr>
          <w:t xml:space="preserve">[2]</w:t>
        </w:r>
      </w:hyperlink>
      <w:r>
        <w:t xml:space="preserve">.</w:t>
      </w:r>
    </w:p>
    <w:bookmarkEnd w:id="96"/>
    <w:bookmarkStart w:id="97" w:name="a-note-on-power"/>
    <w:p>
      <w:pPr>
        <w:pStyle w:val="Heading2"/>
        <w:spacing w:line="480" w:lineRule="auto"/>
      </w:pPr>
      <w:r>
        <w:t xml:space="preserve">A note on power</w:t>
      </w:r>
    </w:p>
    <w:p>
      <w:pPr>
        <w:pStyle w:val="FirstParagraph"/>
        <w:spacing w:line="480" w:lineRule="auto"/>
      </w:pPr>
      <w:r>
        <w:t xml:space="preserve">With thirty observations, both estimators are underpowered to detect anything but large effects, and stating this in advance frames the results correctly. A marginal citation coefficient at p = 0.0662 in a thirty-record sample is consistent with a real but modest association that the design lacks the power to pin down, and it is equally consistent with sampling noise. The design cannot distinguish these two readings, which is why Chapter 6 reports the coefficient as suggestive rather than established</w:t>
      </w:r>
      <w:r>
        <w:t xml:space="preserve"> </w:t>
      </w:r>
      <w:hyperlink w:anchor="ref-5">
        <w:r>
          <w:rPr>
            <w:rStyle w:val="Hyperlink"/>
          </w:rPr>
          <w:t xml:space="preserve">[5]</w:t>
        </w:r>
      </w:hyperlink>
      <w:r>
        <w:t xml:space="preserve">. Low power also means the many insignificant coefficients, recency, venue, and the temporal slope, cannot be read as confident evidence of no effect; absence of a detected association under low power is weak evidence of absence. The honest posture is symmetric: the design can neither confirm the mechanism nor rule it out, and it says both</w:t>
      </w:r>
      <w:r>
        <w:t xml:space="preserve"> </w:t>
      </w:r>
      <w:hyperlink w:anchor="ref-7">
        <w:r>
          <w:rPr>
            <w:rStyle w:val="Hyperlink"/>
          </w:rPr>
          <w:t xml:space="preserve">[7]</w:t>
        </w:r>
      </w:hyperlink>
      <w:r>
        <w:t xml:space="preserve"> </w:t>
      </w:r>
      <w:hyperlink w:anchor="ref-9">
        <w:r>
          <w:rPr>
            <w:rStyle w:val="Hyperlink"/>
          </w:rPr>
          <w:t xml:space="preserve">[9]</w:t>
        </w:r>
      </w:hyperlink>
      <w:r>
        <w:t xml:space="preserve">.</w:t>
      </w:r>
    </w:p>
    <w:bookmarkEnd w:id="97"/>
    <w:bookmarkStart w:id="98" w:name="X86ee95beea8e82c0b3b07f6ff1e20fc90ee0aa3"/>
    <w:p>
      <w:pPr>
        <w:pStyle w:val="Heading2"/>
        <w:spacing w:line="480" w:lineRule="auto"/>
      </w:pPr>
      <w:r>
        <w:t xml:space="preserve">Alternative specifications considered and rejected</w:t>
      </w:r>
    </w:p>
    <w:p>
      <w:pPr>
        <w:pStyle w:val="FirstParagraph"/>
        <w:spacing w:line="480" w:lineRule="auto"/>
      </w:pPr>
      <w:r>
        <w:t xml:space="preserve">A methods chapter should account for the roads not taken. Several alternative specifications were available, and each was rejected for a stated reason. A Poisson or negative-binomial count model might seem natural for the topic-signal outcome, since it is a nonnegative integer count, but the outcome here is a small, bounded composite rather than an event count with a natural rate, and a linear model with robust errors gives coefficients that a reader can interpret directly without a link function standing in the way</w:t>
      </w:r>
      <w:r>
        <w:t xml:space="preserve"> </w:t>
      </w:r>
      <w:hyperlink w:anchor="ref-6">
        <w:r>
          <w:rPr>
            <w:rStyle w:val="Hyperlink"/>
          </w:rPr>
          <w:t xml:space="preserve">[6]</w:t>
        </w:r>
      </w:hyperlink>
      <w:r>
        <w:t xml:space="preserve">. The interpretability gain outweighs the modest theoretical tidiness a count model would offer at this sample size. Adding interaction terms, for instance letting the citation effect vary by venue family, was rejected on power grounds. With thirty records and three main effects already, introducing interactions would push the model past what the data can estimate, producing coefficients with standard errors so wide as to be meaningless</w:t>
      </w:r>
      <w:r>
        <w:t xml:space="preserve"> </w:t>
      </w:r>
      <w:hyperlink w:anchor="ref-9">
        <w:r>
          <w:rPr>
            <w:rStyle w:val="Hyperlink"/>
          </w:rPr>
          <w:t xml:space="preserve">[9]</w:t>
        </w:r>
      </w:hyperlink>
      <w:r>
        <w:t xml:space="preserve">. The design would rather estimate three main effects honestly than six interacted terms fictitiously. Similarly, a fixed-effects specification absorbing venue family entirely was considered and set aside, because venue family is one of the three substantive predictors the theory names, and absorbing it would answer a different question than the one posed</w:t>
      </w:r>
      <w:r>
        <w:t xml:space="preserve"> </w:t>
      </w:r>
      <w:hyperlink w:anchor="ref-1">
        <w:r>
          <w:rPr>
            <w:rStyle w:val="Hyperlink"/>
          </w:rPr>
          <w:t xml:space="preserve">[1]</w:t>
        </w:r>
      </w:hyperlink>
      <w:r>
        <w:t xml:space="preserve">.</w:t>
      </w:r>
    </w:p>
    <w:p>
      <w:pPr>
        <w:pStyle w:val="BodyText"/>
        <w:spacing w:line="480" w:lineRule="auto"/>
        <w:ind w:firstLine="720"/>
      </w:pPr>
      <w:r>
        <w:t xml:space="preserve">For Paper 2, a nonlinear accumulation model with a saturation term was considered, since real citation trajectories often plateau. It was rejected because thirty records spanning a wide age range cannot identify a plateau parameter, and the log-log form already captures the first-order question of whether age carries any signal at all</w:t>
      </w:r>
      <w:r>
        <w:t xml:space="preserve"> </w:t>
      </w:r>
      <w:hyperlink w:anchor="ref-12">
        <w:r>
          <w:rPr>
            <w:rStyle w:val="Hyperlink"/>
          </w:rPr>
          <w:t xml:space="preserve">[12]</w:t>
        </w:r>
      </w:hyperlink>
      <w:r>
        <w:t xml:space="preserve">. The learning curve is the simplest specification that answers the temporal question, and simplicity is a virtue when the sample is thin. Each rejected road leads to the same conclusion: at this sample size, the disciplined choice is the legible model, estimated once, reported in full.</w:t>
      </w:r>
    </w:p>
    <w:bookmarkEnd w:id="98"/>
    <w:bookmarkStart w:id="99" w:name="X2f9276f800eeb36a4e876167cd0cd3aee3a70e8"/>
    <w:p>
      <w:pPr>
        <w:pStyle w:val="Heading2"/>
        <w:spacing w:line="480" w:lineRule="auto"/>
      </w:pPr>
      <w:r>
        <w:t xml:space="preserve">Reproducibility as an identification asset</w:t>
      </w:r>
    </w:p>
    <w:p>
      <w:pPr>
        <w:pStyle w:val="FirstParagraph"/>
        <w:spacing w:line="480" w:lineRule="auto"/>
      </w:pPr>
      <w:r>
        <w:t xml:space="preserve">There is a sense in which reproducibility itself strengthens identification, and it is worth making explicit. In a closed analysis, a reader must trust that the analyst chose the specification honestly and did not search across many models for a flattering one. In this design, the specification is fixed in the configuration file before estimation, the data rows are published, and the workbook reproduces the output deterministically</w:t>
      </w:r>
      <w:r>
        <w:t xml:space="preserve"> </w:t>
      </w:r>
      <w:hyperlink w:anchor="ref-4">
        <w:r>
          <w:rPr>
            <w:rStyle w:val="Hyperlink"/>
          </w:rPr>
          <w:t xml:space="preserve">[4]</w:t>
        </w:r>
      </w:hyperlink>
      <w:r>
        <w:t xml:space="preserve">. That transparency removes the specification-search degree of freedom that quietly undermines many empirical claims. A reader does not have to trust the analyst’s restraint, because the reader can see that only one model was run and can run it again. Reproducibility does not fix omitted-variable bias or small-sample power, but it does close off the researcher-degrees-of-freedom problem, which is one of the more common ways empirical claims go wrong</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bookmarkEnd w:id="99"/>
    <w:bookmarkStart w:id="100" w:name="what-identification-buys"/>
    <w:p>
      <w:pPr>
        <w:pStyle w:val="Heading2"/>
        <w:spacing w:line="480" w:lineRule="auto"/>
      </w:pPr>
      <w:r>
        <w:t xml:space="preserve">What identification buys</w:t>
      </w:r>
    </w:p>
    <w:p>
      <w:pPr>
        <w:pStyle w:val="FirstParagraph"/>
        <w:spacing w:line="480" w:lineRule="auto"/>
      </w:pPr>
      <w:r>
        <w:t xml:space="preserve">The payoff is a reproducible test of a claim that would otherwise stay rhetorical. Before this design, the proposition that anti-satellite brinkmanship follows domestic-signaling logic lived only in argument. After it, the proposition has a documentary shadow that can be measured, and the measurement can come back positive, negative, or null. That is the identification contribution. Not an inflated finding, but a disciplined path from a political question to an auditable number, with the boundary of inference marked at every step</w:t>
      </w:r>
      <w:r>
        <w:t xml:space="preserve"> </w:t>
      </w:r>
      <w:hyperlink w:anchor="ref-5">
        <w:r>
          <w:rPr>
            <w:rStyle w:val="Hyperlink"/>
          </w:rPr>
          <w:t xml:space="preserve">[5]</w:t>
        </w:r>
      </w:hyperlink>
      <w:r>
        <w:t xml:space="preserve"> </w:t>
      </w:r>
      <w:hyperlink w:anchor="ref-7">
        <w:r>
          <w:rPr>
            <w:rStyle w:val="Hyperlink"/>
          </w:rPr>
          <w:t xml:space="preserve">[7]</w:t>
        </w:r>
      </w:hyperlink>
      <w:r>
        <w:t xml:space="preserve"> </w:t>
      </w:r>
      <w:hyperlink w:anchor="ref-8">
        <w:r>
          <w:rPr>
            <w:rStyle w:val="Hyperlink"/>
          </w:rPr>
          <w:t xml:space="preserve">[8]</w:t>
        </w:r>
      </w:hyperlink>
      <w:r>
        <w:t xml:space="preserve">.</w:t>
      </w:r>
    </w:p>
    <w:bookmarkEnd w:id="100"/>
    <w:bookmarkStart w:id="101" w:name="the-two-estimators-as-a-diagnostic-pair"/>
    <w:p>
      <w:pPr>
        <w:pStyle w:val="Heading2"/>
        <w:spacing w:line="480" w:lineRule="auto"/>
      </w:pPr>
      <w:r>
        <w:t xml:space="preserve">The two estimators as a diagnostic pair</w:t>
      </w:r>
    </w:p>
    <w:p>
      <w:pPr>
        <w:pStyle w:val="FirstParagraph"/>
        <w:spacing w:line="480" w:lineRule="auto"/>
      </w:pPr>
      <w:r>
        <w:t xml:space="preserve">Read as a pair, the estimators function as a diagnostic instrument for the corpus itself, and this diagnostic role is worth naming because it survives even when both models return weak results. Paper 1 asks whether the corpus is organized cross-sectionally: do records that differ in observable fields differ systematically in topic signal? Paper 2 asks whether it is organized temporally: does attention accumulate lawfully with age? A corpus could pass one test and fail the other, and each of the four combinations carries a distinct meaning</w:t>
      </w:r>
      <w:r>
        <w:t xml:space="preserve"> </w:t>
      </w:r>
      <w:hyperlink w:anchor="ref-4">
        <w:r>
          <w:rPr>
            <w:rStyle w:val="Hyperlink"/>
          </w:rPr>
          <w:t xml:space="preserve">[4]</w:t>
        </w:r>
      </w:hyperlink>
      <w:r>
        <w:t xml:space="preserve">. Cross-sectional structure without temporal structure would indicate a field organized by attention at a moment but not yet settled into an accumulation pattern. Neither kind of structure, which is close to what the data show, indicates a corpus too small or too young to register the political dynamic at all</w:t>
      </w:r>
      <w:r>
        <w:t xml:space="preserve"> </w:t>
      </w:r>
      <w:hyperlink w:anchor="ref-5">
        <w:r>
          <w:rPr>
            <w:rStyle w:val="Hyperlink"/>
          </w:rPr>
          <w:t xml:space="preserve">[5]</w:t>
        </w:r>
      </w:hyperlink>
      <w:r>
        <w:t xml:space="preserve"> </w:t>
      </w:r>
      <w:hyperlink w:anchor="ref-12">
        <w:r>
          <w:rPr>
            <w:rStyle w:val="Hyperlink"/>
          </w:rPr>
          <w:t xml:space="preserve">[12]</w:t>
        </w:r>
      </w:hyperlink>
      <w:r>
        <w:t xml:space="preserve">. The diagnostic framing changes how a null result should be received. In a single-model design, a null looks like failure; in this paired design, a null on both estimators is a positive diagnosis about corpus maturity, which is actionable information for the next study</w:t>
      </w:r>
      <w:r>
        <w:t xml:space="preserve"> </w:t>
      </w:r>
      <w:hyperlink w:anchor="ref-6">
        <w:r>
          <w:rPr>
            <w:rStyle w:val="Hyperlink"/>
          </w:rPr>
          <w:t xml:space="preserve">[6]</w:t>
        </w:r>
      </w:hyperlink>
      <w:r>
        <w:t xml:space="preserve">. It tells the follow-on researcher that the problem is not the mechanism or the estimator but the size and age of the evidence base, and that the remedy is a larger, older corpus rather than a different model. Identification, in this design, therefore extends beyond estimating coefficients to characterizing the data-generating context, and the pair of estimators is what makes that characterization possible</w:t>
      </w:r>
      <w:r>
        <w:t xml:space="preserve"> </w:t>
      </w:r>
      <w:hyperlink w:anchor="ref-1">
        <w:r>
          <w:rPr>
            <w:rStyle w:val="Hyperlink"/>
          </w:rPr>
          <w:t xml:space="preserve">[1]</w:t>
        </w:r>
      </w:hyperlink>
      <w:r>
        <w:t xml:space="preserve"> </w:t>
      </w:r>
      <w:hyperlink w:anchor="ref-7">
        <w:r>
          <w:rPr>
            <w:rStyle w:val="Hyperlink"/>
          </w:rPr>
          <w:t xml:space="preserve">[7]</w:t>
        </w:r>
      </w:hyperlink>
      <w:r>
        <w:t xml:space="preserve">.</w:t>
      </w:r>
    </w:p>
    <w:bookmarkEnd w:id="101"/>
    <w:bookmarkStart w:id="102" w:name="why-hc1-rather-than-a-bootstrap"/>
    <w:p>
      <w:pPr>
        <w:pStyle w:val="Heading2"/>
        <w:spacing w:line="480" w:lineRule="auto"/>
      </w:pPr>
      <w:r>
        <w:t xml:space="preserve">Why HC1 rather than a bootstrap</w:t>
      </w:r>
    </w:p>
    <w:p>
      <w:pPr>
        <w:pStyle w:val="FirstParagraph"/>
        <w:spacing w:line="480" w:lineRule="auto"/>
      </w:pPr>
      <w:r>
        <w:t xml:space="preserve">One more methodological choice deserves defense. With thirty observations, a bootstrap of the standard errors was available and is sometimes preferred at small samples, yet the design uses the analytic HC1 correction instead. The reason is transparency and determinism. A bootstrap introduces a random resampling step whose result depends on a seed, which complicates exact reproduction, whereas the HC1 estimator is a closed-form calculation that yields the same standard errors on every run from the same rows</w:t>
      </w:r>
      <w:r>
        <w:t xml:space="preserve"> </w:t>
      </w:r>
      <w:hyperlink w:anchor="ref-9">
        <w:r>
          <w:rPr>
            <w:rStyle w:val="Hyperlink"/>
          </w:rPr>
          <w:t xml:space="preserve">[9]</w:t>
        </w:r>
      </w:hyperlink>
      <w:r>
        <w:t xml:space="preserve">. For a design whose central promise is that any reader can recompute every number deterministically, a closed-form robust estimator fits the commitment better than a resampling method, even granting that a bootstrap might perform marginally better in some small-sample scenarios. The choice trades a small potential efficiency gain for exact reproducibility, which is the right trade for this dissertation’s purposes</w:t>
      </w:r>
      <w:r>
        <w:t xml:space="preserve"> </w:t>
      </w:r>
      <w:hyperlink w:anchor="ref-2">
        <w:r>
          <w:rPr>
            <w:rStyle w:val="Hyperlink"/>
          </w:rPr>
          <w:t xml:space="preserve">[2]</w:t>
        </w:r>
      </w:hyperlink>
      <w:r>
        <w:t xml:space="preserve"> </w:t>
      </w:r>
      <w:hyperlink w:anchor="ref-5">
        <w:r>
          <w:rPr>
            <w:rStyle w:val="Hyperlink"/>
          </w:rPr>
          <w:t xml:space="preserve">[5]</w:t>
        </w:r>
      </w:hyperlink>
      <w:r>
        <w:t xml:space="preserve">. When the entire credibility of a design rests on a reader being able to reproduce every figure exactly, a method that could yield slightly different standard errors on a different random seed is a liability the design has no reason to accept</w:t>
      </w:r>
      <w:r>
        <w:t xml:space="preserve"> </w:t>
      </w:r>
      <w:hyperlink w:anchor="ref-9">
        <w:r>
          <w:rPr>
            <w:rStyle w:val="Hyperlink"/>
          </w:rPr>
          <w:t xml:space="preserve">[9]</w:t>
        </w:r>
      </w:hyperlink>
      <w:r>
        <w:t xml:space="preserve">. The closed-form choice makes the identification claim and the reproducibility claim one and the same: the numbers are what they are because the estimator is deterministic, and their determinism is precisely what lets an outside reader confirm them</w:t>
      </w:r>
      <w:r>
        <w:t xml:space="preserve"> </w:t>
      </w:r>
      <w:hyperlink w:anchor="ref-2">
        <w:r>
          <w:rPr>
            <w:rStyle w:val="Hyperlink"/>
          </w:rPr>
          <w:t xml:space="preserve">[2]</w:t>
        </w:r>
      </w:hyperlink>
      <w:r>
        <w:t xml:space="preserve">.</w:t>
      </w:r>
    </w:p>
    <w:bookmarkEnd w:id="102"/>
    <w:bookmarkEnd w:id="103"/>
    <w:bookmarkStart w:id="115" w:name="chapter-5.-data-and-measurement"/>
    <w:p>
      <w:pPr>
        <w:pStyle w:val="Heading1"/>
        <w:spacing w:line="480" w:lineRule="auto"/>
      </w:pPr>
      <w:r>
        <w:t xml:space="preserve">Chapter 5. Data and Measurement</w:t>
      </w:r>
    </w:p>
    <w:p>
      <w:pPr>
        <w:pStyle w:val="FirstParagraph"/>
        <w:spacing w:line="480" w:lineRule="auto"/>
      </w:pPr>
      <w:r>
        <w:t xml:space="preserve">Data is where a dissertation either earns trust or loses it. This chapter documents exactly what the thirty records are, where each variable comes from, and how a reader can walk from a dissertation claim back to a single row and confirm it. The strategy is transparency over volume. The sample is small, and the design compensates by making every observation traceable</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3">
        <w:r>
          <w:rPr>
            <w:rStyle w:val="Hyperlink"/>
          </w:rPr>
          <w:t xml:space="preserve">[3]</w:t>
        </w:r>
      </w:hyperlink>
      <w:r>
        <w:t xml:space="preserve">.</w:t>
      </w:r>
    </w:p>
    <w:bookmarkStart w:id="104" w:name="the-sample"/>
    <w:p>
      <w:pPr>
        <w:pStyle w:val="Heading2"/>
        <w:spacing w:line="480" w:lineRule="auto"/>
      </w:pPr>
      <w:r>
        <w:t xml:space="preserve">The sample</w:t>
      </w:r>
    </w:p>
    <w:p>
      <w:pPr>
        <w:pStyle w:val="FirstParagraph"/>
        <w:spacing w:line="480" w:lineRule="auto"/>
      </w:pPr>
      <w:r>
        <w:t xml:space="preserve">The estimation file for both papers contains thirty retrieved source records, drawn from the candidate’s local source files and reference pool.</w:t>
      </w:r>
    </w:p>
    <w:p>
      <w:pPr>
        <w:pStyle w:val="BodyText"/>
        <w:spacing w:line="480" w:lineRule="auto"/>
        <w:ind w:firstLine="720"/>
      </w:pPr>
      <w:r>
        <w:t xml:space="preserve">Each row carries a document identifier, a publication year, the constructed variables, and a source field that names the underlying record, either a resolvable DOI or a direct link to the retrieved document. That source field is the spine of auditability. It means no observation is anonymous. A reader who questions the topic-signal score for record fourteen can open the underlying Acta Astronautica article on uncontrolled reentries and aviation safety, at DOI 10.1016/j.actaastro.2024.05.026, and inspect the metadata the score was built from</w:t>
      </w:r>
      <w:r>
        <w:t xml:space="preserve"> </w:t>
      </w:r>
      <w:hyperlink w:anchor="ref-10">
        <w:r>
          <w:rPr>
            <w:rStyle w:val="Hyperlink"/>
          </w:rPr>
          <w:t xml:space="preserve">[10]</w:t>
        </w:r>
      </w:hyperlink>
      <w:r>
        <w:t xml:space="preserve">.</w:t>
      </w:r>
    </w:p>
    <w:p>
      <w:pPr>
        <w:pStyle w:val="BodyText"/>
        <w:spacing w:line="480" w:lineRule="auto"/>
        <w:ind w:firstLine="720"/>
      </w:pPr>
      <w:r>
        <w:t xml:space="preserve">The thirty records span publication years from 2011 to 2026, and they fall into three venue families.</w:t>
      </w:r>
    </w:p>
    <w:p>
      <w:pPr>
        <w:pStyle w:val="BodyText"/>
        <w:spacing w:line="480" w:lineRule="auto"/>
        <w:ind w:firstLine="720"/>
      </w:pPr>
      <w:r>
        <w:t xml:space="preserve">The AMOS conference records, coded venue-family one, include foundational situational-awareness work such as the 2011 AFSPC activities overview and the 2012 human-centric survey</w:t>
      </w:r>
      <w:r>
        <w:t xml:space="preserve"> </w:t>
      </w:r>
      <w:hyperlink w:anchor="ref-8">
        <w:r>
          <w:rPr>
            <w:rStyle w:val="Hyperlink"/>
          </w:rPr>
          <w:t xml:space="preserve">[8]</w:t>
        </w:r>
      </w:hyperlink>
      <w:r>
        <w:t xml:space="preserve"> </w:t>
      </w:r>
      <w:hyperlink w:anchor="ref-6">
        <w:r>
          <w:rPr>
            <w:rStyle w:val="Hyperlink"/>
          </w:rPr>
          <w:t xml:space="preserve">[6]</w:t>
        </w:r>
      </w:hyperlink>
      <w:r>
        <w:t xml:space="preserve">. The Acta Astronautica records, coded venue-family two, form the largest block and include the Cosmos 1408 fragmentation analysis and the laser-utilization governance study</w:t>
      </w:r>
      <w:r>
        <w:t xml:space="preserve"> </w:t>
      </w:r>
      <w:hyperlink w:anchor="ref-12">
        <w:r>
          <w:rPr>
            <w:rStyle w:val="Hyperlink"/>
          </w:rPr>
          <w:t xml:space="preserve">[12]</w:t>
        </w:r>
      </w:hyperlink>
      <w:r>
        <w:t xml:space="preserve"> </w:t>
      </w:r>
      <w:hyperlink w:anchor="ref-9">
        <w:r>
          <w:rPr>
            <w:rStyle w:val="Hyperlink"/>
          </w:rPr>
          <w:t xml:space="preserve">[9]</w:t>
        </w:r>
      </w:hyperlink>
      <w:r>
        <w:t xml:space="preserve">. The space-economy records, coded venue-family three, cover the commercial and forecasting literature that frames orbital crowding as an economic externality</w:t>
      </w:r>
      <w:r>
        <w:t xml:space="preserve"> </w:t>
      </w:r>
      <w:hyperlink w:anchor="ref-5">
        <w:r>
          <w:rPr>
            <w:rStyle w:val="Hyperlink"/>
          </w:rPr>
          <w:t xml:space="preserve">[5]</w:t>
        </w:r>
      </w:hyperlink>
      <w:r>
        <w:t xml:space="preserve">. The spread is intentional. It lets venue family enter Paper 1 as an ordinal predictor rather than a constant.</w:t>
      </w:r>
    </w:p>
    <w:bookmarkEnd w:id="104"/>
    <w:bookmarkStart w:id="105" w:name="Xbb1f43b2819afe4aa2eb9dc61ed216b450f9508"/>
    <w:p>
      <w:pPr>
        <w:pStyle w:val="Heading2"/>
        <w:spacing w:line="480" w:lineRule="auto"/>
      </w:pPr>
      <w:r>
        <w:t xml:space="preserve">Constructing the outcome: topic-signal score</w:t>
      </w:r>
    </w:p>
    <w:p>
      <w:pPr>
        <w:pStyle w:val="FirstParagraph"/>
        <w:spacing w:line="480" w:lineRule="auto"/>
      </w:pPr>
      <w:r>
        <w:t xml:space="preserve">The outcome for Paper 1 is the composite topic-signal score. It is a deterministic count, not a judgment call. For each retrieved record, the construction counts candidate-theme term hits across four metadata fields: the source title, the retrieved snippet, the keyword field, and the author metadata. Each hit increments the score, and the resulting integer is recorded alongside the source citation in the source column. Because the count is deterministic, two analysts running the construction on the same record will produce the same score, which is the property a proxy needs if it is going to bear any inferential weight</w:t>
      </w:r>
      <w:r>
        <w:t xml:space="preserve"> </w:t>
      </w:r>
      <w:hyperlink w:anchor="ref-1">
        <w:r>
          <w:rPr>
            <w:rStyle w:val="Hyperlink"/>
          </w:rPr>
          <w:t xml:space="preserve">[1]</w:t>
        </w:r>
      </w:hyperlink>
      <w:r>
        <w:t xml:space="preserve">. The score ranges from one to seven across the thirty records. The maximum, seven, belongs to record five, the VISION integrated monitoring study, whose long title and dense keyword field register many theme hits</w:t>
      </w:r>
      <w:r>
        <w:t xml:space="preserve"> </w:t>
      </w:r>
      <w:hyperlink w:anchor="ref-4">
        <w:r>
          <w:rPr>
            <w:rStyle w:val="Hyperlink"/>
          </w:rPr>
          <w:t xml:space="preserve">[4]</w:t>
        </w:r>
      </w:hyperlink>
      <w:r>
        <w:t xml:space="preserve">. The minimum, one, appears on several low-metadata records, including two 2026 Acta Astronautica entries whose snippets and keyword fields carried few candidate-theme terms. That range matters for interpretation. A topic-signal score is a measure of how loudly a record announces the candidate theme in its own metadata, not a measure of the record’s scientific quality or policy importance</w:t>
      </w:r>
      <w:r>
        <w:t xml:space="preserve"> </w:t>
      </w:r>
      <w:hyperlink w:anchor="ref-6">
        <w:r>
          <w:rPr>
            <w:rStyle w:val="Hyperlink"/>
          </w:rPr>
          <w:t xml:space="preserve">[6]</w:t>
        </w:r>
      </w:hyperlink>
      <w:r>
        <w:t xml:space="preserve">.</w:t>
      </w:r>
    </w:p>
    <w:bookmarkEnd w:id="105"/>
    <w:bookmarkStart w:id="106" w:name="constructing-the-predictors"/>
    <w:p>
      <w:pPr>
        <w:pStyle w:val="Heading2"/>
        <w:spacing w:line="480" w:lineRule="auto"/>
      </w:pPr>
      <w:r>
        <w:t xml:space="preserve">Constructing the predictors</w:t>
      </w:r>
    </w:p>
    <w:p>
      <w:pPr>
        <w:pStyle w:val="FirstParagraph"/>
        <w:spacing w:line="480" w:lineRule="auto"/>
      </w:pPr>
      <w:r>
        <w:t xml:space="preserve">Recency index is the simplest predictor. It is computed as the publication year minus the minimum publication year in the sample plus one, so the oldest record scores one and each later year adds a unit. The 2011 AFSPC record scores one; the 2026 Acta Astronautica records score sixteen</w:t>
      </w:r>
      <w:r>
        <w:t xml:space="preserve"> </w:t>
      </w:r>
      <w:hyperlink w:anchor="ref-8">
        <w:r>
          <w:rPr>
            <w:rStyle w:val="Hyperlink"/>
          </w:rPr>
          <w:t xml:space="preserve">[8]</w:t>
        </w:r>
      </w:hyperlink>
      <w:r>
        <w:t xml:space="preserve">. Recency is a within-sample ordinal, not a calendar date, which keeps the predictor on a clean integer scale for the regression. Reported citation count comes from the local brain index. It is parsed directly from the index’s cites field and set to zero when the index reported no count. This is the predictor most exposed to the proxy critique, and the data show why. Most records report zero citations, because they are either conference papers the local index does not track for citations or very recent articles that have not yet accumulated any. A handful of Acta Astronautica records carry substantial counts: record fifteen reports eighteen, and records sixteen and twenty-two each report twenty-one</w:t>
      </w:r>
      <w:r>
        <w:t xml:space="preserve"> </w:t>
      </w:r>
      <w:hyperlink w:anchor="ref-15">
        <w:r>
          <w:rPr>
            <w:rStyle w:val="Hyperlink"/>
          </w:rPr>
          <w:t xml:space="preserve">[15]</w:t>
        </w:r>
      </w:hyperlink>
      <w:r>
        <w:t xml:space="preserve"> </w:t>
      </w:r>
      <w:hyperlink w:anchor="ref-12">
        <w:r>
          <w:rPr>
            <w:rStyle w:val="Hyperlink"/>
          </w:rPr>
          <w:t xml:space="preserve">[12]</w:t>
        </w:r>
      </w:hyperlink>
      <w:r>
        <w:t xml:space="preserve">. The citation variable is therefore sparse and right-skewed, a fact that shapes both estimators.</w:t>
      </w:r>
    </w:p>
    <w:p>
      <w:pPr>
        <w:pStyle w:val="BodyText"/>
        <w:spacing w:line="480" w:lineRule="auto"/>
        <w:ind w:firstLine="720"/>
      </w:pPr>
      <w:r>
        <w:t xml:space="preserve">Venue-family score is the ordinal venue coding: AMOS equals one, Acta Astronautica equals two, space economy equals three.</w:t>
      </w:r>
    </w:p>
    <w:p>
      <w:pPr>
        <w:pStyle w:val="BodyText"/>
        <w:spacing w:line="480" w:lineRule="auto"/>
        <w:ind w:firstLine="720"/>
      </w:pPr>
      <w:r>
        <w:t xml:space="preserve">The ordering is a coding convention, not a claim that space-economy venues are three times as important as AMOS venues. Chapter 4 already flagged the risk of overreading an ordinal, and the data section restates it here because the venue coefficient in Paper 1 will need that caution when it is interpreted</w:t>
      </w:r>
      <w:r>
        <w:t xml:space="preserve"> </w:t>
      </w:r>
      <w:hyperlink w:anchor="ref-9">
        <w:r>
          <w:rPr>
            <w:rStyle w:val="Hyperlink"/>
          </w:rPr>
          <w:t xml:space="preserve">[9]</w:t>
        </w:r>
      </w:hyperlink>
      <w:r>
        <w:t xml:space="preserve">.</w:t>
      </w:r>
    </w:p>
    <w:bookmarkEnd w:id="106"/>
    <w:bookmarkStart w:id="107" w:name="the-distribution-of-the-variables"/>
    <w:p>
      <w:pPr>
        <w:pStyle w:val="Heading2"/>
        <w:spacing w:line="480" w:lineRule="auto"/>
      </w:pPr>
      <w:r>
        <w:t xml:space="preserve">The distribution of the variables</w:t>
      </w:r>
    </w:p>
    <w:p>
      <w:pPr>
        <w:pStyle w:val="FirstParagraph"/>
        <w:spacing w:line="480" w:lineRule="auto"/>
      </w:pPr>
      <w:r>
        <w:t xml:space="preserve">Numbers describe a dataset better than adjectives, so consider the actual distributions. Topic-signal score across the thirty records has a mean near four and a half, which is why Paper 1’s constant lands there, and it ranges from one to seven with most records clustered between two and five. The variable is neither degenerate nor richly spread; it has enough variation to model but not so much that the model can explain a large share of it</w:t>
      </w:r>
      <w:r>
        <w:t xml:space="preserve"> </w:t>
      </w:r>
      <w:hyperlink w:anchor="ref-4">
        <w:r>
          <w:rPr>
            <w:rStyle w:val="Hyperlink"/>
          </w:rPr>
          <w:t xml:space="preserve">[4]</w:t>
        </w:r>
      </w:hyperlink>
      <w:r>
        <w:t xml:space="preserve"> </w:t>
      </w:r>
      <w:hyperlink w:anchor="ref-6">
        <w:r>
          <w:rPr>
            <w:rStyle w:val="Hyperlink"/>
          </w:rPr>
          <w:t xml:space="preserve">[6]</w:t>
        </w:r>
      </w:hyperlink>
      <w:r>
        <w:t xml:space="preserve">. Recency index runs from one, for the 2011 AFSPC record, to sixteen, for the two 2026 Acta Astronautica entries, and it is fairly evenly populated across the middle years, which gives the recency predictor real leverage even though it ends up carrying no signal</w:t>
      </w:r>
      <w:r>
        <w:t xml:space="preserve"> </w:t>
      </w:r>
      <w:hyperlink w:anchor="ref-8">
        <w:r>
          <w:rPr>
            <w:rStyle w:val="Hyperlink"/>
          </w:rPr>
          <w:t xml:space="preserve">[8]</w:t>
        </w:r>
      </w:hyperlink>
      <w:r>
        <w:t xml:space="preserve">. Citation count is the problem variable, and its distribution explains most of what happens in both papers. Of the thirty records, the large majority report zero citations, and the nonzero values are concentrated in a few Acta Astronautica articles: eighteen for the horticulture-and-space analog study, twenty-one each for the Cosmos 1408 fragmentation analysis and one other 2023 article, and single-digit counts for a handful more</w:t>
      </w:r>
      <w:r>
        <w:t xml:space="preserve"> </w:t>
      </w:r>
      <w:hyperlink w:anchor="ref-15">
        <w:r>
          <w:rPr>
            <w:rStyle w:val="Hyperlink"/>
          </w:rPr>
          <w:t xml:space="preserve">[15]</w:t>
        </w:r>
      </w:hyperlink>
      <w:r>
        <w:t xml:space="preserve"> </w:t>
      </w:r>
      <w:hyperlink w:anchor="ref-12">
        <w:r>
          <w:rPr>
            <w:rStyle w:val="Hyperlink"/>
          </w:rPr>
          <w:t xml:space="preserve">[12]</w:t>
        </w:r>
      </w:hyperlink>
      <w:r>
        <w:t xml:space="preserve">. A variable that is mostly zeros with a few large values is right-skewed and heavy-tailed, and it behaves very differently in a linear model than a symmetric predictor would. In Paper 1 this skew means the citation coefficient is effectively estimated off a small number of influential records, which is why the design flags that its marginal significance rests on thin support. In Paper 2 the same skew is the reason the plus-one transformation and the logarithm are not optional but structural.</w:t>
      </w:r>
    </w:p>
    <w:p>
      <w:pPr>
        <w:pStyle w:val="BodyText"/>
        <w:spacing w:line="480" w:lineRule="auto"/>
        <w:ind w:firstLine="720"/>
      </w:pPr>
      <w:r>
        <w:t xml:space="preserve">Venue-family score is the most concentrated predictor. The Acta Astronautica block dominates the sample, the AMOS conference records form a substantial minority, and the space-economy records are the smallest group. Because venue family also correlates with citation culture, more citations accrue in the archival journal block, the venue and citation predictors are partly entangled, and the regression must apportion their overlapping information</w:t>
      </w:r>
      <w:r>
        <w:t xml:space="preserve"> </w:t>
      </w:r>
      <w:hyperlink w:anchor="ref-9">
        <w:r>
          <w:rPr>
            <w:rStyle w:val="Hyperlink"/>
          </w:rPr>
          <w:t xml:space="preserve">[9]</w:t>
        </w:r>
      </w:hyperlink>
      <w:r>
        <w:t xml:space="preserve">. That entanglement is one reason the venue coefficient comes back imprecise: some of what venue might explain has already been claimed by citations, and vice versa.</w:t>
      </w:r>
    </w:p>
    <w:bookmarkEnd w:id="107"/>
    <w:bookmarkStart w:id="108" w:name="constructing-paper-2s-variables"/>
    <w:p>
      <w:pPr>
        <w:pStyle w:val="Heading2"/>
        <w:spacing w:line="480" w:lineRule="auto"/>
      </w:pPr>
      <w:r>
        <w:t xml:space="preserve">Constructing Paper 2’s variables</w:t>
      </w:r>
    </w:p>
    <w:p>
      <w:pPr>
        <w:pStyle w:val="FirstParagraph"/>
        <w:spacing w:line="480" w:lineRule="auto"/>
      </w:pPr>
      <w:r>
        <w:t xml:space="preserve">Paper 2 reuses the same thirty records but reshapes two variables for the temporal question. The outcome is citation count plus one, formed by adding one to the reported citation count so that the logarithm is defined even for the many uncited records. Without the plus-one transformation, the design would silently discard every zero-citation record, which is most of the sample, and the surviving estimate would describe only the cited minority</w:t>
      </w:r>
      <w:r>
        <w:t xml:space="preserve"> </w:t>
      </w:r>
      <w:hyperlink w:anchor="ref-12">
        <w:r>
          <w:rPr>
            <w:rStyle w:val="Hyperlink"/>
          </w:rPr>
          <w:t xml:space="preserve">[12]</w:t>
        </w:r>
      </w:hyperlink>
      <w:r>
        <w:t xml:space="preserve">. The predictor is the document age index, computed as 2026 minus the publication year plus one, so a 2026 record scores one and the 2011 record scores sixteen. Age and recency are mirror images by construction, which is expected and harmless as long as the two papers are read separately.</w:t>
      </w:r>
    </w:p>
    <w:bookmarkEnd w:id="108"/>
    <w:bookmarkStart w:id="109" w:name="what-the-sources-actually-are"/>
    <w:p>
      <w:pPr>
        <w:pStyle w:val="Heading2"/>
        <w:spacing w:line="480" w:lineRule="auto"/>
      </w:pPr>
      <w:r>
        <w:t xml:space="preserve">What the sources actually are</w:t>
      </w:r>
    </w:p>
    <w:p>
      <w:pPr>
        <w:pStyle w:val="FirstParagraph"/>
        <w:spacing w:line="480" w:lineRule="auto"/>
      </w:pPr>
      <w:r>
        <w:t xml:space="preserve">It is worth naming a few of the underlying records so the reader can judge the corpus for herself rather than trusting a summary. Record one is the Aerospace Security Project’s overview of global situational-awareness trends, a survey document that frames the whole enterprise</w:t>
      </w:r>
      <w:r>
        <w:t xml:space="preserve"> </w:t>
      </w:r>
      <w:hyperlink w:anchor="ref-1">
        <w:r>
          <w:rPr>
            <w:rStyle w:val="Hyperlink"/>
          </w:rPr>
          <w:t xml:space="preserve">[1]</w:t>
        </w:r>
      </w:hyperlink>
      <w:r>
        <w:t xml:space="preserve">. Record two is the geostationary strategic-stability analysis linking collision risk to attribution potential, one of the conceptual anchors of the audience-cost framing</w:t>
      </w:r>
      <w:r>
        <w:t xml:space="preserve"> </w:t>
      </w:r>
      <w:hyperlink w:anchor="ref-2">
        <w:r>
          <w:rPr>
            <w:rStyle w:val="Hyperlink"/>
          </w:rPr>
          <w:t xml:space="preserve">[2]</w:t>
        </w:r>
      </w:hyperlink>
      <w:r>
        <w:t xml:space="preserve">. Record four is the Harrison comparative study of international perspectives on space weapons, which supplies the framing-differs-across-states evidence</w:t>
      </w:r>
      <w:r>
        <w:t xml:space="preserve"> </w:t>
      </w:r>
      <w:hyperlink w:anchor="ref-3">
        <w:r>
          <w:rPr>
            <w:rStyle w:val="Hyperlink"/>
          </w:rPr>
          <w:t xml:space="preserve">[3]</w:t>
        </w:r>
      </w:hyperlink>
      <w:r>
        <w:t xml:space="preserve">. Record five is the VISION integrated monitoring study, the highest-scoring record on topic signal</w:t>
      </w:r>
      <w:r>
        <w:t xml:space="preserve"> </w:t>
      </w:r>
      <w:hyperlink w:anchor="ref-4">
        <w:r>
          <w:rPr>
            <w:rStyle w:val="Hyperlink"/>
          </w:rPr>
          <w:t xml:space="preserve">[4]</w:t>
        </w:r>
      </w:hyperlink>
      <w:r>
        <w:t xml:space="preserve">. Records sixteen and twenty-two are the heavily cited 2023 Acta Astronautica articles that anchor the citation distribution, and record fourteen is the 2024 reentry-safety analysis that connects orbital hazard to aviation regulation</w:t>
      </w:r>
      <w:r>
        <w:t xml:space="preserve"> </w:t>
      </w:r>
      <w:hyperlink w:anchor="ref-10">
        <w:r>
          <w:rPr>
            <w:rStyle w:val="Hyperlink"/>
          </w:rPr>
          <w:t xml:space="preserve">[10]</w:t>
        </w:r>
      </w:hyperlink>
      <w:r>
        <w:t xml:space="preserve"> </w:t>
      </w:r>
      <w:hyperlink w:anchor="ref-12">
        <w:r>
          <w:rPr>
            <w:rStyle w:val="Hyperlink"/>
          </w:rPr>
          <w:t xml:space="preserve">[12]</w:t>
        </w:r>
      </w:hyperlink>
      <w:r>
        <w:t xml:space="preserve">. These are not obscure entries. They are recognizable landmarks of the space-security literature, which supports the claim that the corpus, though small, is not arbitrary.</w:t>
      </w:r>
    </w:p>
    <w:p>
      <w:pPr>
        <w:pStyle w:val="BodyText"/>
        <w:spacing w:line="480" w:lineRule="auto"/>
        <w:ind w:firstLine="720"/>
      </w:pPr>
      <w:r>
        <w:t xml:space="preserve">The space-economy block warrants its own note because it behaves differently from the rest. Several of these records, including a forecasting study of the space economy and a whole-of-nation strategy document, carry empty snippet and keyword fields in the retrieval, which is why their topic-signal scores sit low and their metadata density is thin</w:t>
      </w:r>
      <w:r>
        <w:t xml:space="preserve"> </w:t>
      </w:r>
      <w:hyperlink w:anchor="ref-5">
        <w:r>
          <w:rPr>
            <w:rStyle w:val="Hyperlink"/>
          </w:rPr>
          <w:t xml:space="preserve">[5]</w:t>
        </w:r>
      </w:hyperlink>
      <w:r>
        <w:t xml:space="preserve">. One record in this block preserves a full descriptive passage in place of a snippet, a framing of orbital crowding and debris as a tragedy-of-the-commons externality, and it scores higher on topic signal as a result. The heterogeneity within the venue-three block is real, and it is one reason venue-family score is a coarse instrument that the analysis treats with caution</w:t>
      </w:r>
      <w:r>
        <w:t xml:space="preserve"> </w:t>
      </w:r>
      <w:hyperlink w:anchor="ref-9">
        <w:r>
          <w:rPr>
            <w:rStyle w:val="Hyperlink"/>
          </w:rPr>
          <w:t xml:space="preserve">[9]</w:t>
        </w:r>
      </w:hyperlink>
      <w:r>
        <w:t xml:space="preserve">.</w:t>
      </w:r>
    </w:p>
    <w:bookmarkEnd w:id="109"/>
    <w:bookmarkStart w:id="110" w:name="provenance-and-reproducibility"/>
    <w:p>
      <w:pPr>
        <w:pStyle w:val="Heading2"/>
        <w:spacing w:line="480" w:lineRule="auto"/>
      </w:pPr>
      <w:r>
        <w:t xml:space="preserve">Provenance and reproducibility</w:t>
      </w:r>
    </w:p>
    <w:p>
      <w:pPr>
        <w:pStyle w:val="FirstParagraph"/>
        <w:spacing w:line="480" w:lineRule="auto"/>
      </w:pPr>
      <w:r>
        <w:t xml:space="preserve">The data strategy nests four artifacts. The bibliography and source metadata establish the universe of eligible records. The paper CSV files define the rows and their variable values. The configuration files define each variable and the estimator formula. The workbooks reproduce the estimator output from the CSV rows. The dissertation narrative sits downstream of all four, never upstream. That ordering is what makes the design auditable: every claim in Chapter 6 can be traced to a workbook cell, every workbook cell to a CSV row, every CSV row to a source citation, and every source citation to a retrieved document</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bookmarkEnd w:id="110"/>
    <w:bookmarkStart w:id="111" w:name="the-auditability-chain-in-practice"/>
    <w:p>
      <w:pPr>
        <w:pStyle w:val="Heading2"/>
        <w:spacing w:line="480" w:lineRule="auto"/>
      </w:pPr>
      <w:r>
        <w:t xml:space="preserve">The auditability chain in practice</w:t>
      </w:r>
    </w:p>
    <w:p>
      <w:pPr>
        <w:pStyle w:val="FirstParagraph"/>
        <w:spacing w:line="480" w:lineRule="auto"/>
      </w:pPr>
      <w:r>
        <w:t xml:space="preserve">To see the auditability chain work, trace a single claim from prose to source. Chapter 6 reports that citation attention carries the strongest structural signal in Paper 1. That claim rests on the citation coefficient in the workbook, which was estimated from the cites_num column of the Paper 1 data file. That column, for record sixteen, reads twenty-one, and record sixteen’s source field points to the 2023 Acta Astronautica fragmentation analysis at DOI 10.1016/j.actaastro.2023.02.043</w:t>
      </w:r>
      <w:r>
        <w:t xml:space="preserve"> </w:t>
      </w:r>
      <w:hyperlink w:anchor="ref-12">
        <w:r>
          <w:rPr>
            <w:rStyle w:val="Hyperlink"/>
          </w:rPr>
          <w:t xml:space="preserve">[12]</w:t>
        </w:r>
      </w:hyperlink>
      <w:r>
        <w:t xml:space="preserve">. A reader who doubts the twenty-one can open that article’s record in the local index and check the parsed citation field. Every link in that chain is inspectable, and the same trace can be run for any of the thirty records. This is what auditability means concretely: not a promise of transparency but a walkable path from sentence to source</w:t>
      </w:r>
      <w:r>
        <w:t xml:space="preserve"> </w:t>
      </w:r>
      <w:hyperlink w:anchor="ref-4">
        <w:r>
          <w:rPr>
            <w:rStyle w:val="Hyperlink"/>
          </w:rPr>
          <w:t xml:space="preserve">[4]</w:t>
        </w:r>
      </w:hyperlink>
      <w:r>
        <w:t xml:space="preserve">. The chain also disciplines the writing. Because every claim must terminate in a workbook cell, the prose cannot drift into assertions the data do not contain. A sentence that cannot be traced to a row is a sentence that does not belong in the dissertation, and the four-artifact structure enforces that rule mechanically rather than relying on the author’s vigilance</w:t>
      </w:r>
      <w:r>
        <w:t xml:space="preserve"> </w:t>
      </w:r>
      <w:hyperlink w:anchor="ref-1">
        <w:r>
          <w:rPr>
            <w:rStyle w:val="Hyperlink"/>
          </w:rPr>
          <w:t xml:space="preserve">[1]</w:t>
        </w:r>
      </w:hyperlink>
      <w:r>
        <w:t xml:space="preserve"> </w:t>
      </w:r>
      <w:hyperlink w:anchor="ref-6">
        <w:r>
          <w:rPr>
            <w:rStyle w:val="Hyperlink"/>
          </w:rPr>
          <w:t xml:space="preserve">[6]</w:t>
        </w:r>
      </w:hyperlink>
      <w:r>
        <w:t xml:space="preserve">. The measurement chapter’s deeper contribution is this enforcement: it makes overclaiming structurally difficult rather than merely discouraged.</w:t>
      </w:r>
    </w:p>
    <w:bookmarkEnd w:id="111"/>
    <w:bookmarkStart w:id="112" w:name="limits-of-the-measurement-approach"/>
    <w:p>
      <w:pPr>
        <w:pStyle w:val="Heading2"/>
        <w:spacing w:line="480" w:lineRule="auto"/>
      </w:pPr>
      <w:r>
        <w:t xml:space="preserve">Limits of the measurement approach</w:t>
      </w:r>
    </w:p>
    <w:p>
      <w:pPr>
        <w:pStyle w:val="FirstParagraph"/>
        <w:spacing w:line="480" w:lineRule="auto"/>
      </w:pPr>
      <w:r>
        <w:t xml:space="preserve">No measurement strategy is neutral, and this one carries three built-in limits worth stating alongside its strengths. Deterministic term-counting rewards records with verbose metadata, so a terse but important document can score low on topic signal purely because its title and keywords are short, which is why several consequential space-economy records sit at the bottom of the signal distribution</w:t>
      </w:r>
      <w:r>
        <w:t xml:space="preserve"> </w:t>
      </w:r>
      <w:hyperlink w:anchor="ref-5">
        <w:r>
          <w:rPr>
            <w:rStyle w:val="Hyperlink"/>
          </w:rPr>
          <w:t xml:space="preserve">[5]</w:t>
        </w:r>
      </w:hyperlink>
      <w:r>
        <w:t xml:space="preserve">. Local citation counts undercount records the index does not track well, particularly conference proceedings, so the AMOS block carries structural zeros that reflect indexing coverage rather than true obscurity</w:t>
      </w:r>
      <w:r>
        <w:t xml:space="preserve"> </w:t>
      </w:r>
      <w:hyperlink w:anchor="ref-8">
        <w:r>
          <w:rPr>
            <w:rStyle w:val="Hyperlink"/>
          </w:rPr>
          <w:t xml:space="preserve">[8]</w:t>
        </w:r>
      </w:hyperlink>
      <w:r>
        <w:t xml:space="preserve">. And ordinal venue coding imposes an ordering that the underlying venues do not really possess, since AMOS, Acta Astronautica, and the space-economy sources differ in kind more than in rank</w:t>
      </w:r>
      <w:r>
        <w:t xml:space="preserve"> </w:t>
      </w:r>
      <w:hyperlink w:anchor="ref-9">
        <w:r>
          <w:rPr>
            <w:rStyle w:val="Hyperlink"/>
          </w:rPr>
          <w:t xml:space="preserve">[9]</w:t>
        </w:r>
      </w:hyperlink>
      <w:r>
        <w:t xml:space="preserve">. These limits do not invalidate the measures; they specify the conditions under which the coefficients built from them should be read cautiously, and Chapter 6 honors those conditions. Measurement validity, finally, depends on fit between question and data. The design is strongest when it asks whether the observable records contain structure, and weakest if read as proof of causal effect outside the retained corpus. The variables measure documentary footprint, not state behavior. A high topic-signal score means a record announces the theme loudly in its metadata; it does not mean the underlying event was strategically important. Keeping that distinction visible, in the variable definitions and in the prose that interprets them, is the measurement contribution of this chapter and the precondition for trusting the results that follow</w:t>
      </w:r>
      <w:r>
        <w:t xml:space="preserve"> </w:t>
      </w:r>
      <w:hyperlink w:anchor="ref-6">
        <w:r>
          <w:rPr>
            <w:rStyle w:val="Hyperlink"/>
          </w:rPr>
          <w:t xml:space="preserve">[6]</w:t>
        </w:r>
      </w:hyperlink>
      <w:r>
        <w:t xml:space="preserve"> </w:t>
      </w:r>
      <w:hyperlink w:anchor="ref-7">
        <w:r>
          <w:rPr>
            <w:rStyle w:val="Hyperlink"/>
          </w:rPr>
          <w:t xml:space="preserve">[7]</w:t>
        </w:r>
      </w:hyperlink>
      <w:r>
        <w:t xml:space="preserve">.</w:t>
      </w:r>
    </w:p>
    <w:bookmarkEnd w:id="112"/>
    <w:bookmarkStart w:id="113" w:name="X8de2ec8618c1072c9bb50fe167cceb44bdce021"/>
    <w:p>
      <w:pPr>
        <w:pStyle w:val="Heading2"/>
        <w:spacing w:line="480" w:lineRule="auto"/>
      </w:pPr>
      <w:r>
        <w:t xml:space="preserve">The temporal reshaping and its consequences</w:t>
      </w:r>
    </w:p>
    <w:p>
      <w:pPr>
        <w:pStyle w:val="FirstParagraph"/>
        <w:spacing w:line="480" w:lineRule="auto"/>
      </w:pPr>
      <w:r>
        <w:t xml:space="preserve">The way Paper 2 reshapes the data has consequences worth drawing out, because the plus-one and logarithm choices are not neutral. Adding one before the logarithm keeps every uncited record in the sample, but it also compresses the difference between an uncited record and a lightly cited one: the gap between zero and one citation becomes the gap between one and two after the transform, which the logarithm then shrinks further</w:t>
      </w:r>
      <w:r>
        <w:t xml:space="preserve"> </w:t>
      </w:r>
      <w:hyperlink w:anchor="ref-12">
        <w:r>
          <w:rPr>
            <w:rStyle w:val="Hyperlink"/>
          </w:rPr>
          <w:t xml:space="preserve">[12]</w:t>
        </w:r>
      </w:hyperlink>
      <w:r>
        <w:t xml:space="preserve">. This is the correct handling for a right-skewed count with many zeros, but it means the model’s leverage comes disproportionately from the few heavily cited records whose logged values remain large even after transformation. The measurement chapter flags this so that Chapter 6’s near-zero temporal slope is read correctly: the model had little cited variation to work with once the zeros were compressed, which is a property of the corpus, not a flaw in the estimator</w:t>
      </w:r>
      <w:r>
        <w:t xml:space="preserve"> </w:t>
      </w:r>
      <w:hyperlink w:anchor="ref-6">
        <w:r>
          <w:rPr>
            <w:rStyle w:val="Hyperlink"/>
          </w:rPr>
          <w:t xml:space="preserve">[6]</w:t>
        </w:r>
      </w:hyperlink>
      <w:r>
        <w:t xml:space="preserve">. The age index deserves a parallel note. Because age is computed as 2026 minus publication year plus one, and because publication year also drives the recency index in Paper 1, age and recency are near-perfect mirror images across the two papers</w:t>
      </w:r>
      <w:r>
        <w:t xml:space="preserve"> </w:t>
      </w:r>
      <w:hyperlink w:anchor="ref-8">
        <w:r>
          <w:rPr>
            <w:rStyle w:val="Hyperlink"/>
          </w:rPr>
          <w:t xml:space="preserve">[8]</w:t>
        </w:r>
      </w:hyperlink>
      <w:r>
        <w:t xml:space="preserve">. This is intentional and harmless, since the two papers are estimated separately and never share a specification. But it does mean the two papers are not fully independent tests; they draw on the same underlying time variable, reshaped for different questions. A reader should treat them as complementary views of one corpus rather than as two independent confirmations, and the measurement chapter states this so the results are not oversold as mutually reinforcing when they are, in part, two angles on the same records</w:t>
      </w:r>
      <w:r>
        <w:t xml:space="preserve"> </w:t>
      </w:r>
      <w:hyperlink w:anchor="ref-5">
        <w:r>
          <w:rPr>
            <w:rStyle w:val="Hyperlink"/>
          </w:rPr>
          <w:t xml:space="preserve">[5]</w:t>
        </w:r>
      </w:hyperlink>
      <w:r>
        <w:t xml:space="preserve">.</w:t>
      </w:r>
    </w:p>
    <w:bookmarkEnd w:id="113"/>
    <w:bookmarkStart w:id="114" w:name="from-measurement-to-estimation"/>
    <w:p>
      <w:pPr>
        <w:pStyle w:val="Heading2"/>
        <w:spacing w:line="480" w:lineRule="auto"/>
      </w:pPr>
      <w:r>
        <w:t xml:space="preserve">From measurement to estimation</w:t>
      </w:r>
    </w:p>
    <w:p>
      <w:pPr>
        <w:pStyle w:val="FirstParagraph"/>
        <w:spacing w:line="480" w:lineRule="auto"/>
      </w:pPr>
      <w:r>
        <w:t xml:space="preserve">The chapter closes by handing the estimators a clean inventory. Thirty records, each with a document identifier and a traceable source. One composite outcome, deterministic and recomputable, ranging one to seven. Three predictors for Paper 1: an evenly populated recency index, a sparse and right-skewed citation count, and a concentrated ordinal venue score. Two reshaped variables for Paper 2: a logged citations-plus-one outcome and a logged age index</w:t>
      </w:r>
      <w:r>
        <w:t xml:space="preserve"> </w:t>
      </w:r>
      <w:hyperlink w:anchor="ref-4">
        <w:r>
          <w:rPr>
            <w:rStyle w:val="Hyperlink"/>
          </w:rPr>
          <w:t xml:space="preserve">[4]</w:t>
        </w:r>
      </w:hyperlink>
      <w:r>
        <w:t xml:space="preserve"> </w:t>
      </w:r>
      <w:hyperlink w:anchor="ref-9">
        <w:r>
          <w:rPr>
            <w:rStyle w:val="Hyperlink"/>
          </w:rPr>
          <w:t xml:space="preserve">[9]</w:t>
        </w:r>
      </w:hyperlink>
      <w:r>
        <w:t xml:space="preserve">. Every value in that inventory traces to a source, and every construction rule is written in a configuration file the reader can open. What the estimators do with this inventory is the subject of the next chapters, but the honesty of the eventual results depends entirely on the honesty of the inventory, which is why the measurement chapter spends its length on provenance and distribution rather than on interpretation it is not yet entitled to make</w:t>
      </w:r>
      <w:r>
        <w:t xml:space="preserve"> </w:t>
      </w:r>
      <w:hyperlink w:anchor="ref-1">
        <w:r>
          <w:rPr>
            <w:rStyle w:val="Hyperlink"/>
          </w:rPr>
          <w:t xml:space="preserve">[1]</w:t>
        </w:r>
      </w:hyperlink>
      <w:r>
        <w:t xml:space="preserve"> </w:t>
      </w:r>
      <w:hyperlink w:anchor="ref-6">
        <w:r>
          <w:rPr>
            <w:rStyle w:val="Hyperlink"/>
          </w:rPr>
          <w:t xml:space="preserve">[6]</w:t>
        </w:r>
      </w:hyperlink>
      <w:r>
        <w:t xml:space="preserve">. A dissertation that rushed past the inventory to the coefficients would ask the reader to trust numbers whose construction was never shown; this one shows the construction first, so the coefficients in the next chapter arrive already earned</w:t>
      </w:r>
      <w:r>
        <w:t xml:space="preserve"> </w:t>
      </w:r>
      <w:hyperlink w:anchor="ref-4">
        <w:r>
          <w:rPr>
            <w:rStyle w:val="Hyperlink"/>
          </w:rPr>
          <w:t xml:space="preserve">[4]</w:t>
        </w:r>
      </w:hyperlink>
      <w:r>
        <w:t xml:space="preserve"> </w:t>
      </w:r>
      <w:hyperlink w:anchor="ref-9">
        <w:r>
          <w:rPr>
            <w:rStyle w:val="Hyperlink"/>
          </w:rPr>
          <w:t xml:space="preserve">[9]</w:t>
        </w:r>
      </w:hyperlink>
      <w:r>
        <w:t xml:space="preserve">. The reader who has followed the inventory this far can approach the results knowing exactly what each variable is, how sparse the citation counts are, and how concentrated the venue coding is, which is the context that keeps a weak coefficient from being either dismissed or oversold</w:t>
      </w:r>
      <w:r>
        <w:t xml:space="preserve"> </w:t>
      </w:r>
      <w:hyperlink w:anchor="ref-1">
        <w:r>
          <w:rPr>
            <w:rStyle w:val="Hyperlink"/>
          </w:rPr>
          <w:t xml:space="preserve">[1]</w:t>
        </w:r>
      </w:hyperlink>
      <w:r>
        <w:t xml:space="preserve"> </w:t>
      </w:r>
      <w:hyperlink w:anchor="ref-6">
        <w:r>
          <w:rPr>
            <w:rStyle w:val="Hyperlink"/>
          </w:rPr>
          <w:t xml:space="preserve">[6]</w:t>
        </w:r>
      </w:hyperlink>
      <w:r>
        <w:t xml:space="preserve">.</w:t>
      </w:r>
    </w:p>
    <w:bookmarkEnd w:id="114"/>
    <w:bookmarkEnd w:id="115"/>
    <w:bookmarkStart w:id="123" w:name="chapter-6.-results"/>
    <w:p>
      <w:pPr>
        <w:pStyle w:val="Heading1"/>
        <w:spacing w:line="480" w:lineRule="auto"/>
      </w:pPr>
      <w:r>
        <w:t xml:space="preserve">Chapter 6. Results</w:t>
      </w:r>
    </w:p>
    <w:p>
      <w:pPr>
        <w:pStyle w:val="FirstParagraph"/>
        <w:spacing w:line="480" w:lineRule="auto"/>
      </w:pPr>
      <w:r>
        <w:t xml:space="preserve">This chapter reports the two estimators’ outputs exactly as the workbooks produced them, then interprets the signs and magnitudes. No number here is rounded away from its source value, and no claim runs past what the coefficients support. The reader should be able to hold this chapter against the paper configurations and data files and find every figure reproduced</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3">
        <w:r>
          <w:rPr>
            <w:rStyle w:val="Hyperlink"/>
          </w:rPr>
          <w:t xml:space="preserve">[3]</w:t>
        </w:r>
      </w:hyperlink>
      <w:r>
        <w:t xml:space="preserve">.</w:t>
      </w:r>
    </w:p>
    <w:bookmarkStart w:id="116" w:name="paper-1-cross-sectional-structure"/>
    <w:p>
      <w:pPr>
        <w:pStyle w:val="Heading2"/>
        <w:spacing w:line="480" w:lineRule="auto"/>
      </w:pPr>
      <w:r>
        <w:t xml:space="preserve">Paper 1: cross-sectional structure</w:t>
      </w:r>
    </w:p>
    <w:p>
      <w:pPr>
        <w:pStyle w:val="FirstParagraph"/>
        <w:spacing w:line="480" w:lineRule="auto"/>
      </w:pPr>
      <w:r>
        <w:t xml:space="preserve">Paper 1 estimates an ordinary least squares model with robust HC1 standard errors, regressing the composite topic-signal score on recency index, reported citation count, and venue-family score across thirty records.</w:t>
      </w:r>
    </w:p>
    <w:p>
      <w:pPr>
        <w:pStyle w:val="BodyText"/>
        <w:spacing w:line="480" w:lineRule="auto"/>
        <w:ind w:firstLine="720"/>
      </w:pPr>
      <w:r>
        <w:t xml:space="preserve">The fit summary is exact: N = 30, R2 = 0.12045506500823189, adjusted R2 = 0.018969110970720182, F = 1.438093322475149, and F_p = 0.2544086675991619. The term-level estimates are, likewise, exact. The constant has coefficient 4.432528218295112 with p = 9.358449445388394e-07. The recency-index coefficient is -0.026221613486304564 with p = 0.7347880390119943. The citation-count coefficient is 0.0668007310562729 with p = 0.06622213039755144. The venue-score coefficient is -0.5269464656352897 with p = 0.2116668560647369. Read the fit first. An R-squared of 0.1205 means the three predictors together account for roughly twelve percent of the variation in topic-signal score across the thirty records. The adjusted R-squared of 0.0190 is far lower, which is the honest signal: once you penalize for using three predictors on a small sample, almost none of the explanatory power survives. The overall F-test confirms the caution. At F = 1.44 with a p-value of 0.2544, the model as a whole cannot be distinguished from a model with no predictors at all at any conventional threshold. Taken alone, the fit statistics say the corpus is mostly noise with respect to these three fields.</w:t>
      </w:r>
    </w:p>
    <w:p>
      <w:pPr>
        <w:pStyle w:val="BodyText"/>
        <w:spacing w:line="480" w:lineRule="auto"/>
        <w:ind w:firstLine="720"/>
      </w:pPr>
      <w:r>
        <w:t xml:space="preserve">The term estimates sharpen that picture rather than overturning it. The constant of 4.4325 is precisely estimated, p below ten-to-the-minus-six, but a constant only fixes the intercept: it says the average record carries a baseline topic-signal score near four and a half, which is descriptive, not explanatory. The recency coefficient of -0.0262 is both tiny and imprecise at p = 0.7348, so recency carries essentially no information about topic signal once citations and venue are held fixed. That is a real finding, and it cuts against the directional hypothesis, which predicted higher signal in more recent records. Citation attention is the one predictor that earns a second look. Its coefficient of 0.0668 is positive, in the direction the mechanism predicted, and its p-value of 0.0662 sits just outside the conventional five-percent line and inside the ten-percent line. The magnitude is small: each additional reported citation is associated with about seven-hundredths of a point of extra topic signal, holding recency and venue fixed. Across a citation range that runs to twenty-one in this sample, that association can move the predicted signal by more than a full point, which is not trivial on a one-to-seven scale</w:t>
      </w:r>
      <w:r>
        <w:t xml:space="preserve"> </w:t>
      </w:r>
      <w:hyperlink w:anchor="ref-12">
        <w:r>
          <w:rPr>
            <w:rStyle w:val="Hyperlink"/>
          </w:rPr>
          <w:t xml:space="preserve">[12]</w:t>
        </w:r>
      </w:hyperlink>
      <w:r>
        <w:t xml:space="preserve"> </w:t>
      </w:r>
      <w:hyperlink w:anchor="ref-15">
        <w:r>
          <w:rPr>
            <w:rStyle w:val="Hyperlink"/>
          </w:rPr>
          <w:t xml:space="preserve">[15]</w:t>
        </w:r>
      </w:hyperlink>
      <w:r>
        <w:t xml:space="preserve">. The design will not call this significant, because it is not, but it is the strongest structural signal in the model and the only coefficient consistent with the audience-cost prediction.</w:t>
      </w:r>
    </w:p>
    <w:p>
      <w:pPr>
        <w:pStyle w:val="BodyText"/>
        <w:spacing w:line="480" w:lineRule="auto"/>
        <w:ind w:firstLine="720"/>
      </w:pPr>
      <w:r>
        <w:t xml:space="preserve">The venue coefficient of -0.5269 is negative and imprecise at p = 0.2117.</w:t>
      </w:r>
    </w:p>
    <w:p>
      <w:pPr>
        <w:pStyle w:val="BodyText"/>
        <w:spacing w:line="480" w:lineRule="auto"/>
        <w:ind w:firstLine="720"/>
      </w:pPr>
      <w:r>
        <w:t xml:space="preserve">Its sign is worth a sentence of caution rather than a paragraph of theory. A negative venue coefficient means that, holding recency and citations fixed, moving up the ordinal venue scale from AMOS toward space economy is associated with slightly lower topic signal. Because venue family is an ordinal coding convention, and because the coefficient is far from significant, the responsible reading is that venue adds no reliable information here</w:t>
      </w:r>
      <w:r>
        <w:t xml:space="preserve"> </w:t>
      </w:r>
      <w:hyperlink w:anchor="ref-9">
        <w:r>
          <w:rPr>
            <w:rStyle w:val="Hyperlink"/>
          </w:rPr>
          <w:t xml:space="preserve">[9]</w:t>
        </w:r>
      </w:hyperlink>
      <w:r>
        <w:t xml:space="preserve">. The design flagged this risk in advance, and the data confirm the flag.</w:t>
      </w:r>
    </w:p>
    <w:bookmarkEnd w:id="116"/>
    <w:bookmarkStart w:id="117" w:name="X00f912cd55bf728c6c77c45f61f3cce9be980c3"/>
    <w:p>
      <w:pPr>
        <w:pStyle w:val="Heading2"/>
        <w:spacing w:line="480" w:lineRule="auto"/>
      </w:pPr>
      <w:r>
        <w:t xml:space="preserve">The magnitude of the citation signal, worked through</w:t>
      </w:r>
    </w:p>
    <w:p>
      <w:pPr>
        <w:pStyle w:val="FirstParagraph"/>
        <w:spacing w:line="480" w:lineRule="auto"/>
      </w:pPr>
      <w:r>
        <w:t xml:space="preserve">Because the citation coefficient is the one result that matters, it deserves a fully worked interpretation rather than a headline.</w:t>
      </w:r>
    </w:p>
    <w:p>
      <w:pPr>
        <w:pStyle w:val="BodyText"/>
        <w:spacing w:line="480" w:lineRule="auto"/>
        <w:ind w:firstLine="720"/>
      </w:pPr>
      <w:r>
        <w:t xml:space="preserve">The estimate of 0.0668 means that, holding recency and venue fixed, each additional reported citation is associated with roughly seven-hundredths of one point of additional topic-signal score. On its own that sounds negligible, but the citation variable in this sample ranges from zero to twenty-one, and multiplying the coefficient across that full range gives a predicted swing of about one and four-tenths points on a scale that itself runs only from one to seven</w:t>
      </w:r>
      <w:r>
        <w:t xml:space="preserve"> </w:t>
      </w:r>
      <w:hyperlink w:anchor="ref-12">
        <w:r>
          <w:rPr>
            <w:rStyle w:val="Hyperlink"/>
          </w:rPr>
          <w:t xml:space="preserve">[12]</w:t>
        </w:r>
      </w:hyperlink>
      <w:r>
        <w:t xml:space="preserve"> </w:t>
      </w:r>
      <w:hyperlink w:anchor="ref-15">
        <w:r>
          <w:rPr>
            <w:rStyle w:val="Hyperlink"/>
          </w:rPr>
          <w:t xml:space="preserve">[15]</w:t>
        </w:r>
      </w:hyperlink>
      <w:r>
        <w:t xml:space="preserve">. A swing of that size is a fifth of the entire outcome range, which is not negligible at all. The smallness of the coefficient and the substantive size of its implied effect coexist because the predictor’s range is wide. The p-value of 0.0662 is the number that keeps this from being a confident finding, and it should be read literally. It says that, under the null of no association, a coefficient at least this large would arise by chance about seven percent of the time. That is below the ten-percent threshold some fields use for suggestive evidence and above the five-percent threshold most use for significance. The design places the result exactly where the number places it: interesting, directionally consistent with the mechanism, and not established. The right verb is suggests, not shows</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bookmarkEnd w:id="117"/>
    <w:bookmarkStart w:id="118" w:name="paper-2-temporal-accumulation"/>
    <w:p>
      <w:pPr>
        <w:pStyle w:val="Heading2"/>
        <w:spacing w:line="480" w:lineRule="auto"/>
      </w:pPr>
      <w:r>
        <w:t xml:space="preserve">Paper 2: temporal accumulation</w:t>
      </w:r>
    </w:p>
    <w:p>
      <w:pPr>
        <w:pStyle w:val="FirstParagraph"/>
        <w:spacing w:line="480" w:lineRule="auto"/>
      </w:pPr>
      <w:r>
        <w:t xml:space="preserve">Paper 2 estimates a log-log learning-curve model with robust HC1 standard errors, regressing the log of citation count plus one on the log of document age across the same thirty records. The fit summary is exact: N = 30, R2 = 0.005226092490387968, elasticity_b = -0.10763740991505377, and progress_ratio 2^b = 0.9281067066376161. The term estimates are exact. The constant has coefficient 0.7538247875118782 with p = 0.01749796842584703. The log-age coefficient is -0.10763740991505377 with p = 0.5715738992807335. The fit here is even more austere than Paper 1’s. An R-squared of 0.0052 means document age explains about half of one percent of the variation in log citations plus one. For practical purposes, that is no explanatory power at all. The corpus, viewed through the temporal lens, is close to structureless: knowing how old a record is tells you almost nothing about how many citations it carries. The elasticity makes the point concrete. At -0.1076, the age slope says that a one-percent increase in document age is associated with about a tenth of a percent decrease in expected citations plus one, and the progress ratio of 0.9281 says that when age doubles, expected citations plus one fall to roughly ninety-three percent of their prior level. The direction is faintly counter to classic accumulation, under which older work would carry more citations, not fewer. But the direction cannot be trusted, because the slope’s p-value is 0.5716, nowhere near significance. The slope is statistically indistinguishable from zero, and the honest interpretation is that the retrieved field has no measurable age-based attention curve within this sample.</w:t>
      </w:r>
    </w:p>
    <w:p>
      <w:pPr>
        <w:pStyle w:val="BodyText"/>
        <w:spacing w:line="480" w:lineRule="auto"/>
        <w:ind w:firstLine="720"/>
      </w:pPr>
      <w:r>
        <w:t xml:space="preserve">The progress-ratio framing is worth translating into plain terms, because it is the learning-curve tradition’s native summary and it makes the near-null concrete. A progress ratio of 0.9281 says that each doubling of document age is associated with expected citations plus one falling to about ninety-three percent of their prior level</w:t>
      </w:r>
      <w:r>
        <w:t xml:space="preserve"> </w:t>
      </w:r>
      <w:hyperlink w:anchor="ref-12">
        <w:r>
          <w:rPr>
            <w:rStyle w:val="Hyperlink"/>
          </w:rPr>
          <w:t xml:space="preserve">[12]</w:t>
        </w:r>
      </w:hyperlink>
      <w:r>
        <w:t xml:space="preserve">. In a genuine learning curve describing manufacturing cost, a progress ratio below one would signal real improvement with experience; here, applied to citation accumulation, the ratio’s departure from one is so slight and so imprecisely estimated that it describes essentially no accumulation process at all. The doubling of age from, say, four years to eight buys a seven-percent expected decline that the data cannot distinguish from zero. The progress ratio, in other words, dresses a null in the clothing of a curve, and reading it honestly means seeing the null underneath</w:t>
      </w:r>
      <w:r>
        <w:t xml:space="preserve"> </w:t>
      </w:r>
      <w:hyperlink w:anchor="ref-5">
        <w:r>
          <w:rPr>
            <w:rStyle w:val="Hyperlink"/>
          </w:rPr>
          <w:t xml:space="preserve">[5]</w:t>
        </w:r>
      </w:hyperlink>
      <w:r>
        <w:t xml:space="preserve"> </w:t>
      </w:r>
      <w:hyperlink w:anchor="ref-6">
        <w:r>
          <w:rPr>
            <w:rStyle w:val="Hyperlink"/>
          </w:rPr>
          <w:t xml:space="preserve">[6]</w:t>
        </w:r>
      </w:hyperlink>
      <w:r>
        <w:t xml:space="preserve">. The constant, by contrast, is precisely estimated at 0.7538 with p = 0.0175. As in Paper 1, a significant constant is descriptive: it pins the baseline log citation level and reflects the fact that most records cluster near citations plus one equal to one, because most records are uncited</w:t>
      </w:r>
      <w:r>
        <w:t xml:space="preserve"> </w:t>
      </w:r>
      <w:hyperlink w:anchor="ref-6">
        <w:r>
          <w:rPr>
            <w:rStyle w:val="Hyperlink"/>
          </w:rPr>
          <w:t xml:space="preserve">[6]</w:t>
        </w:r>
      </w:hyperlink>
      <w:r>
        <w:t xml:space="preserve"> </w:t>
      </w:r>
      <w:hyperlink w:anchor="ref-12">
        <w:r>
          <w:rPr>
            <w:rStyle w:val="Hyperlink"/>
          </w:rPr>
          <w:t xml:space="preserve">[12]</w:t>
        </w:r>
      </w:hyperlink>
      <w:r>
        <w:t xml:space="preserve">. The precision of the constant should not be mistaken for evidence that the model explains anything. It does not. The explanatory variable failed; the intercept simply located the cloud of points.</w:t>
      </w:r>
    </w:p>
    <w:bookmarkEnd w:id="118"/>
    <w:bookmarkStart w:id="119" w:name="Xaa1bd754f61d2acae3d450d5b986de1fa440d38"/>
    <w:p>
      <w:pPr>
        <w:pStyle w:val="Heading2"/>
        <w:spacing w:line="480" w:lineRule="auto"/>
      </w:pPr>
      <w:r>
        <w:t xml:space="preserve">The fit statistics as substance, not preamble</w:t>
      </w:r>
    </w:p>
    <w:p>
      <w:pPr>
        <w:pStyle w:val="FirstParagraph"/>
        <w:spacing w:line="480" w:lineRule="auto"/>
      </w:pPr>
      <w:r>
        <w:t xml:space="preserve">It is common to treat R-squared as a throat-clearing preliminary and hurry on to the coefficients, but in this design the fit statistics carry as much meaning as any single term. Paper 1’s R-squared of 0.1205 alongside an adjusted R-squared of 0.0190 is a compact statement about the corpus: three reasonable predictors, chosen for their theoretical relevance, jointly leave roughly ninety-eight percent of the topic-signal variation unexplained once the small sample is penalized</w:t>
      </w:r>
      <w:r>
        <w:t xml:space="preserve"> </w:t>
      </w:r>
      <w:hyperlink w:anchor="ref-1">
        <w:r>
          <w:rPr>
            <w:rStyle w:val="Hyperlink"/>
          </w:rPr>
          <w:t xml:space="preserve">[1]</w:t>
        </w:r>
      </w:hyperlink>
      <w:r>
        <w:t xml:space="preserve">. That gap is not a modeling error to be fixed with a better specification. It is a finding about the phenomenon. Topic-signal score, as constructed here, is mostly idiosyncratic to individual records rather than governed by their recency, citations, or venue</w:t>
      </w:r>
      <w:r>
        <w:t xml:space="preserve"> </w:t>
      </w:r>
      <w:hyperlink w:anchor="ref-6">
        <w:r>
          <w:rPr>
            <w:rStyle w:val="Hyperlink"/>
          </w:rPr>
          <w:t xml:space="preserve">[6]</w:t>
        </w:r>
      </w:hyperlink>
      <w:r>
        <w:t xml:space="preserve">. Paper 2’s R-squared of 0.0052 makes the same point more starkly for the temporal question. Document age explains essentially none of the variation in log citations plus one, which tells us the citation-age relationship in this corpus is close to flat and noisy</w:t>
      </w:r>
      <w:r>
        <w:t xml:space="preserve"> </w:t>
      </w:r>
      <w:hyperlink w:anchor="ref-12">
        <w:r>
          <w:rPr>
            <w:rStyle w:val="Hyperlink"/>
          </w:rPr>
          <w:t xml:space="preserve">[12]</w:t>
        </w:r>
      </w:hyperlink>
      <w:r>
        <w:t xml:space="preserve">. A reader who only scanned the coefficients might miss how completely the temporal model fails to organize the data; the R-squared states it in one number. Reporting these fit statistics prominently, rather than burying them, is part of the design’s refusal to let a precisely estimated constant masquerade as explanatory success</w:t>
      </w:r>
      <w:r>
        <w:t xml:space="preserve"> </w:t>
      </w:r>
      <w:hyperlink w:anchor="ref-5">
        <w:r>
          <w:rPr>
            <w:rStyle w:val="Hyperlink"/>
          </w:rPr>
          <w:t xml:space="preserve">[5]</w:t>
        </w:r>
      </w:hyperlink>
      <w:r>
        <w:t xml:space="preserve">.</w:t>
      </w:r>
    </w:p>
    <w:bookmarkEnd w:id="119"/>
    <w:bookmarkStart w:id="120" w:name="reading-the-two-papers-together"/>
    <w:p>
      <w:pPr>
        <w:pStyle w:val="Heading2"/>
        <w:spacing w:line="480" w:lineRule="auto"/>
      </w:pPr>
      <w:r>
        <w:t xml:space="preserve">Reading the two papers together</w:t>
      </w:r>
    </w:p>
    <w:p>
      <w:pPr>
        <w:pStyle w:val="FirstParagraph"/>
        <w:spacing w:line="480" w:lineRule="auto"/>
      </w:pPr>
      <w:r>
        <w:t xml:space="preserve">One comparison across the two papers sharpens the joint reading. Paper 1 found its only signal in the citation channel, and Paper 2 tested whether that same citation attention accumulates lawfully with age, finding that it does not. Together these say that citation attention carries information about topic signal at a given moment but is not itself organized by the passage of time within this corpus</w:t>
      </w:r>
      <w:r>
        <w:t xml:space="preserve"> </w:t>
      </w:r>
      <w:hyperlink w:anchor="ref-12">
        <w:r>
          <w:rPr>
            <w:rStyle w:val="Hyperlink"/>
          </w:rPr>
          <w:t xml:space="preserve">[12]</w:t>
        </w:r>
      </w:hyperlink>
      <w:r>
        <w:t xml:space="preserve">. Attention concentrates on a few high-consequence records regardless of when they were published, which is why it shows up cross-sectionally in Paper 1 yet produces no age curve in Paper 2. The two null-leaning results are not two failures but one consistent picture of a corpus whose attention is concentrated rather than accumulating</w:t>
      </w:r>
      <w:r>
        <w:t xml:space="preserve"> </w:t>
      </w:r>
      <w:hyperlink w:anchor="ref-5">
        <w:r>
          <w:rPr>
            <w:rStyle w:val="Hyperlink"/>
          </w:rPr>
          <w:t xml:space="preserve">[5]</w:t>
        </w:r>
      </w:hyperlink>
      <w:r>
        <w:t xml:space="preserve"> </w:t>
      </w:r>
      <w:hyperlink w:anchor="ref-6">
        <w:r>
          <w:rPr>
            <w:rStyle w:val="Hyperlink"/>
          </w:rPr>
          <w:t xml:space="preserve">[6]</w:t>
        </w:r>
      </w:hyperlink>
      <w:r>
        <w:t xml:space="preserve">. Put side by side, the two estimators tell a coherent and appropriately deflationary story. Paper 1 finds that citation attention is the only predictor carrying a signal consistent with the audience-cost mechanism, and even that signal is marginal, significant at the ten-percent level but not the five. Recency and venue add nothing reliable. Paper 2 finds that the same corpus has no temporal accumulation structure at all. The field is weakly organized by attention at a moment and not organized by age over time</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The two precisely estimated constants, 4.4325 in Paper 1 and 0.7538 in Paper 2, deserve one shared comment so they are not mistaken for successes. A significant intercept in either model locates the center of the data cloud; it does not measure any relationship between a predictor and the outcome. Paper 1’s constant says the average record carries a baseline topic signal near four and a half when the predictors are at their reference values, and Paper 2’s constant says the average logged citations-plus-one sits near three-quarters, reflecting that most records are uncited</w:t>
      </w:r>
      <w:r>
        <w:t xml:space="preserve"> </w:t>
      </w:r>
      <w:hyperlink w:anchor="ref-6">
        <w:r>
          <w:rPr>
            <w:rStyle w:val="Hyperlink"/>
          </w:rPr>
          <w:t xml:space="preserve">[6]</w:t>
        </w:r>
      </w:hyperlink>
      <w:r>
        <w:t xml:space="preserve"> </w:t>
      </w:r>
      <w:hyperlink w:anchor="ref-12">
        <w:r>
          <w:rPr>
            <w:rStyle w:val="Hyperlink"/>
          </w:rPr>
          <w:t xml:space="preserve">[12]</w:t>
        </w:r>
      </w:hyperlink>
      <w:r>
        <w:t xml:space="preserve">. Both are descriptive anchors. Neither vindicates the mechanism, and a reader tempted to point to the constants’ tiny p-values as evidence of a finding has misread what a constant does. The explanatory work was assigned to the slopes, and the slopes are where the models came up nearly empty. Against the dissertation’s central hypothesis, this is a mixed but honest verdict. H1 predicted that the topic signal would be systematically related to recency, citation attention, and venue family. The data support only the citation-attention channel, and only weakly. The null of no systematic relationship survives for recency and venue in Paper 1 and for age in Paper 2. The design does not treat that as a defeat. A marginal citation signal inside a small, sparse corpus is exactly the kind of result that tells the next researcher where to dig: attention, not recency or venue, is the channel worth instrumenting with a larger and richer dataset</w:t>
      </w:r>
      <w:r>
        <w:t xml:space="preserve"> </w:t>
      </w:r>
      <w:hyperlink w:anchor="ref-2">
        <w:r>
          <w:rPr>
            <w:rStyle w:val="Hyperlink"/>
          </w:rPr>
          <w:t xml:space="preserve">[2]</w:t>
        </w:r>
      </w:hyperlink>
      <w:r>
        <w:t xml:space="preserve"> </w:t>
      </w:r>
      <w:hyperlink w:anchor="ref-7">
        <w:r>
          <w:rPr>
            <w:rStyle w:val="Hyperlink"/>
          </w:rPr>
          <w:t xml:space="preserve">[7]</w:t>
        </w:r>
      </w:hyperlink>
      <w:r>
        <w:t xml:space="preserve">.</w:t>
      </w:r>
    </w:p>
    <w:bookmarkEnd w:id="120"/>
    <w:bookmarkStart w:id="121" w:name="sensitivity-of-the-reading"/>
    <w:p>
      <w:pPr>
        <w:pStyle w:val="Heading2"/>
        <w:spacing w:line="480" w:lineRule="auto"/>
      </w:pPr>
      <w:r>
        <w:t xml:space="preserve">Sensitivity of the reading</w:t>
      </w:r>
    </w:p>
    <w:p>
      <w:pPr>
        <w:pStyle w:val="FirstParagraph"/>
        <w:spacing w:line="480" w:lineRule="auto"/>
      </w:pPr>
      <w:r>
        <w:t xml:space="preserve">A careful reader will ask how fragile these conclusions are, and the honest answer is that the qualitative reading is robust even though the quantitative estimates are not. The citation coefficient’s marginal status does not hinge on a rounding choice or a single threshold; it sits near p = 0.066 regardless of how one narrates it, and no reasonable presentation turns it into a significant result. The failures of recency, venue, and the temporal slope are even more robust, because their p-values, 0.7348, 0.2117, and 0.5716 respectively, are so far from any conventional threshold that no plausible adjustment rescues them</w:t>
      </w:r>
      <w:r>
        <w:t xml:space="preserve"> </w:t>
      </w:r>
      <w:hyperlink w:anchor="ref-1">
        <w:r>
          <w:rPr>
            <w:rStyle w:val="Hyperlink"/>
          </w:rPr>
          <w:t xml:space="preserve">[1]</w:t>
        </w:r>
      </w:hyperlink>
      <w:r>
        <w:t xml:space="preserve"> </w:t>
      </w:r>
      <w:hyperlink w:anchor="ref-9">
        <w:r>
          <w:rPr>
            <w:rStyle w:val="Hyperlink"/>
          </w:rPr>
          <w:t xml:space="preserve">[9]</w:t>
        </w:r>
      </w:hyperlink>
      <w:r>
        <w:t xml:space="preserve">. The design did not search across specifications for a flattering one. It reported the two pre-specified models and read them as they came. The influence of the few high-citation records is the one genuine fragility, and Chapter 7 takes it up directly. Because the citation distribution is dominated by a handful of Acta Astronautica articles, the marginal citation coefficient rests on their leverage, and a corpus that happened to exclude them could shift the estimate materially</w:t>
      </w:r>
      <w:r>
        <w:t xml:space="preserve"> </w:t>
      </w:r>
      <w:hyperlink w:anchor="ref-12">
        <w:r>
          <w:rPr>
            <w:rStyle w:val="Hyperlink"/>
          </w:rPr>
          <w:t xml:space="preserve">[12]</w:t>
        </w:r>
      </w:hyperlink>
      <w:r>
        <w:t xml:space="preserve"> </w:t>
      </w:r>
      <w:hyperlink w:anchor="ref-15">
        <w:r>
          <w:rPr>
            <w:rStyle w:val="Hyperlink"/>
          </w:rPr>
          <w:t xml:space="preserve">[15]</w:t>
        </w:r>
      </w:hyperlink>
      <w:r>
        <w:t xml:space="preserve">. This is not a defect the present data can repair; it is a boundary the present data impose. Naming it here keeps the results chapter honest and hands the limitations chapter its central task.</w:t>
      </w:r>
    </w:p>
    <w:bookmarkEnd w:id="121"/>
    <w:bookmarkStart w:id="122" w:name="Xb5fdea34f5eccfc23d360ddbdb747411c597c43"/>
    <w:p>
      <w:pPr>
        <w:pStyle w:val="Heading2"/>
        <w:spacing w:line="480" w:lineRule="auto"/>
      </w:pPr>
      <w:r>
        <w:t xml:space="preserve">Reconciling the results with the hypotheses</w:t>
      </w:r>
    </w:p>
    <w:p>
      <w:pPr>
        <w:pStyle w:val="FirstParagraph"/>
        <w:spacing w:line="480" w:lineRule="auto"/>
      </w:pPr>
      <w:r>
        <w:t xml:space="preserve">Set the numbers against the pre-registered predictions from Chapter 3 and the accounting is clean. The recency prediction, a positive and detectable coefficient, failed: the estimate was negative and far from significant. The citation prediction, a positive coefficient, was met in sign and reached the edge of significance, the single success. The venue coefficient had no predicted sign and returned no reliable signal, consistent with the design’s advance refusal to theorize it. The temporal test, which asked only whether any stable slope existed, returned none</w:t>
      </w:r>
      <w:r>
        <w:t xml:space="preserve"> </w:t>
      </w:r>
      <w:hyperlink w:anchor="ref-5">
        <w:r>
          <w:rPr>
            <w:rStyle w:val="Hyperlink"/>
          </w:rPr>
          <w:t xml:space="preserve">[5]</w:t>
        </w:r>
      </w:hyperlink>
      <w:r>
        <w:t xml:space="preserve"> </w:t>
      </w:r>
      <w:hyperlink w:anchor="ref-6">
        <w:r>
          <w:rPr>
            <w:rStyle w:val="Hyperlink"/>
          </w:rPr>
          <w:t xml:space="preserve">[6]</w:t>
        </w:r>
      </w:hyperlink>
      <w:r>
        <w:t xml:space="preserve">. One prediction out of the mechanism’s testable set found weak support, and the rest did not. That is the empirical verdict, stated without varnish, and it is the verdict the following chapters interpret rather than resist.</w:t>
      </w:r>
    </w:p>
    <w:p>
      <w:pPr>
        <w:pStyle w:val="BodyText"/>
        <w:spacing w:line="480" w:lineRule="auto"/>
        <w:ind w:firstLine="720"/>
      </w:pPr>
      <w:r>
        <w:t xml:space="preserve">The safeguard throughout is that these numbers are not rhetorical. They are auditable measurement steps. Every coefficient, standard error implied by its p-value, and fit statistic reproduced above comes directly from the workbooks, and any reader can recompute them from the thirty published rows. The results are modest. Their modesty is the evidence</w:t>
      </w:r>
      <w:r>
        <w:t xml:space="preserve"> </w:t>
      </w:r>
      <w:hyperlink w:anchor="ref-8">
        <w:r>
          <w:rPr>
            <w:rStyle w:val="Hyperlink"/>
          </w:rPr>
          <w:t xml:space="preserve">[8]</w:t>
        </w:r>
      </w:hyperlink>
      <w:r>
        <w:t xml:space="preserve"> </w:t>
      </w:r>
      <w:hyperlink w:anchor="ref-9">
        <w:r>
          <w:rPr>
            <w:rStyle w:val="Hyperlink"/>
          </w:rPr>
          <w:t xml:space="preserve">[9]</w:t>
        </w:r>
      </w:hyperlink>
      <w:r>
        <w:t xml:space="preserve">. A dissertation that arrived at an R-squared of 0.1205 and a lone marginal coefficient, and then reported those figures without inflation, has done something the space-security literature does too rarely: it let the numbers set the ceiling on the claim rather than letting the claim set the interpretation of the numbers. Every figure in this chapter can be recovered from the thirty published rows by anyone willing to run the two models, and that recoverability is the property that makes even a weak finding worth stating</w:t>
      </w:r>
      <w:r>
        <w:t xml:space="preserve"> </w:t>
      </w:r>
      <w:hyperlink w:anchor="ref-1">
        <w:r>
          <w:rPr>
            <w:rStyle w:val="Hyperlink"/>
          </w:rPr>
          <w:t xml:space="preserve">[1]</w:t>
        </w:r>
      </w:hyperlink>
      <w:r>
        <w:t xml:space="preserve"> </w:t>
      </w:r>
      <w:hyperlink w:anchor="ref-2">
        <w:r>
          <w:rPr>
            <w:rStyle w:val="Hyperlink"/>
          </w:rPr>
          <w:t xml:space="preserve">[2]</w:t>
        </w:r>
      </w:hyperlink>
      <w:r>
        <w:t xml:space="preserve">. The next chapter takes these exact numbers and asks what they mean for the audience-cost proposition, what threatens their validity, and where they stop, carrying forward the marginal citation coefficient and the two firm nulls without adding a single figure the workbooks did not produce</w:t>
      </w:r>
      <w:r>
        <w:t xml:space="preserve"> </w:t>
      </w:r>
      <w:hyperlink w:anchor="ref-5">
        <w:r>
          <w:rPr>
            <w:rStyle w:val="Hyperlink"/>
          </w:rPr>
          <w:t xml:space="preserve">[5]</w:t>
        </w:r>
      </w:hyperlink>
      <w:r>
        <w:t xml:space="preserve"> </w:t>
      </w:r>
      <w:hyperlink w:anchor="ref-7">
        <w:r>
          <w:rPr>
            <w:rStyle w:val="Hyperlink"/>
          </w:rPr>
          <w:t xml:space="preserve">[7]</w:t>
        </w:r>
      </w:hyperlink>
      <w:r>
        <w:t xml:space="preserve">. Nothing in the interpretation that follows may exceed what these coefficients license, and the results reported above are the fixed ceiling against which every later claim will be checked</w:t>
      </w:r>
      <w:r>
        <w:t xml:space="preserve"> </w:t>
      </w:r>
      <w:hyperlink w:anchor="ref-1">
        <w:r>
          <w:rPr>
            <w:rStyle w:val="Hyperlink"/>
          </w:rPr>
          <w:t xml:space="preserve">[1]</w:t>
        </w:r>
      </w:hyperlink>
      <w:r>
        <w:t xml:space="preserve">.</w:t>
      </w:r>
    </w:p>
    <w:bookmarkEnd w:id="122"/>
    <w:bookmarkEnd w:id="123"/>
    <w:bookmarkStart w:id="133" w:name="chapter-7.-discussion-and-limitations"/>
    <w:p>
      <w:pPr>
        <w:pStyle w:val="Heading1"/>
        <w:spacing w:line="480" w:lineRule="auto"/>
      </w:pPr>
      <w:r>
        <w:t xml:space="preserve">Chapter 7. Discussion and Limitations</w:t>
      </w:r>
    </w:p>
    <w:p>
      <w:pPr>
        <w:pStyle w:val="FirstParagraph"/>
        <w:spacing w:line="480" w:lineRule="auto"/>
      </w:pPr>
      <w:r>
        <w:t xml:space="preserve">What do two weak models add up to? More than they appear to, and less than a hopeful reader might want. This chapter interprets the findings, states the threats to validity plainly, and marks the line between what the data show and what they cannot. The governing principle is that a bounded result honestly reported is worth more to a decision maker than an unbounded result dressed up as certainty</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3">
        <w:r>
          <w:rPr>
            <w:rStyle w:val="Hyperlink"/>
          </w:rPr>
          <w:t xml:space="preserve">[3]</w:t>
        </w:r>
      </w:hyperlink>
      <w:r>
        <w:t xml:space="preserve">. A decision maker who receives an inflated finding acts on false confidence and discovers the error only after committing resources; a decision maker who receives a bounded finding knows exactly how far to trust it and where to demand more evidence before acting. The second kind of result is less satisfying to deliver and far more useful to hold, which is why this chapter treats the modesty of the findings as a feature to be protected rather than a weakness to be smoothed over</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bookmarkStart w:id="124" w:name="what-the-findings-mean"/>
    <w:p>
      <w:pPr>
        <w:pStyle w:val="Heading2"/>
        <w:spacing w:line="480" w:lineRule="auto"/>
      </w:pPr>
      <w:r>
        <w:t xml:space="preserve">What the findings mean</w:t>
      </w:r>
    </w:p>
    <w:p>
      <w:pPr>
        <w:pStyle w:val="FirstParagraph"/>
        <w:spacing w:line="480" w:lineRule="auto"/>
      </w:pPr>
      <w:r>
        <w:t xml:space="preserve">The central substantive takeaway is that attention, not recency or venue, is the channel through which the candidate topic leaves a documentary footprint. Paper 1’s citation coefficient was the only estimate consistent with the audience-cost mechanism, positive and marginal at p = 0.0662. Recency was inert, venue was inert, and Paper 2’s temporal slope was indistinguishable from zero. If audience-cost dynamics shape which orbital events get written about, the shaping shows up in how much a record is cited, not in when it was published or where it appeared. That is a narrower and more useful claim than the hypothesis originally advanced, and it is the claim the data will actually bear</w:t>
      </w:r>
      <w:r>
        <w:t xml:space="preserve"> </w:t>
      </w:r>
      <w:hyperlink w:anchor="ref-4">
        <w:r>
          <w:rPr>
            <w:rStyle w:val="Hyperlink"/>
          </w:rPr>
          <w:t xml:space="preserve">[4]</w:t>
        </w:r>
      </w:hyperlink>
      <w:r>
        <w:t xml:space="preserve">.</w:t>
      </w:r>
    </w:p>
    <w:p>
      <w:pPr>
        <w:pStyle w:val="BodyText"/>
        <w:spacing w:line="480" w:lineRule="auto"/>
        <w:ind w:firstLine="720"/>
      </w:pPr>
      <w:r>
        <w:t xml:space="preserve">The takeaway has a corollary that matters for anyone building on this design.</w:t>
      </w:r>
    </w:p>
    <w:p>
      <w:pPr>
        <w:pStyle w:val="BodyText"/>
        <w:spacing w:line="480" w:lineRule="auto"/>
        <w:ind w:firstLine="720"/>
      </w:pPr>
      <w:r>
        <w:t xml:space="preserve">Citation attention in a security-relevant space literature is highly concentrated. In these thirty records, a handful of Acta Astronautica articles carry almost all the citations, while conference proceedings and very recent articles carry none</w:t>
      </w:r>
      <w:r>
        <w:t xml:space="preserve"> </w:t>
      </w:r>
      <w:hyperlink w:anchor="ref-12">
        <w:r>
          <w:rPr>
            <w:rStyle w:val="Hyperlink"/>
          </w:rPr>
          <w:t xml:space="preserve">[12]</w:t>
        </w:r>
      </w:hyperlink>
      <w:r>
        <w:t xml:space="preserve"> </w:t>
      </w:r>
      <w:hyperlink w:anchor="ref-15">
        <w:r>
          <w:rPr>
            <w:rStyle w:val="Hyperlink"/>
          </w:rPr>
          <w:t xml:space="preserve">[15]</w:t>
        </w:r>
      </w:hyperlink>
      <w:r>
        <w:t xml:space="preserve">. That concentration means the marginal citation signal in Paper 1 is being driven by a small number of high-attention records, chiefly the debris-consequence and reentry-safety analyses that reached a wide stakeholder audience</w:t>
      </w:r>
      <w:r>
        <w:t xml:space="preserve"> </w:t>
      </w:r>
      <w:hyperlink w:anchor="ref-10">
        <w:r>
          <w:rPr>
            <w:rStyle w:val="Hyperlink"/>
          </w:rPr>
          <w:t xml:space="preserve">[10]</w:t>
        </w:r>
      </w:hyperlink>
      <w:r>
        <w:t xml:space="preserve"> </w:t>
      </w:r>
      <w:hyperlink w:anchor="ref-12">
        <w:r>
          <w:rPr>
            <w:rStyle w:val="Hyperlink"/>
          </w:rPr>
          <w:t xml:space="preserve">[12]</w:t>
        </w:r>
      </w:hyperlink>
      <w:r>
        <w:t xml:space="preserve">. The audience-cost mechanism predicts exactly this: the events with the broadest public consequences draw the most sustained analytic attention, and attention is where the signal lives.</w:t>
      </w:r>
    </w:p>
    <w:p>
      <w:pPr>
        <w:pStyle w:val="BodyText"/>
        <w:spacing w:line="480" w:lineRule="auto"/>
        <w:ind w:firstLine="720"/>
      </w:pPr>
      <w:r>
        <w:t xml:space="preserve">The temporal null is equally informative, though it is easy to misread.</w:t>
      </w:r>
    </w:p>
    <w:p>
      <w:pPr>
        <w:pStyle w:val="BodyText"/>
        <w:spacing w:line="480" w:lineRule="auto"/>
        <w:ind w:firstLine="720"/>
      </w:pPr>
      <w:r>
        <w:t xml:space="preserve">Paper 2 found no age-based accumulation curve, which does not mean citations are random. It means this corpus is too young and too sparse to display a stable accumulation pattern. Half of the records report zero citations, and many of the cited records are recent enough that their citation trajectories have barely begun</w:t>
      </w:r>
      <w:r>
        <w:t xml:space="preserve"> </w:t>
      </w:r>
      <w:hyperlink w:anchor="ref-12">
        <w:r>
          <w:rPr>
            <w:rStyle w:val="Hyperlink"/>
          </w:rPr>
          <w:t xml:space="preserve">[12]</w:t>
        </w:r>
      </w:hyperlink>
      <w:r>
        <w:t xml:space="preserve">. A field caught this early in its measurement life will not show a clean learning curve, and the absence of one is a statement about corpus maturity rather than about the underlying political dynamic</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124"/>
    <w:bookmarkStart w:id="125" w:name="X8f80cfccebb40d279051715aa8f24d653a05a6b"/>
    <w:p>
      <w:pPr>
        <w:pStyle w:val="Heading2"/>
        <w:spacing w:line="480" w:lineRule="auto"/>
      </w:pPr>
      <w:r>
        <w:t xml:space="preserve">Reading a mostly-null result productively</w:t>
      </w:r>
    </w:p>
    <w:p>
      <w:pPr>
        <w:pStyle w:val="FirstParagraph"/>
        <w:spacing w:line="480" w:lineRule="auto"/>
      </w:pPr>
      <w:r>
        <w:t xml:space="preserve">There is a temptation, when most coefficients fail, to treat the whole exercise as inconclusive and move on. That reading is lazy, and the design resists it. A mostly-null result is only uninformative if the analyst had no predictions; when predictions were made in advance, as they were in Chapter 3, the pattern of what failed and what survived is itself the finding. Here the pattern is specific: the two channels tied to the passage of time, recency and article age, both came back inert, while the channel tied to accumulated attention survived at the margin</w:t>
      </w:r>
      <w:r>
        <w:t xml:space="preserve"> </w:t>
      </w:r>
      <w:hyperlink w:anchor="ref-4">
        <w:r>
          <w:rPr>
            <w:rStyle w:val="Hyperlink"/>
          </w:rPr>
          <w:t xml:space="preserve">[4]</w:t>
        </w:r>
      </w:hyperlink>
      <w:r>
        <w:t xml:space="preserve"> </w:t>
      </w:r>
      <w:hyperlink w:anchor="ref-5">
        <w:r>
          <w:rPr>
            <w:rStyle w:val="Hyperlink"/>
          </w:rPr>
          <w:t xml:space="preserve">[5]</w:t>
        </w:r>
      </w:hyperlink>
      <w:r>
        <w:t xml:space="preserve">. That is not noise. It is a directional clue about where the topic’s documentary salience actually concentrates, and it would have been invisible to a design that pooled the channels or refused to commit to predictions. The clue points somewhere counterintuitive, which is part of why it is worth trusting. One might have expected a security topic riding a wave of recent tests to show its salience through recency, with newer records louder than older ones. It did not. Instead the salience, such as it is, lives in citation attention, which concentrates on a few high-consequence analyses regardless of their publication year</w:t>
      </w:r>
      <w:r>
        <w:t xml:space="preserve"> </w:t>
      </w:r>
      <w:hyperlink w:anchor="ref-12">
        <w:r>
          <w:rPr>
            <w:rStyle w:val="Hyperlink"/>
          </w:rPr>
          <w:t xml:space="preserve">[12]</w:t>
        </w:r>
      </w:hyperlink>
      <w:r>
        <w:t xml:space="preserve">. If that pattern held up in a larger corpus, it would suggest that what marks the topic is not how new a document is but whether it attaches to an event that mobilized a broad audience, which is closer to the audience-cost mechanism than a simple recency story would be</w:t>
      </w:r>
      <w:r>
        <w:t xml:space="preserve"> </w:t>
      </w:r>
      <w:hyperlink w:anchor="ref-2">
        <w:r>
          <w:rPr>
            <w:rStyle w:val="Hyperlink"/>
          </w:rPr>
          <w:t xml:space="preserve">[2]</w:t>
        </w:r>
      </w:hyperlink>
      <w:r>
        <w:t xml:space="preserve">.</w:t>
      </w:r>
    </w:p>
    <w:bookmarkEnd w:id="125"/>
    <w:bookmarkStart w:id="126" w:name="threats-to-validity"/>
    <w:p>
      <w:pPr>
        <w:pStyle w:val="Heading2"/>
        <w:spacing w:line="480" w:lineRule="auto"/>
      </w:pPr>
      <w:r>
        <w:t xml:space="preserve">Threats to validity</w:t>
      </w:r>
    </w:p>
    <w:p>
      <w:pPr>
        <w:pStyle w:val="FirstParagraph"/>
        <w:spacing w:line="480" w:lineRule="auto"/>
      </w:pPr>
      <w:r>
        <w:t xml:space="preserve">Four threats bound every claim above, and each deserves a direct statement rather than a euphemism.</w:t>
      </w:r>
    </w:p>
    <w:p>
      <w:pPr>
        <w:pStyle w:val="BodyText"/>
        <w:spacing w:line="480" w:lineRule="auto"/>
        <w:ind w:firstLine="720"/>
      </w:pPr>
      <w:r>
        <w:t xml:space="preserve">Source selection is the first and largest. The thirty records are the candidate’s retained pack, not a census of the space-security literature. Any structure the estimators found is conditional on what was retrieved, and a different retrieval could shift the citation coefficient in either direction. The design cannot rule out that the marginal attention signal is partly an artifact of which high-citation articles happened to enter the sample</w:t>
      </w:r>
      <w:r>
        <w:t xml:space="preserve"> </w:t>
      </w:r>
      <w:hyperlink w:anchor="ref-1">
        <w:r>
          <w:rPr>
            <w:rStyle w:val="Hyperlink"/>
          </w:rPr>
          <w:t xml:space="preserve">[1]</w:t>
        </w:r>
      </w:hyperlink>
      <w:r>
        <w:t xml:space="preserve">. This is the threat that most limits generalization, and it is the first thing a replication should attack by widening the source universe. Proxy measurement is the second threat. Topic-signal score, citation count, and venue score are all indirect. A coefficient on a proxy identifies a relationship among proxies, and the leap from</w:t>
      </w:r>
      <w:r>
        <w:t xml:space="preserve"> </w:t>
      </w:r>
      <w:r>
        <w:t xml:space="preserve">“records that announce the theme loudly are cited slightly more”</w:t>
      </w:r>
      <w:r>
        <w:t xml:space="preserve"> </w:t>
      </w:r>
      <w:r>
        <w:t xml:space="preserve">to</w:t>
      </w:r>
      <w:r>
        <w:t xml:space="preserve"> </w:t>
      </w:r>
      <w:r>
        <w:t xml:space="preserve">“audience-cost salience structures the literature”</w:t>
      </w:r>
      <w:r>
        <w:t xml:space="preserve"> </w:t>
      </w:r>
      <w:r>
        <w:t xml:space="preserve">is an interpretive step the numbers do not force</w:t>
      </w:r>
      <w:r>
        <w:t xml:space="preserve"> </w:t>
      </w:r>
      <w:hyperlink w:anchor="ref-6">
        <w:r>
          <w:rPr>
            <w:rStyle w:val="Hyperlink"/>
          </w:rPr>
          <w:t xml:space="preserve">[6]</w:t>
        </w:r>
      </w:hyperlink>
      <w:r>
        <w:t xml:space="preserve">. The design has tried to keep that step visible rather than smuggling it into the prose, but a skeptical reader is entitled to stop at the proxy relationship and decline the interpretive leap.</w:t>
      </w:r>
    </w:p>
    <w:p>
      <w:pPr>
        <w:pStyle w:val="BodyText"/>
        <w:spacing w:line="480" w:lineRule="auto"/>
        <w:ind w:firstLine="720"/>
      </w:pPr>
      <w:r>
        <w:t xml:space="preserve">Omitted variables are the third threat. A metadata model contains none of the forces that actually move state behavior: alliance politics, deterrence signaling, budget cycles, technical readiness</w:t>
      </w:r>
      <w:r>
        <w:t xml:space="preserve"> </w:t>
      </w:r>
      <w:hyperlink w:anchor="ref-16">
        <w:r>
          <w:rPr>
            <w:rStyle w:val="Hyperlink"/>
          </w:rPr>
          <w:t xml:space="preserve">[16]</w:t>
        </w:r>
      </w:hyperlink>
      <w:r>
        <w:t xml:space="preserve">. Those forces leave the model entirely, and whatever trace they deposit in the metadata is absorbed by the three included coefficients. This is why the design never claims causal identification of state behavior. The coefficients describe the shadow, not the object casting it</w:t>
      </w:r>
      <w:r>
        <w:t xml:space="preserve"> </w:t>
      </w:r>
      <w:hyperlink w:anchor="ref-3">
        <w:r>
          <w:rPr>
            <w:rStyle w:val="Hyperlink"/>
          </w:rPr>
          <w:t xml:space="preserve">[3]</w:t>
        </w:r>
      </w:hyperlink>
      <w:r>
        <w:t xml:space="preserve">. Overinterpretation is the fourth threat, and it is the one that lives in language rather than data. It is the temptation to let a marginal, ten-percent-level coefficient become a confident finding by the time it reaches a policy brief. The discipline against it is to report the imprecise terms as prominently as the interesting ones, which Chapter 6 did: recency, venue, and the temporal slope all failed, and saying so protects the citation result from being overread</w:t>
      </w:r>
      <w:r>
        <w:t xml:space="preserve"> </w:t>
      </w:r>
      <w:hyperlink w:anchor="ref-2">
        <w:r>
          <w:rPr>
            <w:rStyle w:val="Hyperlink"/>
          </w:rPr>
          <w:t xml:space="preserve">[2]</w:t>
        </w:r>
      </w:hyperlink>
      <w:r>
        <w:t xml:space="preserve">.</w:t>
      </w:r>
    </w:p>
    <w:bookmarkEnd w:id="126"/>
    <w:bookmarkStart w:id="127" w:name="X733249f8fc20947e28d2eeec021f30379334382"/>
    <w:p>
      <w:pPr>
        <w:pStyle w:val="Heading2"/>
        <w:spacing w:line="480" w:lineRule="auto"/>
      </w:pPr>
      <w:r>
        <w:t xml:space="preserve">What the findings mean for the audience-cost proposition</w:t>
      </w:r>
    </w:p>
    <w:p>
      <w:pPr>
        <w:pStyle w:val="FirstParagraph"/>
        <w:spacing w:line="480" w:lineRule="auto"/>
      </w:pPr>
      <w:r>
        <w:t xml:space="preserve">Step back from the coefficients to the proposition that motivated them. Does anti-satellite brinkmanship follow domestic signaling? The documentary evidence assembled here neither confirms nor refutes it, but it does something more specific than remaining silent: it locates the only channel through which the proposition left a detectable trace, and that channel is accumulated attention rather than publication timing</w:t>
      </w:r>
      <w:r>
        <w:t xml:space="preserve"> </w:t>
      </w:r>
      <w:hyperlink w:anchor="ref-4">
        <w:r>
          <w:rPr>
            <w:rStyle w:val="Hyperlink"/>
          </w:rPr>
          <w:t xml:space="preserve">[4]</w:t>
        </w:r>
      </w:hyperlink>
      <w:r>
        <w:t xml:space="preserve">. If the proposition is true, this is roughly where its footprint should appear, because audience-cost salience attaches to events that mobilize broad constituencies, and mobilization shows up as sustained citation rather than as recency</w:t>
      </w:r>
      <w:r>
        <w:t xml:space="preserve"> </w:t>
      </w:r>
      <w:hyperlink w:anchor="ref-2">
        <w:r>
          <w:rPr>
            <w:rStyle w:val="Hyperlink"/>
          </w:rPr>
          <w:t xml:space="preserve">[2]</w:t>
        </w:r>
      </w:hyperlink>
      <w:r>
        <w:t xml:space="preserve"> </w:t>
      </w:r>
      <w:hyperlink w:anchor="ref-3">
        <w:r>
          <w:rPr>
            <w:rStyle w:val="Hyperlink"/>
          </w:rPr>
          <w:t xml:space="preserve">[3]</w:t>
        </w:r>
      </w:hyperlink>
      <w:r>
        <w:t xml:space="preserve">. The finding is therefore weakly consistent with a version of the proposition, while being firmly inconsistent with the naive version in which salience simply tracks how recent a document is. That is a more useful outcome than a flat confirmation would have been, because it discriminates among versions of the hypothesis. A study that reported broad significance across recency, citations, and venue would have told us the topic is salient without telling us how its salience is organized. This study, by finding structure only in the attention channel, points to a specific organizing logic and rules out others</w:t>
      </w:r>
      <w:r>
        <w:t xml:space="preserve"> </w:t>
      </w:r>
      <w:hyperlink w:anchor="ref-5">
        <w:r>
          <w:rPr>
            <w:rStyle w:val="Hyperlink"/>
          </w:rPr>
          <w:t xml:space="preserve">[5]</w:t>
        </w:r>
      </w:hyperlink>
      <w:r>
        <w:t xml:space="preserve"> </w:t>
      </w:r>
      <w:hyperlink w:anchor="ref-6">
        <w:r>
          <w:rPr>
            <w:rStyle w:val="Hyperlink"/>
          </w:rPr>
          <w:t xml:space="preserve">[6]</w:t>
        </w:r>
      </w:hyperlink>
      <w:r>
        <w:t xml:space="preserve">. For a field that has debated whether orbital force display is domestically driven, narrowing the documentary signature to the attention channel is a small but genuine advance, provided no one mistakes the narrowing for proof of the behavioral claim it is one level removed from</w:t>
      </w:r>
      <w:r>
        <w:t xml:space="preserve"> </w:t>
      </w:r>
      <w:hyperlink w:anchor="ref-16">
        <w:r>
          <w:rPr>
            <w:rStyle w:val="Hyperlink"/>
          </w:rPr>
          <w:t xml:space="preserve">[16]</w:t>
        </w:r>
      </w:hyperlink>
      <w:r>
        <w:t xml:space="preserve">.</w:t>
      </w:r>
    </w:p>
    <w:bookmarkEnd w:id="127"/>
    <w:bookmarkStart w:id="128" w:name="what-the-data-cannot-show"/>
    <w:p>
      <w:pPr>
        <w:pStyle w:val="Heading2"/>
        <w:spacing w:line="480" w:lineRule="auto"/>
      </w:pPr>
      <w:r>
        <w:t xml:space="preserve">What the data cannot show</w:t>
      </w:r>
    </w:p>
    <w:p>
      <w:pPr>
        <w:pStyle w:val="FirstParagraph"/>
        <w:spacing w:line="480" w:lineRule="auto"/>
      </w:pPr>
      <w:r>
        <w:t xml:space="preserve">Three questions sit permanently outside this design’s reach, and naming them prevents false expectations. The data cannot show why any particular state conducted any particular anti-satellite demonstration, because there are no event-level or actor-level observations in the corpus, only documents about the topic. The data cannot show whether governance language actually hardened or loosened in response to demonstrations, because the design measures documentary attention, not institutional output. And the data cannot show whether the marginal citation signal would survive in a larger sample, because thirty records with a right-skewed citation distribution are too few to settle a coefficient sitting on the edge of significance</w:t>
      </w:r>
      <w:r>
        <w:t xml:space="preserve"> </w:t>
      </w:r>
      <w:hyperlink w:anchor="ref-7">
        <w:r>
          <w:rPr>
            <w:rStyle w:val="Hyperlink"/>
          </w:rPr>
          <w:t xml:space="preserve">[7]</w:t>
        </w:r>
      </w:hyperlink>
      <w:r>
        <w:t xml:space="preserve"> </w:t>
      </w:r>
      <w:hyperlink w:anchor="ref-9">
        <w:r>
          <w:rPr>
            <w:rStyle w:val="Hyperlink"/>
          </w:rPr>
          <w:t xml:space="preserve">[9]</w:t>
        </w:r>
      </w:hyperlink>
      <w:r>
        <w:t xml:space="preserve">. These limits are not failures of execution. They are the boundary of a design-stage, documentary approach. The appropriate response is not to apologize for the boundary but to specify what a follow-on design would need to cross it: event-level coding of demonstrations and their timing, direct measures of governance output such as treaty language or forum statements, and a source universe large enough to estimate the attention channel with precision rather than at the margin</w:t>
      </w:r>
      <w:r>
        <w:t xml:space="preserve"> </w:t>
      </w:r>
      <w:hyperlink w:anchor="ref-10">
        <w:r>
          <w:rPr>
            <w:rStyle w:val="Hyperlink"/>
          </w:rPr>
          <w:t xml:space="preserve">[10]</w:t>
        </w:r>
      </w:hyperlink>
      <w:r>
        <w:t xml:space="preserve"> </w:t>
      </w:r>
      <w:hyperlink w:anchor="ref-16">
        <w:r>
          <w:rPr>
            <w:rStyle w:val="Hyperlink"/>
          </w:rPr>
          <w:t xml:space="preserve">[16]</w:t>
        </w:r>
      </w:hyperlink>
      <w:r>
        <w:t xml:space="preserve">.</w:t>
      </w:r>
    </w:p>
    <w:bookmarkEnd w:id="128"/>
    <w:bookmarkStart w:id="129" w:name="X07c97a5b4960c01f32876b5225d85abbabb407d"/>
    <w:p>
      <w:pPr>
        <w:pStyle w:val="Heading2"/>
        <w:spacing w:line="480" w:lineRule="auto"/>
      </w:pPr>
      <w:r>
        <w:t xml:space="preserve">Comparison with what a stronger design would find</w:t>
      </w:r>
    </w:p>
    <w:p>
      <w:pPr>
        <w:pStyle w:val="FirstParagraph"/>
        <w:spacing w:line="480" w:lineRule="auto"/>
      </w:pPr>
      <w:r>
        <w:t xml:space="preserve">Imagining the study one would run with better data sharpens the value of the one actually run. A stronger design would code anti-satellite demonstrations at the event level, with dates, actors, and debris outcomes, and would link each event to the documentary attention it generated over the following years</w:t>
      </w:r>
      <w:r>
        <w:t xml:space="preserve"> </w:t>
      </w:r>
      <w:hyperlink w:anchor="ref-12">
        <w:r>
          <w:rPr>
            <w:rStyle w:val="Hyperlink"/>
          </w:rPr>
          <w:t xml:space="preserve">[12]</w:t>
        </w:r>
      </w:hyperlink>
      <w:r>
        <w:t xml:space="preserve">. It would draw its corpus from a full bibliographic database rather than thirty records, giving the citation channel enough observations to estimate with precision instead of at the margin</w:t>
      </w:r>
      <w:r>
        <w:t xml:space="preserve"> </w:t>
      </w:r>
      <w:hyperlink w:anchor="ref-1">
        <w:r>
          <w:rPr>
            <w:rStyle w:val="Hyperlink"/>
          </w:rPr>
          <w:t xml:space="preserve">[1]</w:t>
        </w:r>
      </w:hyperlink>
      <w:r>
        <w:t xml:space="preserve">. And it would add direct governance-output measures, such as the timing and hardness of forum statements, so the analysis could test whether documentary attention actually translates into institutional response</w:t>
      </w:r>
      <w:r>
        <w:t xml:space="preserve"> </w:t>
      </w:r>
      <w:hyperlink w:anchor="ref-16">
        <w:r>
          <w:rPr>
            <w:rStyle w:val="Hyperlink"/>
          </w:rPr>
          <w:t xml:space="preserve">[16]</w:t>
        </w:r>
      </w:hyperlink>
      <w:r>
        <w:t xml:space="preserve">. Against that imagined study, the present one is a foundation: it establishes that the attention channel is the one worth the expense of building the fuller design, and that recency and venue are not. This comparison also disciplines the claims the present study is allowed to make. Because the stronger design does not yet exist, the dissertation cannot say whether the marginal citation signal reflects a real audience-cost dynamic or the analytic quality of a few debris-consequence papers, since the two are confounded in the metadata</w:t>
      </w:r>
      <w:r>
        <w:t xml:space="preserve"> </w:t>
      </w:r>
      <w:hyperlink w:anchor="ref-2">
        <w:r>
          <w:rPr>
            <w:rStyle w:val="Hyperlink"/>
          </w:rPr>
          <w:t xml:space="preserve">[2]</w:t>
        </w:r>
      </w:hyperlink>
      <w:r>
        <w:t xml:space="preserve"> </w:t>
      </w:r>
      <w:hyperlink w:anchor="ref-12">
        <w:r>
          <w:rPr>
            <w:rStyle w:val="Hyperlink"/>
          </w:rPr>
          <w:t xml:space="preserve">[12]</w:t>
        </w:r>
      </w:hyperlink>
      <w:r>
        <w:t xml:space="preserve">. What it can say is that the confound is now visible and specifiable, which is the precondition for the follow-on work to resolve it. A first study that turns an invisible confound into a named one has done useful work even when it cannot break the confound itself.</w:t>
      </w:r>
    </w:p>
    <w:bookmarkEnd w:id="129"/>
    <w:bookmarkStart w:id="130" w:name="the-concentration-problem-examined"/>
    <w:p>
      <w:pPr>
        <w:pStyle w:val="Heading2"/>
        <w:spacing w:line="480" w:lineRule="auto"/>
      </w:pPr>
      <w:r>
        <w:t xml:space="preserve">The concentration problem, examined</w:t>
      </w:r>
    </w:p>
    <w:p>
      <w:pPr>
        <w:pStyle w:val="FirstParagraph"/>
        <w:spacing w:line="480" w:lineRule="auto"/>
      </w:pPr>
      <w:r>
        <w:t xml:space="preserve">The single most consequential threat is worth a closer look because it shapes how much weight the one surviving result can bear. The citation coefficient in Paper 1 is estimated across thirty records, but the nonzero citation mass sits in fewer than a third of them, and the largest values, the twenty-one-citation articles and the eighteen-citation study, exert outsized leverage on the slope</w:t>
      </w:r>
      <w:r>
        <w:t xml:space="preserve"> </w:t>
      </w:r>
      <w:hyperlink w:anchor="ref-12">
        <w:r>
          <w:rPr>
            <w:rStyle w:val="Hyperlink"/>
          </w:rPr>
          <w:t xml:space="preserve">[12]</w:t>
        </w:r>
      </w:hyperlink>
      <w:r>
        <w:t xml:space="preserve"> </w:t>
      </w:r>
      <w:hyperlink w:anchor="ref-15">
        <w:r>
          <w:rPr>
            <w:rStyle w:val="Hyperlink"/>
          </w:rPr>
          <w:t xml:space="preserve">[15]</w:t>
        </w:r>
      </w:hyperlink>
      <w:r>
        <w:t xml:space="preserve">. In a large sample, a few high-leverage points are diluted; in a sample of thirty, they can drive the estimate almost by themselves. This means the marginal citation signal is really a statement about how a handful of heavily cited debris-consequence and analog-mission articles score on topic signal relative to the uncited majority. Whether that is a feature or a bug depends on the interpretive frame. Under the audience-cost mechanism, the high-attention articles are exactly the ones that should carry the topic’s salience, so their leverage is substantively meaningful rather than a nuisance</w:t>
      </w:r>
      <w:r>
        <w:t xml:space="preserve"> </w:t>
      </w:r>
      <w:hyperlink w:anchor="ref-2">
        <w:r>
          <w:rPr>
            <w:rStyle w:val="Hyperlink"/>
          </w:rPr>
          <w:t xml:space="preserve">[2]</w:t>
        </w:r>
      </w:hyperlink>
      <w:r>
        <w:t xml:space="preserve">. Under a skeptical frame, the same leverage means the result is one unusual corpus away from vanishing, and a replication that happened to retrieve a different set of high-citation articles could report a very different coefficient</w:t>
      </w:r>
      <w:r>
        <w:t xml:space="preserve"> </w:t>
      </w:r>
      <w:hyperlink w:anchor="ref-1">
        <w:r>
          <w:rPr>
            <w:rStyle w:val="Hyperlink"/>
          </w:rPr>
          <w:t xml:space="preserve">[1]</w:t>
        </w:r>
      </w:hyperlink>
      <w:r>
        <w:t xml:space="preserve">. The design cannot adjudicate between these frames with thirty records. It can only make the concentration visible so that neither an enthusiast nor a skeptic can pretend the coefficient is more robust than the data allow.</w:t>
      </w:r>
    </w:p>
    <w:bookmarkEnd w:id="130"/>
    <w:bookmarkStart w:id="131" w:name="implication-for-governance-evidence"/>
    <w:p>
      <w:pPr>
        <w:pStyle w:val="Heading2"/>
        <w:spacing w:line="480" w:lineRule="auto"/>
      </w:pPr>
      <w:r>
        <w:t xml:space="preserve">Implication for governance evidence</w:t>
      </w:r>
    </w:p>
    <w:p>
      <w:pPr>
        <w:pStyle w:val="FirstParagraph"/>
        <w:spacing w:line="480" w:lineRule="auto"/>
      </w:pPr>
      <w:r>
        <w:t xml:space="preserve">The practical implication is a disciplined standard for how space-policy claims should carry evidence. A claim that survives source tracing, deterministic variable construction, and transparent estimation is stronger than an impressionistic assertion, even when the estimates come back weak. A claim that fails those tests is also useful, because it blocks premature confidence and directs attention to the data that would settle the question</w:t>
      </w:r>
      <w:r>
        <w:t xml:space="preserve"> </w:t>
      </w:r>
      <w:hyperlink w:anchor="ref-4">
        <w:r>
          <w:rPr>
            <w:rStyle w:val="Hyperlink"/>
          </w:rPr>
          <w:t xml:space="preserve">[4]</w:t>
        </w:r>
      </w:hyperlink>
      <w:r>
        <w:t xml:space="preserve"> </w:t>
      </w:r>
      <w:hyperlink w:anchor="ref-5">
        <w:r>
          <w:rPr>
            <w:rStyle w:val="Hyperlink"/>
          </w:rPr>
          <w:t xml:space="preserve">[5]</w:t>
        </w:r>
      </w:hyperlink>
      <w:r>
        <w:t xml:space="preserve">. The recency, venue, and temporal channels failed exactly those tests here, and their failure is not wasted; it tells a governance analyst that publication timing and venue prestige are poor proxies for the salience of orbital force display, and that resources aimed at tracking the topic should follow accumulated attention instead</w:t>
      </w:r>
      <w:r>
        <w:t xml:space="preserve"> </w:t>
      </w:r>
      <w:hyperlink w:anchor="ref-6">
        <w:r>
          <w:rPr>
            <w:rStyle w:val="Hyperlink"/>
          </w:rPr>
          <w:t xml:space="preserve">[6]</w:t>
        </w:r>
      </w:hyperlink>
      <w:r>
        <w:t xml:space="preserve"> </w:t>
      </w:r>
      <w:hyperlink w:anchor="ref-16">
        <w:r>
          <w:rPr>
            <w:rStyle w:val="Hyperlink"/>
          </w:rPr>
          <w:t xml:space="preserve">[16]</w:t>
        </w:r>
      </w:hyperlink>
      <w:r>
        <w:t xml:space="preserve">. This dissertation offers both kinds of result. The citation channel survived, barely, and points forward. The recency, venue, and temporal channels failed, and that failure is a map of where not to look. For a policy community that must reason before perfect data exist, a design that marks the boundary between the two is the contribution worth having</w:t>
      </w:r>
      <w:r>
        <w:t xml:space="preserve"> </w:t>
      </w:r>
      <w:hyperlink w:anchor="ref-7">
        <w:r>
          <w:rPr>
            <w:rStyle w:val="Hyperlink"/>
          </w:rPr>
          <w:t xml:space="preserve">[7]</w:t>
        </w:r>
      </w:hyperlink>
      <w:r>
        <w:t xml:space="preserve"> </w:t>
      </w:r>
      <w:hyperlink w:anchor="ref-8">
        <w:r>
          <w:rPr>
            <w:rStyle w:val="Hyperlink"/>
          </w:rPr>
          <w:t xml:space="preserve">[8]</w:t>
        </w:r>
      </w:hyperlink>
      <w:r>
        <w:t xml:space="preserve">. An institution seeking an early-warning signal for rising salience in this domain would do better to monitor which analyses accumulate citations than to weight recent or high-prestige publications, because the former carried the topic’s only detectable structure while the latter carried none</w:t>
      </w:r>
      <w:r>
        <w:t xml:space="preserve"> </w:t>
      </w:r>
      <w:hyperlink w:anchor="ref-4">
        <w:r>
          <w:rPr>
            <w:rStyle w:val="Hyperlink"/>
          </w:rPr>
          <w:t xml:space="preserve">[4]</w:t>
        </w:r>
      </w:hyperlink>
      <w:r>
        <w:t xml:space="preserve"> </w:t>
      </w:r>
      <w:hyperlink w:anchor="ref-12">
        <w:r>
          <w:rPr>
            <w:rStyle w:val="Hyperlink"/>
          </w:rPr>
          <w:t xml:space="preserve">[12]</w:t>
        </w:r>
      </w:hyperlink>
      <w:r>
        <w:t xml:space="preserve">.</w:t>
      </w:r>
    </w:p>
    <w:bookmarkEnd w:id="131"/>
    <w:bookmarkStart w:id="132" w:name="a-note-on-external-validity"/>
    <w:p>
      <w:pPr>
        <w:pStyle w:val="Heading2"/>
        <w:spacing w:line="480" w:lineRule="auto"/>
      </w:pPr>
      <w:r>
        <w:t xml:space="preserve">A note on external validity</w:t>
      </w:r>
    </w:p>
    <w:p>
      <w:pPr>
        <w:pStyle w:val="FirstParagraph"/>
        <w:spacing w:line="480" w:lineRule="auto"/>
      </w:pPr>
      <w:r>
        <w:t xml:space="preserve">External validity, the question of whether these findings would hold beyond the retrieved corpus, deserves its own honest treatment rather than a burial inside the source-selection paragraph. The thirty records are drawn from three venue families that skew toward archival journals and conference proceedings in the space-security and space-economy space, which means the corpus over-represents the analytic literature and under-represents grey literature, government reports, and non-English scholarship</w:t>
      </w:r>
      <w:r>
        <w:t xml:space="preserve"> </w:t>
      </w:r>
      <w:hyperlink w:anchor="ref-1">
        <w:r>
          <w:rPr>
            <w:rStyle w:val="Hyperlink"/>
          </w:rPr>
          <w:t xml:space="preserve">[1]</w:t>
        </w:r>
      </w:hyperlink>
      <w:r>
        <w:t xml:space="preserve"> </w:t>
      </w:r>
      <w:hyperlink w:anchor="ref-5">
        <w:r>
          <w:rPr>
            <w:rStyle w:val="Hyperlink"/>
          </w:rPr>
          <w:t xml:space="preserve">[5]</w:t>
        </w:r>
      </w:hyperlink>
      <w:r>
        <w:t xml:space="preserve">. Any structure found here generalizes, at best, to the analytic literature of the kind sampled, and it says nothing about how the topic is treated in policy documents or intelligence products that never enter such a corpus</w:t>
      </w:r>
      <w:r>
        <w:t xml:space="preserve"> </w:t>
      </w:r>
      <w:hyperlink w:anchor="ref-16">
        <w:r>
          <w:rPr>
            <w:rStyle w:val="Hyperlink"/>
          </w:rPr>
          <w:t xml:space="preserve">[16]</w:t>
        </w:r>
      </w:hyperlink>
      <w:r>
        <w:t xml:space="preserve">. The design does not claim otherwise. Its inferential reach ends at the boundary of the retrieved analytic literature, and stretching the findings past that boundary would repeat exactly the overreach the whole project is built to avoid. The narrow external validity is not merely a limitation to be conceded; it is a consequence of the honest instrument the design chose. A broader claim would have required either a broader corpus, which was unavailable, or an interpretive leap the data cannot license</w:t>
      </w:r>
      <w:r>
        <w:t xml:space="preserve"> </w:t>
      </w:r>
      <w:hyperlink w:anchor="ref-6">
        <w:r>
          <w:rPr>
            <w:rStyle w:val="Hyperlink"/>
          </w:rPr>
          <w:t xml:space="preserve">[6]</w:t>
        </w:r>
      </w:hyperlink>
      <w:r>
        <w:t xml:space="preserve">. Faced with that choice, the design accepts a narrow, defensible reach over a wide, indefensible one. The follow-on work sketched in the next chapter is largely a program for widening that reach responsibly, one data source at a time, rather than by rhetorical extension of the present thirty records</w:t>
      </w:r>
      <w:r>
        <w:t xml:space="preserve"> </w:t>
      </w:r>
      <w:hyperlink w:anchor="ref-2">
        <w:r>
          <w:rPr>
            <w:rStyle w:val="Hyperlink"/>
          </w:rPr>
          <w:t xml:space="preserve">[2]</w:t>
        </w:r>
      </w:hyperlink>
      <w:r>
        <w:t xml:space="preserve">.</w:t>
      </w:r>
    </w:p>
    <w:p>
      <w:pPr>
        <w:pStyle w:val="BodyText"/>
        <w:spacing w:line="480" w:lineRule="auto"/>
        <w:ind w:firstLine="720"/>
      </w:pPr>
      <w:r>
        <w:t xml:space="preserve">Taken together, the limitations and the surviving finding compose a single honest message. The corpus is small, skewed, and narrow; the attention channel nonetheless shows a faint, theory-consistent signal; and every other channel is silent. A reader who wants to believe the audience-cost proposition will find nothing here to forbid it, and a reader who wants to reject it will find nothing here to establish it. What both readers gain is a precise account of where the documentary evidence currently stands and exactly which additional data would move it, which is the most a design-stage inquiry on thirty records can responsibly deliver</w:t>
      </w:r>
      <w:r>
        <w:t xml:space="preserve"> </w:t>
      </w:r>
      <w:hyperlink w:anchor="ref-5">
        <w:r>
          <w:rPr>
            <w:rStyle w:val="Hyperlink"/>
          </w:rPr>
          <w:t xml:space="preserve">[5]</w:t>
        </w:r>
      </w:hyperlink>
      <w:r>
        <w:t xml:space="preserve"> </w:t>
      </w:r>
      <w:hyperlink w:anchor="ref-7">
        <w:r>
          <w:rPr>
            <w:rStyle w:val="Hyperlink"/>
          </w:rPr>
          <w:t xml:space="preserve">[7]</w:t>
        </w:r>
      </w:hyperlink>
      <w:r>
        <w:t xml:space="preserve">.</w:t>
      </w:r>
    </w:p>
    <w:bookmarkEnd w:id="132"/>
    <w:bookmarkEnd w:id="133"/>
    <w:bookmarkStart w:id="172" w:name="chapter-8.-conclusions-and-implications"/>
    <w:p>
      <w:pPr>
        <w:pStyle w:val="Heading1"/>
        <w:spacing w:line="480" w:lineRule="auto"/>
      </w:pPr>
      <w:r>
        <w:t xml:space="preserve">Chapter 8. Conclusions and Implications</w:t>
      </w:r>
    </w:p>
    <w:p>
      <w:pPr>
        <w:pStyle w:val="FirstParagraph"/>
        <w:spacing w:line="480" w:lineRule="auto"/>
      </w:pPr>
      <w:r>
        <w:t xml:space="preserve">A dissertation should end by saying, without hedging, what it added to knowledge and what it did not. This one takes the question of whether anti-satellite demonstrations follow a domestic-signaling logic, a proposition that had lived only in argument, and gives it a documentary shadow that can be measured, tested, and reproduced. The contribution is bounded. Its boundedness is precisely what makes it durable</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3">
        <w:r>
          <w:rPr>
            <w:rStyle w:val="Hyperlink"/>
          </w:rPr>
          <w:t xml:space="preserve">[3]</w:t>
        </w:r>
      </w:hyperlink>
      <w:r>
        <w:t xml:space="preserve">. A sweeping conclusion drawn from thirty records would have aged badly, contradicted by the first larger dataset to come along; a bounded conclusion, by contrast, remains true within its stated limits no matter how the evidence base grows, because it never claimed more than those limits allowed. Durability in empirical work comes from knowing where to stop, and this dissertation stops where its data do</w:t>
      </w:r>
      <w:r>
        <w:t xml:space="preserve"> </w:t>
      </w:r>
      <w:hyperlink w:anchor="ref-5">
        <w:r>
          <w:rPr>
            <w:rStyle w:val="Hyperlink"/>
          </w:rPr>
          <w:t xml:space="preserve">[5]</w:t>
        </w:r>
      </w:hyperlink>
      <w:r>
        <w:t xml:space="preserve"> </w:t>
      </w:r>
      <w:hyperlink w:anchor="ref-7">
        <w:r>
          <w:rPr>
            <w:rStyle w:val="Hyperlink"/>
          </w:rPr>
          <w:t xml:space="preserve">[7]</w:t>
        </w:r>
      </w:hyperlink>
      <w:r>
        <w:t xml:space="preserve">.</w:t>
      </w:r>
    </w:p>
    <w:bookmarkStart w:id="134" w:name="the-contribution-stated-plainly"/>
    <w:p>
      <w:pPr>
        <w:pStyle w:val="Heading2"/>
        <w:spacing w:line="480" w:lineRule="auto"/>
      </w:pPr>
      <w:r>
        <w:t xml:space="preserve">The contribution, stated plainly</w:t>
      </w:r>
    </w:p>
    <w:p>
      <w:pPr>
        <w:pStyle w:val="FirstParagraph"/>
        <w:spacing w:line="480" w:lineRule="auto"/>
      </w:pPr>
      <w:r>
        <w:t xml:space="preserve">The substantive contribution is a single, defensible finding: within the retrieved corpus, citation attention is the only channel through which the candidate topic leaves a systematic documentary footprint, and even that channel is marginal.</w:t>
      </w:r>
    </w:p>
    <w:p>
      <w:pPr>
        <w:pStyle w:val="BodyText"/>
        <w:spacing w:line="480" w:lineRule="auto"/>
        <w:ind w:firstLine="720"/>
      </w:pPr>
      <w:r>
        <w:t xml:space="preserve">Paper 1’s ordinary least squares estimate returned N = 30, R2 = 0.1205, and F_p = 0.2544, with a citation coefficient of 0.0668 at p = 0.0662 as the sole predictor consistent with the audience-cost mechanism; recency, at -0.0262 with p = 0.7348, and venue, at -0.5269 with p = 0.2117, carried no reliable signal. Paper 2’s learning-curve estimate returned N = 30, R2 = 0.0052, and a log-age slope of -0.1076 at p = 0.5716, indistinguishable from zero. The two results are complementary rather than interchangeable. One tested cross-sectional structure and found a faint attention signal; the other tested temporal accumulation and found none</w:t>
      </w:r>
      <w:r>
        <w:t xml:space="preserve"> </w:t>
      </w:r>
      <w:hyperlink w:anchor="ref-4">
        <w:r>
          <w:rPr>
            <w:rStyle w:val="Hyperlink"/>
          </w:rPr>
          <w:t xml:space="preserve">[4]</w:t>
        </w:r>
      </w:hyperlink>
      <w:r>
        <w:t xml:space="preserve"> </w:t>
      </w:r>
      <w:hyperlink w:anchor="ref-5">
        <w:r>
          <w:rPr>
            <w:rStyle w:val="Hyperlink"/>
          </w:rPr>
          <w:t xml:space="preserve">[5]</w:t>
        </w:r>
      </w:hyperlink>
      <w:r>
        <w:t xml:space="preserve">. Read jointly, they describe a corpus whose attention concentrates on a handful of high-consequence analyses without accumulating lawfully over time, which is a specific and reportable structural fact about the topic’s literature rather than a mere absence of results</w:t>
      </w:r>
      <w:r>
        <w:t xml:space="preserve"> </w:t>
      </w:r>
      <w:hyperlink w:anchor="ref-12">
        <w:r>
          <w:rPr>
            <w:rStyle w:val="Hyperlink"/>
          </w:rPr>
          <w:t xml:space="preserve">[12]</w:t>
        </w:r>
      </w:hyperlink>
      <w:r>
        <w:t xml:space="preserve">.</w:t>
      </w:r>
    </w:p>
    <w:p>
      <w:pPr>
        <w:pStyle w:val="BodyText"/>
        <w:spacing w:line="480" w:lineRule="auto"/>
        <w:ind w:firstLine="720"/>
      </w:pPr>
      <w:r>
        <w:t xml:space="preserve">The methodological contribution is larger than the substantive one, and it may prove more useful.</w:t>
      </w:r>
    </w:p>
    <w:p>
      <w:pPr>
        <w:pStyle w:val="BodyText"/>
        <w:spacing w:line="480" w:lineRule="auto"/>
        <w:ind w:firstLine="720"/>
      </w:pPr>
      <w:r>
        <w:t xml:space="preserve">This project demonstrates a reproducible path from a contested space-policy claim to an auditable number. Source records become rows. Observable metadata fields become deterministic variables. Two transparent estimators convert the variables into coefficients, and the interpretation stops where the coefficients stop. Any reader can rerun both models on the thirty published rows and recover every figure in Chapter 6. In a domain where confident assertion is cheap and reproducible measurement is rare, that path is worth more than the particular coefficients it happened to produce</w:t>
      </w:r>
      <w:r>
        <w:t xml:space="preserve"> </w:t>
      </w:r>
      <w:hyperlink w:anchor="ref-6">
        <w:r>
          <w:rPr>
            <w:rStyle w:val="Hyperlink"/>
          </w:rPr>
          <w:t xml:space="preserve">[6]</w:t>
        </w:r>
      </w:hyperlink>
      <w:r>
        <w:t xml:space="preserve"> </w:t>
      </w:r>
      <w:hyperlink w:anchor="ref-9">
        <w:r>
          <w:rPr>
            <w:rStyle w:val="Hyperlink"/>
          </w:rPr>
          <w:t xml:space="preserve">[9]</w:t>
        </w:r>
      </w:hyperlink>
      <w:r>
        <w:t xml:space="preserve">.</w:t>
      </w:r>
    </w:p>
    <w:bookmarkEnd w:id="134"/>
    <w:bookmarkStart w:id="135" w:name="Xe398649a5d9e512efecab355653d1591f7541a9"/>
    <w:p>
      <w:pPr>
        <w:pStyle w:val="Heading2"/>
        <w:spacing w:line="480" w:lineRule="auto"/>
      </w:pPr>
      <w:r>
        <w:t xml:space="preserve">Restating the answer to the research question</w:t>
      </w:r>
    </w:p>
    <w:p>
      <w:pPr>
        <w:pStyle w:val="FirstParagraph"/>
        <w:spacing w:line="480" w:lineRule="auto"/>
      </w:pPr>
      <w:r>
        <w:t xml:space="preserve">The dissertation opened with a question: do anti-satellite demonstrations follow a domestic-signaling logic, and can that proposition be tested with obtainable documentary evidence?</w:t>
      </w:r>
    </w:p>
    <w:p>
      <w:pPr>
        <w:pStyle w:val="BodyText"/>
        <w:spacing w:line="480" w:lineRule="auto"/>
        <w:ind w:firstLine="720"/>
      </w:pPr>
      <w:r>
        <w:t xml:space="preserve">The second half of the question receives a firm yes. The proposition can be given a documentary shadow, operationalized as topic-signal structure across recency, citation attention, and venue, and that shadow can be measured reproducibly</w:t>
      </w:r>
      <w:r>
        <w:t xml:space="preserve"> </w:t>
      </w:r>
      <w:hyperlink w:anchor="ref-1">
        <w:r>
          <w:rPr>
            <w:rStyle w:val="Hyperlink"/>
          </w:rPr>
          <w:t xml:space="preserve">[1]</w:t>
        </w:r>
      </w:hyperlink>
      <w:r>
        <w:t xml:space="preserve"> </w:t>
      </w:r>
      <w:hyperlink w:anchor="ref-2">
        <w:r>
          <w:rPr>
            <w:rStyle w:val="Hyperlink"/>
          </w:rPr>
          <w:t xml:space="preserve">[2]</w:t>
        </w:r>
      </w:hyperlink>
      <w:r>
        <w:t xml:space="preserve">. The first half receives a heavily qualified maybe. Within the retrieved corpus, only citation attention shows the association the mechanism predicts, and only at the margin, while the time-based channels show nothing. The documentary record is consistent with a weak version of the signaling story running through attention, and inconsistent with the simpler story running through recency</w:t>
      </w:r>
      <w:r>
        <w:t xml:space="preserve"> </w:t>
      </w:r>
      <w:hyperlink w:anchor="ref-3">
        <w:r>
          <w:rPr>
            <w:rStyle w:val="Hyperlink"/>
          </w:rPr>
          <w:t xml:space="preserve">[3]</w:t>
        </w:r>
      </w:hyperlink>
      <w:r>
        <w:t xml:space="preserve"> </w:t>
      </w:r>
      <w:hyperlink w:anchor="ref-4">
        <w:r>
          <w:rPr>
            <w:rStyle w:val="Hyperlink"/>
          </w:rPr>
          <w:t xml:space="preserve">[4]</w:t>
        </w:r>
      </w:hyperlink>
      <w:r>
        <w:t xml:space="preserve">. That two-part answer is the honest yield of a design-stage dissertation. It does not pretend the political question is settled, and it does not pretend the empirical exercise was fruitless. It reports precisely how far the available evidence carries the proposition, which is farther than nothing and much less than proof. A reader who wanted a verdict on state behavior will be disappointed, correctly, because the design never promised one. A reader who wanted to know whether the proposition can be moved from assertion toward measurement gets an unambiguous demonstration that it can</w:t>
      </w:r>
      <w:r>
        <w:t xml:space="preserve"> </w:t>
      </w:r>
      <w:hyperlink w:anchor="ref-5">
        <w:r>
          <w:rPr>
            <w:rStyle w:val="Hyperlink"/>
          </w:rPr>
          <w:t xml:space="preserve">[5]</w:t>
        </w:r>
      </w:hyperlink>
      <w:r>
        <w:t xml:space="preserve">.</w:t>
      </w:r>
    </w:p>
    <w:bookmarkEnd w:id="135"/>
    <w:bookmarkStart w:id="136" w:name="why-the-null-results-matter"/>
    <w:p>
      <w:pPr>
        <w:pStyle w:val="Heading2"/>
        <w:spacing w:line="480" w:lineRule="auto"/>
      </w:pPr>
      <w:r>
        <w:t xml:space="preserve">Why the null results matter</w:t>
      </w:r>
    </w:p>
    <w:p>
      <w:pPr>
        <w:pStyle w:val="FirstParagraph"/>
        <w:spacing w:line="480" w:lineRule="auto"/>
      </w:pPr>
      <w:r>
        <w:t xml:space="preserve">It would have been easy to bury the failed predictors and lead with the citation coefficient. The design refused, because the failures are half the finding. Learning that recency and venue add nothing, and that the corpus has no age-based accumulation curve, is genuine knowledge. It tells the next researcher that instrumenting publication timing or venue prestige is a dead end for this topic, and that the attention channel is the one worth the cost of a larger, richer dataset</w:t>
      </w:r>
      <w:r>
        <w:t xml:space="preserve"> </w:t>
      </w:r>
      <w:hyperlink w:anchor="ref-7">
        <w:r>
          <w:rPr>
            <w:rStyle w:val="Hyperlink"/>
          </w:rPr>
          <w:t xml:space="preserve">[7]</w:t>
        </w:r>
      </w:hyperlink>
      <w:r>
        <w:t xml:space="preserve">. A field advances as much by closing unproductive avenues as by opening productive ones, and a design-stage dissertation that maps both is doing the work honestly</w:t>
      </w:r>
      <w:r>
        <w:t xml:space="preserve"> </w:t>
      </w:r>
      <w:hyperlink w:anchor="ref-3">
        <w:r>
          <w:rPr>
            <w:rStyle w:val="Hyperlink"/>
          </w:rPr>
          <w:t xml:space="preserve">[3]</w:t>
        </w:r>
      </w:hyperlink>
      <w:r>
        <w:t xml:space="preserve">. The concentration of citations in a few high-consequence articles is the most suggestive thread to pull next. The records that drew the most attention were the debris-consequence and reentry-safety analyses whose stakes reached far beyond defense ministries into commercial and aviation constituencies</w:t>
      </w:r>
      <w:r>
        <w:t xml:space="preserve"> </w:t>
      </w:r>
      <w:hyperlink w:anchor="ref-10">
        <w:r>
          <w:rPr>
            <w:rStyle w:val="Hyperlink"/>
          </w:rPr>
          <w:t xml:space="preserve">[10]</w:t>
        </w:r>
      </w:hyperlink>
      <w:r>
        <w:t xml:space="preserve"> </w:t>
      </w:r>
      <w:hyperlink w:anchor="ref-12">
        <w:r>
          <w:rPr>
            <w:rStyle w:val="Hyperlink"/>
          </w:rPr>
          <w:t xml:space="preserve">[12]</w:t>
        </w:r>
      </w:hyperlink>
      <w:r>
        <w:t xml:space="preserve">. That pattern is exactly what an audience-cost account predicts: the events with the broadest public consequences generate the most sustained analytic attention. A follow-on design that codes demonstrations at the event level and links them to this attention concentration could test the mechanism directly rather than through its documentary shadow</w:t>
      </w:r>
      <w:r>
        <w:t xml:space="preserve"> </w:t>
      </w:r>
      <w:hyperlink w:anchor="ref-2">
        <w:r>
          <w:rPr>
            <w:rStyle w:val="Hyperlink"/>
          </w:rPr>
          <w:t xml:space="preserve">[2]</w:t>
        </w:r>
      </w:hyperlink>
      <w:r>
        <w:t xml:space="preserve">.</w:t>
      </w:r>
    </w:p>
    <w:bookmarkEnd w:id="136"/>
    <w:bookmarkStart w:id="137" w:name="X2f899d578caf1883aa0fcaadcdeaf8312104116"/>
    <w:p>
      <w:pPr>
        <w:pStyle w:val="Heading2"/>
        <w:spacing w:line="480" w:lineRule="auto"/>
      </w:pPr>
      <w:r>
        <w:t xml:space="preserve">The contribution in the context of its field</w:t>
      </w:r>
    </w:p>
    <w:p>
      <w:pPr>
        <w:pStyle w:val="FirstParagraph"/>
        <w:spacing w:line="480" w:lineRule="auto"/>
      </w:pPr>
      <w:r>
        <w:t xml:space="preserve">Placed against the space-security literature, the dissertation’s contribution is a shift in evidentiary standard more than a new substantive claim. The field is accustomed to arguing about anti-satellite behavior through cases, framings, and expert judgment, all of which are valuable and none of which are reproducible in the strict sense</w:t>
      </w:r>
      <w:r>
        <w:t xml:space="preserve"> </w:t>
      </w:r>
      <w:hyperlink w:anchor="ref-3">
        <w:r>
          <w:rPr>
            <w:rStyle w:val="Hyperlink"/>
          </w:rPr>
          <w:t xml:space="preserve">[3]</w:t>
        </w:r>
      </w:hyperlink>
      <w:r>
        <w:t xml:space="preserve">. This project inserts a small reproducible test into that conversation, one whose every step a skeptic can rerun. The substantive yield of the test is modest, but the demonstration that such a test is possible, and that it returns a specific deflationary answer, changes what the field can ask of future documentary work</w:t>
      </w:r>
      <w:r>
        <w:t xml:space="preserve"> </w:t>
      </w:r>
      <w:hyperlink w:anchor="ref-2">
        <w:r>
          <w:rPr>
            <w:rStyle w:val="Hyperlink"/>
          </w:rPr>
          <w:t xml:space="preserve">[2]</w:t>
        </w:r>
      </w:hyperlink>
      <w:r>
        <w:t xml:space="preserve"> </w:t>
      </w:r>
      <w:hyperlink w:anchor="ref-6">
        <w:r>
          <w:rPr>
            <w:rStyle w:val="Hyperlink"/>
          </w:rPr>
          <w:t xml:space="preserve">[6]</w:t>
        </w:r>
      </w:hyperlink>
      <w:r>
        <w:t xml:space="preserve">. A discipline advances partly by raising the bar for what counts as evidence, and a first auditable screen on a long-asserted proposition raises it here. The contribution also connects to the broader movement toward transparent, quantitative analysis in space situational awareness and debris studies. The debris-consequence literature already treats reproducible physical modeling as more credible than closed assessment, and the attribution literature makes the same bet about collision-risk estimation</w:t>
      </w:r>
      <w:r>
        <w:t xml:space="preserve"> </w:t>
      </w:r>
      <w:hyperlink w:anchor="ref-2">
        <w:r>
          <w:rPr>
            <w:rStyle w:val="Hyperlink"/>
          </w:rPr>
          <w:t xml:space="preserve">[2]</w:t>
        </w:r>
      </w:hyperlink>
      <w:r>
        <w:t xml:space="preserve"> </w:t>
      </w:r>
      <w:hyperlink w:anchor="ref-12">
        <w:r>
          <w:rPr>
            <w:rStyle w:val="Hyperlink"/>
          </w:rPr>
          <w:t xml:space="preserve">[12]</w:t>
        </w:r>
      </w:hyperlink>
      <w:r>
        <w:t xml:space="preserve">. This dissertation carries that ethic across a disciplinary boundary, from the physics of the orbital environment to the sociology of the literature about it. The instruments differ, but the commitment is identical: an inspectable measurement, however modest, beats a confident claim that cannot be checked</w:t>
      </w:r>
      <w:r>
        <w:t xml:space="preserve"> </w:t>
      </w:r>
      <w:hyperlink w:anchor="ref-9">
        <w:r>
          <w:rPr>
            <w:rStyle w:val="Hyperlink"/>
          </w:rPr>
          <w:t xml:space="preserve">[9]</w:t>
        </w:r>
      </w:hyperlink>
      <w:r>
        <w:t xml:space="preserve">.</w:t>
      </w:r>
    </w:p>
    <w:bookmarkEnd w:id="137"/>
    <w:bookmarkStart w:id="138" w:name="X6efe46345d2fee9493eb44813071db6c4c60285"/>
    <w:p>
      <w:pPr>
        <w:pStyle w:val="Heading2"/>
        <w:spacing w:line="480" w:lineRule="auto"/>
      </w:pPr>
      <w:r>
        <w:t xml:space="preserve">Relevance to governance and program analysis</w:t>
      </w:r>
    </w:p>
    <w:p>
      <w:pPr>
        <w:pStyle w:val="FirstParagraph"/>
        <w:spacing w:line="480" w:lineRule="auto"/>
      </w:pPr>
      <w:r>
        <w:t xml:space="preserve">For the governance community, the dissertation offers a template as much as a result. Space-policy decisions routinely have to be made before complete data exist, and the temptation is either to wait indefinitely or to act on impression. This design shows a third option: a first-pass, source-traced screen that establishes whether a claim is even visible in the documentary record, followed by explicitly named later stages that add operator-level, mission-level, or regulatory data</w:t>
      </w:r>
      <w:r>
        <w:t xml:space="preserve"> </w:t>
      </w:r>
      <w:hyperlink w:anchor="ref-4">
        <w:r>
          <w:rPr>
            <w:rStyle w:val="Hyperlink"/>
          </w:rPr>
          <w:t xml:space="preserve">[4]</w:t>
        </w:r>
      </w:hyperlink>
      <w:r>
        <w:t xml:space="preserve"> </w:t>
      </w:r>
      <w:hyperlink w:anchor="ref-16">
        <w:r>
          <w:rPr>
            <w:rStyle w:val="Hyperlink"/>
          </w:rPr>
          <w:t xml:space="preserve">[16]</w:t>
        </w:r>
      </w:hyperlink>
      <w:r>
        <w:t xml:space="preserve">. The present work occupies the first stage and says so. It does not pretend to have completed the later ones, and that honesty is what makes it usable as a foundation rather than a facade. For program analysts inside institutions like national space agencies and their supporting research centers, the transferable lesson is procedural. The four-artifact structure, source metadata to data rows to configuration to workbook, with the narrative downstream of all four, is a discipline that any evidence-driven assessment can adopt. It forces the analysis to keep its inference inspectable, which is the property that lets a skeptical stakeholder trust a modest finding</w:t>
      </w:r>
      <w:r>
        <w:t xml:space="preserve"> </w:t>
      </w:r>
      <w:hyperlink w:anchor="ref-5">
        <w:r>
          <w:rPr>
            <w:rStyle w:val="Hyperlink"/>
          </w:rPr>
          <w:t xml:space="preserve">[5]</w:t>
        </w:r>
      </w:hyperlink>
      <w:r>
        <w:t xml:space="preserve"> </w:t>
      </w:r>
      <w:hyperlink w:anchor="ref-7">
        <w:r>
          <w:rPr>
            <w:rStyle w:val="Hyperlink"/>
          </w:rPr>
          <w:t xml:space="preserve">[7]</w:t>
        </w:r>
      </w:hyperlink>
      <w:r>
        <w:t xml:space="preserve">. The specific topic here is anti-satellite brinkmanship, but the auditable-evidence method generalizes to any space-governance question that begins with partial records.</w:t>
      </w:r>
    </w:p>
    <w:bookmarkEnd w:id="138"/>
    <w:bookmarkStart w:id="139" w:name="Xac6c0981a77ed7fbdfe5605b55528e4a8da1987"/>
    <w:p>
      <w:pPr>
        <w:pStyle w:val="Heading2"/>
        <w:spacing w:line="480" w:lineRule="auto"/>
      </w:pPr>
      <w:r>
        <w:t xml:space="preserve">The pedagogical value of a bounded result</w:t>
      </w:r>
    </w:p>
    <w:p>
      <w:pPr>
        <w:pStyle w:val="FirstParagraph"/>
        <w:spacing w:line="480" w:lineRule="auto"/>
      </w:pPr>
      <w:r>
        <w:t xml:space="preserve">There is a lesson in this dissertation that reaches past its topic, and it concerns how doctoral work should handle disappointing data. The easy path, when three of four predictions fail, is to reframe the analysis until something looks significant, or to bury the failures and inflate the survivor. This project took the harder path of reporting the mostly-null pattern in full and reading it for what it discloses</w:t>
      </w:r>
      <w:r>
        <w:t xml:space="preserve"> </w:t>
      </w:r>
      <w:hyperlink w:anchor="ref-3">
        <w:r>
          <w:rPr>
            <w:rStyle w:val="Hyperlink"/>
          </w:rPr>
          <w:t xml:space="preserve">[3]</w:t>
        </w:r>
      </w:hyperlink>
      <w:r>
        <w:t xml:space="preserve"> </w:t>
      </w:r>
      <w:hyperlink w:anchor="ref-5">
        <w:r>
          <w:rPr>
            <w:rStyle w:val="Hyperlink"/>
          </w:rPr>
          <w:t xml:space="preserve">[5]</w:t>
        </w:r>
      </w:hyperlink>
      <w:r>
        <w:t xml:space="preserve">. That choice models a standard the space-policy field could use more of, where the pressure to produce confident findings is high and the supply of reproducible ones is low. A bounded result, honestly reported, teaches the next researcher where the evidence actually runs thin, which is more useful than a confident result that cannot be checked</w:t>
      </w:r>
      <w:r>
        <w:t xml:space="preserve"> </w:t>
      </w:r>
      <w:hyperlink w:anchor="ref-2">
        <w:r>
          <w:rPr>
            <w:rStyle w:val="Hyperlink"/>
          </w:rPr>
          <w:t xml:space="preserve">[2]</w:t>
        </w:r>
      </w:hyperlink>
      <w:r>
        <w:t xml:space="preserve">. The bounded posture also protects the candidate’s own future work. By stating precisely what the thirty-record corpus can and cannot support, the dissertation avoids staking a reputation on a claim a larger sample might overturn. The citation channel is offered as suggestive and worth pursuing, not as established, so a follow-on study that fails to replicate it would refine rather than embarrass the research program</w:t>
      </w:r>
      <w:r>
        <w:t xml:space="preserve"> </w:t>
      </w:r>
      <w:hyperlink w:anchor="ref-1">
        <w:r>
          <w:rPr>
            <w:rStyle w:val="Hyperlink"/>
          </w:rPr>
          <w:t xml:space="preserve">[1]</w:t>
        </w:r>
      </w:hyperlink>
      <w:r>
        <w:t xml:space="preserve">. Overclaiming now would have mortgaged the program’s credibility against a coefficient sitting at p = 0.066. The design declines that mortgage, and the decline is itself part of the contribution</w:t>
      </w:r>
      <w:r>
        <w:t xml:space="preserve"> </w:t>
      </w:r>
      <w:hyperlink w:anchor="ref-7">
        <w:r>
          <w:rPr>
            <w:rStyle w:val="Hyperlink"/>
          </w:rPr>
          <w:t xml:space="preserve">[7]</w:t>
        </w:r>
      </w:hyperlink>
      <w:r>
        <w:t xml:space="preserve">. A research program that survives its own first honest result is stronger than one that later has to walk back an inflated one, and this dissertation is deliberately built to survive its own findings rather than to be embarrassed by them</w:t>
      </w:r>
      <w:r>
        <w:t xml:space="preserve"> </w:t>
      </w:r>
      <w:hyperlink w:anchor="ref-1">
        <w:r>
          <w:rPr>
            <w:rStyle w:val="Hyperlink"/>
          </w:rPr>
          <w:t xml:space="preserve">[1]</w:t>
        </w:r>
      </w:hyperlink>
      <w:r>
        <w:t xml:space="preserve"> </w:t>
      </w:r>
      <w:hyperlink w:anchor="ref-5">
        <w:r>
          <w:rPr>
            <w:rStyle w:val="Hyperlink"/>
          </w:rPr>
          <w:t xml:space="preserve">[5]</w:t>
        </w:r>
      </w:hyperlink>
      <w:r>
        <w:t xml:space="preserve">.</w:t>
      </w:r>
    </w:p>
    <w:bookmarkEnd w:id="139"/>
    <w:bookmarkStart w:id="140" w:name="X562465793b9c86657072a92830a6944c1b3dccd"/>
    <w:p>
      <w:pPr>
        <w:pStyle w:val="Heading2"/>
        <w:spacing w:line="480" w:lineRule="auto"/>
      </w:pPr>
      <w:r>
        <w:t xml:space="preserve">Program relevance beyond the immediate topic</w:t>
      </w:r>
    </w:p>
    <w:p>
      <w:pPr>
        <w:pStyle w:val="FirstParagraph"/>
        <w:spacing w:line="480" w:lineRule="auto"/>
      </w:pPr>
      <w:r>
        <w:t xml:space="preserve">The method demonstrated here transfers to a class of program-analysis questions that recur inside space institutions. Whenever an agency or research center must judge whether a topic is genuinely rising or merely being talked about, the same four-artifact structure applies: retrieve the relevant records, construct deterministic features, estimate a transparent model, and interpret the output within its bounds</w:t>
      </w:r>
      <w:r>
        <w:t xml:space="preserve"> </w:t>
      </w:r>
      <w:hyperlink w:anchor="ref-4">
        <w:r>
          <w:rPr>
            <w:rStyle w:val="Hyperlink"/>
          </w:rPr>
          <w:t xml:space="preserve">[4]</w:t>
        </w:r>
      </w:hyperlink>
      <w:r>
        <w:t xml:space="preserve"> </w:t>
      </w:r>
      <w:hyperlink w:anchor="ref-6">
        <w:r>
          <w:rPr>
            <w:rStyle w:val="Hyperlink"/>
          </w:rPr>
          <w:t xml:space="preserve">[6]</w:t>
        </w:r>
      </w:hyperlink>
      <w:r>
        <w:t xml:space="preserve">. The specific application to anti-satellite brinkmanship is one instance of a general capability, and the general capability is what makes the dissertation useful to a center whose work spans many topics. An analyst who has seen this design run once can point it at debris-mitigation salience, at commercial-launch governance attention, or at any documentary question where the alternative is impressionistic judgment</w:t>
      </w:r>
      <w:r>
        <w:t xml:space="preserve"> </w:t>
      </w:r>
      <w:hyperlink w:anchor="ref-5">
        <w:r>
          <w:rPr>
            <w:rStyle w:val="Hyperlink"/>
          </w:rPr>
          <w:t xml:space="preserve">[5]</w:t>
        </w:r>
      </w:hyperlink>
      <w:r>
        <w:t xml:space="preserve"> </w:t>
      </w:r>
      <w:hyperlink w:anchor="ref-12">
        <w:r>
          <w:rPr>
            <w:rStyle w:val="Hyperlink"/>
          </w:rPr>
          <w:t xml:space="preserve">[12]</w:t>
        </w:r>
      </w:hyperlink>
      <w:r>
        <w:t xml:space="preserve">. The transfer carries a caution, which the dissertation is careful to attach. The method’s honesty depends on keeping the four artifacts in order and refusing to let the narrative run ahead of the workbook, and an institution adopting the method inherits that discipline along with the capability</w:t>
      </w:r>
      <w:r>
        <w:t xml:space="preserve"> </w:t>
      </w:r>
      <w:hyperlink w:anchor="ref-1">
        <w:r>
          <w:rPr>
            <w:rStyle w:val="Hyperlink"/>
          </w:rPr>
          <w:t xml:space="preserve">[1]</w:t>
        </w:r>
      </w:hyperlink>
      <w:r>
        <w:t xml:space="preserve">. A design that traces every claim to a source is only as good as the institution’s willingness to stop where the sources stop. The dissertation models that willingness, and its program relevance lies as much in the discipline it demonstrates as in the particular pipeline it runs</w:t>
      </w:r>
      <w:r>
        <w:t xml:space="preserve"> </w:t>
      </w:r>
      <w:hyperlink w:anchor="ref-7">
        <w:r>
          <w:rPr>
            <w:rStyle w:val="Hyperlink"/>
          </w:rPr>
          <w:t xml:space="preserve">[7]</w:t>
        </w:r>
      </w:hyperlink>
      <w:r>
        <w:t xml:space="preserve">.</w:t>
      </w:r>
    </w:p>
    <w:bookmarkEnd w:id="140"/>
    <w:bookmarkStart w:id="141" w:name="future-work"/>
    <w:p>
      <w:pPr>
        <w:pStyle w:val="Heading2"/>
        <w:spacing w:line="480" w:lineRule="auto"/>
      </w:pPr>
      <w:r>
        <w:t xml:space="preserve">Future work</w:t>
      </w:r>
    </w:p>
    <w:p>
      <w:pPr>
        <w:pStyle w:val="FirstParagraph"/>
        <w:spacing w:line="480" w:lineRule="auto"/>
      </w:pPr>
      <w:r>
        <w:t xml:space="preserve">The next stage of this research program has a clear shape. First, widen the source universe from thirty records to a corpus large enough to estimate the attention channel with precision rather than at the margin, which would settle whether the 0.0668 citation coefficient is a real relationship or a small-sample accident</w:t>
      </w:r>
      <w:r>
        <w:t xml:space="preserve"> </w:t>
      </w:r>
      <w:hyperlink w:anchor="ref-1">
        <w:r>
          <w:rPr>
            <w:rStyle w:val="Hyperlink"/>
          </w:rPr>
          <w:t xml:space="preserve">[1]</w:t>
        </w:r>
      </w:hyperlink>
      <w:r>
        <w:t xml:space="preserve">. Second, add direct outcome measures: event-level coding of anti-satellite demonstrations and their timing, and governance-output measures such as forum statements or treaty language, so the design can test the audience-cost mechanism against behavior rather than against documentary attention</w:t>
      </w:r>
      <w:r>
        <w:t xml:space="preserve"> </w:t>
      </w:r>
      <w:hyperlink w:anchor="ref-16">
        <w:r>
          <w:rPr>
            <w:rStyle w:val="Hyperlink"/>
          </w:rPr>
          <w:t xml:space="preserve">[16]</w:t>
        </w:r>
      </w:hyperlink>
      <w:r>
        <w:t xml:space="preserve">. Third, extend the temporal analysis once the corpus has aged, so a learning curve, if one exists, has time to appear</w:t>
      </w:r>
      <w:r>
        <w:t xml:space="preserve"> </w:t>
      </w:r>
      <w:hyperlink w:anchor="ref-12">
        <w:r>
          <w:rPr>
            <w:rStyle w:val="Hyperlink"/>
          </w:rPr>
          <w:t xml:space="preserve">[12]</w:t>
        </w:r>
      </w:hyperlink>
      <w:r>
        <w:t xml:space="preserve">. A fourth extension addresses the transplant problem raised in the literature review. Because the classic audience-cost setting assumes a punishing democratic public, a serious test of the mechanism for non-democratic space powers would need to operationalize the broadened audience, elite coalitions, allied governments, and commercial stakeholders, as measurable constructs rather than leaving them as prose</w:t>
      </w:r>
      <w:r>
        <w:t xml:space="preserve"> </w:t>
      </w:r>
      <w:hyperlink w:anchor="ref-3">
        <w:r>
          <w:rPr>
            <w:rStyle w:val="Hyperlink"/>
          </w:rPr>
          <w:t xml:space="preserve">[3]</w:t>
        </w:r>
      </w:hyperlink>
      <w:r>
        <w:t xml:space="preserve"> </w:t>
      </w:r>
      <w:hyperlink w:anchor="ref-16">
        <w:r>
          <w:rPr>
            <w:rStyle w:val="Hyperlink"/>
          </w:rPr>
          <w:t xml:space="preserve">[16]</w:t>
        </w:r>
      </w:hyperlink>
      <w:r>
        <w:t xml:space="preserve">. That is difficult, and it is exactly the kind of difficulty a first design-stage dissertation is entitled to name and defer. The present work establishes that the documentary trace can be measured; the transplant test establishes whether the mechanism producing that trace generalizes across regime types, and it is the more ambitious study the baseline here is meant to enable</w:t>
      </w:r>
      <w:r>
        <w:t xml:space="preserve"> </w:t>
      </w:r>
      <w:hyperlink w:anchor="ref-5">
        <w:r>
          <w:rPr>
            <w:rStyle w:val="Hyperlink"/>
          </w:rPr>
          <w:t xml:space="preserve">[5]</w:t>
        </w:r>
      </w:hyperlink>
      <w:r>
        <w:t xml:space="preserve">.</w:t>
      </w:r>
    </w:p>
    <w:p>
      <w:pPr>
        <w:pStyle w:val="BodyText"/>
        <w:spacing w:line="480" w:lineRule="auto"/>
        <w:ind w:firstLine="720"/>
      </w:pPr>
      <w:r>
        <w:t xml:space="preserve">These four extensions share a structure. Each names a specific data source whose absence bounds the current claim, and each specifies what its addition would let the design say. That is the shape of a research program rather than a single paper: a sequence of bounded studies, each inheriting a cleaner starting line from the last, and each refusing to claim more than its data allow</w:t>
      </w:r>
      <w:r>
        <w:t xml:space="preserve"> </w:t>
      </w:r>
      <w:hyperlink w:anchor="ref-2">
        <w:r>
          <w:rPr>
            <w:rStyle w:val="Hyperlink"/>
          </w:rPr>
          <w:t xml:space="preserve">[2]</w:t>
        </w:r>
      </w:hyperlink>
      <w:r>
        <w:t xml:space="preserve"> </w:t>
      </w:r>
      <w:hyperlink w:anchor="ref-7">
        <w:r>
          <w:rPr>
            <w:rStyle w:val="Hyperlink"/>
          </w:rPr>
          <w:t xml:space="preserve">[7]</w:t>
        </w:r>
      </w:hyperlink>
      <w:r>
        <w:t xml:space="preserve">.</w:t>
      </w:r>
    </w:p>
    <w:bookmarkEnd w:id="141"/>
    <w:bookmarkStart w:id="142" w:name="X6fd7b32d2ab51645ad45cff9ff5c5f98b21d9b3"/>
    <w:p>
      <w:pPr>
        <w:pStyle w:val="Heading2"/>
        <w:spacing w:line="480" w:lineRule="auto"/>
      </w:pPr>
      <w:r>
        <w:t xml:space="preserve">A candid accounting of what remains uncertain</w:t>
      </w:r>
    </w:p>
    <w:p>
      <w:pPr>
        <w:pStyle w:val="FirstParagraph"/>
        <w:spacing w:line="480" w:lineRule="auto"/>
      </w:pPr>
      <w:r>
        <w:t xml:space="preserve">Honesty at the close means listing what the dissertation still does not know. It does not know whether the marginal citation signal would survive in a larger sample, because thirty right-skewed observations cannot settle a coefficient on the edge of significance</w:t>
      </w:r>
      <w:r>
        <w:t xml:space="preserve"> </w:t>
      </w:r>
      <w:hyperlink w:anchor="ref-1">
        <w:r>
          <w:rPr>
            <w:rStyle w:val="Hyperlink"/>
          </w:rPr>
          <w:t xml:space="preserve">[1]</w:t>
        </w:r>
      </w:hyperlink>
      <w:r>
        <w:t xml:space="preserve">. It does not know whether that signal, if real, reflects political salience or the analytic quality of a few debris-consequence papers, because the metadata cannot separate the two</w:t>
      </w:r>
      <w:r>
        <w:t xml:space="preserve"> </w:t>
      </w:r>
      <w:hyperlink w:anchor="ref-12">
        <w:r>
          <w:rPr>
            <w:rStyle w:val="Hyperlink"/>
          </w:rPr>
          <w:t xml:space="preserve">[12]</w:t>
        </w:r>
      </w:hyperlink>
      <w:r>
        <w:t xml:space="preserve">. It does not know whether documentary attention tracks governance output, because the design measures the first and never observes the second</w:t>
      </w:r>
      <w:r>
        <w:t xml:space="preserve"> </w:t>
      </w:r>
      <w:hyperlink w:anchor="ref-16">
        <w:r>
          <w:rPr>
            <w:rStyle w:val="Hyperlink"/>
          </w:rPr>
          <w:t xml:space="preserve">[16]</w:t>
        </w:r>
      </w:hyperlink>
      <w:r>
        <w:t xml:space="preserve">. And it does not know whether the audience-cost mechanism holds for non-democratic space powers under the broadened definition of audience, because testing that would require actor-level data the corpus does not contain</w:t>
      </w:r>
      <w:r>
        <w:t xml:space="preserve"> </w:t>
      </w:r>
      <w:hyperlink w:anchor="ref-3">
        <w:r>
          <w:rPr>
            <w:rStyle w:val="Hyperlink"/>
          </w:rPr>
          <w:t xml:space="preserve">[3]</w:t>
        </w:r>
      </w:hyperlink>
      <w:r>
        <w:t xml:space="preserve">. Listing these uncertainties is not a confession of failure. It is the map that makes the next study efficient. Each item names a specific piece of data whose absence bounds the present claim and whose addition would extend it, which is exactly the inheritance a design-stage dissertation is supposed to leave. The value of the work lies partly in how precisely it can state what it does not yet know</w:t>
      </w:r>
      <w:r>
        <w:t xml:space="preserve"> </w:t>
      </w:r>
      <w:hyperlink w:anchor="ref-5">
        <w:r>
          <w:rPr>
            <w:rStyle w:val="Hyperlink"/>
          </w:rPr>
          <w:t xml:space="preserve">[5]</w:t>
        </w:r>
      </w:hyperlink>
      <w:r>
        <w:t xml:space="preserve"> </w:t>
      </w:r>
      <w:hyperlink w:anchor="ref-7">
        <w:r>
          <w:rPr>
            <w:rStyle w:val="Hyperlink"/>
          </w:rPr>
          <w:t xml:space="preserve">[7]</w:t>
        </w:r>
      </w:hyperlink>
      <w:r>
        <w:t xml:space="preserve">.</w:t>
      </w:r>
    </w:p>
    <w:bookmarkEnd w:id="142"/>
    <w:bookmarkStart w:id="143" w:name="closing"/>
    <w:p>
      <w:pPr>
        <w:pStyle w:val="Heading2"/>
        <w:spacing w:line="480" w:lineRule="auto"/>
      </w:pPr>
      <w:r>
        <w:t xml:space="preserve">Closing</w:t>
      </w:r>
    </w:p>
    <w:p>
      <w:pPr>
        <w:pStyle w:val="FirstParagraph"/>
        <w:spacing w:line="480" w:lineRule="auto"/>
      </w:pPr>
      <w:r>
        <w:t xml:space="preserve">For Tessa Frost, this dissertation establishes a research program with a firm baseline. The finding is small: attention, faintly, and nothing else. But the finding is honest, reproducible, and pointed toward the next study. The dissertation replaces an intuition about space brinkmanship with an auditable empirical pathway, marks the boundary of what the present data can support, and hands the follow-on work a specific, tractable agenda. That is a legitimate doctoral contribution, and it is offered as one: not a verdict on how states behave in orbit, but a disciplined first measurement of the trace that behavior leaves in the record</w:t>
      </w:r>
      <w:r>
        <w:t xml:space="preserve"> </w:t>
      </w:r>
      <w:hyperlink w:anchor="ref-6">
        <w:r>
          <w:rPr>
            <w:rStyle w:val="Hyperlink"/>
          </w:rPr>
          <w:t xml:space="preserve">[6]</w:t>
        </w:r>
      </w:hyperlink>
      <w:r>
        <w:t xml:space="preserve"> </w:t>
      </w:r>
      <w:hyperlink w:anchor="ref-8">
        <w:r>
          <w:rPr>
            <w:rStyle w:val="Hyperlink"/>
          </w:rPr>
          <w:t xml:space="preserve">[8]</w:t>
        </w:r>
      </w:hyperlink>
      <w:r>
        <w:t xml:space="preserve"> </w:t>
      </w:r>
      <w:hyperlink w:anchor="ref-9">
        <w:r>
          <w:rPr>
            <w:rStyle w:val="Hyperlink"/>
          </w:rPr>
          <w:t xml:space="preserve">[9]</w:t>
        </w:r>
      </w:hyperlink>
      <w:r>
        <w:t xml:space="preserve">. The dissertation ends where it began, with a satellite breaking apart and the world knowing who did it. Between that opening image and this closing line sits a single, checkable claim: that the topic such events belong to leaves a faint, attention-shaped mark on its own literature, and nothing stronger than that in the present data. The claim is small enough to be true and specific enough to be tested again. A doctoral project that leaves behind a claim of that kind, together with the auditable apparatus to extend it, has done the work a design-stage dissertation exists to do, and it hands the next researcher a starting line cleaner than the one it inherited</w:t>
      </w:r>
      <w:r>
        <w:t xml:space="preserve"> </w:t>
      </w:r>
      <w:hyperlink w:anchor="ref-2">
        <w:r>
          <w:rPr>
            <w:rStyle w:val="Hyperlink"/>
          </w:rPr>
          <w:t xml:space="preserve">[2]</w:t>
        </w:r>
      </w:hyperlink>
      <w:r>
        <w:t xml:space="preserve"> </w:t>
      </w:r>
      <w:hyperlink w:anchor="ref-5">
        <w:r>
          <w:rPr>
            <w:rStyle w:val="Hyperlink"/>
          </w:rPr>
          <w:t xml:space="preserve">[5]</w:t>
        </w:r>
      </w:hyperlink>
      <w:r>
        <w:t xml:space="preserve"> </w:t>
      </w:r>
      <w:hyperlink w:anchor="ref-7">
        <w:r>
          <w:rPr>
            <w:rStyle w:val="Hyperlink"/>
          </w:rPr>
          <w:t xml:space="preserve">[7]</w:t>
        </w:r>
      </w:hyperlink>
      <w:r>
        <w:t xml:space="preserve">.</w:t>
      </w:r>
    </w:p>
    <w:p>
      <w:pPr>
        <w:pStyle w:val="BodyText"/>
        <w:spacing w:line="480" w:lineRule="auto"/>
        <w:ind w:firstLine="720"/>
      </w:pPr>
      <w:r>
        <w:t xml:space="preserve">For Tessa Frost, the baseline is now fixed. It states precisely what the thirty-record corpus can support, names the four data sources whose addition would extend the claim, and leaves behind an apparatus any successor can rerun and build upon. A baseline of that kind is worth more to a research program than an overreaching first result, because it can be extended without first having to be retracted, and because every figure in it will still hold when the corpus grows</w:t>
      </w:r>
      <w:r>
        <w:t xml:space="preserve"> </w:t>
      </w:r>
      <w:hyperlink w:anchor="ref-1">
        <w:r>
          <w:rPr>
            <w:rStyle w:val="Hyperlink"/>
          </w:rPr>
          <w:t xml:space="preserve">[1]</w:t>
        </w:r>
      </w:hyperlink>
      <w:r>
        <w:t xml:space="preserve"> </w:t>
      </w:r>
      <w:hyperlink w:anchor="ref-6">
        <w:r>
          <w:rPr>
            <w:rStyle w:val="Hyperlink"/>
          </w:rPr>
          <w:t xml:space="preserve">[6]</w:t>
        </w:r>
      </w:hyperlink>
      <w:r>
        <w:t xml:space="preserve">.</w:t>
      </w:r>
    </w:p>
    <w:bookmarkEnd w:id="143"/>
    <w:bookmarkStart w:id="171" w:name="references"/>
    <w:p>
      <w:pPr>
        <w:pStyle w:val="Heading2"/>
        <w:spacing w:line="480" w:lineRule="auto"/>
      </w:pPr>
      <w:r>
        <w:t xml:space="preserve">References</w:t>
      </w:r>
    </w:p>
    <w:p>
      <w:pPr>
        <w:pStyle w:val="FirstParagraph"/>
        <w:spacing w:line="480" w:lineRule="auto"/>
      </w:pPr>
      <w:bookmarkStart w:id="144" w:name="ref-1"/>
      <w:bookmarkEnd w:id="144"/>
      <w:r>
        <w:t xml:space="preserve">1. Makena Young, Aerospace Security Project. Trends in Global Space Situational Awareness (2021). [AMOS]</w:t>
      </w:r>
    </w:p>
    <w:p>
      <w:pPr>
        <w:pStyle w:val="BodyText"/>
        <w:spacing w:line="480" w:lineRule="auto"/>
        <w:ind w:firstLine="720"/>
      </w:pPr>
      <w:bookmarkStart w:id="145" w:name="ref-2"/>
      <w:bookmarkEnd w:id="145"/>
      <w:r>
        <w:t xml:space="preserve">2. Roohi Dalal, Outer Space Institute; Aaron Boley, Outer Space Institute and University of British Columbia; Michael Byers, Outer Space Institute and University of British Columbia. Space Debris and Nuclear Strategic Stability: Collision Risks and Attribution Potential in GEO (2024). doi:</w:t>
      </w:r>
      <w:r>
        <w:t xml:space="preserve"> </w:t>
      </w:r>
      <w:hyperlink r:id="rId146">
        <w:r>
          <w:rPr>
            <w:rStyle w:val="Hyperlink"/>
          </w:rPr>
          <w:t xml:space="preserve">10.64861/EIBC5616</w:t>
        </w:r>
      </w:hyperlink>
    </w:p>
    <w:p>
      <w:pPr>
        <w:pStyle w:val="BodyText"/>
        <w:spacing w:line="480" w:lineRule="auto"/>
        <w:ind w:firstLine="720"/>
      </w:pPr>
      <w:bookmarkStart w:id="147" w:name="ref-3"/>
      <w:bookmarkEnd w:id="147"/>
      <w:r>
        <w:t xml:space="preserve">3. Todd Harrison, Center for Strategic and International Studies. International Perspectives on Space Weapons (2020). [AMOS]</w:t>
      </w:r>
    </w:p>
    <w:p>
      <w:pPr>
        <w:pStyle w:val="BodyText"/>
        <w:spacing w:line="480" w:lineRule="auto"/>
        <w:ind w:firstLine="720"/>
      </w:pPr>
      <w:bookmarkStart w:id="148" w:name="ref-4"/>
      <w:bookmarkEnd w:id="148"/>
      <w:r>
        <w:t xml:space="preserve">4. Jaedong Seong, Korea Aerospace Research Institute (KARI); Okchul Jung, Korea Aerospace Research Institute (KARI); Youeyun Jung, Korea Aerospace Research Institute (KARI); Saehan Song, Korea Aerospace Research Institute (KARI). Development of VISION (Vigilant Integrated Space Information and mOnitoring Network): An Integrated Space Information Monitoring System for Space Flight Safety (2025). doi:</w:t>
      </w:r>
      <w:r>
        <w:t xml:space="preserve"> </w:t>
      </w:r>
      <w:hyperlink r:id="rId149">
        <w:r>
          <w:rPr>
            <w:rStyle w:val="Hyperlink"/>
          </w:rPr>
          <w:t xml:space="preserve">10.64861/OTAL2562</w:t>
        </w:r>
      </w:hyperlink>
    </w:p>
    <w:p>
      <w:pPr>
        <w:pStyle w:val="BodyText"/>
        <w:spacing w:line="480" w:lineRule="auto"/>
        <w:ind w:firstLine="720"/>
      </w:pPr>
      <w:bookmarkStart w:id="150" w:name="ref-5"/>
      <w:bookmarkEnd w:id="150"/>
      <w:r>
        <w:t xml:space="preserve">5. Makena Young, Center for Strategic and International Studies; Akhil Thadani, Center for Strategic and International Studies. Low-Orbit, High Stakes: Winning the LEO Broadband Competition (2022). [AMOS]</w:t>
      </w:r>
    </w:p>
    <w:p>
      <w:pPr>
        <w:pStyle w:val="BodyText"/>
        <w:spacing w:line="480" w:lineRule="auto"/>
        <w:ind w:firstLine="720"/>
      </w:pPr>
      <w:bookmarkStart w:id="151" w:name="ref-6"/>
      <w:bookmarkEnd w:id="151"/>
      <w:r>
        <w:t xml:space="preserve">6. John D. Ianni (AFRL, Human Effectiveness Directorate), Denise L. Aleva (AFRL, Human Effectiveness Directorate), Sharon A. Ellis (AFRL, Human Effectiveness Directorate). Overview of Human-centric Space Situational Awareness Science and Technology (2012). [AMOS]</w:t>
      </w:r>
    </w:p>
    <w:p>
      <w:pPr>
        <w:pStyle w:val="BodyText"/>
        <w:spacing w:line="480" w:lineRule="auto"/>
        <w:ind w:firstLine="720"/>
      </w:pPr>
      <w:bookmarkStart w:id="152" w:name="ref-7"/>
      <w:bookmarkEnd w:id="152"/>
      <w:r>
        <w:t xml:space="preserve">7. Cameron Harris, EO Solutions; Miguel Rodriguez, AFRL; Virginia Wright, AFRL; Jonathan Kadan, Space Systems Command; Justin Fletcher, Space Systems Command. Decisive Mission Analysis Capability: A Physics-Based Testing and Evaluation Framework for Space Domain Awareness (2025). doi:</w:t>
      </w:r>
      <w:r>
        <w:t xml:space="preserve"> </w:t>
      </w:r>
      <w:hyperlink r:id="rId153">
        <w:r>
          <w:rPr>
            <w:rStyle w:val="Hyperlink"/>
          </w:rPr>
          <w:t xml:space="preserve">10.64861/CKQN3841</w:t>
        </w:r>
      </w:hyperlink>
    </w:p>
    <w:p>
      <w:pPr>
        <w:pStyle w:val="BodyText"/>
        <w:spacing w:line="480" w:lineRule="auto"/>
        <w:ind w:firstLine="720"/>
      </w:pPr>
      <w:bookmarkStart w:id="154" w:name="ref-8"/>
      <w:bookmarkEnd w:id="154"/>
      <w:r>
        <w:t xml:space="preserve">8. Lt Col Hans Thatcher, Air Force Space Command. AFSPC A5CS SSA Activities (2011). [AMOS]</w:t>
      </w:r>
    </w:p>
    <w:p>
      <w:pPr>
        <w:pStyle w:val="BodyText"/>
        <w:spacing w:line="480" w:lineRule="auto"/>
        <w:ind w:firstLine="720"/>
      </w:pPr>
      <w:bookmarkStart w:id="155" w:name="ref-9"/>
      <w:bookmarkEnd w:id="155"/>
      <w:r>
        <w:t xml:space="preserve">9. Jie Long; Wenzhen Chen. Laser utilization in outer space: Institutional bottleneck and prospects (2025). doi:</w:t>
      </w:r>
      <w:r>
        <w:t xml:space="preserve"> </w:t>
      </w:r>
      <w:hyperlink r:id="rId156">
        <w:r>
          <w:rPr>
            <w:rStyle w:val="Hyperlink"/>
          </w:rPr>
          <w:t xml:space="preserve">10.1016/j.actaastro.2025.01.061</w:t>
        </w:r>
      </w:hyperlink>
    </w:p>
    <w:p>
      <w:pPr>
        <w:pStyle w:val="BodyText"/>
        <w:spacing w:line="480" w:lineRule="auto"/>
        <w:ind w:firstLine="720"/>
      </w:pPr>
      <w:bookmarkStart w:id="157" w:name="ref-10"/>
      <w:bookmarkEnd w:id="157"/>
      <w:r>
        <w:t xml:space="preserve">10. Charlotte Hook; Ewan Wright; Michael Byers; Aaron C. Boley. Uncontrolled reentries of space objects and aviation safety (2024). doi:</w:t>
      </w:r>
      <w:r>
        <w:t xml:space="preserve"> </w:t>
      </w:r>
      <w:hyperlink r:id="rId158">
        <w:r>
          <w:rPr>
            <w:rStyle w:val="Hyperlink"/>
          </w:rPr>
          <w:t xml:space="preserve">10.1016/j.actaastro.2024.05.026</w:t>
        </w:r>
      </w:hyperlink>
    </w:p>
    <w:p>
      <w:pPr>
        <w:pStyle w:val="BodyText"/>
        <w:spacing w:line="480" w:lineRule="auto"/>
        <w:ind w:firstLine="720"/>
      </w:pPr>
      <w:bookmarkStart w:id="159" w:name="ref-11"/>
      <w:bookmarkEnd w:id="159"/>
      <w:r>
        <w:t xml:space="preserve">11. A. Vermeulen; C.G.W. Hubers; Liselotte de Vries; Frances Brazier. What horticulture and space exploration can learn from each other: The Mission to Mars initiative in the Netherlands (2020). doi:</w:t>
      </w:r>
      <w:r>
        <w:t xml:space="preserve"> </w:t>
      </w:r>
      <w:hyperlink r:id="rId160">
        <w:r>
          <w:rPr>
            <w:rStyle w:val="Hyperlink"/>
          </w:rPr>
          <w:t xml:space="preserve">10.1016/j.actaastro.2020.05.015</w:t>
        </w:r>
      </w:hyperlink>
    </w:p>
    <w:p>
      <w:pPr>
        <w:pStyle w:val="BodyText"/>
        <w:spacing w:line="480" w:lineRule="auto"/>
        <w:ind w:firstLine="720"/>
      </w:pPr>
      <w:bookmarkStart w:id="161" w:name="ref-12"/>
      <w:bookmarkEnd w:id="161"/>
      <w:r>
        <w:t xml:space="preserve">12. Carmen Pardini; Luciano Anselmo. The short-term effects of the Cosmos 1408 fragmentation on neighboring inhabited space stations and large constellations (2023). doi:</w:t>
      </w:r>
      <w:r>
        <w:t xml:space="preserve"> </w:t>
      </w:r>
      <w:hyperlink r:id="rId162">
        <w:r>
          <w:rPr>
            <w:rStyle w:val="Hyperlink"/>
          </w:rPr>
          <w:t xml:space="preserve">10.1016/j.actaastro.2023.02.043</w:t>
        </w:r>
      </w:hyperlink>
    </w:p>
    <w:p>
      <w:pPr>
        <w:pStyle w:val="BodyText"/>
        <w:spacing w:line="480" w:lineRule="auto"/>
        <w:ind w:firstLine="720"/>
      </w:pPr>
      <w:bookmarkStart w:id="163" w:name="ref-13"/>
      <w:bookmarkEnd w:id="163"/>
      <w:r>
        <w:t xml:space="preserve">13. Chloé Carrière; Kevin Pahud; Volker Gass. Use of space analog missions as an educational tool in primary schools (2022). doi:</w:t>
      </w:r>
      <w:r>
        <w:t xml:space="preserve"> </w:t>
      </w:r>
      <w:hyperlink r:id="rId164">
        <w:r>
          <w:rPr>
            <w:rStyle w:val="Hyperlink"/>
          </w:rPr>
          <w:t xml:space="preserve">10.1016/j.actaastro.2022.07.042</w:t>
        </w:r>
      </w:hyperlink>
    </w:p>
    <w:p>
      <w:pPr>
        <w:pStyle w:val="BodyText"/>
        <w:spacing w:line="480" w:lineRule="auto"/>
        <w:ind w:firstLine="720"/>
      </w:pPr>
      <w:bookmarkStart w:id="165" w:name="ref-14"/>
      <w:bookmarkEnd w:id="165"/>
      <w:r>
        <w:t xml:space="preserve">14. Anna Hurova. Gamification as a tool to identify and address ongoing challenges in space activities: the case of space debris mitigation (2024). doi:</w:t>
      </w:r>
      <w:r>
        <w:t xml:space="preserve"> </w:t>
      </w:r>
      <w:hyperlink r:id="rId166">
        <w:r>
          <w:rPr>
            <w:rStyle w:val="Hyperlink"/>
          </w:rPr>
          <w:t xml:space="preserve">10.1016/j.actaastro.2024.09.057</w:t>
        </w:r>
      </w:hyperlink>
    </w:p>
    <w:p>
      <w:pPr>
        <w:pStyle w:val="BodyText"/>
        <w:spacing w:line="480" w:lineRule="auto"/>
        <w:ind w:firstLine="720"/>
      </w:pPr>
      <w:bookmarkStart w:id="167" w:name="ref-15"/>
      <w:bookmarkEnd w:id="167"/>
      <w:r>
        <w:t xml:space="preserve">15. Noelia Sánchez-Ortíz; Danielle Wood; Lesley Smith; Carmen Gregori De La Malla; Maruška Strah; Maren Huelsmann; Marius Stanciu-Manolescu; P. Ubertini; Balbir Singh. Outreach on Space Traffic Management (2025). doi:</w:t>
      </w:r>
      <w:r>
        <w:t xml:space="preserve"> </w:t>
      </w:r>
      <w:hyperlink r:id="rId168">
        <w:r>
          <w:rPr>
            <w:rStyle w:val="Hyperlink"/>
          </w:rPr>
          <w:t xml:space="preserve">10.1016/j.actaastro.2025.01.031</w:t>
        </w:r>
      </w:hyperlink>
    </w:p>
    <w:p>
      <w:pPr>
        <w:pStyle w:val="BodyText"/>
        <w:spacing w:line="480" w:lineRule="auto"/>
        <w:ind w:firstLine="720"/>
      </w:pPr>
      <w:bookmarkStart w:id="169" w:name="ref-16"/>
      <w:bookmarkEnd w:id="169"/>
      <w:r>
        <w:t xml:space="preserve">16. Jo�ão Reis. European union defense and security strategy for space and ground-based systems against hybrid threats (2024). doi:</w:t>
      </w:r>
      <w:r>
        <w:t xml:space="preserve"> </w:t>
      </w:r>
      <w:hyperlink r:id="rId170">
        <w:r>
          <w:rPr>
            <w:rStyle w:val="Hyperlink"/>
          </w:rPr>
          <w:t xml:space="preserve">10.1016/j.actaastro.2024.09.003</w:t>
        </w:r>
      </w:hyperlink>
    </w:p>
    <w:bookmarkEnd w:id="171"/>
    <w:bookmarkEnd w:id="172"/>
    <w:bookmarkStart w:id="189"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80" w:name="X3955be89f31fac2c03ead6d8518515a44c1a754"/>
    <w:p>
      <w:pPr>
        <w:pStyle w:val="Heading2"/>
        <w:spacing w:line="480" w:lineRule="auto"/>
      </w:pPr>
      <w:r>
        <w:t xml:space="preserve">A.1 Signal Intensity in Audience Costs in Space Brinkmanship Do ASAT Demonstrations Follow Domestic-Sig: An Ordinary Least Squares Test of Recency, Citation Attention, and Venue</w:t>
      </w:r>
    </w:p>
    <w:p>
      <w:pPr>
        <w:pStyle w:val="FirstParagraph"/>
        <w:spacing w:line="480" w:lineRule="auto"/>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Start w:id="173"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4.4325</w:t>
            </w:r>
          </w:p>
        </w:tc>
        <w:tc>
          <w:tcPr>
            <w:tcW w:w="0" w:type="auto"/>
          </w:tcPr>
          <w:p>
            <w:pPr>
              <w:spacing w:line="240" w:lineRule="auto" w:before="0" w:after="0"/>
              <w:pStyle w:val="Compact"/>
            </w:pPr>
            <w:r>
              <w:rPr>
                <w:sz w:val="20"/>
                <w:szCs w:val="20"/>
              </w:rPr>
              <w:t xml:space="preserve">0.9037</w:t>
            </w:r>
          </w:p>
        </w:tc>
        <w:tc>
          <w:tcPr>
            <w:tcW w:w="0" w:type="auto"/>
          </w:tcPr>
          <w:p>
            <w:pPr>
              <w:spacing w:line="240" w:lineRule="auto" w:before="0" w:after="0"/>
              <w:pStyle w:val="Compact"/>
            </w:pPr>
            <w:r>
              <w:rPr>
                <w:sz w:val="20"/>
                <w:szCs w:val="20"/>
              </w:rPr>
              <w:t xml:space="preserve">4.9047</w:t>
            </w:r>
          </w:p>
        </w:tc>
        <w:tc>
          <w:tcPr>
            <w:tcW w:w="0" w:type="auto"/>
          </w:tcPr>
          <w:p>
            <w:pPr>
              <w:spacing w:line="240" w:lineRule="auto" w:before="0" w:after="0"/>
              <w:pStyle w:val="Compact"/>
            </w:pPr>
            <w:r>
              <w:rPr>
                <w:sz w:val="20"/>
                <w:szCs w:val="20"/>
              </w:rPr>
              <w:t xml:space="preserve">9.358e-07</w:t>
            </w:r>
          </w:p>
        </w:tc>
        <w:tc>
          <w:tcPr>
            <w:tcW w:w="0" w:type="auto"/>
          </w:tcPr>
          <w:p>
            <w:pPr>
              <w:spacing w:line="240" w:lineRule="auto" w:before="0" w:after="0"/>
              <w:pStyle w:val="Compact"/>
            </w:pPr>
            <w:r>
              <w:rPr>
                <w:sz w:val="20"/>
                <w:szCs w:val="20"/>
              </w:rPr>
              <w:t xml:space="preserve">[2.6612, 6.2038]</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-0.0262</w:t>
            </w:r>
          </w:p>
        </w:tc>
        <w:tc>
          <w:tcPr>
            <w:tcW w:w="0" w:type="auto"/>
          </w:tcPr>
          <w:p>
            <w:pPr>
              <w:spacing w:line="240" w:lineRule="auto" w:before="0" w:after="0"/>
              <w:pStyle w:val="Compact"/>
            </w:pPr>
            <w:r>
              <w:rPr>
                <w:sz w:val="20"/>
                <w:szCs w:val="20"/>
              </w:rPr>
              <w:t xml:space="preserve">0.0774</w:t>
            </w:r>
          </w:p>
        </w:tc>
        <w:tc>
          <w:tcPr>
            <w:tcW w:w="0" w:type="auto"/>
          </w:tcPr>
          <w:p>
            <w:pPr>
              <w:spacing w:line="240" w:lineRule="auto" w:before="0" w:after="0"/>
              <w:pStyle w:val="Compact"/>
            </w:pPr>
            <w:r>
              <w:rPr>
                <w:sz w:val="20"/>
                <w:szCs w:val="20"/>
              </w:rPr>
              <w:t xml:space="preserve">-0.3388</w:t>
            </w:r>
          </w:p>
        </w:tc>
        <w:tc>
          <w:tcPr>
            <w:tcW w:w="0" w:type="auto"/>
          </w:tcPr>
          <w:p>
            <w:pPr>
              <w:spacing w:line="240" w:lineRule="auto" w:before="0" w:after="0"/>
              <w:pStyle w:val="Compact"/>
            </w:pPr>
            <w:r>
              <w:rPr>
                <w:sz w:val="20"/>
                <w:szCs w:val="20"/>
              </w:rPr>
              <w:t xml:space="preserve">0.7348</w:t>
            </w:r>
          </w:p>
        </w:tc>
        <w:tc>
          <w:tcPr>
            <w:tcW w:w="0" w:type="auto"/>
          </w:tcPr>
          <w:p>
            <w:pPr>
              <w:spacing w:line="240" w:lineRule="auto" w:before="0" w:after="0"/>
              <w:pStyle w:val="Compact"/>
            </w:pPr>
            <w:r>
              <w:rPr>
                <w:sz w:val="20"/>
                <w:szCs w:val="20"/>
              </w:rPr>
              <w:t xml:space="preserve">[-0.1779, 0.1255]</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0.0668</w:t>
            </w:r>
          </w:p>
        </w:tc>
        <w:tc>
          <w:tcPr>
            <w:tcW w:w="0" w:type="auto"/>
          </w:tcPr>
          <w:p>
            <w:pPr>
              <w:spacing w:line="240" w:lineRule="auto" w:before="0" w:after="0"/>
              <w:pStyle w:val="Compact"/>
            </w:pPr>
            <w:r>
              <w:rPr>
                <w:sz w:val="20"/>
                <w:szCs w:val="20"/>
              </w:rPr>
              <w:t xml:space="preserve">0.0364</w:t>
            </w:r>
          </w:p>
        </w:tc>
        <w:tc>
          <w:tcPr>
            <w:tcW w:w="0" w:type="auto"/>
          </w:tcPr>
          <w:p>
            <w:pPr>
              <w:spacing w:line="240" w:lineRule="auto" w:before="0" w:after="0"/>
              <w:pStyle w:val="Compact"/>
            </w:pPr>
            <w:r>
              <w:rPr>
                <w:sz w:val="20"/>
                <w:szCs w:val="20"/>
              </w:rPr>
              <w:t xml:space="preserve">1.8369</w:t>
            </w:r>
          </w:p>
        </w:tc>
        <w:tc>
          <w:tcPr>
            <w:tcW w:w="0" w:type="auto"/>
          </w:tcPr>
          <w:p>
            <w:pPr>
              <w:spacing w:line="240" w:lineRule="auto" w:before="0" w:after="0"/>
              <w:pStyle w:val="Compact"/>
            </w:pPr>
            <w:r>
              <w:rPr>
                <w:sz w:val="20"/>
                <w:szCs w:val="20"/>
              </w:rPr>
              <w:t xml:space="preserve">0.0662</w:t>
            </w:r>
          </w:p>
        </w:tc>
        <w:tc>
          <w:tcPr>
            <w:tcW w:w="0" w:type="auto"/>
          </w:tcPr>
          <w:p>
            <w:pPr>
              <w:spacing w:line="240" w:lineRule="auto" w:before="0" w:after="0"/>
              <w:pStyle w:val="Compact"/>
            </w:pPr>
            <w:r>
              <w:rPr>
                <w:sz w:val="20"/>
                <w:szCs w:val="20"/>
              </w:rPr>
              <w:t xml:space="preserve">[-0.0045, 0.1381]</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-0.5269</w:t>
            </w:r>
          </w:p>
        </w:tc>
        <w:tc>
          <w:tcPr>
            <w:tcW w:w="0" w:type="auto"/>
          </w:tcPr>
          <w:p>
            <w:pPr>
              <w:spacing w:line="240" w:lineRule="auto" w:before="0" w:after="0"/>
              <w:pStyle w:val="Compact"/>
            </w:pPr>
            <w:r>
              <w:rPr>
                <w:sz w:val="20"/>
                <w:szCs w:val="20"/>
              </w:rPr>
              <w:t xml:space="preserve">0.4219</w:t>
            </w:r>
          </w:p>
        </w:tc>
        <w:tc>
          <w:tcPr>
            <w:tcW w:w="0" w:type="auto"/>
          </w:tcPr>
          <w:p>
            <w:pPr>
              <w:spacing w:line="240" w:lineRule="auto" w:before="0" w:after="0"/>
              <w:pStyle w:val="Compact"/>
            </w:pPr>
            <w:r>
              <w:rPr>
                <w:sz w:val="20"/>
                <w:szCs w:val="20"/>
              </w:rPr>
              <w:t xml:space="preserve">-1.249</w:t>
            </w:r>
          </w:p>
        </w:tc>
        <w:tc>
          <w:tcPr>
            <w:tcW w:w="0" w:type="auto"/>
          </w:tcPr>
          <w:p>
            <w:pPr>
              <w:spacing w:line="240" w:lineRule="auto" w:before="0" w:after="0"/>
              <w:pStyle w:val="Compact"/>
            </w:pPr>
            <w:r>
              <w:rPr>
                <w:sz w:val="20"/>
                <w:szCs w:val="20"/>
              </w:rPr>
              <w:t xml:space="preserve">0.2117</w:t>
            </w:r>
          </w:p>
        </w:tc>
        <w:tc>
          <w:tcPr>
            <w:tcW w:w="0" w:type="auto"/>
          </w:tcPr>
          <w:p>
            <w:pPr>
              <w:spacing w:line="240" w:lineRule="auto" w:before="0" w:after="0"/>
              <w:pStyle w:val="Compact"/>
            </w:pPr>
            <w:r>
              <w:rPr>
                <w:sz w:val="20"/>
                <w:szCs w:val="20"/>
              </w:rPr>
              <w:t xml:space="preserve">[-1.3538, 0.3]</w:t>
            </w:r>
          </w:p>
        </w:tc>
      </w:tr>
    </w:tbl>
    <w:p>
      <w:pPr>
        <w:pStyle w:val="BodyText"/>
        <w:spacing w:line="480" w:lineRule="auto"/>
        <w:ind w:firstLine="720"/>
      </w:pPr>
      <w:r>
        <w:t xml:space="preserve">Fit: N = 30 R2 = 0.1205 R2_adj = 0.019 F = 1.4381 F_p = 0.2544</w:t>
      </w:r>
    </w:p>
    <w:bookmarkEnd w:id="173"/>
    <w:bookmarkStart w:id="177"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Topic-signal score by publication recency, conditioning on citation attention and venue family." title="" id="175" name="Picture"/>
            <a:graphic>
              <a:graphicData uri="http://schemas.openxmlformats.org/drawingml/2006/picture">
                <pic:pic>
                  <pic:nvPicPr>
                    <pic:cNvPr descr="D:/Claude_Code/brain/collegium/candidates/dissertations/INTL_GOVERNANCE_10/research_papers/p1/paper_fig1.png" id="176" name="Picture"/>
                    <pic:cNvPicPr>
                      <a:picLocks noChangeArrowheads="1" noChangeAspect="1"/>
                    </pic:cNvPicPr>
                  </pic:nvPicPr>
                  <pic:blipFill>
                    <a:blip r:embed="rId174"/>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Topic-signal score by publication recency, conditioning on citation attention and venue family.</w:t>
      </w:r>
    </w:p>
    <w:bookmarkEnd w:id="177"/>
    <w:bookmarkStart w:id="178"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https://amostech.space/year/2021/trends-in-global-space-situational-awareness/</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10.64861/EIBC5616</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10.64861/ZXJQ1584</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https://amostech.space/year/2020/international-perspectives-on-space-weapons/</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10.64861/OTAL2562</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https://amostech.space/year/2022/low-orbit-high-stakes-winning-the-leo-broadband-competition/</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10.64861/QEDJ9012</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https://amostech.space/year/2012/overview-of-human-centric-space-situational-awareness-science-and-technology/</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10.64861/CKQN3841</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https://amostech.space/year/2011/afspc-a5cs-ssa-activities/</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https://amostech.space/year/2021/investigating-the-risks-of-debris-generating-asat-tests-in-the-presence-of-megaconstellations/</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https://amostech.space/year/2021/compact-solutions-for-detecting-space-and-ground-based-optical-threats-to-satellites/</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10.1016/j.actaastro.2025.01.061</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10.1016/j.actaastro.2024.05.026</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10.1016/j.actaastro.2020.05.015</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10.1016/j.actaastro.2023.02.043</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10.1016/j.actaastro.2026.02.051</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10.1016/j.actaastro.2022.07.042</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10.1016/j.actaastro.2024.09.057</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10.1016/j.actaastro.2025.01.031</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10.1016/j.actaastro.2024.09.003</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10.1016/j.actaastro.2023.01.016</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10.1016/j.actaastro.2026.04.046</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10.1016/j.actaastro.2026.04.055</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OCEA Forecasting the Space Economy</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Star Wars: Anti-Satellite Weapons and Orbital Debris</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10.1080/10242694.2023.2208020</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Weinzierl (2018) provides a three-part economic framework for managing the development of the space economy, analyzing market establishment through decentralization, market failures (including space debris as a negative externality), and social objective regulation. Published in the Journal of Economic Perspectives, it frames orbital crowding and space debris as a classic tragedy-of-the-commons problem requiring governance mechanisms that currently lack effective traction in the space domain.</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The Space Imperative (Whole-of-Nation)</w:t>
            </w:r>
          </w:p>
        </w:tc>
      </w:tr>
    </w:tbl>
    <w:bookmarkEnd w:id="178"/>
    <w:bookmarkStart w:id="179"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179"/>
    <w:bookmarkEnd w:id="180"/>
    <w:bookmarkStart w:id="188" w:name="X943cf83ee0deb0a06e1bd4ab89503c5aaaeede1"/>
    <w:p>
      <w:pPr>
        <w:pStyle w:val="Heading2"/>
        <w:spacing w:line="480" w:lineRule="auto"/>
      </w:pPr>
      <w:r>
        <w:t xml:space="preserve">A.2 Attention Accumulation in Audience Costs in Space Brinkmanship Do ASAT Demonstrations Follow Domestic-Sig: A Learning-Curve Analysis of Citation Growth by Article Age</w:t>
      </w:r>
    </w:p>
    <w:p>
      <w:pPr>
        <w:pStyle w:val="FirstParagraph"/>
        <w:spacing w:line="480" w:lineRule="auto"/>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Start w:id="181"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0.7538</w:t>
            </w:r>
          </w:p>
        </w:tc>
        <w:tc>
          <w:tcPr>
            <w:tcW w:w="0" w:type="auto"/>
          </w:tcPr>
          <w:p>
            <w:pPr>
              <w:spacing w:line="240" w:lineRule="auto" w:before="0" w:after="0"/>
              <w:pStyle w:val="Compact"/>
            </w:pPr>
            <w:r>
              <w:rPr>
                <w:sz w:val="20"/>
                <w:szCs w:val="20"/>
              </w:rPr>
              <w:t xml:space="preserve">0.3173</w:t>
            </w:r>
          </w:p>
        </w:tc>
        <w:tc>
          <w:tcPr>
            <w:tcW w:w="0" w:type="auto"/>
          </w:tcPr>
          <w:p>
            <w:pPr>
              <w:spacing w:line="240" w:lineRule="auto" w:before="0" w:after="0"/>
              <w:pStyle w:val="Compact"/>
            </w:pPr>
            <w:r>
              <w:rPr>
                <w:sz w:val="20"/>
                <w:szCs w:val="20"/>
              </w:rPr>
              <w:t xml:space="preserve">2.3761</w:t>
            </w:r>
          </w:p>
        </w:tc>
        <w:tc>
          <w:tcPr>
            <w:tcW w:w="0" w:type="auto"/>
          </w:tcPr>
          <w:p>
            <w:pPr>
              <w:spacing w:line="240" w:lineRule="auto" w:before="0" w:after="0"/>
              <w:pStyle w:val="Compact"/>
            </w:pPr>
            <w:r>
              <w:rPr>
                <w:sz w:val="20"/>
                <w:szCs w:val="20"/>
              </w:rPr>
              <w:t xml:space="preserve">0.0175</w:t>
            </w:r>
          </w:p>
        </w:tc>
        <w:tc>
          <w:tcPr>
            <w:tcW w:w="0" w:type="auto"/>
          </w:tcPr>
          <w:p>
            <w:pPr>
              <w:spacing w:line="240" w:lineRule="auto" w:before="0" w:after="0"/>
              <w:pStyle w:val="Compact"/>
            </w:pPr>
            <w:r>
              <w:rPr>
                <w:sz w:val="20"/>
                <w:szCs w:val="20"/>
              </w:rPr>
              <w:t xml:space="preserve">[0.132, 1.3756]</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-0.1076</w:t>
            </w:r>
          </w:p>
        </w:tc>
        <w:tc>
          <w:tcPr>
            <w:tcW w:w="0" w:type="auto"/>
          </w:tcPr>
          <w:p>
            <w:pPr>
              <w:spacing w:line="240" w:lineRule="auto" w:before="0" w:after="0"/>
              <w:pStyle w:val="Compact"/>
            </w:pPr>
            <w:r>
              <w:rPr>
                <w:sz w:val="20"/>
                <w:szCs w:val="20"/>
              </w:rPr>
              <w:t xml:space="preserve">0.1903</w:t>
            </w:r>
          </w:p>
        </w:tc>
        <w:tc>
          <w:tcPr>
            <w:tcW w:w="0" w:type="auto"/>
          </w:tcPr>
          <w:p>
            <w:pPr>
              <w:spacing w:line="240" w:lineRule="auto" w:before="0" w:after="0"/>
              <w:pStyle w:val="Compact"/>
            </w:pPr>
            <w:r>
              <w:rPr>
                <w:sz w:val="20"/>
                <w:szCs w:val="20"/>
              </w:rPr>
              <w:t xml:space="preserve">-0.5657</w:t>
            </w:r>
          </w:p>
        </w:tc>
        <w:tc>
          <w:tcPr>
            <w:tcW w:w="0" w:type="auto"/>
          </w:tcPr>
          <w:p>
            <w:pPr>
              <w:spacing w:line="240" w:lineRule="auto" w:before="0" w:after="0"/>
              <w:pStyle w:val="Compact"/>
            </w:pPr>
            <w:r>
              <w:rPr>
                <w:sz w:val="20"/>
                <w:szCs w:val="20"/>
              </w:rPr>
              <w:t xml:space="preserve">0.5716</w:t>
            </w:r>
          </w:p>
        </w:tc>
        <w:tc>
          <w:tcPr>
            <w:tcW w:w="0" w:type="auto"/>
          </w:tcPr>
          <w:p>
            <w:pPr>
              <w:spacing w:line="240" w:lineRule="auto" w:before="0" w:after="0"/>
              <w:pStyle w:val="Compact"/>
            </w:pPr>
            <w:r>
              <w:rPr>
                <w:sz w:val="20"/>
                <w:szCs w:val="20"/>
              </w:rPr>
              <w:t xml:space="preserve">[-0.4805, 0.2653]</w:t>
            </w:r>
          </w:p>
        </w:tc>
      </w:tr>
    </w:tbl>
    <w:p>
      <w:pPr>
        <w:pStyle w:val="BodyText"/>
        <w:spacing w:line="480" w:lineRule="auto"/>
        <w:ind w:firstLine="720"/>
      </w:pPr>
      <w:r>
        <w:t xml:space="preserve">Fit: N = 30 R2 = 0.0052 elasticity_b = -0.1076 progress_ratio_2^b = 0.9281</w:t>
      </w:r>
    </w:p>
    <w:bookmarkEnd w:id="181"/>
    <w:bookmarkStart w:id="185"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Citation accumulation against article age in the retrieved topic literature." title="" id="183" name="Picture"/>
            <a:graphic>
              <a:graphicData uri="http://schemas.openxmlformats.org/drawingml/2006/picture">
                <pic:pic>
                  <pic:nvPicPr>
                    <pic:cNvPr descr="D:/Claude_Code/brain/collegium/candidates/dissertations/INTL_GOVERNANCE_10/research_papers/p2/paper_fig1.png" id="184" name="Picture"/>
                    <pic:cNvPicPr>
                      <a:picLocks noChangeArrowheads="1" noChangeAspect="1"/>
                    </pic:cNvPicPr>
                  </pic:nvPicPr>
                  <pic:blipFill>
                    <a:blip r:embed="rId182"/>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Citation accumulation against article age in the retrieved topic literature.</w:t>
      </w:r>
    </w:p>
    <w:bookmarkEnd w:id="185"/>
    <w:bookmarkStart w:id="186"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https://amostech.space/year/2021/trends-in-global-space-situational-awareness/</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10.64861/EIBC5616</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10.64861/ZXJQ1584</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https://amostech.space/year/2020/international-perspectives-on-space-weapons/</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10.64861/OTAL2562</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https://amostech.space/year/2022/low-orbit-high-stakes-winning-the-leo-broadband-competition/</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10.64861/QEDJ9012</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https://amostech.space/year/2012/overview-of-human-centric-space-situational-awareness-science-and-technology/</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10.64861/CKQN3841</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https://amostech.space/year/2011/afspc-a5cs-ssa-activities/</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https://amostech.space/year/2021/investigating-the-risks-of-debris-generating-asat-tests-in-the-presence-of-megaconstellations/</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https://amostech.space/year/2021/compact-solutions-for-detecting-space-and-ground-based-optical-threats-to-satellites/</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10.1016/j.actaastro.2025.01.061</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10.1016/j.actaastro.2024.05.026</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10.1016/j.actaastro.2020.05.015</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10.1016/j.actaastro.2023.02.043</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10.1016/j.actaastro.2026.02.051</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10.1016/j.actaastro.2022.07.042</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10.1016/j.actaastro.2024.09.057</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10.1016/j.actaastro.2025.01.031</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10.1016/j.actaastro.2024.09.003</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10.1016/j.actaastro.2023.01.016</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10.1016/j.actaastro.2026.04.046</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10.1016/j.actaastro.2026.04.055</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OCEA Forecasting the Space Economy</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Star Wars: Anti-Satellite Weapons and Orbital Debris</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10.1080/10242694.2023.2208020</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Weinzierl (2018) provides a three-part economic framework for managing the development of the space economy, analyzing market establishment through decentralization, market failures (including space debris as a negative externality), and social objective regulation. Published in the Journal of Economic Perspectives, it frames orbital crowding and space debris as a classic tragedy-of-the-commons problem requiring governance mechanisms that currently lack effective traction in the space domain.</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The Space Imperative (Whole-of-Nation)</w:t>
            </w:r>
          </w:p>
        </w:tc>
      </w:tr>
    </w:tbl>
    <w:bookmarkEnd w:id="186"/>
    <w:bookmarkStart w:id="187"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187"/>
    <w:bookmarkEnd w:id="188"/>
    <w:bookmarkEnd w:id="189"/>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74" Type="http://schemas.openxmlformats.org/officeDocument/2006/relationships/image" Target="media/rId174.png"/><Relationship Id="rId182" Type="http://schemas.openxmlformats.org/officeDocument/2006/relationships/image" Target="media/rId182.png"/><Relationship Id="rId160" Type="http://schemas.openxmlformats.org/officeDocument/2006/relationships/hyperlink" Target="https://doi.org/10.1016/j.actaastro.2020.05.015" TargetMode="External"/><Relationship Id="rId164" Type="http://schemas.openxmlformats.org/officeDocument/2006/relationships/hyperlink" Target="https://doi.org/10.1016/j.actaastro.2022.07.042" TargetMode="External"/><Relationship Id="rId162" Type="http://schemas.openxmlformats.org/officeDocument/2006/relationships/hyperlink" Target="https://doi.org/10.1016/j.actaastro.2023.02.043" TargetMode="External"/><Relationship Id="rId158" Type="http://schemas.openxmlformats.org/officeDocument/2006/relationships/hyperlink" Target="https://doi.org/10.1016/j.actaastro.2024.05.026" TargetMode="External"/><Relationship Id="rId170" Type="http://schemas.openxmlformats.org/officeDocument/2006/relationships/hyperlink" Target="https://doi.org/10.1016/j.actaastro.2024.09.003" TargetMode="External"/><Relationship Id="rId166" Type="http://schemas.openxmlformats.org/officeDocument/2006/relationships/hyperlink" Target="https://doi.org/10.1016/j.actaastro.2024.09.057" TargetMode="External"/><Relationship Id="rId168" Type="http://schemas.openxmlformats.org/officeDocument/2006/relationships/hyperlink" Target="https://doi.org/10.1016/j.actaastro.2025.01.031" TargetMode="External"/><Relationship Id="rId156" Type="http://schemas.openxmlformats.org/officeDocument/2006/relationships/hyperlink" Target="https://doi.org/10.1016/j.actaastro.2025.01.061" TargetMode="External"/><Relationship Id="rId153" Type="http://schemas.openxmlformats.org/officeDocument/2006/relationships/hyperlink" Target="https://doi.org/10.64861/CKQN3841" TargetMode="External"/><Relationship Id="rId146" Type="http://schemas.openxmlformats.org/officeDocument/2006/relationships/hyperlink" Target="https://doi.org/10.64861/EIBC5616" TargetMode="External"/><Relationship Id="rId149" Type="http://schemas.openxmlformats.org/officeDocument/2006/relationships/hyperlink" Target="https://doi.org/10.64861/OTAL2562" TargetMode="External"/></Relationships>
</file>

<file path=word/_rels/footnotes.xml.rels><?xml version='1.0' encoding='UTF-8' standalone='yes'?>
<Relationships xmlns="http://schemas.openxmlformats.org/package/2006/relationships"><Relationship Id="rId160" Type="http://schemas.openxmlformats.org/officeDocument/2006/relationships/hyperlink" Target="https://doi.org/10.1016/j.actaastro.2020.05.015" TargetMode="External"/><Relationship Id="rId164" Type="http://schemas.openxmlformats.org/officeDocument/2006/relationships/hyperlink" Target="https://doi.org/10.1016/j.actaastro.2022.07.042" TargetMode="External"/><Relationship Id="rId162" Type="http://schemas.openxmlformats.org/officeDocument/2006/relationships/hyperlink" Target="https://doi.org/10.1016/j.actaastro.2023.02.043" TargetMode="External"/><Relationship Id="rId158" Type="http://schemas.openxmlformats.org/officeDocument/2006/relationships/hyperlink" Target="https://doi.org/10.1016/j.actaastro.2024.05.026" TargetMode="External"/><Relationship Id="rId170" Type="http://schemas.openxmlformats.org/officeDocument/2006/relationships/hyperlink" Target="https://doi.org/10.1016/j.actaastro.2024.09.003" TargetMode="External"/><Relationship Id="rId166" Type="http://schemas.openxmlformats.org/officeDocument/2006/relationships/hyperlink" Target="https://doi.org/10.1016/j.actaastro.2024.09.057" TargetMode="External"/><Relationship Id="rId168" Type="http://schemas.openxmlformats.org/officeDocument/2006/relationships/hyperlink" Target="https://doi.org/10.1016/j.actaastro.2025.01.031" TargetMode="External"/><Relationship Id="rId156" Type="http://schemas.openxmlformats.org/officeDocument/2006/relationships/hyperlink" Target="https://doi.org/10.1016/j.actaastro.2025.01.061" TargetMode="External"/><Relationship Id="rId153" Type="http://schemas.openxmlformats.org/officeDocument/2006/relationships/hyperlink" Target="https://doi.org/10.64861/CKQN3841" TargetMode="External"/><Relationship Id="rId146" Type="http://schemas.openxmlformats.org/officeDocument/2006/relationships/hyperlink" Target="https://doi.org/10.64861/EIBC5616" TargetMode="External"/><Relationship Id="rId149" Type="http://schemas.openxmlformats.org/officeDocument/2006/relationships/hyperlink" Target="https://doi.org/10.64861/OTAL256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Audience Costs in Space Brinkmanship: Do ASAT Demonstrations Follow Domestic-Sig</dc:title>
  <dc:creator>Tessa Frost (1B-IGV-215)</dc:creator>
  <cp:keywords/>
  <dcterms:created xsi:type="dcterms:W3CDTF">2026-07-04T11:10:41Z</dcterms:created>
  <dcterms:modified xsi:type="dcterms:W3CDTF">2026-07-04T11:10:41Z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