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3365a024fe2e1c6ec1e71280383a5b3715228c7"/>
    <w:p>
      <w:pPr>
        <w:pStyle w:val="Heading1"/>
      </w:pPr>
      <w:r>
        <w:t xml:space="preserve">Signal Intensity in Hedging in Cislunar Governance A Revealed-Preference Model of Middle-Power Alig: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Oscar Lindqvist (1B-IGV-209) and the dissertation project</w:t>
      </w:r>
      <w:r>
        <w:t xml:space="preserve"> </w:t>
      </w:r>
      <w:r>
        <w:rPr>
          <w:i/>
          <w:iCs/>
        </w:rPr>
        <w:t xml:space="preserve">Hedging in Cislunar Governance: A Revealed-Preference Model of Middle-Power Alig</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R2=0.24858056840978549, R2_adj=0.1618783263032223, F=6.791867262947561, F_p=0.0015652084543741364. The exact term summary is: const coef=3.1062081224451235 p=0.010595947543455012; recency_index coef=0.16854548802530755 p=0.1559205548951932; cites_num coef=-0.02349855103183498 p=0.6821008368701345; venue_score coef=-0.7663976480022067 p=0.005532913673526346.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80" w:name="references"/>
    <w:p>
      <w:pPr>
        <w:pStyle w:val="Heading2"/>
      </w:pPr>
      <w:r>
        <w:t xml:space="preserve">References</w:t>
      </w:r>
    </w:p>
    <w:p>
      <w:pPr>
        <w:pStyle w:val="FirstParagraph"/>
      </w:pPr>
      <w:bookmarkStart w:id="67" w:name="ref-1"/>
      <w:bookmarkEnd w:id="67"/>
      <w:r>
        <w:t xml:space="preserve">1. Denvir Higgins, Lawrence Livermore National Laboratory; Kerianne Pruett, Lawrence Livermore National Laboratory; Travis Yeager, Lawrence Livermore National Laboratory; Michael Schneider, Lawrence Livermore National Laboratory. SOM-erizing Cislunar Orbits: Classification of Cislunar Orbits Using Self-Organizing Maps (SOMs) (2024). doi:</w:t>
      </w:r>
      <w:r>
        <w:t xml:space="preserve"> </w:t>
      </w:r>
      <w:hyperlink r:id="rId68">
        <w:r>
          <w:rPr>
            <w:rStyle w:val="Hyperlink"/>
          </w:rPr>
          <w:t xml:space="preserve">10.64861/PKVP5982</w:t>
        </w:r>
      </w:hyperlink>
      <w:r>
        <w:t xml:space="preserve"> </w:t>
      </w:r>
      <w:bookmarkStart w:id="69" w:name="ref-2"/>
      <w:bookmarkEnd w:id="69"/>
      <w:r>
        <w:t xml:space="preserve">2. Aaron J. Rosengren, University of California San Diego; Shane D. Ross, Virginia Tech; Bhanu Kumar, Jet Propulsion Laboratory, Caltech; Anjali Rawat, Virginia Tech. The Resonant Structure of xGEO and Implications for Cislunar Domain Awareness (2024). doi:</w:t>
      </w:r>
      <w:r>
        <w:t xml:space="preserve"> </w:t>
      </w:r>
      <w:hyperlink r:id="rId70">
        <w:r>
          <w:rPr>
            <w:rStyle w:val="Hyperlink"/>
          </w:rPr>
          <w:t xml:space="preserve">10.64861/WCUO4665</w:t>
        </w:r>
      </w:hyperlink>
      <w:r>
        <w:t xml:space="preserve"> </w:t>
      </w:r>
      <w:bookmarkStart w:id="71" w:name="ref-3"/>
      <w:bookmarkEnd w:id="71"/>
      <w:r>
        <w:t xml:space="preserve">3. T. Joseph W. Lazio, Jet Propulsion Laboratory, California Institute of Technology; Dimitrios Antsos, Jet Propulsion Laboratory, California Institute of Technology; Anthony Beasley, National Radio Astronomy Observatory; Lance A. M. Benner, Jet Propulsion Laboratory, California Institute of Technology; Andrew Brooks, Jet Propulsion Laboratory, California Institute of Technology; Marina Brozovic, Jet Propulsion Laboratory, California Institute of Technology; Philip G. Edwards, CSIRO Space &amp; Astronomy; Jon D. Giorgini, Jet Propulsion Laboratory, California Institute of Technology; Shinji Horiuchi, CSIRO Space &amp; Astronomy; Ed Kruzins, UNSW Canberra Space, and CSIRO Space &amp; Autonomy; Clement Lee, Jet Propulsion Laboratory, California Institute of Technology; Ronglin R. Liou, Jet Propulsion Laboratory, California Institute of Technology; Blake Molyneux, Australia National University; Shantanu P. Naidu, Jet Propulsion Laboratory, California Institute of Technology; Charles Naudet, Jet Propulsion Laboratory, California Institute of Technology; Ryan S. Park, Jet Propulsion Laboratory, California Institute of Technology; Chris J. Phillips, CSIRO Space &amp; Astronomy; Marc Sanchez Net, Jet Propulsion Laboratory, California Institute of Technology; J. Stevens, CSIRO Space &amp; Astronomy; Mark Taylor, Jet Propulsion Laboratory, California Institute of Technology; Victor Vilnrotter, Jet Propulsion Laboratory, California Institute of Technology. Ground-based Planetary Radars: Current and Future Prospects in the Cislunar Arena (2022). [AMOS]</w:t>
      </w:r>
      <w:r>
        <w:t xml:space="preserve"> </w:t>
      </w:r>
      <w:bookmarkStart w:id="72" w:name="ref-4"/>
      <w:bookmarkEnd w:id="72"/>
      <w:r>
        <w:t xml:space="preserve">4. Aaron J. Rosengren, University of California San Diego. Cislunar Multiscale Dynamics and Implications for SSA (2021). [AMOS]</w:t>
      </w:r>
      <w:r>
        <w:t xml:space="preserve"> </w:t>
      </w:r>
      <w:bookmarkStart w:id="73" w:name="ref-5"/>
      <w:bookmarkEnd w:id="73"/>
      <w:r>
        <w:t xml:space="preserve">5. Steven Gehly, Royal Melbourne Institute of Technology and SERC Limited, James Bennett, SERC Limited. Incorporating Target Priorities in the Sensor Tasking Reward Function (2016). [AMOS]</w:t>
      </w:r>
      <w:r>
        <w:t xml:space="preserve"> </w:t>
      </w:r>
      <w:bookmarkStart w:id="74" w:name="ref-6"/>
      <w:bookmarkEnd w:id="74"/>
      <w:r>
        <w:t xml:space="preserve">6. Shane Ryall, Defense Research &amp; Development Canada. Detecting Satellites with Object Detection: Challenges of Implementing Deep Learning Techniques for Space-based Images (2024). doi:</w:t>
      </w:r>
      <w:r>
        <w:t xml:space="preserve"> </w:t>
      </w:r>
      <w:hyperlink r:id="rId75">
        <w:r>
          <w:rPr>
            <w:rStyle w:val="Hyperlink"/>
          </w:rPr>
          <w:t xml:space="preserve">10.64861/MVWS5637</w:t>
        </w:r>
      </w:hyperlink>
      <w:r>
        <w:t xml:space="preserve"> </w:t>
      </w:r>
      <w:bookmarkStart w:id="76" w:name="ref-7"/>
      <w:bookmarkEnd w:id="76"/>
      <w:r>
        <w:t xml:space="preserve">7. Erin Griggs, Trusted Space, Inc.; Matt Schierholtz, Trusted Space, Inc; Islam Hussein, Trusted Space, Inc.; Mark Bolden, Trusted Space, Inc.; Kyle Charles, Trusted Space, Inc.; Holly Borowski, Trusted Space. Probabilistic Initial Orbit Determination and Object Tracking in Cislunar Space Using Passive Radio Frequency Sensors (2023). doi:</w:t>
      </w:r>
      <w:r>
        <w:t xml:space="preserve"> </w:t>
      </w:r>
      <w:hyperlink r:id="rId77">
        <w:r>
          <w:rPr>
            <w:rStyle w:val="Hyperlink"/>
          </w:rPr>
          <w:t xml:space="preserve">10.64861/KWXF2322</w:t>
        </w:r>
      </w:hyperlink>
      <w:r>
        <w:t xml:space="preserve"> </w:t>
      </w:r>
      <w:bookmarkStart w:id="78" w:name="ref-8"/>
      <w:bookmarkEnd w:id="78"/>
      <w:r>
        <w:t xml:space="preserve">8. Juan Ojeda Romero, Johns Hopkins Applied Physics Lab; Wayne Schlei, Johns Hopkins University Applied Physics Laboratory; Gene Whipps, Johns Hopkins University Applied Physics Laboratory; Nicholas LaFarge, Johns Hopkins University Applied Physics Laboratory; Gunner Fritsch, Johns Hopkins University Applied Physics Laboratory; Sean Phillips, Johns Hopkins University Applied Physics Laboratory. An Adaptive Approach to the Initial Orbit Determination Problem in the Cislunar Regime Using Machine Learning (2024). doi:</w:t>
      </w:r>
      <w:r>
        <w:t xml:space="preserve"> </w:t>
      </w:r>
      <w:hyperlink r:id="rId79">
        <w:r>
          <w:rPr>
            <w:rStyle w:val="Hyperlink"/>
          </w:rPr>
          <w:t xml:space="preserve">10.64861/FBSC2978</w:t>
        </w:r>
      </w:hyperlink>
    </w:p>
    <w:bookmarkEnd w:id="80"/>
    <w:bookmarkStart w:id="81"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3.1062</w:t>
            </w:r>
          </w:p>
        </w:tc>
        <w:tc>
          <w:tcPr>
            <w:tcW w:w="0" w:type="auto"/>
          </w:tcPr>
          <w:p>
            <w:pPr>
              <w:spacing w:line="240" w:lineRule="auto" w:before="0" w:after="0"/>
              <w:pStyle w:val="Compact"/>
            </w:pPr>
            <w:r>
              <w:rPr>
                <w:sz w:val="20"/>
                <w:szCs w:val="20"/>
              </w:rPr>
              <w:t xml:space="preserve">1.2154</w:t>
            </w:r>
          </w:p>
        </w:tc>
        <w:tc>
          <w:tcPr>
            <w:tcW w:w="0" w:type="auto"/>
          </w:tcPr>
          <w:p>
            <w:pPr>
              <w:spacing w:line="240" w:lineRule="auto" w:before="0" w:after="0"/>
              <w:pStyle w:val="Compact"/>
            </w:pPr>
            <w:r>
              <w:rPr>
                <w:sz w:val="20"/>
                <w:szCs w:val="20"/>
              </w:rPr>
              <w:t xml:space="preserve">2.5557</w:t>
            </w:r>
          </w:p>
        </w:tc>
        <w:tc>
          <w:tcPr>
            <w:tcW w:w="0" w:type="auto"/>
          </w:tcPr>
          <w:p>
            <w:pPr>
              <w:spacing w:line="240" w:lineRule="auto" w:before="0" w:after="0"/>
              <w:pStyle w:val="Compact"/>
            </w:pPr>
            <w:r>
              <w:rPr>
                <w:sz w:val="20"/>
                <w:szCs w:val="20"/>
              </w:rPr>
              <w:t xml:space="preserve">0.0106</w:t>
            </w:r>
          </w:p>
        </w:tc>
        <w:tc>
          <w:tcPr>
            <w:tcW w:w="0" w:type="auto"/>
          </w:tcPr>
          <w:p>
            <w:pPr>
              <w:spacing w:line="240" w:lineRule="auto" w:before="0" w:after="0"/>
              <w:pStyle w:val="Compact"/>
            </w:pPr>
            <w:r>
              <w:rPr>
                <w:sz w:val="20"/>
                <w:szCs w:val="20"/>
              </w:rPr>
              <w:t xml:space="preserve">[0.7241, 5.4883]</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0.1685</w:t>
            </w:r>
          </w:p>
        </w:tc>
        <w:tc>
          <w:tcPr>
            <w:tcW w:w="0" w:type="auto"/>
          </w:tcPr>
          <w:p>
            <w:pPr>
              <w:spacing w:line="240" w:lineRule="auto" w:before="0" w:after="0"/>
              <w:pStyle w:val="Compact"/>
            </w:pPr>
            <w:r>
              <w:rPr>
                <w:sz w:val="20"/>
                <w:szCs w:val="20"/>
              </w:rPr>
              <w:t xml:space="preserve">0.1188</w:t>
            </w:r>
          </w:p>
        </w:tc>
        <w:tc>
          <w:tcPr>
            <w:tcW w:w="0" w:type="auto"/>
          </w:tcPr>
          <w:p>
            <w:pPr>
              <w:spacing w:line="240" w:lineRule="auto" w:before="0" w:after="0"/>
              <w:pStyle w:val="Compact"/>
            </w:pPr>
            <w:r>
              <w:rPr>
                <w:sz w:val="20"/>
                <w:szCs w:val="20"/>
              </w:rPr>
              <w:t xml:space="preserve">1.4189</w:t>
            </w:r>
          </w:p>
        </w:tc>
        <w:tc>
          <w:tcPr>
            <w:tcW w:w="0" w:type="auto"/>
          </w:tcPr>
          <w:p>
            <w:pPr>
              <w:spacing w:line="240" w:lineRule="auto" w:before="0" w:after="0"/>
              <w:pStyle w:val="Compact"/>
            </w:pPr>
            <w:r>
              <w:rPr>
                <w:sz w:val="20"/>
                <w:szCs w:val="20"/>
              </w:rPr>
              <w:t xml:space="preserve">0.1559</w:t>
            </w:r>
          </w:p>
        </w:tc>
        <w:tc>
          <w:tcPr>
            <w:tcW w:w="0" w:type="auto"/>
          </w:tcPr>
          <w:p>
            <w:pPr>
              <w:spacing w:line="240" w:lineRule="auto" w:before="0" w:after="0"/>
              <w:pStyle w:val="Compact"/>
            </w:pPr>
            <w:r>
              <w:rPr>
                <w:sz w:val="20"/>
                <w:szCs w:val="20"/>
              </w:rPr>
              <w:t xml:space="preserve">[-0.0643, 0.4014]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-0.0235</w:t>
            </w:r>
          </w:p>
        </w:tc>
        <w:tc>
          <w:tcPr>
            <w:tcW w:w="0" w:type="auto"/>
          </w:tcPr>
          <w:p>
            <w:pPr>
              <w:spacing w:line="240" w:lineRule="auto" w:before="0" w:after="0"/>
              <w:pStyle w:val="Compact"/>
            </w:pPr>
            <w:r>
              <w:rPr>
                <w:sz w:val="20"/>
                <w:szCs w:val="20"/>
              </w:rPr>
              <w:t xml:space="preserve">0.0574</w:t>
            </w:r>
          </w:p>
        </w:tc>
        <w:tc>
          <w:tcPr>
            <w:tcW w:w="0" w:type="auto"/>
          </w:tcPr>
          <w:p>
            <w:pPr>
              <w:spacing w:line="240" w:lineRule="auto" w:before="0" w:after="0"/>
              <w:pStyle w:val="Compact"/>
            </w:pPr>
            <w:r>
              <w:rPr>
                <w:sz w:val="20"/>
                <w:szCs w:val="20"/>
              </w:rPr>
              <w:t xml:space="preserve">-0.4096</w:t>
            </w:r>
          </w:p>
        </w:tc>
        <w:tc>
          <w:tcPr>
            <w:tcW w:w="0" w:type="auto"/>
          </w:tcPr>
          <w:p>
            <w:pPr>
              <w:spacing w:line="240" w:lineRule="auto" w:before="0" w:after="0"/>
              <w:pStyle w:val="Compact"/>
            </w:pPr>
            <w:r>
              <w:rPr>
                <w:sz w:val="20"/>
                <w:szCs w:val="20"/>
              </w:rPr>
              <w:t xml:space="preserve">0.6821</w:t>
            </w:r>
          </w:p>
        </w:tc>
        <w:tc>
          <w:tcPr>
            <w:tcW w:w="0" w:type="auto"/>
          </w:tcPr>
          <w:p>
            <w:pPr>
              <w:spacing w:line="240" w:lineRule="auto" w:before="0" w:after="0"/>
              <w:pStyle w:val="Compact"/>
            </w:pPr>
            <w:r>
              <w:rPr>
                <w:sz w:val="20"/>
                <w:szCs w:val="20"/>
              </w:rPr>
              <w:t xml:space="preserve">[-0.1359, 0.0889]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-0.7664</w:t>
            </w:r>
          </w:p>
        </w:tc>
        <w:tc>
          <w:tcPr>
            <w:tcW w:w="0" w:type="auto"/>
          </w:tcPr>
          <w:p>
            <w:pPr>
              <w:spacing w:line="240" w:lineRule="auto" w:before="0" w:after="0"/>
              <w:pStyle w:val="Compact"/>
            </w:pPr>
            <w:r>
              <w:rPr>
                <w:sz w:val="20"/>
                <w:szCs w:val="20"/>
              </w:rPr>
              <w:t xml:space="preserve">0.2763</w:t>
            </w:r>
          </w:p>
        </w:tc>
        <w:tc>
          <w:tcPr>
            <w:tcW w:w="0" w:type="auto"/>
          </w:tcPr>
          <w:p>
            <w:pPr>
              <w:spacing w:line="240" w:lineRule="auto" w:before="0" w:after="0"/>
              <w:pStyle w:val="Compact"/>
            </w:pPr>
            <w:r>
              <w:rPr>
                <w:sz w:val="20"/>
                <w:szCs w:val="20"/>
              </w:rPr>
              <w:t xml:space="preserve">-2.7743</w:t>
            </w:r>
          </w:p>
        </w:tc>
        <w:tc>
          <w:tcPr>
            <w:tcW w:w="0" w:type="auto"/>
          </w:tcPr>
          <w:p>
            <w:pPr>
              <w:spacing w:line="240" w:lineRule="auto" w:before="0" w:after="0"/>
              <w:pStyle w:val="Compact"/>
            </w:pPr>
            <w:r>
              <w:rPr>
                <w:sz w:val="20"/>
                <w:szCs w:val="20"/>
              </w:rPr>
              <w:t xml:space="preserve">0.0055</w:t>
            </w:r>
          </w:p>
        </w:tc>
        <w:tc>
          <w:tcPr>
            <w:tcW w:w="0" w:type="auto"/>
          </w:tcPr>
          <w:p>
            <w:pPr>
              <w:spacing w:line="240" w:lineRule="auto" w:before="0" w:after="0"/>
              <w:pStyle w:val="Compact"/>
            </w:pPr>
            <w:r>
              <w:rPr>
                <w:sz w:val="20"/>
                <w:szCs w:val="20"/>
              </w:rPr>
              <w:t xml:space="preserve">[-1.3078, -0.2249]</w:t>
            </w:r>
          </w:p>
        </w:tc>
      </w:tr>
    </w:tbl>
    <w:p>
      <w:pPr>
        <w:pStyle w:val="BodyText"/>
      </w:pPr>
      <w:r>
        <w:t xml:space="preserve">Fit: N = 30 R2 = 0.2486 R2_adj = 0.1619 F = 6.7919 F_p = 0.0016</w:t>
      </w:r>
    </w:p>
    <w:p>
      <w:pPr>
        <w:pStyle w:val="CaptionedFigure"/>
      </w:pPr>
      <w:r>
        <w:drawing>
          <wp:inline>
            <wp:extent cx="5669280" cy="3657600"/>
            <wp:effectExtent b="0" l="0" r="0" t="0"/>
            <wp:docPr descr="Figure 1. Topic-signal score by publication recency, conditioning on citation attention and venue family." title="" id="83" name="Picture"/>
            <a:graphic>
              <a:graphicData uri="http://schemas.openxmlformats.org/drawingml/2006/picture">
                <pic:pic>
                  <pic:nvPicPr>
                    <pic:cNvPr descr="D:\Claude_Code\brain\collegium\candidates\dissertations\INTL_GOVERNANCE_09\research_papers\p1\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10.64861/PKVP5982</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10.64861/WCUO4665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https://amostech.space/year/2022/ground-based-planetary-radars-current-and-future-prospects-in-the-cislunar-arena/</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https://amostech.space/year/2021/cislunar-multiscale-dynamics-and-implications-for-ssa/</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https://amostech.space/year/2016/incorporating-target-priorities-in-the-sensor-tasking-reward-function/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10.64861/MVWS5637</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10.64861/KWXF2322</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10.64861/FBSC2978</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https://amostech.space/year/2022/probabilistic-initial-orbit-determination-and-object-tracking-in-cislunar-space-using-optical-sensors/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https://amostech.space/year/2017/remote-acoustic-imaging-of-geosynchronous-satellites/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10.64861/LFFV2455</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10.1016/j.actaastro.2025.12.024</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10.1016/j.actaastro.2023.08.005</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10.1016/j.actaastro.2026.01.006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10.1016/j.actaastro.2026.02.012</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10.1016/j.actaastro.2025.01.054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10.1016/j.actaastro.2026.01.045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10.1016/j.actaastro.2023.04.037</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10.1016/j.actaastro.2023.06.034</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10.1016/j.actaastro.2017.10.005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10.1016/j.actaastro.2026.05.039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 comprehensive literature review synthesizing William J. Norris’s</w:t>
            </w:r>
            <w:r>
              <w:rPr>
                <w:sz w:val="20"/>
                <w:szCs w:val="20"/>
              </w:rPr>
              <w:t xml:space="preserve"> </w:t>
            </w:r>
            <w:r>
              <w:rPr>
                <w:sz w:val="20"/>
                <w:szCs w:val="20"/>
              </w:rPr>
              <w:t xml:space="preserve">“Chinese Economic Statecraft”</w:t>
            </w:r>
            <w:r>
              <w:rPr>
                <w:sz w:val="20"/>
                <w:szCs w:val="20"/>
              </w:rPr>
              <w:t xml:space="preserve"> </w:t>
            </w:r>
            <w:r>
              <w:rPr>
                <w:sz w:val="20"/>
                <w:szCs w:val="20"/>
              </w:rPr>
              <w:t xml:space="preserve">and David A. Baldwin’s</w:t>
            </w:r>
            <w:r>
              <w:rPr>
                <w:sz w:val="20"/>
                <w:szCs w:val="20"/>
              </w:rPr>
              <w:t xml:space="preserve"> </w:t>
            </w:r>
            <w:r>
              <w:rPr>
                <w:sz w:val="20"/>
                <w:szCs w:val="20"/>
              </w:rPr>
              <w:t xml:space="preserve">“Economic Statecraft,”</w:t>
            </w:r>
            <w:r>
              <w:rPr>
                <w:sz w:val="20"/>
                <w:szCs w:val="20"/>
              </w:rPr>
              <w:t xml:space="preserve"> </w:t>
            </w:r>
            <w:r>
              <w:rPr>
                <w:sz w:val="20"/>
                <w:szCs w:val="20"/>
              </w:rPr>
              <w:t xml:space="preserve">analyzing China’s use of state-controlled commercial actors, financial instruments, and sovereign wealth funds to advance strategic objectives, with extrapolation to the space economy as a new frontier for resource acquisition and geopolitical positioning.</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OCEA/MITRE study critically evaluates major space economy forecasts, finds them systematically overstated due to CAGR methodology, double counting, and overreliance on nascent sectors; AR(1) time-series modeling projects a 2040 global space economy of $453-$511 billion, far below the widely cited $1 trillion figure, with $1 trillion not reachable before 2075.</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3.1062</w:t>
            </w:r>
          </w:p>
        </w:tc>
        <w:tc>
          <w:tcPr>
            <w:tcW w:w="0" w:type="auto"/>
          </w:tcPr>
          <w:p>
            <w:pPr>
              <w:spacing w:line="240" w:lineRule="auto" w:before="0" w:after="0"/>
              <w:pStyle w:val="Compact"/>
            </w:pPr>
            <w:r>
              <w:rPr>
                <w:sz w:val="20"/>
                <w:szCs w:val="20"/>
              </w:rPr>
              <w:t xml:space="preserve">1.2154</w:t>
            </w:r>
          </w:p>
        </w:tc>
        <w:tc>
          <w:tcPr>
            <w:tcW w:w="0" w:type="auto"/>
          </w:tcPr>
          <w:p>
            <w:pPr>
              <w:spacing w:line="240" w:lineRule="auto" w:before="0" w:after="0"/>
              <w:pStyle w:val="Compact"/>
            </w:pPr>
            <w:r>
              <w:rPr>
                <w:sz w:val="20"/>
                <w:szCs w:val="20"/>
              </w:rPr>
              <w:t xml:space="preserve">2.5557</w:t>
            </w:r>
          </w:p>
        </w:tc>
        <w:tc>
          <w:tcPr>
            <w:tcW w:w="0" w:type="auto"/>
          </w:tcPr>
          <w:p>
            <w:pPr>
              <w:spacing w:line="240" w:lineRule="auto" w:before="0" w:after="0"/>
              <w:pStyle w:val="Compact"/>
            </w:pPr>
            <w:r>
              <w:rPr>
                <w:sz w:val="20"/>
                <w:szCs w:val="20"/>
              </w:rPr>
              <w:t xml:space="preserve">0.0106</w:t>
            </w:r>
          </w:p>
        </w:tc>
        <w:tc>
          <w:tcPr>
            <w:tcW w:w="0" w:type="auto"/>
          </w:tcPr>
          <w:p>
            <w:pPr>
              <w:spacing w:line="240" w:lineRule="auto" w:before="0" w:after="0"/>
              <w:pStyle w:val="Compact"/>
            </w:pPr>
            <w:r>
              <w:rPr>
                <w:sz w:val="20"/>
                <w:szCs w:val="20"/>
              </w:rPr>
              <w:t xml:space="preserve">[0.7241, 5.4883]</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0.1685</w:t>
            </w:r>
          </w:p>
        </w:tc>
        <w:tc>
          <w:tcPr>
            <w:tcW w:w="0" w:type="auto"/>
          </w:tcPr>
          <w:p>
            <w:pPr>
              <w:spacing w:line="240" w:lineRule="auto" w:before="0" w:after="0"/>
              <w:pStyle w:val="Compact"/>
            </w:pPr>
            <w:r>
              <w:rPr>
                <w:sz w:val="20"/>
                <w:szCs w:val="20"/>
              </w:rPr>
              <w:t xml:space="preserve">0.1188</w:t>
            </w:r>
          </w:p>
        </w:tc>
        <w:tc>
          <w:tcPr>
            <w:tcW w:w="0" w:type="auto"/>
          </w:tcPr>
          <w:p>
            <w:pPr>
              <w:spacing w:line="240" w:lineRule="auto" w:before="0" w:after="0"/>
              <w:pStyle w:val="Compact"/>
            </w:pPr>
            <w:r>
              <w:rPr>
                <w:sz w:val="20"/>
                <w:szCs w:val="20"/>
              </w:rPr>
              <w:t xml:space="preserve">1.4189</w:t>
            </w:r>
          </w:p>
        </w:tc>
        <w:tc>
          <w:tcPr>
            <w:tcW w:w="0" w:type="auto"/>
          </w:tcPr>
          <w:p>
            <w:pPr>
              <w:spacing w:line="240" w:lineRule="auto" w:before="0" w:after="0"/>
              <w:pStyle w:val="Compact"/>
            </w:pPr>
            <w:r>
              <w:rPr>
                <w:sz w:val="20"/>
                <w:szCs w:val="20"/>
              </w:rPr>
              <w:t xml:space="preserve">0.1559</w:t>
            </w:r>
          </w:p>
        </w:tc>
        <w:tc>
          <w:tcPr>
            <w:tcW w:w="0" w:type="auto"/>
          </w:tcPr>
          <w:p>
            <w:pPr>
              <w:spacing w:line="240" w:lineRule="auto" w:before="0" w:after="0"/>
              <w:pStyle w:val="Compact"/>
            </w:pPr>
            <w:r>
              <w:rPr>
                <w:sz w:val="20"/>
                <w:szCs w:val="20"/>
              </w:rPr>
              <w:t xml:space="preserve">[-0.0643, 0.4014]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-0.0235</w:t>
            </w:r>
          </w:p>
        </w:tc>
        <w:tc>
          <w:tcPr>
            <w:tcW w:w="0" w:type="auto"/>
          </w:tcPr>
          <w:p>
            <w:pPr>
              <w:spacing w:line="240" w:lineRule="auto" w:before="0" w:after="0"/>
              <w:pStyle w:val="Compact"/>
            </w:pPr>
            <w:r>
              <w:rPr>
                <w:sz w:val="20"/>
                <w:szCs w:val="20"/>
              </w:rPr>
              <w:t xml:space="preserve">0.0574</w:t>
            </w:r>
          </w:p>
        </w:tc>
        <w:tc>
          <w:tcPr>
            <w:tcW w:w="0" w:type="auto"/>
          </w:tcPr>
          <w:p>
            <w:pPr>
              <w:spacing w:line="240" w:lineRule="auto" w:before="0" w:after="0"/>
              <w:pStyle w:val="Compact"/>
            </w:pPr>
            <w:r>
              <w:rPr>
                <w:sz w:val="20"/>
                <w:szCs w:val="20"/>
              </w:rPr>
              <w:t xml:space="preserve">-0.4096</w:t>
            </w:r>
          </w:p>
        </w:tc>
        <w:tc>
          <w:tcPr>
            <w:tcW w:w="0" w:type="auto"/>
          </w:tcPr>
          <w:p>
            <w:pPr>
              <w:spacing w:line="240" w:lineRule="auto" w:before="0" w:after="0"/>
              <w:pStyle w:val="Compact"/>
            </w:pPr>
            <w:r>
              <w:rPr>
                <w:sz w:val="20"/>
                <w:szCs w:val="20"/>
              </w:rPr>
              <w:t xml:space="preserve">0.6821</w:t>
            </w:r>
          </w:p>
        </w:tc>
        <w:tc>
          <w:tcPr>
            <w:tcW w:w="0" w:type="auto"/>
          </w:tcPr>
          <w:p>
            <w:pPr>
              <w:spacing w:line="240" w:lineRule="auto" w:before="0" w:after="0"/>
              <w:pStyle w:val="Compact"/>
            </w:pPr>
            <w:r>
              <w:rPr>
                <w:sz w:val="20"/>
                <w:szCs w:val="20"/>
              </w:rPr>
              <w:t xml:space="preserve">[-0.1359, 0.0889]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-0.7664</w:t>
            </w:r>
          </w:p>
        </w:tc>
        <w:tc>
          <w:tcPr>
            <w:tcW w:w="0" w:type="auto"/>
          </w:tcPr>
          <w:p>
            <w:pPr>
              <w:spacing w:line="240" w:lineRule="auto" w:before="0" w:after="0"/>
              <w:pStyle w:val="Compact"/>
            </w:pPr>
            <w:r>
              <w:rPr>
                <w:sz w:val="20"/>
                <w:szCs w:val="20"/>
              </w:rPr>
              <w:t xml:space="preserve">0.2763</w:t>
            </w:r>
          </w:p>
        </w:tc>
        <w:tc>
          <w:tcPr>
            <w:tcW w:w="0" w:type="auto"/>
          </w:tcPr>
          <w:p>
            <w:pPr>
              <w:spacing w:line="240" w:lineRule="auto" w:before="0" w:after="0"/>
              <w:pStyle w:val="Compact"/>
            </w:pPr>
            <w:r>
              <w:rPr>
                <w:sz w:val="20"/>
                <w:szCs w:val="20"/>
              </w:rPr>
              <w:t xml:space="preserve">-2.7743</w:t>
            </w:r>
          </w:p>
        </w:tc>
        <w:tc>
          <w:tcPr>
            <w:tcW w:w="0" w:type="auto"/>
          </w:tcPr>
          <w:p>
            <w:pPr>
              <w:spacing w:line="240" w:lineRule="auto" w:before="0" w:after="0"/>
              <w:pStyle w:val="Compact"/>
            </w:pPr>
            <w:r>
              <w:rPr>
                <w:sz w:val="20"/>
                <w:szCs w:val="20"/>
              </w:rPr>
              <w:t xml:space="preserve">0.0055</w:t>
            </w:r>
          </w:p>
        </w:tc>
        <w:tc>
          <w:tcPr>
            <w:tcW w:w="0" w:type="auto"/>
          </w:tcPr>
          <w:p>
            <w:pPr>
              <w:spacing w:line="240" w:lineRule="auto" w:before="0" w:after="0"/>
              <w:pStyle w:val="Compact"/>
            </w:pPr>
            <w:r>
              <w:rPr>
                <w:sz w:val="20"/>
                <w:szCs w:val="20"/>
              </w:rPr>
              <w:t xml:space="preserve">[-1.3078, -0.2249]</w:t>
            </w:r>
          </w:p>
        </w:tc>
      </w:tr>
    </w:tbl>
    <w:p>
      <w:pPr>
        <w:pStyle w:val="BodyText"/>
      </w:pPr>
      <w:r>
        <w:t xml:space="preserve">Fit: N = 30 R2 = 0.2486 R2_adj = 0.1619 F = 6.7919 F_p = 0.0016</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9" Target="https://doi.org/10.64861/FBSC2978" TargetMode="External" /><Relationship Type="http://schemas.openxmlformats.org/officeDocument/2006/relationships/hyperlink" Id="rId77" Target="https://doi.org/10.64861/KWXF2322" TargetMode="External" /><Relationship Type="http://schemas.openxmlformats.org/officeDocument/2006/relationships/hyperlink" Id="rId75" Target="https://doi.org/10.64861/MVWS5637" TargetMode="External" /><Relationship Type="http://schemas.openxmlformats.org/officeDocument/2006/relationships/hyperlink" Id="rId68" Target="https://doi.org/10.64861/PKVP5982" TargetMode="External" /><Relationship Type="http://schemas.openxmlformats.org/officeDocument/2006/relationships/hyperlink" Id="rId70" Target="https://doi.org/10.64861/WCUO4665" TargetMode="External" /></Relationships>
</file>

<file path=word/_rels/footnotes.xml.rels><?xml version="1.0" encoding="UTF-8"?><Relationships xmlns="http://schemas.openxmlformats.org/package/2006/relationships"><Relationship Type="http://schemas.openxmlformats.org/officeDocument/2006/relationships/hyperlink" Id="rId79" Target="https://doi.org/10.64861/FBSC2978" TargetMode="External" /><Relationship Type="http://schemas.openxmlformats.org/officeDocument/2006/relationships/hyperlink" Id="rId77" Target="https://doi.org/10.64861/KWXF2322" TargetMode="External" /><Relationship Type="http://schemas.openxmlformats.org/officeDocument/2006/relationships/hyperlink" Id="rId75" Target="https://doi.org/10.64861/MVWS5637" TargetMode="External" /><Relationship Type="http://schemas.openxmlformats.org/officeDocument/2006/relationships/hyperlink" Id="rId68" Target="https://doi.org/10.64861/PKVP5982" TargetMode="External" /><Relationship Type="http://schemas.openxmlformats.org/officeDocument/2006/relationships/hyperlink" Id="rId70" Target="https://doi.org/10.64861/WCUO466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2026-06-29T09:40:13Z</dcterms:created>
  <dcterms:modified xsi:type="dcterms:W3CDTF">2026-06-29T09:40:13Z</dcterms:modified>
</cp:coreProperties>
</file>

<file path=docProps/custom.xml><?xml version="1.0" encoding="utf-8"?>
<Properties xmlns="http://schemas.openxmlformats.org/officeDocument/2006/custom-properties" xmlns:vt="http://schemas.openxmlformats.org/officeDocument/2006/docPropsVTypes"/>
</file>