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HEDGING IN CISLUNAR GOVERNANCE: A REVEALED-PREFERENCE MODEL OF MIDDLE-POWER ALIG</w:t>
      </w:r>
    </w:p>
    <w:p>
      <w:pPr>
        <w:jc w:val="center"/>
      </w:pPr>
    </w:p>
    <w:p>
      <w:pPr>
        <w:jc w:val="center"/>
      </w:pPr>
      <w:r>
        <w:rPr>
          <w:rFonts w:ascii="Times New Roman" w:hAnsi="Times New Roman"/>
          <w:sz w:val="24"/>
        </w:rPr>
        <w:t>by</w:t>
      </w:r>
    </w:p>
    <w:p>
      <w:pPr>
        <w:jc w:val="center"/>
      </w:pPr>
      <w:r>
        <w:rPr>
          <w:rFonts w:ascii="Times New Roman" w:hAnsi="Times New Roman"/>
          <w:b/>
          <w:sz w:val="28"/>
        </w:rPr>
        <w:t>Oscar Lindqvist</w:t>
      </w:r>
    </w:p>
    <w:p>
      <w:pPr>
        <w:jc w:val="center"/>
      </w:pPr>
      <w:r>
        <w:rPr>
          <w:rFonts w:ascii="Times New Roman" w:hAnsi="Times New Roman"/>
          <w:sz w:val="24"/>
        </w:rPr>
        <w:t>1B-IGV-209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Cislunar space has stopped being a frontier of imagination and become a frontier of scheduling. Missions are manifested, sensor networks are being provisioned, and the orbital families that connect low Earth orbit to lunar distance are being catalogued with the seriousness once reserved for the geostationary belt</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governance question arrives late, as it usually does. By the time states begin to debate the operating rules for a domain, the technical community has already produced a dense record of what the domain is, how objects move through it, and which capabilities matter for watching it. That record is evidence. This dissertation treats it that way.</w:t>
      </w:r>
    </w:p>
    <w:p>
      <w:pPr>
        <w:pStyle w:val="BodyText"/>
        <w:spacing w:line="480" w:lineRule="auto"/>
        <w:ind w:firstLine="720"/>
      </w:pPr>
      <w:r>
        <w:t xml:space="preserve">The project began from a discomfort with how middle-power alignment in space is usually discussed.</w:t>
      </w:r>
    </w:p>
    <w:p>
      <w:pPr>
        <w:pStyle w:val="BodyText"/>
        <w:spacing w:line="480" w:lineRule="auto"/>
        <w:ind w:firstLine="720"/>
      </w:pPr>
      <w:r>
        <w:t xml:space="preserve">The standard account is narrative. An analyst reads a handful of speeches, notes a coalition announcement, and infers a strategic posture. Hedging, the deliberate refusal to commit fully to a single great-power bloc, is especially prone to this treatment because it is defined by what a state avoids rather than what it declares. A middle power that hedges does not issue a doctrine of hedging. It keeps options open, participates selectively, and lets its revealed choices speak. The interpretive problem is that revealed choices are easy to assert and hard to measure. If hedging is real, it should leave traces in something more disciplined than a reading of press releases. That conviction sets the terms of the work. The title of the dissertation is</w:t>
      </w:r>
      <w:r>
        <w:t xml:space="preserve"> </w:t>
      </w:r>
      <w:r>
        <w:rPr>
          <w:i/>
          <w:iCs/>
        </w:rPr>
        <w:t xml:space="preserve">Hedging in Cislunar Governance: A Revealed-Preference Model of Middle-Power Alignment</w:t>
      </w:r>
      <w:r>
        <w:t xml:space="preserve">, and the ambition behind the title is large. The contribution of the chapters that follow is deliberately small. A doctoral project earns its keep not by announcing a grand model but by isolating one claim that could be wrong, testing it against evidence a skeptic can inspect, and reporting the answer without inflation. This dissertation makes exactly one such claim testable, and it reports the result of that test whether or not the result flatters the theory.</w:t>
      </w:r>
    </w:p>
    <w:bookmarkStart w:id="61" w:name="the-problem"/>
    <w:p>
      <w:pPr>
        <w:pStyle w:val="Heading2"/>
        <w:spacing w:line="480" w:lineRule="auto"/>
      </w:pPr>
      <w:r>
        <w:t xml:space="preserve">1.1 The problem</w:t>
      </w:r>
    </w:p>
    <w:p>
      <w:pPr>
        <w:pStyle w:val="FirstParagraph"/>
        <w:spacing w:line="480" w:lineRule="auto"/>
      </w:pPr>
      <w:r>
        <w:t xml:space="preserve">The problem is measurement before institutions settle. Space governance problems become visible in the technical and policy literature well before any consensus rule exists to manage them</w:t>
      </w:r>
      <w:r>
        <w:t xml:space="preserve"> </w:t>
      </w:r>
      <w:hyperlink w:anchor="ref-3">
        <w:r>
          <w:rPr>
            <w:rStyle w:val="Hyperlink"/>
          </w:rPr>
          <w:t xml:space="preserve">[3]</w:t>
        </w:r>
      </w:hyperlink>
      <w:r>
        <w:t xml:space="preserve">. Cislunar domain awareness is a clean example. Papers on orbit classification, resonant structure, radar coverage, and sensor tasking accumulate because operators need to know where objects are, long before treaty language or a coordinating body exists to say who may place what and where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The literature is a leading indicator. It registers salience early.</w:t>
      </w:r>
    </w:p>
    <w:p>
      <w:pPr>
        <w:pStyle w:val="BodyText"/>
        <w:spacing w:line="480" w:lineRule="auto"/>
        <w:ind w:firstLine="720"/>
      </w:pPr>
      <w:r>
        <w:t xml:space="preserve">If that is true, then the structure of the literature carries information.</w:t>
      </w:r>
    </w:p>
    <w:p>
      <w:pPr>
        <w:pStyle w:val="BodyText"/>
        <w:spacing w:line="480" w:lineRule="auto"/>
        <w:ind w:firstLine="720"/>
      </w:pPr>
      <w:r>
        <w:t xml:space="preserve">A topic that is genuinely rising should show up not only in the presence of documents but in their arrangement. Newer work should cluster around it. Attention measured through citation should track it. The venues that carry it should shift as the topic migrates from engineering conferences toward policy journals. A topic that is merely fashionable in a single venue, or that reflects the idiosyncrasy of one research group, should show a weaker and less stable pattern. The problem this dissertation addresses is whether the candidate topic, the hedging-and-alignment signal in cislunar governance, is visible in that arrangement or whether it dissolves under measurement. The choice to read structure rather than count documents is deliberate. A raw document count is easy to inflate and easy to misread; a burst of publications can reflect a single funded program rather than a genuine shift in the field’s priorities. Structure is harder to fake. If recency, attention, and venue jointly organize the way a theme is expressed, that joint organization is difficult to produce by accident or by the enthusiasm of one research group</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dissertation therefore stakes its test on the arrangement of the corpus, not its volume, because arrangement is the more demanding and more informative signal.</w:t>
      </w:r>
    </w:p>
    <w:p>
      <w:pPr>
        <w:pStyle w:val="BodyText"/>
        <w:spacing w:line="480" w:lineRule="auto"/>
        <w:ind w:firstLine="720"/>
      </w:pPr>
      <w:r>
        <w:t xml:space="preserve">A further reason to prefer structure is that it degrades gracefully under noise.</w:t>
      </w:r>
    </w:p>
    <w:p>
      <w:pPr>
        <w:pStyle w:val="BodyText"/>
        <w:spacing w:line="480" w:lineRule="auto"/>
        <w:ind w:firstLine="720"/>
      </w:pPr>
      <w:r>
        <w:t xml:space="preserve">Any retrieval of thirty records will include some that fit the theme loosely, and loose fits add error to any measure. A document count is fully exposed to that error, since every retrieved record counts equally. A structural test is more robust, because noise tends to weaken measured structure toward zero rather than manufacture it, so a structural finding that survives is a finding that survived a bias working against it</w:t>
      </w:r>
      <w:r>
        <w:t xml:space="preserve"> </w:t>
      </w:r>
      <w:hyperlink w:anchor="ref-1">
        <w:r>
          <w:rPr>
            <w:rStyle w:val="Hyperlink"/>
          </w:rPr>
          <w:t xml:space="preserve">[1]</w:t>
        </w:r>
      </w:hyperlink>
      <w:r>
        <w:t xml:space="preserve"> </w:t>
      </w:r>
      <w:hyperlink w:anchor="ref-6">
        <w:r>
          <w:rPr>
            <w:rStyle w:val="Hyperlink"/>
          </w:rPr>
          <w:t xml:space="preserve">[6]</w:t>
        </w:r>
      </w:hyperlink>
      <w:r>
        <w:t xml:space="preserve">. This property, that the design’s central bias runs against its own hypothesis, is one the later chapters return to when they weigh how much confidence the results deserve.</w:t>
      </w:r>
    </w:p>
    <w:bookmarkEnd w:id="61"/>
    <w:bookmarkStart w:id="62" w:name="why-the-stakes-are-real"/>
    <w:p>
      <w:pPr>
        <w:pStyle w:val="Heading2"/>
        <w:spacing w:line="480" w:lineRule="auto"/>
      </w:pPr>
      <w:r>
        <w:t xml:space="preserve">1.2 Why the stakes are real</w:t>
      </w:r>
    </w:p>
    <w:p>
      <w:pPr>
        <w:pStyle w:val="FirstParagraph"/>
        <w:spacing w:line="480" w:lineRule="auto"/>
      </w:pPr>
      <w:r>
        <w:t xml:space="preserve">The stakes are not confined to bibliometrics. Governance design for cislunar space is being drafted now, and the drafters face a sequencing dilemma</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Move too early and a rule ossifies around a domain no one yet understands. Move too late and facts on the ground, or in orbit, foreclose the choices a rule was meant to preserve. Middle powers sit at the center of this dilemma because they supply the swing weight that determines whether an emerging regime looks inclusive or bloc-bound</w:t>
      </w:r>
      <w:r>
        <w:t xml:space="preserve"> </w:t>
      </w:r>
      <w:hyperlink w:anchor="ref-9">
        <w:r>
          <w:rPr>
            <w:rStyle w:val="Hyperlink"/>
          </w:rPr>
          <w:t xml:space="preserve">[9]</w:t>
        </w:r>
      </w:hyperlink>
      <w:r>
        <w:t xml:space="preserve">. Understanding how they align, and whether that alignment is legible in advance, is therefore a practical concern for anyone building the institutions. There is also a methodological stake. Much space-governance scholarship asserts trends without disciplining them. If a revealed-preference logic can be applied to a corpus, extracting structure from document metadata rather than from the analyst’s intuition, then the same logic can be extended later to the harder target: the alignment behavior of states themselves. This dissertation does not reach that target. It builds the instrument and validates it on a tractable case, so that the harder work rests on something inspectable rather than on assertion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timing of the stake is what makes it acute. Cislunar coordination is not a distant prospect. Radar and sensing infrastructure is being surveyed and extended now, orbit catalogues are being built now, and the frameworks for traffic management across the Moon-to-Mars corridor are being drafted now</w:t>
      </w:r>
      <w:r>
        <w:t xml:space="preserve"> </w:t>
      </w:r>
      <w:hyperlink w:anchor="ref-3">
        <w:r>
          <w:rPr>
            <w:rStyle w:val="Hyperlink"/>
          </w:rPr>
          <w:t xml:space="preserve">[3]</w:t>
        </w:r>
      </w:hyperlink>
      <w:r>
        <w:t xml:space="preserve"> </w:t>
      </w:r>
      <w:hyperlink w:anchor="ref-14">
        <w:r>
          <w:rPr>
            <w:rStyle w:val="Hyperlink"/>
          </w:rPr>
          <w:t xml:space="preserve">[14]</w:t>
        </w:r>
      </w:hyperlink>
      <w:r>
        <w:t xml:space="preserve">. Each of these developments hardens the environment in which a governance rule will eventually operate, and each narrows the set of rules that remain feasible. A study that can read the field’s revealed priorities early, while the rules are still negotiable, offers something a retrospective study cannot: an input to decisions that have not yet been foreclosed</w:t>
      </w:r>
      <w:r>
        <w:t xml:space="preserve"> </w:t>
      </w:r>
      <w:hyperlink w:anchor="ref-9">
        <w:r>
          <w:rPr>
            <w:rStyle w:val="Hyperlink"/>
          </w:rPr>
          <w:t xml:space="preserve">[9]</w:t>
        </w:r>
      </w:hyperlink>
      <w:r>
        <w:t xml:space="preserve">. The window for that input is open precisely because the domain is unsettled, and it will close as the institutions set. A last dimension of the stake is epistemic humility as a governance virtue. When institutions act under uncertainty, the most dangerous input is false confidence, because a confident but wrong reading of the field can lock in a rule that the evidence never supported</w:t>
      </w:r>
      <w:r>
        <w:t xml:space="preserve"> </w:t>
      </w:r>
      <w:hyperlink w:anchor="ref-12">
        <w:r>
          <w:rPr>
            <w:rStyle w:val="Hyperlink"/>
          </w:rPr>
          <w:t xml:space="preserve">[12]</w:t>
        </w:r>
      </w:hyperlink>
      <w:r>
        <w:t xml:space="preserve">. A method that reports its own limits, that says plainly where the signal is strong and where the instruments go quiet, protects the institutions from that danger better than a method that always produces a clean answer. The dissertation treats its own restraint as a contribution to the quality of the decisions it might inform, not as a shortfall to be excused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Measurement, then, is the discipline the topic has lacked. This dissertation supplies a small piece of it.</w:t>
      </w:r>
    </w:p>
    <w:bookmarkEnd w:id="62"/>
    <w:bookmarkStart w:id="63" w:name="the-one-falsifiable-contribution"/>
    <w:p>
      <w:pPr>
        <w:pStyle w:val="Heading2"/>
        <w:spacing w:line="480" w:lineRule="auto"/>
      </w:pPr>
      <w:r>
        <w:t xml:space="preserve">1.3 The one falsifiable contribution</w:t>
      </w:r>
    </w:p>
    <w:p>
      <w:pPr>
        <w:pStyle w:val="FirstParagraph"/>
        <w:spacing w:line="480" w:lineRule="auto"/>
      </w:pPr>
      <w:r>
        <w:t xml:space="preserve">The contribution reduces to a single hypothesis pair, stated so that a reasonable reader could reject it.</w:t>
      </w:r>
    </w:p>
    <w:p>
      <w:pPr>
        <w:pStyle w:val="BodyText"/>
        <w:spacing w:line="480" w:lineRule="auto"/>
        <w:ind w:firstLine="720"/>
      </w:pPr>
      <w:r>
        <w:t xml:space="preserve">H0: the candidate topic signal is unrelated to publication recency, citation attention, and venue family in the retrieved source corpus. H1: the candidate topic signal is systematically related to publication recency, citation attention, and venue family in the retrieved source corpus. This is a corpus-structure claim, not a policy verdict. It does not assert that any particular state hedges. It asserts something narrower and checkable: that the visibility of the topic in the literature is organized, and that its organization can be estimated from features anyone can recompute from the source records. Two estimators carry the test. The first is an ordinary least squares model of topic-signal intensity as a function of recency, citation count, and venue family. The second is a log-log learning-curve model of citation accumulation against article age. Both are deliberately simple. Simplicity is the point, because a simple estimator on an auditable dataset leaves nowhere for a convenient conclusion to hide</w:t>
      </w:r>
      <w:r>
        <w:t xml:space="preserve"> </w:t>
      </w:r>
      <w:hyperlink w:anchor="ref-5">
        <w:r>
          <w:rPr>
            <w:rStyle w:val="Hyperlink"/>
          </w:rPr>
          <w:t xml:space="preserve">[5]</w:t>
        </w:r>
      </w:hyperlink>
      <w:r>
        <w:t xml:space="preserve">.</w:t>
      </w:r>
    </w:p>
    <w:p>
      <w:pPr>
        <w:pStyle w:val="BodyText"/>
        <w:spacing w:line="480" w:lineRule="auto"/>
        <w:ind w:firstLine="720"/>
      </w:pPr>
      <w:r>
        <w:t xml:space="preserve">The falsifiability is genuine. If the estimators returned nothing, if every coefficient sat inside its noise band, the honest report would be that the corpus shows no structure and the hedging signal is, at least in this evidence, invisible. The chapters that follow do not presume the outcome. Chapter 6 reports what the workbooks actually produced, and one of the two models returns a null on its central term. That result is kept, interpreted, and allowed to constrain the argument rather than quietly dropped.</w:t>
      </w:r>
    </w:p>
    <w:bookmarkEnd w:id="63"/>
    <w:bookmarkStart w:id="64" w:name="approach-in-brief"/>
    <w:p>
      <w:pPr>
        <w:pStyle w:val="Heading2"/>
        <w:spacing w:line="480" w:lineRule="auto"/>
      </w:pPr>
      <w:r>
        <w:t xml:space="preserve">1.4 Approach in brief</w:t>
      </w:r>
    </w:p>
    <w:p>
      <w:pPr>
        <w:pStyle w:val="FirstParagraph"/>
        <w:spacing w:line="480" w:lineRule="auto"/>
      </w:pPr>
      <w:r>
        <w:t xml:space="preserve">The empirical spine is a candidate-specific record pack: thirty retrieved records drawn from the cislunar technical, governance, and policy literature, each preserved with its provenance, publication year, venue family, and a set of deterministic features computed from its metadata</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From that pack the study builds a topic-signal score, a recency index, a citation count, and an ordinal venue score, then runs the two estimators against them. Nothing in the pipeline is hidden. Every row cites its source, every feature has a stated construction rule, and every reported number can be recomputed from the workbook. The design chooses transparency over reach. Two boundaries deserve statement at the outset. First, the citation counts are local index measures, not universal citation totals, so they should be read as attention within the retrieved corpus rather than as global impact</w:t>
      </w:r>
      <w:r>
        <w:t xml:space="preserve"> </w:t>
      </w:r>
      <w:hyperlink w:anchor="ref-6">
        <w:r>
          <w:rPr>
            <w:rStyle w:val="Hyperlink"/>
          </w:rPr>
          <w:t xml:space="preserve">[6]</w:t>
        </w:r>
      </w:hyperlink>
      <w:r>
        <w:t xml:space="preserve">. Second, the venue-family coding is ordinal, a three-step ladder from conference proceedings to specialist policy journals, and it should not be pressed for cardinal meaning. These are not incidental caveats. They shape how far the results can be carried, and Chapter 7 returns to them at length.</w:t>
      </w:r>
    </w:p>
    <w:bookmarkEnd w:id="64"/>
    <w:bookmarkStart w:id="65" w:name="the-revealed-preference-wager"/>
    <w:p>
      <w:pPr>
        <w:pStyle w:val="Heading2"/>
        <w:spacing w:line="480" w:lineRule="auto"/>
      </w:pPr>
      <w:r>
        <w:t xml:space="preserve">1.5 The revealed-preference wager</w:t>
      </w:r>
    </w:p>
    <w:p>
      <w:pPr>
        <w:pStyle w:val="FirstParagraph"/>
        <w:spacing w:line="480" w:lineRule="auto"/>
      </w:pPr>
      <w:r>
        <w:t xml:space="preserve">A word on the phrase that anchors the title. Revealed preference is an old idea in economics: do not ask an agent what it wants, watch what it chooses under constraint, and infer the ordering that rationalizes the choices. Applied to states, the idea suggests that alignment is better read from selective participation than from declared loyalty</w:t>
      </w:r>
      <w:r>
        <w:t xml:space="preserve"> </w:t>
      </w:r>
      <w:hyperlink w:anchor="ref-9">
        <w:r>
          <w:rPr>
            <w:rStyle w:val="Hyperlink"/>
          </w:rPr>
          <w:t xml:space="preserve">[9]</w:t>
        </w:r>
      </w:hyperlink>
      <w:r>
        <w:t xml:space="preserve">. Applied to a literature, the idea suggests that salience is better read from where attention actually flows than from any author’s claim that a topic matters. This dissertation runs the wager at the level of the literature first. It asks whether the corpus, treated as a set of revealed choices about what to write, cite, and publish where, discloses a structured preference for the hedging topic. If the corpus cannot pass this test, there is little reason to trust a more elaborate revealed-preference story told about the states themselves. The wager is worth stating plainly because it is where a critic will press. One might object that a literature is not an agent and has no preferences to reveal. The response is that the corpus aggregates thousands of individual choices under real constraints of page limits, review, and funding, and that the aggregate can carry structure even if no single author intends it. Whether it does is exactly the empirical question. The design refuses to answer it by assumption.</w:t>
      </w:r>
    </w:p>
    <w:bookmarkEnd w:id="65"/>
    <w:bookmarkStart w:id="66" w:name="what-hedging-means-here"/>
    <w:p>
      <w:pPr>
        <w:pStyle w:val="Heading2"/>
        <w:spacing w:line="480" w:lineRule="auto"/>
      </w:pPr>
      <w:r>
        <w:t xml:space="preserve">1.6 What hedging means here</w:t>
      </w:r>
    </w:p>
    <w:p>
      <w:pPr>
        <w:pStyle w:val="FirstParagraph"/>
        <w:spacing w:line="480" w:lineRule="auto"/>
      </w:pPr>
      <w:r>
        <w:t xml:space="preserve">The word hedging carries a technical weight in this dissertation that a reader should hold precisely. In the international-relations tradition, hedging names the posture of a state that declines the binary of balancing against a rising power or bandwagoning with it, choosing instead to cultivate ties on multiple sides so that no single realignment is irreversible. The posture is rational under uncertainty. When a state cannot forecast which bloc will dominate a domain, keeping options open is cheaper than betting wrong. Cislunar space is exactly such a domain of uncertainty, because the rules that will govern access, coordination, and resource use are unwritten and the powers drafting them are in open competition</w:t>
      </w:r>
      <w:r>
        <w:t xml:space="preserve"> </w:t>
      </w:r>
      <w:hyperlink w:anchor="ref-9">
        <w:r>
          <w:rPr>
            <w:rStyle w:val="Hyperlink"/>
          </w:rPr>
          <w:t xml:space="preserve">[9]</w:t>
        </w:r>
      </w:hyperlink>
      <w:r>
        <w:t xml:space="preserve"> </w:t>
      </w:r>
      <w:hyperlink w:anchor="ref-14">
        <w:r>
          <w:rPr>
            <w:rStyle w:val="Hyperlink"/>
          </w:rPr>
          <w:t xml:space="preserve">[14]</w:t>
        </w:r>
      </w:hyperlink>
      <w:r>
        <w:t xml:space="preserve">. Middle powers are the actors for whom hedging is most consequential, because they are large enough to matter to a coalition and small enough that a wrong bet is costly. A middle power that commits early to one bloc’s cislunar architecture forfeits leverage; one that hedges retains it. The revealed-preference move is to detect that retention behaviorally, in what a state joins, funds, and publishes, rather than in what it declares</w:t>
      </w:r>
      <w:r>
        <w:t xml:space="preserve"> </w:t>
      </w:r>
      <w:hyperlink w:anchor="ref-9">
        <w:r>
          <w:rPr>
            <w:rStyle w:val="Hyperlink"/>
          </w:rPr>
          <w:t xml:space="preserve">[9]</w:t>
        </w:r>
      </w:hyperlink>
      <w:r>
        <w:t xml:space="preserve">. This dissertation does not yet observe states directly. It observes the literature they and their institutions produce, and it asks whether the hedging topic is even structured enough in that literature to make a later behavioral study worth attempting.</w:t>
      </w:r>
    </w:p>
    <w:p>
      <w:pPr>
        <w:pStyle w:val="BodyText"/>
        <w:spacing w:line="480" w:lineRule="auto"/>
        <w:ind w:firstLine="720"/>
      </w:pPr>
      <w:r>
        <w:t xml:space="preserve">The definitional care matters because hedging is easy to invoke loosely and hard to pin down. An analyst can call almost any ambiguous posture hedging after the fact. The corrective this project pursues is to insist that the concept, to be useful, must connect to something measurable, and to begin by measuring the smallest tractable thing: the concept’s own footprint in the record</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If that footprint is structured, the concept has empirical purchase. If it is not, the concept may be a narrative convenience rather than an analytic tool, and a doctoral project should be willing to entertain that possibility.</w:t>
      </w:r>
    </w:p>
    <w:bookmarkEnd w:id="66"/>
    <w:bookmarkStart w:id="67" w:name="the-design-stage-posture"/>
    <w:p>
      <w:pPr>
        <w:pStyle w:val="Heading2"/>
        <w:spacing w:line="480" w:lineRule="auto"/>
      </w:pPr>
      <w:r>
        <w:t xml:space="preserve">1.7 The design-stage posture</w:t>
      </w:r>
    </w:p>
    <w:p>
      <w:pPr>
        <w:pStyle w:val="FirstParagraph"/>
        <w:spacing w:line="480" w:lineRule="auto"/>
      </w:pPr>
      <w:r>
        <w:t xml:space="preserve">This is a design-stage dissertation, and the phrase is not a hedge of its own. It signals that the work builds and validates an instrument rather than delivering a final substantive verdict. The distinction is real and worth defending. A field can be advanced either by answering its central question or by making the question answerable, and at an early moment in a domain’s institutionalization the second contribution is often the more durable one</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design-stage posture disciplines what the chapters may claim. They may claim that a method works or fails on a tractable case. They may claim that a corpus is structured or unstructured along stated axes. They may not claim that a state hedges, because no state variable is measured, and they may not claim causation, because no intervention exists</w:t>
      </w:r>
      <w:r>
        <w:t xml:space="preserve"> </w:t>
      </w:r>
      <w:hyperlink w:anchor="ref-9">
        <w:r>
          <w:rPr>
            <w:rStyle w:val="Hyperlink"/>
          </w:rPr>
          <w:t xml:space="preserve">[9]</w:t>
        </w:r>
      </w:hyperlink>
      <w:r>
        <w:t xml:space="preserve">. Holding to these limits is what makes the eventual, harder study credible: an instrument validated under honest constraints can be trusted when it is later pointed at the real target. An instrument that overclaimed on its warm-up case would poison everything built on it.</w:t>
      </w:r>
    </w:p>
    <w:p>
      <w:pPr>
        <w:pStyle w:val="BodyText"/>
        <w:spacing w:line="480" w:lineRule="auto"/>
        <w:ind w:firstLine="720"/>
      </w:pPr>
      <w:r>
        <w:t xml:space="preserve">There is a cost to this posture, and the dissertation pays it openly. A reader hoping for a verdict on middle-power alignment will not find one here. What that reader will find is a demonstration that the verdict, when it comes, can rest on measurement rather than assertion, and a precise account of which measurements are ready and which are not</w:t>
      </w:r>
      <w:r>
        <w:t xml:space="preserve"> </w:t>
      </w:r>
      <w:hyperlink w:anchor="ref-4">
        <w:r>
          <w:rPr>
            <w:rStyle w:val="Hyperlink"/>
          </w:rPr>
          <w:t xml:space="preserve">[4]</w:t>
        </w:r>
      </w:hyperlink>
      <w:r>
        <w:t xml:space="preserve"> </w:t>
      </w:r>
      <w:hyperlink w:anchor="ref-6">
        <w:r>
          <w:rPr>
            <w:rStyle w:val="Hyperlink"/>
          </w:rPr>
          <w:t xml:space="preserve">[6]</w:t>
        </w:r>
      </w:hyperlink>
      <w:r>
        <w:t xml:space="preserve">. In a domain being governed in real time, a trustworthy instrument delivered early is worth more than a confident answer delivered on sand.</w:t>
      </w:r>
    </w:p>
    <w:bookmarkEnd w:id="67"/>
    <w:bookmarkStart w:id="68" w:name="roadmap"/>
    <w:p>
      <w:pPr>
        <w:pStyle w:val="Heading2"/>
        <w:spacing w:line="480" w:lineRule="auto"/>
      </w:pPr>
      <w:r>
        <w:t xml:space="preserve">1.8 Roadmap</w:t>
      </w:r>
    </w:p>
    <w:p>
      <w:pPr>
        <w:pStyle w:val="FirstParagraph"/>
        <w:spacing w:line="480" w:lineRule="auto"/>
      </w:pPr>
      <w:r>
        <w:t xml:space="preserve">The dissertation proceeds in eight chapters. Chapter 2 situates the work against prior scholarship, drawing the line between the technical literature that maps the domain and the governance literature that interprets it, and locating the revealed-preference move against both</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9">
        <w:r>
          <w:rPr>
            <w:rStyle w:val="Hyperlink"/>
          </w:rPr>
          <w:t xml:space="preserve">[9]</w:t>
        </w:r>
      </w:hyperlink>
      <w:r>
        <w:t xml:space="preserve">. Chapter 3 develops the theory: the mechanism that links strategic salience to observable corpus structure, and the testable predictions that follow. Chapter 4 sets out the methodology and the identification logic, explaining why two modest estimators can nonetheless identify a real pattern rather than an artifact. Chapter 5 documents the data and measurement in full, the thirty records, the sources, and the exact construction of every variable. Chapter 6 reports the results, reproducing the estimator output exactly, including the term that fails to reach significance. Chapter 7 turns to discussion and limitations, taking the threats to validity seriously enough to bound the claims. Chapter 8 draws conclusions, states the contribution plainly, and traces where the instrument built here can be taken next, toward the state-level alignment question the title promises but this evidence does not yet reach</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organizing commitment throughout is restraint. A reader should finish able to trace an unbroken path from the selection of a source record to a variable, from a variable to an estimator, from an estimator to a number, and from a number to an interpretation that never claims more than the number will bear. The value of the exercise is not that it resolves the alignment question. It does not. The value is that it establishes, on a small and honest case, what a disciplined answer would have to look like, and it declines the temptation to pretend that the small case has already delivered the large one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68"/>
    <w:bookmarkEnd w:id="69"/>
    <w:bookmarkStart w:id="76" w:name="chapter-2-literature-and-prior-work"/>
    <w:p>
      <w:pPr>
        <w:pStyle w:val="Heading1"/>
        <w:spacing w:line="480" w:lineRule="auto"/>
      </w:pPr>
      <w:r>
        <w:t xml:space="preserve">Chapter 2: Literature and Prior Work</w:t>
      </w:r>
    </w:p>
    <w:p>
      <w:pPr>
        <w:pStyle w:val="FirstParagraph"/>
        <w:spacing w:line="480" w:lineRule="auto"/>
      </w:pPr>
      <w:r>
        <w:t xml:space="preserve">Two bodies of writing bear on this dissertation, and they rarely address each other. One maps cislunar space as a physical and operational domain. The other interprets space activity as a political and institutional problem. The gap between them is where this project sits. A reader who wants to understand middle-power alignment in cislunar governance must borrow the domain facts from the first body and the analytic vocabulary from the second, then supply the connective tissue that neither provides. This chapter reconstructs both strands, marks their silences, and positions the revealed-preference approach against each. The chapter proceeds in five movements. It maps the domain literature that establishes cislunar space as a real operational problem. It surveys the governance literature that interprets space activity politically. It names the measurement silence that neither strand fills. It traces the revealed-preference lineage the dissertation borrows from outside the field. And it locates the specific contribution against all of these, marking both what the work depends on and what it declines to claim</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bookmarkStart w:id="70" w:name="mapping-the-domain"/>
    <w:p>
      <w:pPr>
        <w:pStyle w:val="Heading2"/>
        <w:spacing w:line="480" w:lineRule="auto"/>
      </w:pPr>
      <w:r>
        <w:t xml:space="preserve">2.1 Mapping the domain</w:t>
      </w:r>
    </w:p>
    <w:p>
      <w:pPr>
        <w:pStyle w:val="FirstParagraph"/>
        <w:spacing w:line="480" w:lineRule="auto"/>
      </w:pPr>
      <w:r>
        <w:t xml:space="preserve">The technical cislunar literature has matured quickly. A decade ago the region between geostationary orbit and the Moon was analytically thin. It is now the subject of a dedicated stream of work on how objects can be classified, tracked, and coordinated across the region’s peculiar dynamics. Orbit classification is the foundation. Higgins and colleagues apply self-organizing maps to cislunar trajectories, grouping orbits by dynamical similarity rather than by hand-drawn category</w:t>
      </w:r>
      <w:r>
        <w:t xml:space="preserve"> </w:t>
      </w:r>
      <w:hyperlink w:anchor="ref-1">
        <w:r>
          <w:rPr>
            <w:rStyle w:val="Hyperlink"/>
          </w:rPr>
          <w:t xml:space="preserve">[1]</w:t>
        </w:r>
      </w:hyperlink>
      <w:r>
        <w:t xml:space="preserve">. The contribution is not merely computational. It signals that the community now treats the cislunar population as large enough and varied enough to require unsupervised structure discovery, which is itself an indicator of domain maturation. Rosengren and colleagues push in a complementary direction, analyzing the resonant structure of the xGEO region and drawing out its implications for domain awareness</w:t>
      </w:r>
      <w:r>
        <w:t xml:space="preserve"> </w:t>
      </w:r>
      <w:hyperlink w:anchor="ref-2">
        <w:r>
          <w:rPr>
            <w:rStyle w:val="Hyperlink"/>
          </w:rPr>
          <w:t xml:space="preserve">[2]</w:t>
        </w:r>
      </w:hyperlink>
      <w:r>
        <w:t xml:space="preserve">. Their earlier work on multiscale dynamics frames the region as a nested system in which behavior at one scale conditions behavior at another, a framing that resists the tidy Keplerian intuitions imported from lower orbits</w:t>
      </w:r>
      <w:r>
        <w:t xml:space="preserve"> </w:t>
      </w:r>
      <w:hyperlink w:anchor="ref-4">
        <w:r>
          <w:rPr>
            <w:rStyle w:val="Hyperlink"/>
          </w:rPr>
          <w:t xml:space="preserve">[4]</w:t>
        </w:r>
      </w:hyperlink>
      <w:r>
        <w:t xml:space="preserve">.</w:t>
      </w:r>
    </w:p>
    <w:p>
      <w:pPr>
        <w:pStyle w:val="BodyText"/>
        <w:spacing w:line="480" w:lineRule="auto"/>
        <w:ind w:firstLine="720"/>
      </w:pPr>
      <w:r>
        <w:t xml:space="preserve">The classification work also carries an implicit governance message that its authors do not draw out.</w:t>
      </w:r>
    </w:p>
    <w:p>
      <w:pPr>
        <w:pStyle w:val="BodyText"/>
        <w:spacing w:line="480" w:lineRule="auto"/>
        <w:ind w:firstLine="720"/>
      </w:pPr>
      <w:r>
        <w:t xml:space="preserve">To classify orbits is to decide which distinctions matter, and those distinctions become the categories a future coordination regime will regulate</w:t>
      </w:r>
      <w:r>
        <w:t xml:space="preserve"> </w:t>
      </w:r>
      <w:hyperlink w:anchor="ref-1">
        <w:r>
          <w:rPr>
            <w:rStyle w:val="Hyperlink"/>
          </w:rPr>
          <w:t xml:space="preserve">[1]</w:t>
        </w:r>
      </w:hyperlink>
      <w:r>
        <w:t xml:space="preserve">. A regime that manages cislunar traffic will need a vocabulary of orbit types, and that vocabulary is being fixed now, in the technical literature, by the choices classifiers make about how to group trajectories. The domain literature is thus not merely describing the region; it is quietly building the ontology on which governance will later operate, which is one more reason its structure is worth measuring</w:t>
      </w:r>
      <w:r>
        <w:t xml:space="preserve"> </w:t>
      </w:r>
      <w:hyperlink w:anchor="ref-2">
        <w:r>
          <w:rPr>
            <w:rStyle w:val="Hyperlink"/>
          </w:rPr>
          <w:t xml:space="preserve">[2]</w:t>
        </w:r>
      </w:hyperlink>
      <w:r>
        <w:t xml:space="preserve">.</w:t>
      </w:r>
    </w:p>
    <w:p>
      <w:pPr>
        <w:pStyle w:val="BodyText"/>
        <w:spacing w:line="480" w:lineRule="auto"/>
        <w:ind w:firstLine="720"/>
      </w:pPr>
      <w:r>
        <w:t xml:space="preserve">Sensing is the second pillar. Lazio and a large radar-astronomy collaboration survey ground-based planetary radar in the cislunar arena, cataloguing current capability and projecting where coverage must extend</w:t>
      </w:r>
      <w:r>
        <w:t xml:space="preserve"> </w:t>
      </w:r>
      <w:hyperlink w:anchor="ref-3">
        <w:r>
          <w:rPr>
            <w:rStyle w:val="Hyperlink"/>
          </w:rPr>
          <w:t xml:space="preserve">[3]</w:t>
        </w:r>
      </w:hyperlink>
      <w:r>
        <w:t xml:space="preserve">. The breadth of that author list, spanning several national laboratories and observatories, is worth noticing on its own terms: it reflects an institutional consensus that cislunar sensing is a shared infrastructural problem rather than a niche research interest. Griggs and colleagues pursue passive radio-frequency methods for initial orbit determination and object tracking, a line of work motivated by the difficulty of maintaining custody of objects that spend long arcs far from Earth-based sensors</w:t>
      </w:r>
      <w:r>
        <w:t xml:space="preserve"> </w:t>
      </w:r>
      <w:hyperlink w:anchor="ref-7">
        <w:r>
          <w:rPr>
            <w:rStyle w:val="Hyperlink"/>
          </w:rPr>
          <w:t xml:space="preserve">[7]</w:t>
        </w:r>
      </w:hyperlink>
      <w:r>
        <w:t xml:space="preserve">. Ojeda Romero and collaborators bring machine learning to the same initial-orbit-determination problem, adapting estimation to the cislunar regime’s nonlinearity</w:t>
      </w:r>
      <w:r>
        <w:t xml:space="preserve"> </w:t>
      </w:r>
      <w:hyperlink w:anchor="ref-8">
        <w:r>
          <w:rPr>
            <w:rStyle w:val="Hyperlink"/>
          </w:rPr>
          <w:t xml:space="preserve">[8]</w:t>
        </w:r>
      </w:hyperlink>
      <w:r>
        <w:t xml:space="preserve">. Ryall’s study of object detection in space-based imagery documents the practical obstacles to deploying deep learning against this target, a useful corrective to any assumption that modern methods transfer without friction</w:t>
      </w:r>
      <w:r>
        <w:t xml:space="preserve"> </w:t>
      </w:r>
      <w:hyperlink w:anchor="ref-6">
        <w:r>
          <w:rPr>
            <w:rStyle w:val="Hyperlink"/>
          </w:rPr>
          <w:t xml:space="preserve">[6]</w:t>
        </w:r>
      </w:hyperlink>
      <w:r>
        <w:t xml:space="preserve">. Gehly and Bennett, working earlier, incorporate target priorities into a sensor-tasking reward function, which foreshadows the governance question by making explicit that scarce sensing must be allocated, and that allocation encodes a preference ordering</w:t>
      </w:r>
      <w:r>
        <w:t xml:space="preserve"> </w:t>
      </w:r>
      <w:hyperlink w:anchor="ref-5">
        <w:r>
          <w:rPr>
            <w:rStyle w:val="Hyperlink"/>
          </w:rPr>
          <w:t xml:space="preserve">[5]</w:t>
        </w:r>
      </w:hyperlink>
      <w:r>
        <w:t xml:space="preserve">.</w:t>
      </w:r>
    </w:p>
    <w:p>
      <w:pPr>
        <w:pStyle w:val="BodyText"/>
        <w:spacing w:line="480" w:lineRule="auto"/>
        <w:ind w:firstLine="720"/>
      </w:pPr>
      <w:r>
        <w:t xml:space="preserve">The machine-learning contributions in this strand carry a further signal worth reading.</w:t>
      </w:r>
    </w:p>
    <w:p>
      <w:pPr>
        <w:pStyle w:val="BodyText"/>
        <w:spacing w:line="480" w:lineRule="auto"/>
        <w:ind w:firstLine="720"/>
      </w:pPr>
      <w:r>
        <w:t xml:space="preserve">Ojeda Romero and colleagues bring learning methods to initial orbit determination, and Ryall documents the friction of applying deep learning to space-based imagery</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presence of these methods marks a domain confident enough in its data volume to warrant them, which is itself an indicator of maturation, and the friction Ryall documents is a healthy corrective against assuming the methods transfer cleanly. A field importing new tools while honestly cataloguing where they fail is a field taking itself seriously as an operational problem rather than a speculative one</w:t>
      </w:r>
      <w:r>
        <w:t xml:space="preserve"> </w:t>
      </w:r>
      <w:hyperlink w:anchor="ref-6">
        <w:r>
          <w:rPr>
            <w:rStyle w:val="Hyperlink"/>
          </w:rPr>
          <w:t xml:space="preserve">[6]</w:t>
        </w:r>
      </w:hyperlink>
      <w:r>
        <w:t xml:space="preserve">.</w:t>
      </w:r>
    </w:p>
    <w:p>
      <w:pPr>
        <w:pStyle w:val="BodyText"/>
        <w:spacing w:line="480" w:lineRule="auto"/>
        <w:ind w:firstLine="720"/>
      </w:pPr>
      <w:r>
        <w:t xml:space="preserve">One thread runs through this strand: competence about the domain and silence about its politics.</w:t>
      </w:r>
    </w:p>
    <w:p>
      <w:pPr>
        <w:pStyle w:val="BodyText"/>
        <w:spacing w:line="480" w:lineRule="auto"/>
        <w:ind w:firstLine="720"/>
      </w:pPr>
      <w:r>
        <w:t xml:space="preserve">These papers establish, with rigor, where objects are and how to watch them. They do not ask why some actors invest in watching and others do not, or what an emerging coordination regime should look like. The silence is not a defect. It is a division of labor. The technical literature supplies the ground truth on which any governance analysis must stand</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70"/>
    <w:bookmarkStart w:id="71" w:name="interpreting-the-politics"/>
    <w:p>
      <w:pPr>
        <w:pStyle w:val="Heading2"/>
        <w:spacing w:line="480" w:lineRule="auto"/>
      </w:pPr>
      <w:r>
        <w:t xml:space="preserve">2.2 Interpreting the politics</w:t>
      </w:r>
    </w:p>
    <w:p>
      <w:pPr>
        <w:pStyle w:val="FirstParagraph"/>
        <w:spacing w:line="480" w:lineRule="auto"/>
      </w:pPr>
      <w:r>
        <w:t xml:space="preserve">The governance strand is thinner and younger, but it is arriving. Ben-Itzhak’s analysis of complex hegemony in cislunar space is the closest prior work to this dissertation’s concern</w:t>
      </w:r>
      <w:r>
        <w:t xml:space="preserve"> </w:t>
      </w:r>
      <w:hyperlink w:anchor="ref-9">
        <w:r>
          <w:rPr>
            <w:rStyle w:val="Hyperlink"/>
          </w:rPr>
          <w:t xml:space="preserve">[9]</w:t>
        </w:r>
      </w:hyperlink>
      <w:r>
        <w:t xml:space="preserve">. She models the region as a networked power structure and asks what network position implies for global governance, arguing that influence in cislunar space is relational rather than merely material. The framing is congenial to a revealed-preference approach, because network position is itself a revealed quantity: it is inferred from patterns of connection rather than from declared intent. Where this dissertation diverges is in scope. Ben-Itzhak theorizes hegemony at the level of the system. This project asks a prior, narrower question about whether the salience of the alignment topic is even measurable in the documentary record before any hegemony claim can be adjudicated. Traffic management extends the governance conversation across the cislunar and cismartian environments. Anilkumar and a large international author group lay out challenges and strategic frameworks for space traffic management from the Moon to Mars, treating coordination as a design problem that spans regimes</w:t>
      </w:r>
      <w:r>
        <w:t xml:space="preserve"> </w:t>
      </w:r>
      <w:hyperlink w:anchor="ref-14">
        <w:r>
          <w:rPr>
            <w:rStyle w:val="Hyperlink"/>
          </w:rPr>
          <w:t xml:space="preserve">[14]</w:t>
        </w:r>
      </w:hyperlink>
      <w:r>
        <w:t xml:space="preserve">. The paper is notable for its explicitly multinational authorship, which itself models the middle-power participation this dissertation seeks to measure. Ferguson and Haqq-Misra reach into institutional history, drawing lessons for cooperative sovereignty on Mars from the International Telecommunication Union and the Universal Postal Union</w:t>
      </w:r>
      <w:r>
        <w:t xml:space="preserve"> </w:t>
      </w:r>
      <w:hyperlink w:anchor="ref-13">
        <w:r>
          <w:rPr>
            <w:rStyle w:val="Hyperlink"/>
          </w:rPr>
          <w:t xml:space="preserve">[13]</w:t>
        </w:r>
      </w:hyperlink>
      <w:r>
        <w:t xml:space="preserve">. Their move, importing governance templates from mature functional regimes, is exactly the kind of analogical reasoning that a disciplined measurement approach should complement rather than replace.</w:t>
      </w:r>
    </w:p>
    <w:p>
      <w:pPr>
        <w:pStyle w:val="BodyText"/>
        <w:spacing w:line="480" w:lineRule="auto"/>
        <w:ind w:firstLine="720"/>
      </w:pPr>
      <w:r>
        <w:t xml:space="preserve">A few adjacent contributions round out the picture. McKeown and colleagues ask how potential space-resource markets should be evaluated, a question that bears on alignment because resource regimes create the material stakes over which states hedge</w:t>
      </w:r>
      <w:r>
        <w:t xml:space="preserve"> </w:t>
      </w:r>
      <w:hyperlink w:anchor="ref-12">
        <w:r>
          <w:rPr>
            <w:rStyle w:val="Hyperlink"/>
          </w:rPr>
          <w:t xml:space="preserve">[12]</w:t>
        </w:r>
      </w:hyperlink>
      <w:r>
        <w:t xml:space="preserve">. Hurova and coauthors examine gamification in space law as a strategy for navigating a growing and fragmented legal landscape, an unusual entry that signals how far the governance literature is now willing to range in search of coordination tools</w:t>
      </w:r>
      <w:r>
        <w:t xml:space="preserve"> </w:t>
      </w:r>
      <w:hyperlink w:anchor="ref-15">
        <w:r>
          <w:rPr>
            <w:rStyle w:val="Hyperlink"/>
          </w:rPr>
          <w:t xml:space="preserve">[15]</w:t>
        </w:r>
      </w:hyperlink>
      <w:r>
        <w:t xml:space="preserve">. These works share a common posture: they reason forward from principle and analogy toward what a regime ought to do. They rarely reason backward from observable evidence toward what the field’s own attention already reveals. A final feature of the governance strand is its methodological pluralism, which is both a strength and a symptom. The strand reaches for network theory, institutional analogy, economic valuation, and even gamification, each borrowed from a different tradition</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This range reflects a field improvising tools for a problem no single discipline owns. It also reflects the absence of a shared empirical spine: without a common way to bring evidence to bear, each author reaches for whatever framework seems apt, and the results do not accumulate into a cumulative body of measured findings. The measurement approach this dissertation offers is not a rival framework to add to the pile. It is a proposal for the missing spine, a way to discipline any of these frameworks against observable structure</w:t>
      </w:r>
      <w:r>
        <w:t xml:space="preserve"> </w:t>
      </w:r>
      <w:hyperlink w:anchor="ref-4">
        <w:r>
          <w:rPr>
            <w:rStyle w:val="Hyperlink"/>
          </w:rPr>
          <w:t xml:space="preserve">[4]</w:t>
        </w:r>
      </w:hyperlink>
      <w:r>
        <w:t xml:space="preserve">.</w:t>
      </w:r>
    </w:p>
    <w:p>
      <w:pPr>
        <w:pStyle w:val="BodyText"/>
        <w:spacing w:line="480" w:lineRule="auto"/>
        <w:ind w:firstLine="720"/>
      </w:pPr>
      <w:r>
        <w:t xml:space="preserve">So the two strands coexist without meeting. That gap is the opening this dissertation works in.</w:t>
      </w:r>
    </w:p>
    <w:bookmarkEnd w:id="71"/>
    <w:bookmarkStart w:id="72" w:name="the-measurement-silence"/>
    <w:p>
      <w:pPr>
        <w:pStyle w:val="Heading2"/>
        <w:spacing w:line="480" w:lineRule="auto"/>
      </w:pPr>
      <w:r>
        <w:t xml:space="preserve">2.3 The measurement silence</w:t>
      </w:r>
    </w:p>
    <w:p>
      <w:pPr>
        <w:pStyle w:val="FirstParagraph"/>
        <w:spacing w:line="480" w:lineRule="auto"/>
      </w:pPr>
      <w:r>
        <w:t xml:space="preserve">Set the two strands side by side and a gap opens. The technical literature measures the domain but not the politics. The governance literature interprets the politics but seldom measures anything. Neither treats the corpus itself as data. Yet the corpus is the one object both strands produce jointly, and its structure encodes the field’s revealed priorities: what gets written, when, where, and how much it is cited</w:t>
      </w:r>
      <w:r>
        <w:t xml:space="preserve"> </w:t>
      </w:r>
      <w:hyperlink w:anchor="ref-2">
        <w:r>
          <w:rPr>
            <w:rStyle w:val="Hyperlink"/>
          </w:rPr>
          <w:t xml:space="preserve">[2]</w:t>
        </w:r>
      </w:hyperlink>
      <w:r>
        <w:t xml:space="preserve"> </w:t>
      </w:r>
      <w:hyperlink w:anchor="ref-4">
        <w:r>
          <w:rPr>
            <w:rStyle w:val="Hyperlink"/>
          </w:rPr>
          <w:t xml:space="preserve">[4]</w:t>
        </w:r>
      </w:hyperlink>
      <w:r>
        <w:t xml:space="preserve">. This is the silence the dissertation addresses. Bibliometric and revealed-preference reasoning is common in economics and in science studies, but it is rarely turned on space governance with the discipline of a stated estimator and an auditable dataset. The closest the domain literature comes is Gehly and Bennett’s tasking-reward formulation, which makes preference explicit in a narrow technical setting</w:t>
      </w:r>
      <w:r>
        <w:t xml:space="preserve"> </w:t>
      </w:r>
      <w:hyperlink w:anchor="ref-5">
        <w:r>
          <w:rPr>
            <w:rStyle w:val="Hyperlink"/>
          </w:rPr>
          <w:t xml:space="preserve">[5]</w:t>
        </w:r>
      </w:hyperlink>
      <w:r>
        <w:t xml:space="preserve">. The closest the governance literature comes is Ben-Itzhak’s network framing, which infers position from relational data</w:t>
      </w:r>
      <w:r>
        <w:t xml:space="preserve"> </w:t>
      </w:r>
      <w:hyperlink w:anchor="ref-9">
        <w:r>
          <w:rPr>
            <w:rStyle w:val="Hyperlink"/>
          </w:rPr>
          <w:t xml:space="preserve">[9]</w:t>
        </w:r>
      </w:hyperlink>
      <w:r>
        <w:t xml:space="preserve">. Neither closes the loop by writing down a falsifiable model of topic salience and estimating it. That is the specific, bounded contribution on offer here.</w:t>
      </w:r>
    </w:p>
    <w:bookmarkEnd w:id="72"/>
    <w:bookmarkStart w:id="73" w:name="X74643a497606d6a7ebb85b550e8cab5c52592f4"/>
    <w:p>
      <w:pPr>
        <w:pStyle w:val="Heading2"/>
        <w:spacing w:line="480" w:lineRule="auto"/>
      </w:pPr>
      <w:r>
        <w:t xml:space="preserve">2.4 Revealed preference and the study of choice</w:t>
      </w:r>
    </w:p>
    <w:p>
      <w:pPr>
        <w:pStyle w:val="FirstParagraph"/>
        <w:spacing w:line="480" w:lineRule="auto"/>
      </w:pPr>
      <w:r>
        <w:t xml:space="preserve">The intellectual lineage of the approach deserves explicit acknowledgment, because it is borrowed from outside the space literature and its transfer is not automatic. Revealed-preference reasoning entered economics as a way to ground demand theory in observable choice rather than in unobservable utility. Its discipline is to refuse claims about what an agent wants and to infer only the preference ordering that its choices under constraint are consistent with. The appeal for a political question is obvious: states, like consumers, rarely announce their true orderings, and their declarations are strategic</w:t>
      </w:r>
      <w:r>
        <w:t xml:space="preserve"> </w:t>
      </w:r>
      <w:hyperlink w:anchor="ref-9">
        <w:r>
          <w:rPr>
            <w:rStyle w:val="Hyperlink"/>
          </w:rPr>
          <w:t xml:space="preserve">[9]</w:t>
        </w:r>
      </w:hyperlink>
      <w:r>
        <w:t xml:space="preserve">. Watching what they choose is more informative than reading what they say. The transfer to a literature is a second-order move, and it is worth defending against an obvious objection. A corpus is not a single agent with a coherent preference ordering. It is an aggregate of choices by many authors, reviewers, and editors, each optimizing under different constraints. The defense is that aggregates can carry structure even when no single member intends it, and that the structure is precisely what a bibliometric estimator recovers. The corpus reveals a collective preference over topics, venues, and citations, and that revealed preference is a legitimate object of study even though the corpus is not an agent</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nearest technical analogue in the domain literature is the sensor-tasking reward function, where scarce attention is allocated according to an explicit preference ordering; the corpus does the same thing implicitly, allocating scarce authorial and citational attention across topics</w:t>
      </w:r>
      <w:r>
        <w:t xml:space="preserve"> </w:t>
      </w:r>
      <w:hyperlink w:anchor="ref-5">
        <w:r>
          <w:rPr>
            <w:rStyle w:val="Hyperlink"/>
          </w:rPr>
          <w:t xml:space="preserve">[5]</w:t>
        </w:r>
      </w:hyperlink>
      <w:r>
        <w:t xml:space="preserve">.</w:t>
      </w:r>
    </w:p>
    <w:p>
      <w:pPr>
        <w:pStyle w:val="BodyText"/>
        <w:spacing w:line="480" w:lineRule="auto"/>
        <w:ind w:firstLine="720"/>
      </w:pPr>
      <w:r>
        <w:t xml:space="preserve">This lineage also clarifies what the dissertation is not doing. It is not performing a content analysis in the interpretive sense, reading documents for their meaning. It is performing a preference analysis, reading the arrangement of documents for the ordering their producers revealed</w:t>
      </w:r>
      <w:r>
        <w:t xml:space="preserve"> </w:t>
      </w:r>
      <w:hyperlink w:anchor="ref-6">
        <w:r>
          <w:rPr>
            <w:rStyle w:val="Hyperlink"/>
          </w:rPr>
          <w:t xml:space="preserve">[6]</w:t>
        </w:r>
      </w:hyperlink>
      <w:r>
        <w:t xml:space="preserve">. The distinction matters because it fixes the standard of evidence: a preference analysis lives or dies on whether observable choices are structured, not on whether an analyst finds a document persuasive. That standard is more austere and more falsifiable, which is exactly why the dissertation adopts it.</w:t>
      </w:r>
    </w:p>
    <w:bookmarkEnd w:id="73"/>
    <w:bookmarkStart w:id="74" w:name="the-adjacent-methodological-literatures"/>
    <w:p>
      <w:pPr>
        <w:pStyle w:val="Heading2"/>
        <w:spacing w:line="480" w:lineRule="auto"/>
      </w:pPr>
      <w:r>
        <w:t xml:space="preserve">2.5 The adjacent methodological literatures</w:t>
      </w:r>
    </w:p>
    <w:p>
      <w:pPr>
        <w:pStyle w:val="FirstParagraph"/>
        <w:spacing w:line="480" w:lineRule="auto"/>
      </w:pPr>
      <w:r>
        <w:t xml:space="preserve">Two further bodies of work inform the design without belonging to the cislunar domain. The first is the science-studies tradition that treats citation and publication patterns as data about the sociology of a field. That tradition established that attention within a literature is structured, that it accumulates along measurable curves, and that venue migration tracks a topic’s maturation. The learning-curve model in this dissertation borrows directly from that tradition’s treatment of cumulative attention as a power function of time</w:t>
      </w:r>
      <w:r>
        <w:t xml:space="preserve"> </w:t>
      </w:r>
      <w:hyperlink w:anchor="ref-4">
        <w:r>
          <w:rPr>
            <w:rStyle w:val="Hyperlink"/>
          </w:rPr>
          <w:t xml:space="preserve">[4]</w:t>
        </w:r>
      </w:hyperlink>
      <w:r>
        <w:t xml:space="preserve">. The borrowing is deliberate and the limits are stated: the tradition assumes rich citation data, and this project has only local counts, which is a mismatch the later chapters confront honestly</w:t>
      </w:r>
      <w:r>
        <w:t xml:space="preserve"> </w:t>
      </w:r>
      <w:hyperlink w:anchor="ref-6">
        <w:r>
          <w:rPr>
            <w:rStyle w:val="Hyperlink"/>
          </w:rPr>
          <w:t xml:space="preserve">[6]</w:t>
        </w:r>
      </w:hyperlink>
      <w:r>
        <w:t xml:space="preserve">. The second adjacent literature is the emerging methodological conversation within space policy itself about how to reason under evidentiary scarcity. Hurova and coauthors, exploring gamification as a device for navigating fragmented space law, exemplify a field searching for tools to structure decisions before consensus exists</w:t>
      </w:r>
      <w:r>
        <w:t xml:space="preserve"> </w:t>
      </w:r>
      <w:hyperlink w:anchor="ref-15">
        <w:r>
          <w:rPr>
            <w:rStyle w:val="Hyperlink"/>
          </w:rPr>
          <w:t xml:space="preserve">[15]</w:t>
        </w:r>
      </w:hyperlink>
      <w:r>
        <w:t xml:space="preserve">. McKeown and colleagues, asking how resource markets should be evaluated, wrestle with the same problem from the economic side: how to assess a domain whose institutions are not yet built</w:t>
      </w:r>
      <w:r>
        <w:t xml:space="preserve"> </w:t>
      </w:r>
      <w:hyperlink w:anchor="ref-12">
        <w:r>
          <w:rPr>
            <w:rStyle w:val="Hyperlink"/>
          </w:rPr>
          <w:t xml:space="preserve">[12]</w:t>
        </w:r>
      </w:hyperlink>
      <w:r>
        <w:t xml:space="preserve">. These works signal an appetite in the field for disciplined method, and this dissertation answers that appetite with a concrete, auditable estimator rather than a framework proposal.</w:t>
      </w:r>
    </w:p>
    <w:p>
      <w:pPr>
        <w:pStyle w:val="BodyText"/>
        <w:spacing w:line="480" w:lineRule="auto"/>
        <w:ind w:firstLine="720"/>
      </w:pPr>
      <w:r>
        <w:t xml:space="preserve">Situating the work against these two literatures sharpens its contribution. From science studies it takes the premise that a literature’s structure is measurable and meaningful. From the space-policy methodology conversation it takes the problem, reasoning before institutions settle, and it supplies what neither adjacent literature has yet supplied for this domain: a falsifiable, reproducible test run on real records with the null kept in view</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74"/>
    <w:bookmarkStart w:id="75" w:name="positioning-the-contribution"/>
    <w:p>
      <w:pPr>
        <w:pStyle w:val="Heading2"/>
        <w:spacing w:line="480" w:lineRule="auto"/>
      </w:pPr>
      <w:r>
        <w:t xml:space="preserve">2.6 Positioning the contribution</w:t>
      </w:r>
    </w:p>
    <w:p>
      <w:pPr>
        <w:pStyle w:val="FirstParagraph"/>
        <w:spacing w:line="480" w:lineRule="auto"/>
      </w:pPr>
      <w:r>
        <w:t xml:space="preserve">The dissertation positions itself as a bridge, not a rival. It does not challenge the orbital dynamics of Rosengren or the sensing surveys of Lazio; it depends on them for the domain’s reality</w:t>
      </w:r>
      <w:r>
        <w:t xml:space="preserve"> </w:t>
      </w:r>
      <w:hyperlink w:anchor="ref-2">
        <w:r>
          <w:rPr>
            <w:rStyle w:val="Hyperlink"/>
          </w:rPr>
          <w:t xml:space="preserve">[2]</w:t>
        </w:r>
      </w:hyperlink>
      <w:r>
        <w:t xml:space="preserve"> </w:t>
      </w:r>
      <w:hyperlink w:anchor="ref-3">
        <w:r>
          <w:rPr>
            <w:rStyle w:val="Hyperlink"/>
          </w:rPr>
          <w:t xml:space="preserve">[3]</w:t>
        </w:r>
      </w:hyperlink>
      <w:r>
        <w:t xml:space="preserve">. It does not displace Ben-Itzhak’s hegemony model or Anilkumar’s traffic frameworks; it supplies a measurement prelude that either could later absorb</w:t>
      </w:r>
      <w:r>
        <w:t xml:space="preserve"> </w:t>
      </w:r>
      <w:hyperlink w:anchor="ref-9">
        <w:r>
          <w:rPr>
            <w:rStyle w:val="Hyperlink"/>
          </w:rPr>
          <w:t xml:space="preserve">[9]</w:t>
        </w:r>
      </w:hyperlink>
      <w:r>
        <w:t xml:space="preserve"> </w:t>
      </w:r>
      <w:hyperlink w:anchor="ref-14">
        <w:r>
          <w:rPr>
            <w:rStyle w:val="Hyperlink"/>
          </w:rPr>
          <w:t xml:space="preserve">[14]</w:t>
        </w:r>
      </w:hyperlink>
      <w:r>
        <w:t xml:space="preserve">. The claim is modest and specific. Before one theorizes how middle powers align, one should establish whether the alignment topic is structured in the evidence at all, using tools a skeptic can rerun. Positioning this way carries an obligation the rest of the dissertation honors. If the contribution is a bridge, its load-bearing capacity must be stated honestly. A measurement prelude that overclaims would be worse than none, because it would license downstream theorizing on a foundation that cannot hold the weight. The chapters that follow therefore keep the measurement claims tightly bounded and report, without softening, the point at which the evidence goes quiet</w:t>
      </w:r>
      <w:r>
        <w:t xml:space="preserve"> </w:t>
      </w:r>
      <w:hyperlink w:anchor="ref-6">
        <w:r>
          <w:rPr>
            <w:rStyle w:val="Hyperlink"/>
          </w:rPr>
          <w:t xml:space="preserve">[6]</w:t>
        </w:r>
      </w:hyperlink>
      <w:r>
        <w:t xml:space="preserve"> </w:t>
      </w:r>
      <w:hyperlink w:anchor="ref-7">
        <w:r>
          <w:rPr>
            <w:rStyle w:val="Hyperlink"/>
          </w:rPr>
          <w:t xml:space="preserve">[7]</w:t>
        </w:r>
      </w:hyperlink>
      <w:r>
        <w:t xml:space="preserve">. The value of a bridge is that it is trustworthy under load, and trustworthiness here means refusing to pretend the corpus says more than it does.</w:t>
      </w:r>
    </w:p>
    <w:p>
      <w:pPr>
        <w:pStyle w:val="BodyText"/>
        <w:spacing w:line="480" w:lineRule="auto"/>
        <w:ind w:firstLine="720"/>
      </w:pPr>
      <w:r>
        <w:t xml:space="preserve">A brief comparison with adjacent domain literatures sharpens the boundary further. Work on space resources and markets asks how to value a domain whose institutions are unbuilt, and it does so largely through economic reasoning about incentives and property</w:t>
      </w:r>
      <w:r>
        <w:t xml:space="preserve"> </w:t>
      </w:r>
      <w:hyperlink w:anchor="ref-12">
        <w:r>
          <w:rPr>
            <w:rStyle w:val="Hyperlink"/>
          </w:rPr>
          <w:t xml:space="preserve">[12]</w:t>
        </w:r>
      </w:hyperlink>
      <w:r>
        <w:t xml:space="preserve">. Work on cooperative sovereignty imports institutional templates from mature functional regimes, reasoning by analogy from the postal and telecommunications unions to what a Martian or lunar regime might adopt</w:t>
      </w:r>
      <w:r>
        <w:t xml:space="preserve"> </w:t>
      </w:r>
      <w:hyperlink w:anchor="ref-13">
        <w:r>
          <w:rPr>
            <w:rStyle w:val="Hyperlink"/>
          </w:rPr>
          <w:t xml:space="preserve">[13]</w:t>
        </w:r>
      </w:hyperlink>
      <w:r>
        <w:t xml:space="preserve">. Both are forward-reasoning: they move from principle toward prescription. This dissertation runs the opposite direction, backward from observed corpus structure toward what the field’s revealed attention already discloses. The two directions are complementary, and a mature governance analysis would eventually need both, but they are not the same move and should not be confused</w:t>
      </w:r>
      <w:r>
        <w:t xml:space="preserve"> </w:t>
      </w:r>
      <w:hyperlink w:anchor="ref-9">
        <w:r>
          <w:rPr>
            <w:rStyle w:val="Hyperlink"/>
          </w:rPr>
          <w:t xml:space="preserve">[9]</w:t>
        </w:r>
      </w:hyperlink>
      <w:r>
        <w:t xml:space="preserve">. The traffic-management literature offers the closest test of that complementarity. Anilkumar and colleagues lay out coordination challenges spanning the cislunar and cismartian regimes, and their frameworks are prescriptive proposals for how coordination should be organized</w:t>
      </w:r>
      <w:r>
        <w:t xml:space="preserve"> </w:t>
      </w:r>
      <w:hyperlink w:anchor="ref-14">
        <w:r>
          <w:rPr>
            <w:rStyle w:val="Hyperlink"/>
          </w:rPr>
          <w:t xml:space="preserve">[14]</w:t>
        </w:r>
      </w:hyperlink>
      <w:r>
        <w:t xml:space="preserve">. A backward-reasoning measurement study could, in principle, tell such authors where in the literature their proposed coordination problems are already being actively worked, which venues carry them, and how attention to them is distributed. The present dissertation does not perform that service for traffic management specifically, but it demonstrates the kind of measurement that could, which is part of why it frames itself as an instrument rather than a finished analysis</w:t>
      </w:r>
      <w:r>
        <w:t xml:space="preserve"> </w:t>
      </w:r>
      <w:hyperlink w:anchor="ref-5">
        <w:r>
          <w:rPr>
            <w:rStyle w:val="Hyperlink"/>
          </w:rPr>
          <w:t xml:space="preserve">[5]</w:t>
        </w:r>
      </w:hyperlink>
      <w:r>
        <w:t xml:space="preserve">.</w:t>
      </w:r>
    </w:p>
    <w:p>
      <w:pPr>
        <w:pStyle w:val="BodyText"/>
        <w:spacing w:line="480" w:lineRule="auto"/>
        <w:ind w:firstLine="720"/>
      </w:pPr>
      <w:r>
        <w:t xml:space="preserve">One further boundary marks the position. This is a study of a literature, not of states. The reference pool is space-technical and space-governance writing, and the revealed choices it aggregates are choices by authors and editors, not by foreign ministries</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eventual target, alignment behavior by middle powers, requires a different corpus and a different coding scheme. What this dissertation establishes is whether the method has traction on an easier case, and the honest reading of Chapter 6 is that it has partial traction: strong on one structural feature, silent on another. Prior work does not prepare a reader for that split result, because prior work has not run the test. Running it, and reporting both halves, is where this project earns its place in the conversation</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75"/>
    <w:bookmarkEnd w:id="76"/>
    <w:bookmarkStart w:id="85" w:name="chapter-3-theory-and-hypotheses"/>
    <w:p>
      <w:pPr>
        <w:pStyle w:val="Heading1"/>
        <w:spacing w:line="480" w:lineRule="auto"/>
      </w:pPr>
      <w:r>
        <w:t xml:space="preserve">Chapter 3: Theory and Hypotheses</w:t>
      </w:r>
    </w:p>
    <w:p>
      <w:pPr>
        <w:pStyle w:val="FirstParagraph"/>
        <w:spacing w:line="480" w:lineRule="auto"/>
      </w:pPr>
      <w:r>
        <w:t xml:space="preserve">A theory earns the right to be tested by saying, in advance, what each possible result would mean. This chapter builds the mechanism that connects strategic salience to the observable structure of a literature, derives the predictions that mechanism implies, and states them so that the estimators in Chapter 6 can confirm or reject each one. The theory is intentionally spare. Its virtue is that it commits to interpretations before it sees the numbers.</w:t>
      </w:r>
    </w:p>
    <w:bookmarkStart w:id="77" w:name="the-core-mechanism"/>
    <w:p>
      <w:pPr>
        <w:pStyle w:val="Heading2"/>
        <w:spacing w:line="480" w:lineRule="auto"/>
      </w:pPr>
      <w:r>
        <w:t xml:space="preserve">3.1 The core mechanism</w:t>
      </w:r>
    </w:p>
    <w:p>
      <w:pPr>
        <w:pStyle w:val="FirstParagraph"/>
        <w:spacing w:line="480" w:lineRule="auto"/>
      </w:pPr>
      <w:r>
        <w:t xml:space="preserve">Start with a claim about how salience propagates. When a topic becomes strategically consequential in a domain, the actors who work in that domain respond by producing more work on it, citing that work more, and moving it into more authoritative venues. The response is not coordinated. It is the aggregate of many separate decisions by researchers, program managers, and editors, each acting under local constraints. Yet the aggregate leaves a signature, because attention is finite and its allocation is a revealed choice. The mechanism has three limbs, and each maps to an observable feature of the corpus.</w:t>
      </w:r>
    </w:p>
    <w:p>
      <w:pPr>
        <w:pStyle w:val="BodyText"/>
        <w:spacing w:line="480" w:lineRule="auto"/>
        <w:ind w:firstLine="720"/>
      </w:pPr>
      <w:r>
        <w:t xml:space="preserve">Recency is the first limb. A rising topic recruits new work faster than a static one. If the hedging-and-alignment concern in cislunar governance is genuinely ascending, records that address it should skew toward recent publication years, because the newest work is where an ascending topic concentrates</w:t>
      </w:r>
      <w:r>
        <w:t xml:space="preserve"> </w:t>
      </w:r>
      <w:hyperlink w:anchor="ref-1">
        <w:r>
          <w:rPr>
            <w:rStyle w:val="Hyperlink"/>
          </w:rPr>
          <w:t xml:space="preserve">[1]</w:t>
        </w:r>
      </w:hyperlink>
      <w:r>
        <w:t xml:space="preserve"> </w:t>
      </w:r>
      <w:hyperlink w:anchor="ref-2">
        <w:r>
          <w:rPr>
            <w:rStyle w:val="Hyperlink"/>
          </w:rPr>
          <w:t xml:space="preserve">[2]</w:t>
        </w:r>
      </w:hyperlink>
      <w:r>
        <w:t xml:space="preserve">. Recency is thus a proxy for the velocity of attention. Citation attention is the second limb. Beyond mere presence, a consequential topic attracts referencing. Work that others build on accumulates citations, and within a bounded corpus the count of local citations measures how much a record has drawn the field’s gaze</w:t>
      </w:r>
      <w:r>
        <w:t xml:space="preserve"> </w:t>
      </w:r>
      <w:hyperlink w:anchor="ref-4">
        <w:r>
          <w:rPr>
            <w:rStyle w:val="Hyperlink"/>
          </w:rPr>
          <w:t xml:space="preserve">[4]</w:t>
        </w:r>
      </w:hyperlink>
      <w:r>
        <w:t xml:space="preserve">. If the topic is consequential, its records should carry more attention than the corpus baseline. Venue is the third limb. Domains mature by migrating their discourse. A topic often begins in conference proceedings, where the barrier to entry is lower and the turnaround is faster, then moves into specialist journals as it stabilizes, and eventually into policy-facing venues as it acquires institutional weight</w:t>
      </w:r>
      <w:r>
        <w:t xml:space="preserve"> </w:t>
      </w:r>
      <w:hyperlink w:anchor="ref-3">
        <w:r>
          <w:rPr>
            <w:rStyle w:val="Hyperlink"/>
          </w:rPr>
          <w:t xml:space="preserve">[3]</w:t>
        </w:r>
      </w:hyperlink>
      <w:r>
        <w:t xml:space="preserve"> </w:t>
      </w:r>
      <w:hyperlink w:anchor="ref-9">
        <w:r>
          <w:rPr>
            <w:rStyle w:val="Hyperlink"/>
          </w:rPr>
          <w:t xml:space="preserve">[9]</w:t>
        </w:r>
      </w:hyperlink>
      <w:r>
        <w:t xml:space="preserve">. Venue family therefore encodes a topic’s position along a maturation ladder, and a topic gaining consequence should show a venue signature distinct from noise.</w:t>
      </w:r>
    </w:p>
    <w:p>
      <w:pPr>
        <w:pStyle w:val="BodyText"/>
        <w:spacing w:line="480" w:lineRule="auto"/>
        <w:ind w:firstLine="720"/>
      </w:pPr>
      <w:r>
        <w:t xml:space="preserve">The mechanism does not require all three limbs to move together. That is a deliberate feature. Recency, attention, and venue can diverge, and their divergence is informative. A topic can be recent but not yet cited, or concentrated in one venue family without broad citation. The theory’s job is to say what each pattern would imply, not to insist on a single tidy story</w:t>
      </w:r>
      <w:r>
        <w:t xml:space="preserve"> </w:t>
      </w:r>
      <w:hyperlink w:anchor="ref-5">
        <w:r>
          <w:rPr>
            <w:rStyle w:val="Hyperlink"/>
          </w:rPr>
          <w:t xml:space="preserve">[5]</w:t>
        </w:r>
      </w:hyperlink>
      <w:r>
        <w:t xml:space="preserve"> </w:t>
      </w:r>
      <w:hyperlink w:anchor="ref-6">
        <w:r>
          <w:rPr>
            <w:rStyle w:val="Hyperlink"/>
          </w:rPr>
          <w:t xml:space="preserve">[6]</w:t>
        </w:r>
      </w:hyperlink>
      <w:r>
        <w:t xml:space="preserve">. One clarification guards against a misreading of the mechanism. The claim is not that authors consciously respond to strategic salience when they choose what to write. Most do not; they respond to funding, curiosity, and the state of their subfield. The mechanism operates through aggregation, not intention: when a domain becomes consequential, the many locally-motivated choices of many researchers sum to a corpus that tilts toward the consequential topics, even though no single author set out to register salience</w:t>
      </w:r>
      <w:r>
        <w:t xml:space="preserve"> </w:t>
      </w:r>
      <w:hyperlink w:anchor="ref-4">
        <w:r>
          <w:rPr>
            <w:rStyle w:val="Hyperlink"/>
          </w:rPr>
          <w:t xml:space="preserve">[4]</w:t>
        </w:r>
      </w:hyperlink>
      <w:r>
        <w:t xml:space="preserve">. This is the same logic by which a market price aggregates dispersed information no single trader holds. The corpus is a price system for attention, and the mechanism reads it as one</w:t>
      </w:r>
      <w:r>
        <w:t xml:space="preserve"> </w:t>
      </w:r>
      <w:hyperlink w:anchor="ref-5">
        <w:r>
          <w:rPr>
            <w:rStyle w:val="Hyperlink"/>
          </w:rPr>
          <w:t xml:space="preserve">[5]</w:t>
        </w:r>
      </w:hyperlink>
      <w:r>
        <w:t xml:space="preserve">.</w:t>
      </w:r>
    </w:p>
    <w:bookmarkEnd w:id="77"/>
    <w:bookmarkStart w:id="78" w:name="from-mechanism-to-a-signal"/>
    <w:p>
      <w:pPr>
        <w:pStyle w:val="Heading2"/>
        <w:spacing w:line="480" w:lineRule="auto"/>
      </w:pPr>
      <w:r>
        <w:t xml:space="preserve">3.2 From mechanism to a signal</w:t>
      </w:r>
    </w:p>
    <w:p>
      <w:pPr>
        <w:pStyle w:val="FirstParagraph"/>
        <w:spacing w:line="480" w:lineRule="auto"/>
      </w:pPr>
      <w:r>
        <w:t xml:space="preserve">The three limbs converge on one construct: a topic-signal score for each record. The score is a deterministic count of candidate-theme term hits across a record’s title, snippet, keyword field, and author metadata</w:t>
      </w:r>
      <w:r>
        <w:t xml:space="preserve"> </w:t>
      </w:r>
      <w:hyperlink w:anchor="ref-1">
        <w:r>
          <w:rPr>
            <w:rStyle w:val="Hyperlink"/>
          </w:rPr>
          <w:t xml:space="preserve">[1]</w:t>
        </w:r>
      </w:hyperlink>
      <w:r>
        <w:t xml:space="preserve">. It is not a judgment about quality or relevance in any interpretive sense. It is a mechanical measure of how densely the candidate theme is expressed in a record’s own metadata. Reducing the signal to a countable quantity is what makes the theory testable, because a countable outcome can be regressed on countable predictors and the result can be inspected by anyone. Two properties of the score matter for the theory. It is bounded below by zero and does not run large, because term hits in short metadata fields are few. And it is coarse, since a handful of fields cannot express fine gradations. Coarseness limits how much variance the score can carry, and the theory anticipates that limit: a coarse outcome measured on thirty records will support detection of strong structure but not fine structure. The predictions below are calibrated to that reality</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signal construct carries one further property the theory relies on: it is comparable across venues despite the genres differing.</w:t>
      </w:r>
    </w:p>
    <w:p>
      <w:pPr>
        <w:pStyle w:val="BodyText"/>
        <w:spacing w:line="480" w:lineRule="auto"/>
        <w:ind w:firstLine="720"/>
      </w:pPr>
      <w:r>
        <w:t xml:space="preserve">Because the score counts theme-term hits by a fixed rule, it applies identically to a technical proceeding and a policy article, even though those genres express a theme in very different prose</w:t>
      </w:r>
      <w:r>
        <w:t xml:space="preserve"> </w:t>
      </w:r>
      <w:hyperlink w:anchor="ref-3">
        <w:r>
          <w:rPr>
            <w:rStyle w:val="Hyperlink"/>
          </w:rPr>
          <w:t xml:space="preserve">[3]</w:t>
        </w:r>
      </w:hyperlink>
      <w:r>
        <w:t xml:space="preserve">. This cross-genre comparability is what allows the venue prediction to be tested at all. If the score meant something different in each venue, a venue coefficient would be uninterpretable. The fixed counting rule buys comparability at the cost of nuance, and the theory accepts that trade because comparability is the prerequisite for the test it wants to run</w:t>
      </w:r>
      <w:r>
        <w:t xml:space="preserve"> </w:t>
      </w:r>
      <w:hyperlink w:anchor="ref-2">
        <w:r>
          <w:rPr>
            <w:rStyle w:val="Hyperlink"/>
          </w:rPr>
          <w:t xml:space="preserve">[2]</w:t>
        </w:r>
      </w:hyperlink>
      <w:r>
        <w:t xml:space="preserve">.</w:t>
      </w:r>
    </w:p>
    <w:bookmarkEnd w:id="78"/>
    <w:bookmarkStart w:id="79" w:name="predictions"/>
    <w:p>
      <w:pPr>
        <w:pStyle w:val="Heading2"/>
        <w:spacing w:line="480" w:lineRule="auto"/>
      </w:pPr>
      <w:r>
        <w:t xml:space="preserve">3.3 Predictions</w:t>
      </w:r>
    </w:p>
    <w:p>
      <w:pPr>
        <w:pStyle w:val="FirstParagraph"/>
        <w:spacing w:line="480" w:lineRule="auto"/>
      </w:pPr>
      <w:r>
        <w:t xml:space="preserve">The mechanism yields directional predictions, each tied to a limb.</w:t>
      </w:r>
    </w:p>
    <w:p>
      <w:pPr>
        <w:pStyle w:val="BodyText"/>
        <w:spacing w:line="480" w:lineRule="auto"/>
        <w:ind w:firstLine="720"/>
      </w:pPr>
      <w:r>
        <w:t xml:space="preserve">Prediction 1, on recency. If the topic is ascending, the recency index should carry a positive association with the topic-signal score, because newer records should express the theme more densely as the field converges on it</w:t>
      </w:r>
      <w:r>
        <w:t xml:space="preserve"> </w:t>
      </w:r>
      <w:hyperlink w:anchor="ref-1">
        <w:r>
          <w:rPr>
            <w:rStyle w:val="Hyperlink"/>
          </w:rPr>
          <w:t xml:space="preserve">[1]</w:t>
        </w:r>
      </w:hyperlink>
      <w:r>
        <w:t xml:space="preserve">. A null or weak recency coefficient would indicate that the topic’s expression is not concentrating in recent work, which would count against the ascending-topic account. Prediction 2, on citation attention. If attention tracks consequence, the local citation count should carry a positive association with the signal score, because more-cited records should be the ones expressing the theme most saliently</w:t>
      </w:r>
      <w:r>
        <w:t xml:space="preserve"> </w:t>
      </w:r>
      <w:hyperlink w:anchor="ref-4">
        <w:r>
          <w:rPr>
            <w:rStyle w:val="Hyperlink"/>
          </w:rPr>
          <w:t xml:space="preserve">[4]</w:t>
        </w:r>
      </w:hyperlink>
      <w:r>
        <w:t xml:space="preserve">. A null coefficient would suggest that attention within the corpus is not organized around the theme’s expression, an important qualifier on any claim that the topic drives the field’s gaze. Prediction 3, on venue. Venue family should carry a nonzero association with the signal score. The theory is agnostic about the sign here, and this agnosticism is genuine rather than evasive. If the theme is densest in the lower rungs of the venue ladder, the technical proceedings where cislunar work originates, the association could be negative, meaning the signal fades as one climbs toward policy venues that discuss the domain in more abstract terms</w:t>
      </w:r>
      <w:r>
        <w:t xml:space="preserve"> </w:t>
      </w:r>
      <w:hyperlink w:anchor="ref-3">
        <w:r>
          <w:rPr>
            <w:rStyle w:val="Hyperlink"/>
          </w:rPr>
          <w:t xml:space="preserve">[3]</w:t>
        </w:r>
      </w:hyperlink>
      <w:r>
        <w:t xml:space="preserve"> </w:t>
      </w:r>
      <w:hyperlink w:anchor="ref-9">
        <w:r>
          <w:rPr>
            <w:rStyle w:val="Hyperlink"/>
          </w:rPr>
          <w:t xml:space="preserve">[9]</w:t>
        </w:r>
      </w:hyperlink>
      <w:r>
        <w:t xml:space="preserve">. If the theme has migrated upward, the association could be positive. Either sign is theoretically meaningful, but the coefficient should not be zero if venue structure matters at all.</w:t>
      </w:r>
    </w:p>
    <w:bookmarkEnd w:id="79"/>
    <w:bookmarkStart w:id="80" w:name="the-independence-of-the-limbs"/>
    <w:p>
      <w:pPr>
        <w:pStyle w:val="Heading2"/>
        <w:spacing w:line="480" w:lineRule="auto"/>
      </w:pPr>
      <w:r>
        <w:t xml:space="preserve">3.4 The independence of the limbs</w:t>
      </w:r>
    </w:p>
    <w:p>
      <w:pPr>
        <w:pStyle w:val="FirstParagraph"/>
        <w:spacing w:line="480" w:lineRule="auto"/>
      </w:pPr>
      <w:r>
        <w:t xml:space="preserve">A subtle feature of the mechanism deserves its own treatment: the three limbs are theorized as partially independent, and that independence is what gives the joint test its power.</w:t>
      </w:r>
    </w:p>
    <w:p>
      <w:pPr>
        <w:pStyle w:val="BodyText"/>
        <w:spacing w:line="480" w:lineRule="auto"/>
        <w:ind w:firstLine="720"/>
      </w:pPr>
      <w:r>
        <w:t xml:space="preserve">If recency, attention, and venue always moved together, a single one of them would suffice and the others would be redundant</w:t>
      </w:r>
      <w:r>
        <w:t xml:space="preserve"> </w:t>
      </w:r>
      <w:hyperlink w:anchor="ref-1">
        <w:r>
          <w:rPr>
            <w:rStyle w:val="Hyperlink"/>
          </w:rPr>
          <w:t xml:space="preserve">[1]</w:t>
        </w:r>
      </w:hyperlink>
      <w:r>
        <w:t xml:space="preserve">. The theory does not assume they move together. It assumes they can diverge, and it builds a multi-predictor model precisely to let the data reveal which limbs carry structure and which do not.</w:t>
      </w:r>
    </w:p>
    <w:p>
      <w:pPr>
        <w:pStyle w:val="BodyText"/>
        <w:spacing w:line="480" w:lineRule="auto"/>
        <w:ind w:firstLine="720"/>
      </w:pPr>
      <w:r>
        <w:t xml:space="preserve">The divergence is not merely a statistical convenience; it is substantively expected.</w:t>
      </w:r>
    </w:p>
    <w:p>
      <w:pPr>
        <w:pStyle w:val="BodyText"/>
        <w:spacing w:line="480" w:lineRule="auto"/>
        <w:ind w:firstLine="720"/>
      </w:pPr>
      <w:r>
        <w:t xml:space="preserve">A topic can be recent yet uncited, because citation lags publication and the newest work has not had time to accumulate references</w:t>
      </w:r>
      <w:r>
        <w:t xml:space="preserve"> </w:t>
      </w:r>
      <w:hyperlink w:anchor="ref-4">
        <w:r>
          <w:rPr>
            <w:rStyle w:val="Hyperlink"/>
          </w:rPr>
          <w:t xml:space="preserve">[4]</w:t>
        </w:r>
      </w:hyperlink>
      <w:r>
        <w:t xml:space="preserve">. A topic can be concentrated in one venue family yet spread across recency, because a venue’s publication rhythm is set by its review cycle rather than by the topic’s age</w:t>
      </w:r>
      <w:r>
        <w:t xml:space="preserve"> </w:t>
      </w:r>
      <w:hyperlink w:anchor="ref-3">
        <w:r>
          <w:rPr>
            <w:rStyle w:val="Hyperlink"/>
          </w:rPr>
          <w:t xml:space="preserve">[3]</w:t>
        </w:r>
      </w:hyperlink>
      <w:r>
        <w:t xml:space="preserve">. And attention can flow to older foundational records even as newer records express a theme more densely, decoupling citation from recency and signal alike</w:t>
      </w:r>
      <w:r>
        <w:t xml:space="preserve"> </w:t>
      </w:r>
      <w:hyperlink w:anchor="ref-2">
        <w:r>
          <w:rPr>
            <w:rStyle w:val="Hyperlink"/>
          </w:rPr>
          <w:t xml:space="preserve">[2]</w:t>
        </w:r>
      </w:hyperlink>
      <w:r>
        <w:t xml:space="preserve">. The mechanism anticipates each of these decouplings and treats them as informative rather than as noise to be averaged away. This is why the cross-sectional estimator enters all three predictors jointly rather than testing them one at a time. Joint entry lets each coefficient report a partial association, net of the others, so that a venue effect is not confounded by recency and a recency effect is not confounded by venue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theory’s prediction structure and the estimator’s specification are thus two views of the same commitment: that the limbs are separable, that their separation is meaningful, and that the model should be built to see them separately.</w:t>
      </w:r>
    </w:p>
    <w:bookmarkEnd w:id="80"/>
    <w:bookmarkStart w:id="81" w:name="the-accumulation-prediction"/>
    <w:p>
      <w:pPr>
        <w:pStyle w:val="Heading2"/>
        <w:spacing w:line="480" w:lineRule="auto"/>
      </w:pPr>
      <w:r>
        <w:t xml:space="preserve">3.6 The accumulation prediction</w:t>
      </w:r>
    </w:p>
    <w:p>
      <w:pPr>
        <w:pStyle w:val="FirstParagraph"/>
        <w:spacing w:line="480" w:lineRule="auto"/>
      </w:pPr>
      <w:r>
        <w:t xml:space="preserve">The second estimator addresses a different question with its own prediction. Learning-curve theory holds that cumulative attention often grows as a power function of time or age, so that a log-log relationship between citation accumulation and article age should be approximately linear with a stable elasticity</w:t>
      </w:r>
      <w:r>
        <w:t xml:space="preserve"> </w:t>
      </w:r>
      <w:hyperlink w:anchor="ref-4">
        <w:r>
          <w:rPr>
            <w:rStyle w:val="Hyperlink"/>
          </w:rPr>
          <w:t xml:space="preserve">[4]</w:t>
        </w:r>
      </w:hyperlink>
      <w:r>
        <w:t xml:space="preserve">. Applied here, the prediction is that citation-plus-one should scale with article age along a measurable curve. Prediction 4, on accumulation. If citation accumulation in the topic literature follows an age-based curve, the elasticity of citation-plus-one with respect to age should be positive and its model should explain a meaningful share of variance. A flat curve, or one with negligible explanatory power, would indicate that within this corpus citation does not accumulate as a smooth function of age, which would bound any claim that the topic’s attention follows a predictable maturation path</w:t>
      </w:r>
      <w:r>
        <w:t xml:space="preserve"> </w:t>
      </w:r>
      <w:hyperlink w:anchor="ref-5">
        <w:r>
          <w:rPr>
            <w:rStyle w:val="Hyperlink"/>
          </w:rPr>
          <w:t xml:space="preserve">[5]</w:t>
        </w:r>
      </w:hyperlink>
      <w:r>
        <w:t xml:space="preserve"> </w:t>
      </w:r>
      <w:hyperlink w:anchor="ref-6">
        <w:r>
          <w:rPr>
            <w:rStyle w:val="Hyperlink"/>
          </w:rPr>
          <w:t xml:space="preserve">[6]</w:t>
        </w:r>
      </w:hyperlink>
      <w:r>
        <w:t xml:space="preserve">. Prediction 4 is the one most exposed to the corpus’s limitations, and the theory says so in advance. The local citation counts are sparse: many records carry no recorded citations, which is why the estimator works on citation-plus-one to keep the logarithm defined</w:t>
      </w:r>
      <w:r>
        <w:t xml:space="preserve"> </w:t>
      </w:r>
      <w:hyperlink w:anchor="ref-4">
        <w:r>
          <w:rPr>
            <w:rStyle w:val="Hyperlink"/>
          </w:rPr>
          <w:t xml:space="preserve">[4]</w:t>
        </w:r>
      </w:hyperlink>
      <w:r>
        <w:t xml:space="preserve">. Sparse counts flatten the curve. If the accumulation prediction fails, the theory’s honest reading is not that attention is unstructured in general but that this corpus, with these local counts, cannot resolve the curve. Chapter 6 confronts exactly this outcome.</w:t>
      </w:r>
    </w:p>
    <w:bookmarkEnd w:id="81"/>
    <w:bookmarkStart w:id="82" w:name="the-scope-conditions-of-the-mechanism"/>
    <w:p>
      <w:pPr>
        <w:pStyle w:val="Heading2"/>
        <w:spacing w:line="480" w:lineRule="auto"/>
      </w:pPr>
      <w:r>
        <w:t xml:space="preserve">3.7 The scope conditions of the mechanism</w:t>
      </w:r>
    </w:p>
    <w:p>
      <w:pPr>
        <w:pStyle w:val="FirstParagraph"/>
        <w:spacing w:line="480" w:lineRule="auto"/>
      </w:pPr>
      <w:r>
        <w:t xml:space="preserve">A mechanism is only as good as the conditions under which it is claimed to operate, and this one carries three scope conditions that the theory states rather than assumes away. Each condition, if violated, would change how the predictions should be read, so naming them in advance is part of making the theory honest. The first scope condition is that the corpus must be a reasonable sample of where the topic actually appears. The mechanism links salience to corpus structure only if the corpus is not systematically truncated toward one venue or one period</w:t>
      </w:r>
      <w:r>
        <w:t xml:space="preserve"> </w:t>
      </w:r>
      <w:hyperlink w:anchor="ref-1">
        <w:r>
          <w:rPr>
            <w:rStyle w:val="Hyperlink"/>
          </w:rPr>
          <w:t xml:space="preserve">[1]</w:t>
        </w:r>
      </w:hyperlink>
      <w:r>
        <w:t xml:space="preserve"> </w:t>
      </w:r>
      <w:hyperlink w:anchor="ref-3">
        <w:r>
          <w:rPr>
            <w:rStyle w:val="Hyperlink"/>
          </w:rPr>
          <w:t xml:space="preserve">[3]</w:t>
        </w:r>
      </w:hyperlink>
      <w:r>
        <w:t xml:space="preserve">. A pack drawn entirely from technical proceedings, for instance, would show venue structure by construction rather than by discovery. The design in Chapter 5 addresses this by spanning three venue families and several years, so the mechanism has a fair chance to reveal structure that is genuinely in the field rather than imposed by retrieval. The second scope condition is that the topic-signal measure must track the theme rather than the genre. If technical venues simply carry denser keyword metadata than policy venues for reasons unrelated to the hedging theme, a venue association would appear even in the absence of any real topic structure</w:t>
      </w:r>
      <w:r>
        <w:t xml:space="preserve"> </w:t>
      </w:r>
      <w:hyperlink w:anchor="ref-6">
        <w:r>
          <w:rPr>
            <w:rStyle w:val="Hyperlink"/>
          </w:rPr>
          <w:t xml:space="preserve">[6]</w:t>
        </w:r>
      </w:hyperlink>
      <w:r>
        <w:t xml:space="preserve">. The theory concedes that it cannot fully separate these on the present data, and it therefore commits to reading a venue effect as suggestive of topic anchoring rather than as proof of it. This concession, made before the estimation, is what keeps the venue prediction falsifiable rather than circular.</w:t>
      </w:r>
    </w:p>
    <w:p>
      <w:pPr>
        <w:pStyle w:val="BodyText"/>
        <w:spacing w:line="480" w:lineRule="auto"/>
        <w:ind w:firstLine="720"/>
      </w:pPr>
      <w:r>
        <w:t xml:space="preserve">The third scope condition is that the attention measure must contain attention to detect. The citation and accumulation predictions presuppose that local counts carry real variation in how much the field has engaged each record</w:t>
      </w:r>
      <w:r>
        <w:t xml:space="preserve"> </w:t>
      </w:r>
      <w:hyperlink w:anchor="ref-4">
        <w:r>
          <w:rPr>
            <w:rStyle w:val="Hyperlink"/>
          </w:rPr>
          <w:t xml:space="preserve">[4]</w:t>
        </w:r>
      </w:hyperlink>
      <w:r>
        <w:t xml:space="preserve">. Where counts are dominated by zeros, the mechanism’s attention limb is untestable, not disconfirmed, and the theory insists on that distinction ahead of time. This is the condition most at risk in the present corpus, and Chapter 6 confirms it is violated, leaving the attention predictions instrumentation-limited rather than substantively answered. Stating these conditions before the results is a small act of methodological hygiene with large consequences. It means that when a prediction fails, the theory already knows which failures indict the hedging account and which merely indict the instrument. A failure of the venue prediction would genuinely wound the maturation-anchoring story. A failure of the attention prediction, under a corpus of mostly-zero counts, would not, because the scope condition for that prediction was not met. Sorting failures this way is only credible if the sorting rule is fixed in advance, which is why it appears here rather than after the coefficients are seen</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82"/>
    <w:bookmarkStart w:id="83" w:name="rival-mechanisms"/>
    <w:p>
      <w:pPr>
        <w:pStyle w:val="Heading2"/>
        <w:spacing w:line="480" w:lineRule="auto"/>
      </w:pPr>
      <w:r>
        <w:t xml:space="preserve">3.8 Rival mechanisms</w:t>
      </w:r>
    </w:p>
    <w:p>
      <w:pPr>
        <w:pStyle w:val="FirstParagraph"/>
        <w:spacing w:line="480" w:lineRule="auto"/>
      </w:pPr>
      <w:r>
        <w:t xml:space="preserve">A responsible theory names the rivals it is competing against, because a prediction that only one mechanism could produce is far more informative than one that any story would yield. Three rival accounts could generate structure in the corpus, and the theory distinguishes itself from each. Consider first a pure funding-cycle account. On this view, corpus structure reflects nothing about the topic’s strategic salience and everything about which programs happened to be funded, producing bursts of publication and citation that track budgets rather than importance</w:t>
      </w:r>
      <w:r>
        <w:t xml:space="preserve"> </w:t>
      </w:r>
      <w:hyperlink w:anchor="ref-3">
        <w:r>
          <w:rPr>
            <w:rStyle w:val="Hyperlink"/>
          </w:rPr>
          <w:t xml:space="preserve">[3]</w:t>
        </w:r>
      </w:hyperlink>
      <w:r>
        <w:t xml:space="preserve">. The maturation mechanism differs in its prediction about venue: a funding cycle would not predict a systematic gradient of theme density across the venue ladder, whereas the maturation account does. A significant venue coefficient therefore discriminates between the two, favoring maturation over pure funding-cycle noise</w:t>
      </w:r>
      <w:r>
        <w:t xml:space="preserve"> </w:t>
      </w:r>
      <w:hyperlink w:anchor="ref-2">
        <w:r>
          <w:rPr>
            <w:rStyle w:val="Hyperlink"/>
          </w:rPr>
          <w:t xml:space="preserve">[2]</w:t>
        </w:r>
      </w:hyperlink>
      <w:r>
        <w:t xml:space="preserve">. A single-group account is the second rival, in which the apparent structure reflects the output of one prolific research collaboration rather than a field-wide shift</w:t>
      </w:r>
      <w:r>
        <w:t xml:space="preserve"> </w:t>
      </w:r>
      <w:hyperlink w:anchor="ref-1">
        <w:r>
          <w:rPr>
            <w:rStyle w:val="Hyperlink"/>
          </w:rPr>
          <w:t xml:space="preserve">[1]</w:t>
        </w:r>
      </w:hyperlink>
      <w:r>
        <w:t xml:space="preserve">. This rival predicts concentration, not gradient: the theme would cluster around one group’s preferred venue and citation network. The maturation mechanism predicts a smoother relationship across venue families and records, so a coefficient estimated across a heterogeneous pack, rather than driven by a single cluster, weighs against the single-group rival</w:t>
      </w:r>
      <w:r>
        <w:t xml:space="preserve"> </w:t>
      </w:r>
      <w:hyperlink w:anchor="ref-4">
        <w:r>
          <w:rPr>
            <w:rStyle w:val="Hyperlink"/>
          </w:rPr>
          <w:t xml:space="preserve">[4]</w:t>
        </w:r>
      </w:hyperlink>
      <w:r>
        <w:t xml:space="preserve">.</w:t>
      </w:r>
    </w:p>
    <w:p>
      <w:pPr>
        <w:pStyle w:val="BodyText"/>
        <w:spacing w:line="480" w:lineRule="auto"/>
        <w:ind w:firstLine="720"/>
      </w:pPr>
      <w:r>
        <w:t xml:space="preserve">The third rival is pure chance. On a small corpus, structure can appear by sampling variation alone</w:t>
      </w:r>
      <w:r>
        <w:t xml:space="preserve"> </w:t>
      </w:r>
      <w:hyperlink w:anchor="ref-6">
        <w:r>
          <w:rPr>
            <w:rStyle w:val="Hyperlink"/>
          </w:rPr>
          <w:t xml:space="preserve">[6]</w:t>
        </w:r>
      </w:hyperlink>
      <w:r>
        <w:t xml:space="preserve">. The theory guards against this rival through the joint significance test rather than any single coefficient: a joint F-test that clears a demanding threshold is unlikely under pure chance, whereas an individual coefficient might not be. This is why the theory commits to reading the joint test as the primary evidence for H1 and the individual coefficients as the decomposition, a commitment fixed here so that no post hoc reweighting can rescue a chance result</w:t>
      </w:r>
      <w:r>
        <w:t xml:space="preserve"> </w:t>
      </w:r>
      <w:hyperlink w:anchor="ref-5">
        <w:r>
          <w:rPr>
            <w:rStyle w:val="Hyperlink"/>
          </w:rPr>
          <w:t xml:space="preserve">[5]</w:t>
        </w:r>
      </w:hyperlink>
      <w:r>
        <w:t xml:space="preserve">. Naming these rivals sharpens what a confirmation would mean. If the venue coefficient is significant, the corpus is structured along a gradient that the funding-cycle and single-group rivals do not predict and that pure chance is unlikely to produce. That is the specific, contested claim the estimators in Chapter 6 adjudicate, and framing it against rivals is what elevates the test from description to inference</w:t>
      </w:r>
      <w:r>
        <w:t xml:space="preserve"> </w:t>
      </w:r>
      <w:hyperlink w:anchor="ref-9">
        <w:r>
          <w:rPr>
            <w:rStyle w:val="Hyperlink"/>
          </w:rPr>
          <w:t xml:space="preserve">[9]</w:t>
        </w:r>
      </w:hyperlink>
      <w:r>
        <w:t xml:space="preserve">.</w:t>
      </w:r>
    </w:p>
    <w:p>
      <w:pPr>
        <w:pStyle w:val="BodyText"/>
        <w:spacing w:line="480" w:lineRule="auto"/>
        <w:ind w:firstLine="720"/>
      </w:pPr>
      <w:r>
        <w:t xml:space="preserve">All four predictions now stand fixed. None can be revised after the fact.</w:t>
      </w:r>
    </w:p>
    <w:bookmarkEnd w:id="83"/>
    <w:bookmarkStart w:id="84" w:name="what-a-rejection-would-mean"/>
    <w:p>
      <w:pPr>
        <w:pStyle w:val="Heading2"/>
        <w:spacing w:line="480" w:lineRule="auto"/>
      </w:pPr>
      <w:r>
        <w:t xml:space="preserve">3.9 What a rejection would mean</w:t>
      </w:r>
    </w:p>
    <w:p>
      <w:pPr>
        <w:pStyle w:val="FirstParagraph"/>
        <w:spacing w:line="480" w:lineRule="auto"/>
      </w:pPr>
      <w:r>
        <w:t xml:space="preserve">The hypothesis pair from Chapter 1 governs the whole. H0 holds that the signal is unrelated to recency, attention, and venue. H1 holds that it is systematically related. The four predictions decompose H1 into checkable pieces, and the theory commits to reading them jointly rather than cherry-picking. The commitment is this. If most predictions fail, H0 stands and the honest conclusion is that the topic’s structure is not visible in this evidence. If the predictions split, some limbs confirmed and others null, the theory reports the split as a partial and bounded confirmation, naming precisely which structural features are visible and which are not</w:t>
      </w:r>
      <w:r>
        <w:t xml:space="preserve"> </w:t>
      </w:r>
      <w:hyperlink w:anchor="ref-7">
        <w:r>
          <w:rPr>
            <w:rStyle w:val="Hyperlink"/>
          </w:rPr>
          <w:t xml:space="preserve">[7]</w:t>
        </w:r>
      </w:hyperlink>
      <w:r>
        <w:t xml:space="preserve"> </w:t>
      </w:r>
      <w:hyperlink w:anchor="ref-8">
        <w:r>
          <w:rPr>
            <w:rStyle w:val="Hyperlink"/>
          </w:rPr>
          <w:t xml:space="preserve">[8]</w:t>
        </w:r>
      </w:hyperlink>
      <w:r>
        <w:t xml:space="preserve">. A theory that only ever finds confirmation is not testing anything. The design here is built so that a mixed result is not a failure of the study but a genuine finding about the reach of the method. There is a deeper reason to precommit. The revealed-preference logic that motivates the whole project depends on taking observed choices at face value, refusing to reinterpret them until they say what one hoped. A study that softened a null coefficient after seeing it would betray that logic at the level of its own conduct. Holding the predictions fixed, and reading the estimator output against them without adjustment, is the methodological analogue of the substantive claim: watch the choices, infer only what they support, and let the silences remain silent</w:t>
      </w:r>
      <w:r>
        <w:t xml:space="preserve"> </w:t>
      </w:r>
      <w:hyperlink w:anchor="ref-9">
        <w:r>
          <w:rPr>
            <w:rStyle w:val="Hyperlink"/>
          </w:rPr>
          <w:t xml:space="preserve">[9]</w:t>
        </w:r>
      </w:hyperlink>
      <w:r>
        <w:t xml:space="preserve"> </w:t>
      </w:r>
      <w:hyperlink w:anchor="ref-12">
        <w:r>
          <w:rPr>
            <w:rStyle w:val="Hyperlink"/>
          </w:rPr>
          <w:t xml:space="preserve">[12]</w:t>
        </w:r>
      </w:hyperlink>
      <w:r>
        <w:t xml:space="preserve">. The next chapter turns to why the two estimators can identify these predictions rather than merely correlate with them.</w:t>
      </w:r>
    </w:p>
    <w:bookmarkEnd w:id="84"/>
    <w:bookmarkEnd w:id="85"/>
    <w:bookmarkStart w:id="95" w:name="chapter-4-methodology-and-identification"/>
    <w:p>
      <w:pPr>
        <w:pStyle w:val="Heading1"/>
        <w:spacing w:line="480" w:lineRule="auto"/>
      </w:pPr>
      <w:r>
        <w:t xml:space="preserve">Chapter 4: Methodology and Identification</w:t>
      </w:r>
    </w:p>
    <w:p>
      <w:pPr>
        <w:pStyle w:val="FirstParagraph"/>
        <w:spacing w:line="480" w:lineRule="auto"/>
      </w:pPr>
      <w:r>
        <w:t xml:space="preserve">Identification is the discipline of showing that a number means what one claims it means. This chapter sets out the two estimators, explains the logic by which each isolates the structure it targets, and states the conditions under which the estimates identify a real corpus pattern rather than an artifact of measurement. The methods are ordinary. The care taken with their identification is not.</w:t>
      </w:r>
    </w:p>
    <w:bookmarkStart w:id="86" w:name="why-two-estimators"/>
    <w:p>
      <w:pPr>
        <w:pStyle w:val="Heading2"/>
        <w:spacing w:line="480" w:lineRule="auto"/>
      </w:pPr>
      <w:r>
        <w:t xml:space="preserve">4.1 Why two estimators</w:t>
      </w:r>
    </w:p>
    <w:p>
      <w:pPr>
        <w:pStyle w:val="FirstParagraph"/>
        <w:spacing w:line="480" w:lineRule="auto"/>
      </w:pPr>
      <w:r>
        <w:t xml:space="preserve">Two estimators serve two distinct kinds of claim the theory makes. The first concerns cross-sectional structure: how the topic-signal score varies across records with different recency, attention, and venue. The second concerns dynamics: how citation accumulates as records age. A single model cannot address both cleanly, because the cross-sectional model treats age indirectly through recency while the dynamic model makes age the sole regressor. Splitting the work keeps each estimator interpretable and lets each prediction from Chapter 3 map to a specific coefficient</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division of labor between the two estimators also mirrors the division in the theory.</w:t>
      </w:r>
    </w:p>
    <w:p>
      <w:pPr>
        <w:pStyle w:val="BodyText"/>
        <w:spacing w:line="480" w:lineRule="auto"/>
        <w:ind w:firstLine="720"/>
      </w:pPr>
      <w:r>
        <w:t xml:space="preserve">The cross-sectional model tests the three limbs of the salience mechanism at once, letting recency, attention, and venue compete for explanatory credit within a single specification</w:t>
      </w:r>
      <w:r>
        <w:t xml:space="preserve"> </w:t>
      </w:r>
      <w:hyperlink w:anchor="ref-1">
        <w:r>
          <w:rPr>
            <w:rStyle w:val="Hyperlink"/>
          </w:rPr>
          <w:t xml:space="preserve">[1]</w:t>
        </w:r>
      </w:hyperlink>
      <w:r>
        <w:t xml:space="preserve">. The dynamic model isolates the accumulation limb, asking whether attention grows with age along a curve, a question the cross-sectional model can only gesture at through its recency term</w:t>
      </w:r>
      <w:r>
        <w:t xml:space="preserve"> </w:t>
      </w:r>
      <w:hyperlink w:anchor="ref-4">
        <w:r>
          <w:rPr>
            <w:rStyle w:val="Hyperlink"/>
          </w:rPr>
          <w:t xml:space="preserve">[4]</w:t>
        </w:r>
      </w:hyperlink>
      <w:r>
        <w:t xml:space="preserve">. Keeping the two questions in two estimators prevents either from contaminating the other, and it lets each prediction from the theory map to a coefficient a reader can point to</w:t>
      </w:r>
      <w:r>
        <w:t xml:space="preserve"> </w:t>
      </w:r>
      <w:hyperlink w:anchor="ref-2">
        <w:r>
          <w:rPr>
            <w:rStyle w:val="Hyperlink"/>
          </w:rPr>
          <w:t xml:space="preserve">[2]</w:t>
        </w:r>
      </w:hyperlink>
      <w:r>
        <w:t xml:space="preserve">. Neither estimator is chosen for sophistication. Both are chosen because their assumptions are legible and their output can be recomputed. A more elaborate model, a hierarchical specification or a machine-learned predictor, would fit thirty records worse in the sense that matters here: it would be harder to audit and easier to overfit</w:t>
      </w:r>
      <w:r>
        <w:t xml:space="preserve"> </w:t>
      </w:r>
      <w:hyperlink w:anchor="ref-6">
        <w:r>
          <w:rPr>
            <w:rStyle w:val="Hyperlink"/>
          </w:rPr>
          <w:t xml:space="preserve">[6]</w:t>
        </w:r>
      </w:hyperlink>
      <w:r>
        <w:t xml:space="preserve">. The methodological wager is that on a small, honest dataset, a transparent estimator identifies more credibly than an opaque one.</w:t>
      </w:r>
    </w:p>
    <w:p>
      <w:pPr>
        <w:pStyle w:val="BodyText"/>
        <w:spacing w:line="480" w:lineRule="auto"/>
        <w:ind w:firstLine="720"/>
      </w:pPr>
      <w:r>
        <w:t xml:space="preserve">A word on what identification does not mean in this setting. Some readers hear the word and expect a causal-inference apparatus: instruments, discontinuities, differences in differences. None of that machinery appears here, and its absence is a choice rather than an oversight</w:t>
      </w:r>
      <w:r>
        <w:t xml:space="preserve"> </w:t>
      </w:r>
      <w:hyperlink w:anchor="ref-1">
        <w:r>
          <w:rPr>
            <w:rStyle w:val="Hyperlink"/>
          </w:rPr>
          <w:t xml:space="preserve">[1]</w:t>
        </w:r>
      </w:hyperlink>
      <w:r>
        <w:t xml:space="preserve">. The design targets descriptive structure, and for a descriptive target the identification question is not whether a treatment caused an outcome but whether the estimated associations are the ones the specification claims to isolate, free of confounding among the predictors and free of an inflated precision that heteroskedasticity would produce</w:t>
      </w:r>
      <w:r>
        <w:t xml:space="preserve"> </w:t>
      </w:r>
      <w:hyperlink w:anchor="ref-5">
        <w:r>
          <w:rPr>
            <w:rStyle w:val="Hyperlink"/>
          </w:rPr>
          <w:t xml:space="preserve">[5]</w:t>
        </w:r>
      </w:hyperlink>
      <w:r>
        <w:t xml:space="preserve">. The chapter’s identification arguments are addressed to those narrower questions, and they are the right questions for a corpus screen</w:t>
      </w:r>
      <w:r>
        <w:t xml:space="preserve"> </w:t>
      </w:r>
      <w:hyperlink w:anchor="ref-2">
        <w:r>
          <w:rPr>
            <w:rStyle w:val="Hyperlink"/>
          </w:rPr>
          <w:t xml:space="preserve">[2]</w:t>
        </w:r>
      </w:hyperlink>
      <w:r>
        <w:t xml:space="preserve">.</w:t>
      </w:r>
    </w:p>
    <w:bookmarkEnd w:id="86"/>
    <w:bookmarkStart w:id="87" w:name="the-cross-sectional-estimator"/>
    <w:p>
      <w:pPr>
        <w:pStyle w:val="Heading2"/>
        <w:spacing w:line="480" w:lineRule="auto"/>
      </w:pPr>
      <w:r>
        <w:t xml:space="preserve">4.2 The cross-sectional estimator</w:t>
      </w:r>
    </w:p>
    <w:p>
      <w:pPr>
        <w:pStyle w:val="FirstParagraph"/>
        <w:spacing w:line="480" w:lineRule="auto"/>
      </w:pPr>
      <w:r>
        <w:t xml:space="preserve">Ordinary least squares is the first estimator. It regresses the topic-signal score on three predictors: the recency index, the local citation count, and the ordinal venue score. The specification is</w:t>
      </w:r>
    </w:p>
    <w:p>
      <w:pPr>
        <w:pStyle w:val="BodyText"/>
        <w:spacing w:line="480" w:lineRule="auto"/>
        <w:ind w:firstLine="720"/>
      </w:pPr>
      <w:r>
        <w:t xml:space="preserve">SignalScore_i = alpha + beta1 RecencyIndex_i + beta2 Cites_i + beta3 VenueScore_i + epsilon_i.</w:t>
      </w:r>
    </w:p>
    <w:p>
      <w:pPr>
        <w:pStyle w:val="BodyText"/>
        <w:spacing w:line="480" w:lineRule="auto"/>
        <w:ind w:firstLine="720"/>
      </w:pPr>
      <w:r>
        <w:t xml:space="preserve">Each coefficient answers one of the predictions. Beta1 tests recency, beta2 tests citation attention, beta3 tests venue structure. The intercept absorbs the baseline signal level for a hypothetical record at the reference values of the predictors</w:t>
      </w:r>
      <w:r>
        <w:t xml:space="preserve"> </w:t>
      </w:r>
      <w:hyperlink w:anchor="ref-2">
        <w:r>
          <w:rPr>
            <w:rStyle w:val="Hyperlink"/>
          </w:rPr>
          <w:t xml:space="preserve">[2]</w:t>
        </w:r>
      </w:hyperlink>
      <w:r>
        <w:t xml:space="preserve">. Standard errors are computed with the HC1 heteroskedasticity-consistent correction. This choice is deliberate and it matters for identification. The topic-signal score is a bounded count, and count outcomes routinely exhibit variance that changes with the level of the predictors. Ordinary standard errors would misstate precision under that condition. HC1 errors remain valid when the error variance is not constant across records, which is the realistic assumption for a metadata-derived count</w:t>
      </w:r>
      <w:r>
        <w:t xml:space="preserve"> </w:t>
      </w:r>
      <w:hyperlink w:anchor="ref-5">
        <w:r>
          <w:rPr>
            <w:rStyle w:val="Hyperlink"/>
          </w:rPr>
          <w:t xml:space="preserve">[5]</w:t>
        </w:r>
      </w:hyperlink>
      <w:r>
        <w:t xml:space="preserve">. Using them means the p-values reported in Chapter 6 are not inflated by an unwarranted homoskedasticity assumption.</w:t>
      </w:r>
    </w:p>
    <w:bookmarkEnd w:id="87"/>
    <w:bookmarkStart w:id="88" w:name="what-the-ols-estimator-identifies"/>
    <w:p>
      <w:pPr>
        <w:pStyle w:val="Heading2"/>
        <w:spacing w:line="480" w:lineRule="auto"/>
      </w:pPr>
      <w:r>
        <w:t xml:space="preserve">4.3 What the OLS estimator identifies</w:t>
      </w:r>
    </w:p>
    <w:p>
      <w:pPr>
        <w:pStyle w:val="FirstParagraph"/>
        <w:spacing w:line="480" w:lineRule="auto"/>
      </w:pPr>
      <w:r>
        <w:t xml:space="preserve">OLS identifies the linear association between each predictor and the outcome, holding the other predictors fixed.</w:t>
      </w:r>
    </w:p>
    <w:p>
      <w:pPr>
        <w:pStyle w:val="BodyText"/>
        <w:spacing w:line="480" w:lineRule="auto"/>
        <w:ind w:firstLine="720"/>
      </w:pPr>
      <w:r>
        <w:t xml:space="preserve">The phrase holding the other predictors fixed is the whole of the identification argument, so it deserves scrutiny. Because recency, citation count, and venue score are entered jointly, beta1 measures the partial association of recency with signal at a given level of attention and venue, not the raw correlation. This partialling is what lets the estimator separate the three limbs of the mechanism rather than confounding them</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estimator does not identify a causal effect, and the design never claims it does.</w:t>
      </w:r>
    </w:p>
    <w:p>
      <w:pPr>
        <w:pStyle w:val="BodyText"/>
        <w:spacing w:line="480" w:lineRule="auto"/>
        <w:ind w:firstLine="720"/>
      </w:pPr>
      <w:r>
        <w:t xml:space="preserve">There is no intervention, no assignment mechanism, no counterfactual manipulation of a record’s recency or venue. What OLS identifies is descriptive structure: whether, within the retrieved corpus, the signal score is organized along the three features the theory names. That is exactly the claim H1 makes and no more. The restraint is principled. A corpus screen can establish that structure exists; it cannot establish why, and pretending otherwise would violate the revealed-preference discipline the whole project rests on</w:t>
      </w:r>
      <w:r>
        <w:t xml:space="preserve"> </w:t>
      </w:r>
      <w:hyperlink w:anchor="ref-9">
        <w:r>
          <w:rPr>
            <w:rStyle w:val="Hyperlink"/>
          </w:rPr>
          <w:t xml:space="preserve">[9]</w:t>
        </w:r>
      </w:hyperlink>
      <w:r>
        <w:t xml:space="preserve">. Three conditions bound the OLS identification. The predictors must not be perfectly collinear, or the partialling breaks down; with recency, citation count, and venue measuring distinct facets, this holds. The sample must be large enough to estimate four parameters with usable precision; thirty records against four parameters is thin but workable, and Chapter 7 treats the resulting fragility honestly. And the outcome must actually vary; a signal score with no dispersion would be unidentifiable, and the data in Chapter 5 confirm the score varies across records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One more feature of the OLS specification bears on identification. The model is estimated on the full sample of thirty records with no weighting, so every record contributes equally to the coefficients</w:t>
      </w:r>
      <w:r>
        <w:t xml:space="preserve"> </w:t>
      </w:r>
      <w:hyperlink w:anchor="ref-2">
        <w:r>
          <w:rPr>
            <w:rStyle w:val="Hyperlink"/>
          </w:rPr>
          <w:t xml:space="preserve">[2]</w:t>
        </w:r>
      </w:hyperlink>
      <w:r>
        <w:t xml:space="preserve">. This is the right choice when the goal is to describe the corpus as retrieved rather than to privilege any subset, and it keeps the estimator’s output a faithful summary of the pack. A weighting scheme would import a judgment about which records matter more, and such a judgment is exactly the kind of researcher discretion the design is built to avoid on a small sample</w:t>
      </w:r>
      <w:r>
        <w:t xml:space="preserve"> </w:t>
      </w:r>
      <w:hyperlink w:anchor="ref-6">
        <w:r>
          <w:rPr>
            <w:rStyle w:val="Hyperlink"/>
          </w:rPr>
          <w:t xml:space="preserve">[6]</w:t>
        </w:r>
      </w:hyperlink>
      <w:r>
        <w:t xml:space="preserve">. Equal weighting is the transparent default, and transparency is the currency this estimator trades in</w:t>
      </w:r>
      <w:r>
        <w:t xml:space="preserve"> </w:t>
      </w:r>
      <w:hyperlink w:anchor="ref-1">
        <w:r>
          <w:rPr>
            <w:rStyle w:val="Hyperlink"/>
          </w:rPr>
          <w:t xml:space="preserve">[1]</w:t>
        </w:r>
      </w:hyperlink>
      <w:r>
        <w:t xml:space="preserve">.</w:t>
      </w:r>
    </w:p>
    <w:bookmarkEnd w:id="88"/>
    <w:bookmarkStart w:id="89" w:name="the-dynamic-estimator"/>
    <w:p>
      <w:pPr>
        <w:pStyle w:val="Heading2"/>
        <w:spacing w:line="480" w:lineRule="auto"/>
      </w:pPr>
      <w:r>
        <w:t xml:space="preserve">4.4 The dynamic estimator</w:t>
      </w:r>
    </w:p>
    <w:p>
      <w:pPr>
        <w:pStyle w:val="FirstParagraph"/>
        <w:spacing w:line="480" w:lineRule="auto"/>
      </w:pPr>
      <w:r>
        <w:t xml:space="preserve">A log-log learning-curve model of citation accumulation against article age is the second estimator. The specification is</w:t>
      </w:r>
    </w:p>
    <w:p>
      <w:pPr>
        <w:pStyle w:val="BodyText"/>
        <w:spacing w:line="480" w:lineRule="auto"/>
        <w:ind w:firstLine="720"/>
      </w:pPr>
      <w:r>
        <w:t xml:space="preserve">ln(CitesPlus1_i) = alpha + beta1 ln(AgeIndex_i) + epsilon_i.</w:t>
      </w:r>
    </w:p>
    <w:p>
      <w:pPr>
        <w:pStyle w:val="BodyText"/>
        <w:spacing w:line="480" w:lineRule="auto"/>
        <w:ind w:firstLine="720"/>
      </w:pPr>
      <w:r>
        <w:t xml:space="preserve">The logarithm on both sides is what makes this a learning-curve model rather than a linear one.</w:t>
      </w:r>
    </w:p>
    <w:p>
      <w:pPr>
        <w:pStyle w:val="BodyText"/>
        <w:spacing w:line="480" w:lineRule="auto"/>
        <w:ind w:firstLine="720"/>
      </w:pPr>
      <w:r>
        <w:t xml:space="preserve">In log-log form, beta1 is an elasticity: the percentage change in citation-plus-one associated with a one-percent change in age</w:t>
      </w:r>
      <w:r>
        <w:t xml:space="preserve"> </w:t>
      </w:r>
      <w:hyperlink w:anchor="ref-4">
        <w:r>
          <w:rPr>
            <w:rStyle w:val="Hyperlink"/>
          </w:rPr>
          <w:t xml:space="preserve">[4]</w:t>
        </w:r>
      </w:hyperlink>
      <w:r>
        <w:t xml:space="preserve">. An elasticity is scale-free, which is the right property when comparing accumulation across records of very different ages. The model also yields a progress ratio, two raised to the elasticity, which expresses how citation-plus-one changes when age doubles, a standard summary in learning-curve analysis. The plus-one transformation on citations is not cosmetic. Many records in the corpus carry zero local citations, and the logarithm of zero is undefined. Adding one keeps every record in the estimation and gives uncited records a defined, minimal value</w:t>
      </w:r>
      <w:r>
        <w:t xml:space="preserve"> </w:t>
      </w:r>
      <w:hyperlink w:anchor="ref-4">
        <w:r>
          <w:rPr>
            <w:rStyle w:val="Hyperlink"/>
          </w:rPr>
          <w:t xml:space="preserve">[4]</w:t>
        </w:r>
      </w:hyperlink>
      <w:r>
        <w:t xml:space="preserve">. The cost is that the transformation compresses the low end of the citation distribution, which flattens any curve when counts are sparse. This cost is anticipated and Chapter 7 returns to it.</w:t>
      </w:r>
    </w:p>
    <w:bookmarkEnd w:id="89"/>
    <w:bookmarkStart w:id="90" w:name="Xbcc39b2f46504d4e94a146e7532537a69b6b767"/>
    <w:p>
      <w:pPr>
        <w:pStyle w:val="Heading2"/>
        <w:spacing w:line="480" w:lineRule="auto"/>
      </w:pPr>
      <w:r>
        <w:t xml:space="preserve">4.5 What the learning-curve estimator identifies</w:t>
      </w:r>
    </w:p>
    <w:p>
      <w:pPr>
        <w:pStyle w:val="FirstParagraph"/>
        <w:spacing w:line="480" w:lineRule="auto"/>
      </w:pPr>
      <w:r>
        <w:t xml:space="preserve">The dynamic estimator identifies the elasticity of citation accumulation with respect to age, under the assumption that accumulation follows an approximately power-law path. If that assumption holds, beta1 is the curve’s slope in log space and the model’s explained variance measures how tightly the records follow the curve</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identification here is weaker than in the cross-sectional case, and saying so is part of the method rather than an apology for it. With sparse, mostly zero citation counts, the outcome after the plus-one transformation has little dispersion, and an estimator cannot resolve a slope from an outcome that barely moves. The learning-curve model therefore identifies the accumulation elasticity only to the extent the local counts contain accumulation to detect. When they do not, the honest output is a low explained variance and an imprecise elasticity, and that output is itself a finding: it tells the reader that this corpus, with these counts, cannot see the curve</w:t>
      </w:r>
      <w:r>
        <w:t xml:space="preserve"> </w:t>
      </w:r>
      <w:hyperlink w:anchor="ref-6">
        <w:r>
          <w:rPr>
            <w:rStyle w:val="Hyperlink"/>
          </w:rPr>
          <w:t xml:space="preserve">[6]</w:t>
        </w:r>
      </w:hyperlink>
      <w:r>
        <w:t xml:space="preserve">.</w:t>
      </w:r>
    </w:p>
    <w:bookmarkEnd w:id="90"/>
    <w:bookmarkStart w:id="91" w:name="the-robust-standard-errors-in-detail"/>
    <w:p>
      <w:pPr>
        <w:pStyle w:val="Heading2"/>
        <w:spacing w:line="480" w:lineRule="auto"/>
      </w:pPr>
      <w:r>
        <w:t xml:space="preserve">4.6 The robust standard errors in detail</w:t>
      </w:r>
    </w:p>
    <w:p>
      <w:pPr>
        <w:pStyle w:val="FirstParagraph"/>
        <w:spacing w:line="480" w:lineRule="auto"/>
      </w:pPr>
      <w:r>
        <w:t xml:space="preserve">HC1 heteroskedasticity-consistent standard errors run through both estimators, and it warrants more than a passing mention, because the credibility of every p-value in Chapter 6 depends on it. Ordinary least squares produces unbiased coefficients under weak assumptions, but its default standard errors assume that the error variance is constant across observations. When that assumption fails, the coefficients remain unbiased while their reported precision becomes wrong, sometimes badly so</w:t>
      </w:r>
      <w:r>
        <w:t xml:space="preserve"> </w:t>
      </w:r>
      <w:hyperlink w:anchor="ref-5">
        <w:r>
          <w:rPr>
            <w:rStyle w:val="Hyperlink"/>
          </w:rPr>
          <w:t xml:space="preserve">[5]</w:t>
        </w:r>
      </w:hyperlink>
      <w:r>
        <w:t xml:space="preserve">. There is a specific reason to expect the assumption to fail here. The topic-signal outcome is a bounded count, and bounded counts characteristically have variance that depends on their mean: records near the floor of the count vary differently from records in its middle range</w:t>
      </w:r>
      <w:r>
        <w:t xml:space="preserve"> </w:t>
      </w:r>
      <w:hyperlink w:anchor="ref-2">
        <w:r>
          <w:rPr>
            <w:rStyle w:val="Hyperlink"/>
          </w:rPr>
          <w:t xml:space="preserve">[2]</w:t>
        </w:r>
      </w:hyperlink>
      <w:r>
        <w:t xml:space="preserve">. Under such conditions ordinary standard errors can understate uncertainty, manufacturing significance that a corrected estimator would deny. HC1 errors remedy this by estimating the variance from the observed residuals rather than assuming it constant, with a finite-sample adjustment that matters precisely when the sample is small, as it is here at thirty records</w:t>
      </w:r>
      <w:r>
        <w:t xml:space="preserve"> </w:t>
      </w:r>
      <w:hyperlink w:anchor="ref-1">
        <w:r>
          <w:rPr>
            <w:rStyle w:val="Hyperlink"/>
          </w:rPr>
          <w:t xml:space="preserve">[1]</w:t>
        </w:r>
      </w:hyperlink>
      <w:r>
        <w:t xml:space="preserve">.</w:t>
      </w:r>
    </w:p>
    <w:p>
      <w:pPr>
        <w:pStyle w:val="BodyText"/>
        <w:spacing w:line="480" w:lineRule="auto"/>
        <w:ind w:firstLine="720"/>
      </w:pPr>
      <w:r>
        <w:t xml:space="preserve">The consequence for interpretation is conservative, which is the direction a careful design should prefer. Robust errors are typically wider than naive ones when heteroskedasticity is present, so a coefficient that clears significance under HC1 has cleared a higher bar than it would under the default</w:t>
      </w:r>
      <w:r>
        <w:t xml:space="preserve"> </w:t>
      </w:r>
      <w:hyperlink w:anchor="ref-3">
        <w:r>
          <w:rPr>
            <w:rStyle w:val="Hyperlink"/>
          </w:rPr>
          <w:t xml:space="preserve">[3]</w:t>
        </w:r>
      </w:hyperlink>
      <w:r>
        <w:t xml:space="preserve">. When Chapter 6 reports the venue coefficient as significant at a p-value of 0.0055, that figure already carries the correction, meaning the venue finding is not an artifact of an optimistic variance assumption. Conversely, when the recency and citation terms fail to clear significance, the failure is not because robust errors were unusually punishing; it is because the underlying estimates are genuinely imprecise</w:t>
      </w:r>
      <w:r>
        <w:t xml:space="preserve"> </w:t>
      </w:r>
      <w:hyperlink w:anchor="ref-4">
        <w:r>
          <w:rPr>
            <w:rStyle w:val="Hyperlink"/>
          </w:rPr>
          <w:t xml:space="preserve">[4]</w:t>
        </w:r>
      </w:hyperlink>
      <w:r>
        <w:t xml:space="preserve">.</w:t>
      </w:r>
    </w:p>
    <w:bookmarkEnd w:id="91"/>
    <w:bookmarkStart w:id="92" w:name="the-progress-ratio-and-its-reading"/>
    <w:p>
      <w:pPr>
        <w:pStyle w:val="Heading2"/>
        <w:spacing w:line="480" w:lineRule="auto"/>
      </w:pPr>
      <w:r>
        <w:t xml:space="preserve">4.7 The progress ratio and its reading</w:t>
      </w:r>
    </w:p>
    <w:p>
      <w:pPr>
        <w:pStyle w:val="FirstParagraph"/>
        <w:spacing w:line="480" w:lineRule="auto"/>
      </w:pPr>
      <w:r>
        <w:t xml:space="preserve">The learning-curve estimator yields a summary quantity that deserves a dedicated explanation, because it is the quantity most likely to be misread by a reader unfamiliar with the tradition. That quantity is the progress ratio, defined as two raised to the elasticity</w:t>
      </w:r>
      <w:r>
        <w:t xml:space="preserve"> </w:t>
      </w:r>
      <w:hyperlink w:anchor="ref-4">
        <w:r>
          <w:rPr>
            <w:rStyle w:val="Hyperlink"/>
          </w:rPr>
          <w:t xml:space="preserve">[4]</w:t>
        </w:r>
      </w:hyperlink>
      <w:r>
        <w:t xml:space="preserve">. It answers a specific question: when a record’s age doubles, by what factor does its citation-plus-one change? A progress ratio of one would mean no change with doubling; a ratio above one means citation-plus-one rises as records age, which is the expected direction if attention accumulates over time. The progress ratio is the standard summary in learning-curve analysis because it translates an abstract elasticity into an interpretable multiplier</w:t>
      </w:r>
      <w:r>
        <w:t xml:space="preserve"> </w:t>
      </w:r>
      <w:hyperlink w:anchor="ref-5">
        <w:r>
          <w:rPr>
            <w:rStyle w:val="Hyperlink"/>
          </w:rPr>
          <w:t xml:space="preserve">[5]</w:t>
        </w:r>
      </w:hyperlink>
      <w:r>
        <w:t xml:space="preserve">. An elasticity is a percentage-per-percentage figure that resists intuition; a progress ratio is a concrete factor that a reader can hold. Reporting both, as Chapter 6 does, gives the technical reader the elasticity and the general reader the multiplier, without either having to trust a translation performed off the page.</w:t>
      </w:r>
    </w:p>
    <w:p>
      <w:pPr>
        <w:pStyle w:val="BodyText"/>
        <w:spacing w:line="480" w:lineRule="auto"/>
        <w:ind w:firstLine="720"/>
      </w:pPr>
      <w:r>
        <w:t xml:space="preserve">The reason to foreground this now, before the results, is that the progress ratio can mislead when the underlying model is weak. A progress ratio above one looks like accumulation regardless of whether the model that produced it explains any variance</w:t>
      </w:r>
      <w:r>
        <w:t xml:space="preserve"> </w:t>
      </w:r>
      <w:hyperlink w:anchor="ref-4">
        <w:r>
          <w:rPr>
            <w:rStyle w:val="Hyperlink"/>
          </w:rPr>
          <w:t xml:space="preserve">[4]</w:t>
        </w:r>
      </w:hyperlink>
      <w:r>
        <w:t xml:space="preserve">. The design therefore commits to reading the progress ratio only alongside the model’s explained variance and the elasticity’s significance. A progress ratio is meaningful only if the curve it summarizes is real, and Chapter 6 honors this by refusing to interpret the ratio once the model’s explained variance turns out to be negligible. Fixing this reading rule in advance prevents the ratio from being paraded as evidence of accumulation when the data cannot support the claim</w:t>
      </w:r>
      <w:r>
        <w:t xml:space="preserve"> </w:t>
      </w:r>
      <w:hyperlink w:anchor="ref-6">
        <w:r>
          <w:rPr>
            <w:rStyle w:val="Hyperlink"/>
          </w:rPr>
          <w:t xml:space="preserve">[6]</w:t>
        </w:r>
      </w:hyperlink>
      <w:r>
        <w:t xml:space="preserve">.</w:t>
      </w:r>
    </w:p>
    <w:bookmarkEnd w:id="92"/>
    <w:bookmarkStart w:id="93" w:name="X814766c7d101a2839a9f71529b456fc34cb8fb2"/>
    <w:p>
      <w:pPr>
        <w:pStyle w:val="Heading2"/>
        <w:spacing w:line="480" w:lineRule="auto"/>
      </w:pPr>
      <w:r>
        <w:t xml:space="preserve">4.8 Diagnostics and what they would and would not fix</w:t>
      </w:r>
    </w:p>
    <w:p>
      <w:pPr>
        <w:pStyle w:val="FirstParagraph"/>
        <w:spacing w:line="480" w:lineRule="auto"/>
      </w:pPr>
      <w:r>
        <w:t xml:space="preserve">A skeptic will ask about the usual battery of regression diagnostics: influential observations, functional-form checks, collinearity indices. The design’s posture toward these is deliberate and worth making explicit, because a small dataset changes what diagnostics can accomplish. With thirty records, any single observation carries appreciable leverage, and a formal influence diagnostic would flag several records as consequential simply because the sample is small</w:t>
      </w:r>
      <w:r>
        <w:t xml:space="preserve"> </w:t>
      </w:r>
      <w:hyperlink w:anchor="ref-6">
        <w:r>
          <w:rPr>
            <w:rStyle w:val="Hyperlink"/>
          </w:rPr>
          <w:t xml:space="preserve">[6]</w:t>
        </w:r>
      </w:hyperlink>
      <w:r>
        <w:t xml:space="preserve">. The honest response is not to trim flagged records, which would introduce exactly the researcher degree of freedom the design is built to avoid, but to report the full-sample estimate and treat the small-sample fragility as a limitation rather than a defect to be edited away</w:t>
      </w:r>
      <w:r>
        <w:t xml:space="preserve"> </w:t>
      </w:r>
      <w:hyperlink w:anchor="ref-5">
        <w:r>
          <w:rPr>
            <w:rStyle w:val="Hyperlink"/>
          </w:rPr>
          <w:t xml:space="preserve">[5]</w:t>
        </w:r>
      </w:hyperlink>
      <w:r>
        <w:t xml:space="preserve">. Chapter 7 does precisely this, naming sample size as a first-order threat rather than concealing it behind a cleaned dataset. Functional form is a second diagnostic concern. The cross-sectional model is linear in its predictors, and the true relationship could be nonlinear</w:t>
      </w:r>
      <w:r>
        <w:t xml:space="preserve"> </w:t>
      </w:r>
      <w:hyperlink w:anchor="ref-2">
        <w:r>
          <w:rPr>
            <w:rStyle w:val="Hyperlink"/>
          </w:rPr>
          <w:t xml:space="preserve">[2]</w:t>
        </w:r>
      </w:hyperlink>
      <w:r>
        <w:t xml:space="preserve">. The design accepts linearity as an approximation justified by the coarseness of the outcome: a signal score taking only a few values cannot support the estimation of curvature, so a linear specification is the most that thirty coarse observations can identify</w:t>
      </w:r>
      <w:r>
        <w:t xml:space="preserve"> </w:t>
      </w:r>
      <w:hyperlink w:anchor="ref-4">
        <w:r>
          <w:rPr>
            <w:rStyle w:val="Hyperlink"/>
          </w:rPr>
          <w:t xml:space="preserve">[4]</w:t>
        </w:r>
      </w:hyperlink>
      <w:r>
        <w:t xml:space="preserve">. The learning-curve model addresses one specific nonlinearity, the power-law accumulation of citation with age, by working in logarithms, which is the standard remedy and the reason that model is specified in log-log form</w:t>
      </w:r>
      <w:r>
        <w:t xml:space="preserve"> </w:t>
      </w:r>
      <w:hyperlink w:anchor="ref-4">
        <w:r>
          <w:rPr>
            <w:rStyle w:val="Hyperlink"/>
          </w:rPr>
          <w:t xml:space="preserve">[4]</w:t>
        </w:r>
      </w:hyperlink>
      <w:r>
        <w:t xml:space="preserve">.</w:t>
      </w:r>
    </w:p>
    <w:p>
      <w:pPr>
        <w:pStyle w:val="BodyText"/>
        <w:spacing w:line="480" w:lineRule="auto"/>
        <w:ind w:firstLine="720"/>
      </w:pPr>
      <w:r>
        <w:t xml:space="preserve">Collinearity is the third concern, and here the design can offer reassurance rather than concession. Recency, citation count, and venue score measure distinct facets of a record, and there is no structural reason for them to move together tightly</w:t>
      </w:r>
      <w:r>
        <w:t xml:space="preserve"> </w:t>
      </w:r>
      <w:hyperlink w:anchor="ref-1">
        <w:r>
          <w:rPr>
            <w:rStyle w:val="Hyperlink"/>
          </w:rPr>
          <w:t xml:space="preserve">[1]</w:t>
        </w:r>
      </w:hyperlink>
      <w:r>
        <w:t xml:space="preserve"> </w:t>
      </w:r>
      <w:hyperlink w:anchor="ref-3">
        <w:r>
          <w:rPr>
            <w:rStyle w:val="Hyperlink"/>
          </w:rPr>
          <w:t xml:space="preserve">[3]</w:t>
        </w:r>
      </w:hyperlink>
      <w:r>
        <w:t xml:space="preserve">. Recency is a function of year, citation count is a function of accumulated attention, and venue score is a function of publication outlet; a recent record can be uncited and appear in any venue. Because the predictors are not near-collinear, the partialling that identifies each coefficient holds, and the individual estimates can be read as the partial associations the theory intends</w:t>
      </w:r>
      <w:r>
        <w:t xml:space="preserve"> </w:t>
      </w:r>
      <w:hyperlink w:anchor="ref-2">
        <w:r>
          <w:rPr>
            <w:rStyle w:val="Hyperlink"/>
          </w:rPr>
          <w:t xml:space="preserve">[2]</w:t>
        </w:r>
      </w:hyperlink>
      <w:r>
        <w:t xml:space="preserve">. The general principle across all three diagnostics is that a small, coarse dataset limits what any correction can buy. Diagnostics cannot manufacture precision the data lack, and the design refuses to let them create an illusion of robustness</w:t>
      </w:r>
      <w:r>
        <w:t xml:space="preserve"> </w:t>
      </w:r>
      <w:hyperlink w:anchor="ref-6">
        <w:r>
          <w:rPr>
            <w:rStyle w:val="Hyperlink"/>
          </w:rPr>
          <w:t xml:space="preserve">[6]</w:t>
        </w:r>
      </w:hyperlink>
      <w:r>
        <w:t xml:space="preserve">. What diagnostics can do here is confirm that the estimates are not driven by collinearity or by an obviously wrong functional form, and that confirmation is worth having even when the deeper limitation of sample size remains.</w:t>
      </w:r>
    </w:p>
    <w:p>
      <w:pPr>
        <w:pStyle w:val="BodyText"/>
        <w:spacing w:line="480" w:lineRule="auto"/>
        <w:ind w:firstLine="720"/>
      </w:pPr>
      <w:r>
        <w:t xml:space="preserve">The estimators are plain. That plainness is the argument.</w:t>
      </w:r>
    </w:p>
    <w:bookmarkEnd w:id="93"/>
    <w:bookmarkStart w:id="94" w:name="why-these-methods-suit-the-question"/>
    <w:p>
      <w:pPr>
        <w:pStyle w:val="Heading2"/>
        <w:spacing w:line="480" w:lineRule="auto"/>
      </w:pPr>
      <w:r>
        <w:t xml:space="preserve">4.9 Why these methods suit the question</w:t>
      </w:r>
    </w:p>
    <w:p>
      <w:pPr>
        <w:pStyle w:val="FirstParagraph"/>
        <w:spacing w:line="480" w:lineRule="auto"/>
      </w:pPr>
      <w:r>
        <w:t xml:space="preserve">A skeptic might ask why one should trust two simple estimators on thirty records to say anything about a question as large as middle-power alignment. The answer is that they are not asked to. They are asked a bounded question, whether the topic’s expression is structured in the corpus, and they are matched to that question precisely because they identify description without overreaching into causation</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suitability also lies in auditability. Both estimators produce coefficients, standard errors, and fit statistics that a reader can recompute from the released data using standard software. There is no tuning, no held-out validation set, no researcher degree of freedom hidden in a hyperparameter</w:t>
      </w:r>
      <w:r>
        <w:t xml:space="preserve"> </w:t>
      </w:r>
      <w:hyperlink w:anchor="ref-5">
        <w:r>
          <w:rPr>
            <w:rStyle w:val="Hyperlink"/>
          </w:rPr>
          <w:t xml:space="preserve">[5]</w:t>
        </w:r>
      </w:hyperlink>
      <w:r>
        <w:t xml:space="preserve">. The specification is fixed in advance by the theory in Chapter 3, the predictors are defined by construction rules in Chapter 5, and the estimation is a single pass. This closes the loop the dissertation promised in Chapter 1: an unbroken, inspectable path from source record to variable to estimator to number.</w:t>
      </w:r>
    </w:p>
    <w:p>
      <w:pPr>
        <w:pStyle w:val="BodyText"/>
        <w:spacing w:line="480" w:lineRule="auto"/>
        <w:ind w:firstLine="720"/>
      </w:pPr>
      <w:r>
        <w:t xml:space="preserve">The last methodological commitment is that the estimators run once, on the full sample, with the specification the theory dictates, and the output is reported whole. There is no search over specifications for the one that confirms the most predictions</w:t>
      </w:r>
      <w:r>
        <w:t xml:space="preserve"> </w:t>
      </w:r>
      <w:hyperlink w:anchor="ref-6">
        <w:r>
          <w:rPr>
            <w:rStyle w:val="Hyperlink"/>
          </w:rPr>
          <w:t xml:space="preserve">[6]</w:t>
        </w:r>
      </w:hyperlink>
      <w:r>
        <w:t xml:space="preserve"> </w:t>
      </w:r>
      <w:hyperlink w:anchor="ref-7">
        <w:r>
          <w:rPr>
            <w:rStyle w:val="Hyperlink"/>
          </w:rPr>
          <w:t xml:space="preserve">[7]</w:t>
        </w:r>
      </w:hyperlink>
      <w:r>
        <w:t xml:space="preserve">. This matters because a small dataset is exactly where specification search does the most damage, manufacturing significance that vanishes on replication. Fixing the estimator before seeing the result is the price of a credible corpus screen, and it is the price this design pays. Chapter 5 now documents the data on which these estimators run.</w:t>
      </w:r>
    </w:p>
    <w:bookmarkEnd w:id="94"/>
    <w:bookmarkEnd w:id="95"/>
    <w:bookmarkStart w:id="106" w:name="chapter-5-data-and-measurement"/>
    <w:p>
      <w:pPr>
        <w:pStyle w:val="Heading1"/>
        <w:spacing w:line="480" w:lineRule="auto"/>
      </w:pPr>
      <w:r>
        <w:t xml:space="preserve">Chapter 5: Data and Measurement</w:t>
      </w:r>
    </w:p>
    <w:p>
      <w:pPr>
        <w:pStyle w:val="FirstParagraph"/>
        <w:spacing w:line="480" w:lineRule="auto"/>
      </w:pPr>
      <w:r>
        <w:t xml:space="preserve">The credibility of a corpus screen rests entirely on how its data are built. A reader who cannot see how a record became a variable has no reason to trust the coefficient that variable produced. This chapter documents the dataset in full: where the records come from, how many there are, and the exact construction rule for every variable the estimators use. The standard is reproducibility. Someone with the record pack should be able to regenerate every number in Chapter 6.</w:t>
      </w:r>
    </w:p>
    <w:bookmarkStart w:id="96" w:name="the-record-pack"/>
    <w:p>
      <w:pPr>
        <w:pStyle w:val="Heading2"/>
        <w:spacing w:line="480" w:lineRule="auto"/>
      </w:pPr>
      <w:r>
        <w:t xml:space="preserve">5.1 The record pack</w:t>
      </w:r>
    </w:p>
    <w:p>
      <w:pPr>
        <w:pStyle w:val="FirstParagraph"/>
        <w:spacing w:line="480" w:lineRule="auto"/>
      </w:pPr>
      <w:r>
        <w:t xml:space="preserve">The empirical foundation is a candidate-specific record pack drawn from the cislunar technical, governance, and policy literature.</w:t>
      </w:r>
    </w:p>
    <w:p>
      <w:pPr>
        <w:pStyle w:val="BodyText"/>
        <w:spacing w:line="480" w:lineRule="auto"/>
        <w:ind w:firstLine="720"/>
      </w:pPr>
      <w:r>
        <w:t xml:space="preserve">The pack contains thirty retrieved records. Each record preserves its provenance in a source column: a digital object identifier where one exists, or a stable venue URL where the record is a conference proceeding without a registered identifier</w:t>
      </w:r>
      <w:r>
        <w:t xml:space="preserve"> </w:t>
      </w:r>
      <w:hyperlink w:anchor="ref-1">
        <w:r>
          <w:rPr>
            <w:rStyle w:val="Hyperlink"/>
          </w:rPr>
          <w:t xml:space="preserve">[1]</w:t>
        </w:r>
      </w:hyperlink>
      <w:r>
        <w:t xml:space="preserve"> </w:t>
      </w:r>
      <w:hyperlink w:anchor="ref-3">
        <w:r>
          <w:rPr>
            <w:rStyle w:val="Hyperlink"/>
          </w:rPr>
          <w:t xml:space="preserve">[3]</w:t>
        </w:r>
      </w:hyperlink>
      <w:r>
        <w:t xml:space="preserve">. This provenance is not decoration. It is what makes the dataset auditable, because any claim about a record can be checked against the record itself. The records span several years and three venue families. The technical core comes from cislunar dynamics and sensing work: orbit classification, resonant structure, radar surveys, initial orbit determination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The governance and economics records come from the space-policy literature: hegemony and network power, traffic-management frameworks, resource-market evaluation, institutional analogies</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pack was assembled to represent the candidate topic across the venues where it actually appears, rather than to maximize any single feature, so the estimators see the topic as the field distributes it.</w:t>
      </w:r>
    </w:p>
    <w:p>
      <w:pPr>
        <w:pStyle w:val="BodyText"/>
        <w:spacing w:line="480" w:lineRule="auto"/>
        <w:ind w:firstLine="720"/>
      </w:pPr>
      <w:r>
        <w:t xml:space="preserve">Two facts about the pack shape everything downstream. It is small, thirty records, which bounds the precision any estimator can achieve. And it is heterogeneous, mixing engineering proceedings with policy journals, which is a strength for representativeness and a challenge for measurement, because a single scoring rule must apply across genres that express a theme differently</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pack’s composition also reflects a deliberate refusal to curate for a result.</w:t>
      </w:r>
    </w:p>
    <w:p>
      <w:pPr>
        <w:pStyle w:val="BodyText"/>
        <w:spacing w:line="480" w:lineRule="auto"/>
        <w:ind w:firstLine="720"/>
      </w:pPr>
      <w:r>
        <w:t xml:space="preserve">Records were retained by topic match across the venue families where the theme appears, not selected for high signal or high citation</w:t>
      </w:r>
      <w:r>
        <w:t xml:space="preserve"> </w:t>
      </w:r>
      <w:hyperlink w:anchor="ref-1">
        <w:r>
          <w:rPr>
            <w:rStyle w:val="Hyperlink"/>
          </w:rPr>
          <w:t xml:space="preserve">[1]</w:t>
        </w:r>
      </w:hyperlink>
      <w:r>
        <w:t xml:space="preserve"> </w:t>
      </w:r>
      <w:hyperlink w:anchor="ref-3">
        <w:r>
          <w:rPr>
            <w:rStyle w:val="Hyperlink"/>
          </w:rPr>
          <w:t xml:space="preserve">[3]</w:t>
        </w:r>
      </w:hyperlink>
      <w:r>
        <w:t xml:space="preserve">. A pack assembled to maximize any feature would guarantee that feature’s apparent importance, which is the opposite of a test. By retaining records regardless of how strongly they express the theme, the design lets the weak fits dilute the signal, which biases the estimators toward finding nothing and makes any structure that survives more credible</w:t>
      </w:r>
      <w:r>
        <w:t xml:space="preserve"> </w:t>
      </w:r>
      <w:hyperlink w:anchor="ref-6">
        <w:r>
          <w:rPr>
            <w:rStyle w:val="Hyperlink"/>
          </w:rPr>
          <w:t xml:space="preserve">[6]</w:t>
        </w:r>
      </w:hyperlink>
      <w:r>
        <w:t xml:space="preserve">.</w:t>
      </w:r>
    </w:p>
    <w:bookmarkEnd w:id="96"/>
    <w:bookmarkStart w:id="97" w:name="the-unit-of-observation"/>
    <w:p>
      <w:pPr>
        <w:pStyle w:val="Heading2"/>
        <w:spacing w:line="480" w:lineRule="auto"/>
      </w:pPr>
      <w:r>
        <w:t xml:space="preserve">5.2 The unit of observation</w:t>
      </w:r>
    </w:p>
    <w:p>
      <w:pPr>
        <w:pStyle w:val="FirstParagraph"/>
        <w:spacing w:line="480" w:lineRule="auto"/>
      </w:pPr>
      <w:r>
        <w:t xml:space="preserve">The unit is the retrieved source record. Each record is one row in each of the two estimation files. The row for the cross-sectional model carries the record’s document identifier, publication year, recency index, local citation count, venue score, several intermediate metadata counts, the topic-signal score, and the source pointer. The row for the dynamic model carries the identifier, year, age index, citation count, citation-plus-one, signal score, and source pointer. Both files hold thirty rows plus a header, so N equals thirty in each estimation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Keeping the unit at the record level, rather than aggregating to years or venues, preserves the variation the estimators need.</w:t>
      </w:r>
    </w:p>
    <w:p>
      <w:pPr>
        <w:pStyle w:val="BodyText"/>
        <w:spacing w:line="480" w:lineRule="auto"/>
        <w:ind w:firstLine="720"/>
      </w:pPr>
      <w:r>
        <w:t xml:space="preserve">Aggregation would smooth away exactly the record-to-record structure the theory predicts. It would also destroy the source traceability that justifies the whole design. The cost of staying disaggregated is a small sample, and the dissertation accepts that cost in exchange for an auditable one-to-one link between every row and a real document</w:t>
      </w:r>
      <w:r>
        <w:t xml:space="preserve"> </w:t>
      </w:r>
      <w:hyperlink w:anchor="ref-3">
        <w:r>
          <w:rPr>
            <w:rStyle w:val="Hyperlink"/>
          </w:rPr>
          <w:t xml:space="preserve">[3]</w:t>
        </w:r>
      </w:hyperlink>
      <w:r>
        <w:t xml:space="preserve">.</w:t>
      </w:r>
    </w:p>
    <w:bookmarkEnd w:id="97"/>
    <w:bookmarkStart w:id="98" w:name="constructing-the-outcome"/>
    <w:p>
      <w:pPr>
        <w:pStyle w:val="Heading2"/>
        <w:spacing w:line="480" w:lineRule="auto"/>
      </w:pPr>
      <w:r>
        <w:t xml:space="preserve">5.3 Constructing the outcome</w:t>
      </w:r>
    </w:p>
    <w:p>
      <w:pPr>
        <w:pStyle w:val="FirstParagraph"/>
        <w:spacing w:line="480" w:lineRule="auto"/>
      </w:pPr>
      <w:r>
        <w:t xml:space="preserve">The outcome variable is the topic-signal score. Its construction rule is deterministic and stated precisely: it is a count of candidate-theme term hits across four metadata fields of each record, the title, the snippet, the keyword field, and the author metadata</w:t>
      </w:r>
      <w:r>
        <w:t xml:space="preserve"> </w:t>
      </w:r>
      <w:hyperlink w:anchor="ref-1">
        <w:r>
          <w:rPr>
            <w:rStyle w:val="Hyperlink"/>
          </w:rPr>
          <w:t xml:space="preserve">[1]</w:t>
        </w:r>
      </w:hyperlink>
      <w:r>
        <w:t xml:space="preserve">. A record that expresses the hedging-and-alignment theme densely across those fields scores higher; a record that touches the theme only glancingly scores lower. The count is mechanical. It involves no interpretive judgment about a record’s substantive contribution, only a tally of where the theme’s vocabulary appears. This construction has a clear virtue and a clear limit. The virtue is objectivity: two analysts applying the rule to the same record get the same score, because the rule is a counting procedure rather than a rating</w:t>
      </w:r>
      <w:r>
        <w:t xml:space="preserve"> </w:t>
      </w:r>
      <w:hyperlink w:anchor="ref-2">
        <w:r>
          <w:rPr>
            <w:rStyle w:val="Hyperlink"/>
          </w:rPr>
          <w:t xml:space="preserve">[2]</w:t>
        </w:r>
      </w:hyperlink>
      <w:r>
        <w:t xml:space="preserve">. The limit is coarseness: four short fields cannot express a theme in fine gradation, so the score takes only a few distinct values across the corpus. The theory in Chapter 3 anticipated this coarseness and calibrated its predictions to it, expecting the estimators to detect strong structure but not subtle structure</w:t>
      </w:r>
      <w:r>
        <w:t xml:space="preserve"> </w:t>
      </w:r>
      <w:hyperlink w:anchor="ref-4">
        <w:r>
          <w:rPr>
            <w:rStyle w:val="Hyperlink"/>
          </w:rPr>
          <w:t xml:space="preserve">[4]</w:t>
        </w:r>
      </w:hyperlink>
      <w:r>
        <w:t xml:space="preserve">.</w:t>
      </w:r>
    </w:p>
    <w:p>
      <w:pPr>
        <w:pStyle w:val="BodyText"/>
        <w:spacing w:line="480" w:lineRule="auto"/>
        <w:ind w:firstLine="720"/>
      </w:pPr>
      <w:r>
        <w:t xml:space="preserve">A note on why the outcome is a count rather than a rating clarifies the measurement philosophy.</w:t>
      </w:r>
    </w:p>
    <w:p>
      <w:pPr>
        <w:pStyle w:val="BodyText"/>
        <w:spacing w:line="480" w:lineRule="auto"/>
        <w:ind w:firstLine="720"/>
      </w:pPr>
      <w:r>
        <w:t xml:space="preserve">A rating would ask an analyst to judge, on some scale, how strongly each record engages the hedging theme, and such judgments carry the analyst’s priors into the data</w:t>
      </w:r>
      <w:r>
        <w:t xml:space="preserve"> </w:t>
      </w:r>
      <w:hyperlink w:anchor="ref-2">
        <w:r>
          <w:rPr>
            <w:rStyle w:val="Hyperlink"/>
          </w:rPr>
          <w:t xml:space="preserve">[2]</w:t>
        </w:r>
      </w:hyperlink>
      <w:r>
        <w:t xml:space="preserve">. A count asks only whether specified terms appear, which any two coders can replicate without agreeing on anything interpretive</w:t>
      </w:r>
      <w:r>
        <w:t xml:space="preserve"> </w:t>
      </w:r>
      <w:hyperlink w:anchor="ref-1">
        <w:r>
          <w:rPr>
            <w:rStyle w:val="Hyperlink"/>
          </w:rPr>
          <w:t xml:space="preserve">[1]</w:t>
        </w:r>
      </w:hyperlink>
      <w:r>
        <w:t xml:space="preserve">. The choice sacrifices the richness a trained reader could supply in exchange for a measure that no reader’s bias can move. For a study whose credibility rests on auditability, that trade is the correct one, even though it leaves the outcome coarse</w:t>
      </w:r>
      <w:r>
        <w:t xml:space="preserve"> </w:t>
      </w:r>
      <w:hyperlink w:anchor="ref-6">
        <w:r>
          <w:rPr>
            <w:rStyle w:val="Hyperlink"/>
          </w:rPr>
          <w:t xml:space="preserve">[6]</w:t>
        </w:r>
      </w:hyperlink>
      <w:r>
        <w:t xml:space="preserve">.</w:t>
      </w:r>
    </w:p>
    <w:bookmarkEnd w:id="98"/>
    <w:bookmarkStart w:id="99" w:name="constructing-the-predictors"/>
    <w:p>
      <w:pPr>
        <w:pStyle w:val="Heading2"/>
        <w:spacing w:line="480" w:lineRule="auto"/>
      </w:pPr>
      <w:r>
        <w:t xml:space="preserve">5.4 Constructing the predictors</w:t>
      </w:r>
    </w:p>
    <w:p>
      <w:pPr>
        <w:pStyle w:val="FirstParagraph"/>
        <w:spacing w:line="480" w:lineRule="auto"/>
      </w:pPr>
      <w:r>
        <w:t xml:space="preserve">Recency comes first. The recency index is publication year minus the minimum publication year in the sample, plus one</w:t>
      </w:r>
      <w:r>
        <w:t xml:space="preserve"> </w:t>
      </w:r>
      <w:hyperlink w:anchor="ref-1">
        <w:r>
          <w:rPr>
            <w:rStyle w:val="Hyperlink"/>
          </w:rPr>
          <w:t xml:space="preserve">[1]</w:t>
        </w:r>
      </w:hyperlink>
      <w:r>
        <w:t xml:space="preserve">. The plus-one keeps the earliest record at a value of one rather than zero, which is convenient and harmless. Higher values mean more recent records. Because the index is a linear transform of year, its coefficient reads directly as the association between publication recency and signal. Citation count comes next, and it demands the reader’s caution. It is the reported local index citation figure for each record, parsed from the local brain search field, set to zero when the index reported no count</w:t>
      </w:r>
      <w:r>
        <w:t xml:space="preserve"> </w:t>
      </w:r>
      <w:hyperlink w:anchor="ref-1">
        <w:r>
          <w:rPr>
            <w:rStyle w:val="Hyperlink"/>
          </w:rPr>
          <w:t xml:space="preserve">[1]</w:t>
        </w:r>
      </w:hyperlink>
      <w:r>
        <w:t xml:space="preserve">. Chapter 1 flagged this variable for that reason. These are local counts, attention within the retrieved corpus, not universal citation totals. Many records carry zero, which reflects both genuine low citation and the incompleteness of a local index</w:t>
      </w:r>
      <w:r>
        <w:t xml:space="preserve"> </w:t>
      </w:r>
      <w:hyperlink w:anchor="ref-6">
        <w:r>
          <w:rPr>
            <w:rStyle w:val="Hyperlink"/>
          </w:rPr>
          <w:t xml:space="preserve">[6]</w:t>
        </w:r>
      </w:hyperlink>
      <w:r>
        <w:t xml:space="preserve">. The variable is honest about what it is: a bounded proxy for corpus attention, not a measure of global impact.</w:t>
      </w:r>
    </w:p>
    <w:p>
      <w:pPr>
        <w:pStyle w:val="BodyText"/>
        <w:spacing w:line="480" w:lineRule="auto"/>
        <w:ind w:firstLine="720"/>
      </w:pPr>
      <w:r>
        <w:t xml:space="preserve">Venue comes last. The venue score is an ordinal code for venue family: AMOS conference proceedings score one, Acta Astronautica scores two, and the space-economy venue family scores three</w:t>
      </w:r>
      <w:r>
        <w:t xml:space="preserve"> </w:t>
      </w:r>
      <w:hyperlink w:anchor="ref-2">
        <w:r>
          <w:rPr>
            <w:rStyle w:val="Hyperlink"/>
          </w:rPr>
          <w:t xml:space="preserve">[2]</w:t>
        </w:r>
      </w:hyperlink>
      <w:r>
        <w:t xml:space="preserve">. The ordering reflects a rough maturation ladder from fast technical proceedings toward specialist and policy-facing journals. The code is ordinal, and the dissertation treats it as ordinal, resisting any temptation to read the difference between one and two as equal in meaning to the difference between two and three. The theory in Chapter 3 left the sign of the venue coefficient open precisely because this ladder can run either way for a theme that originates low and may or may not migrate up</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bookmarkEnd w:id="99"/>
    <w:bookmarkStart w:id="100" w:name="constructing-the-dynamic-variables"/>
    <w:p>
      <w:pPr>
        <w:pStyle w:val="Heading2"/>
        <w:spacing w:line="480" w:lineRule="auto"/>
      </w:pPr>
      <w:r>
        <w:t xml:space="preserve">5.5 Constructing the dynamic variables</w:t>
      </w:r>
    </w:p>
    <w:p>
      <w:pPr>
        <w:pStyle w:val="FirstParagraph"/>
        <w:spacing w:line="480" w:lineRule="auto"/>
      </w:pPr>
      <w:r>
        <w:t xml:space="preserve">The dynamic model uses two constructed variables. The age index is 2026 minus publication year, plus one, so a record from 2026 has age one and older records have larger values</w:t>
      </w:r>
      <w:r>
        <w:t xml:space="preserve"> </w:t>
      </w:r>
      <w:hyperlink w:anchor="ref-4">
        <w:r>
          <w:rPr>
            <w:rStyle w:val="Hyperlink"/>
          </w:rPr>
          <w:t xml:space="preserve">[4]</w:t>
        </w:r>
      </w:hyperlink>
      <w:r>
        <w:t xml:space="preserve">. The plus-one keeps the logarithm defined for the newest records. Citation-plus-one is the local citation count plus one, the transformation described in Chapter 4 that keeps uncited records in the estimation and defines the logarithm for every row</w:t>
      </w:r>
      <w:r>
        <w:t xml:space="preserve"> </w:t>
      </w:r>
      <w:hyperlink w:anchor="ref-4">
        <w:r>
          <w:rPr>
            <w:rStyle w:val="Hyperlink"/>
          </w:rPr>
          <w:t xml:space="preserve">[4]</w:t>
        </w:r>
      </w:hyperlink>
      <w:r>
        <w:t xml:space="preserve">. Both transformations are stated in the configuration file that accompanies the estimation, so a reader can verify them without trusting the prose. The pairing of age index and citation-plus-one is what the learning-curve estimator regresses in log-log space to recover the accumulation elasticity</w:t>
      </w:r>
      <w:r>
        <w:t xml:space="preserve"> </w:t>
      </w:r>
      <w:hyperlink w:anchor="ref-5">
        <w:r>
          <w:rPr>
            <w:rStyle w:val="Hyperlink"/>
          </w:rPr>
          <w:t xml:space="preserve">[5]</w:t>
        </w:r>
      </w:hyperlink>
      <w:r>
        <w:t xml:space="preserve">.</w:t>
      </w:r>
    </w:p>
    <w:bookmarkEnd w:id="100"/>
    <w:bookmarkStart w:id="101" w:name="provenance-and-auditability"/>
    <w:p>
      <w:pPr>
        <w:pStyle w:val="Heading2"/>
        <w:spacing w:line="480" w:lineRule="auto"/>
      </w:pPr>
      <w:r>
        <w:t xml:space="preserve">5.6 Provenance and auditability</w:t>
      </w:r>
    </w:p>
    <w:p>
      <w:pPr>
        <w:pStyle w:val="FirstParagraph"/>
        <w:spacing w:line="480" w:lineRule="auto"/>
      </w:pPr>
      <w:r>
        <w:t xml:space="preserve">Every variable in both files traces back to a source column, and every source column points to a real record with a digital object identifier or a stable venue URL</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7">
        <w:r>
          <w:rPr>
            <w:rStyle w:val="Hyperlink"/>
          </w:rPr>
          <w:t xml:space="preserve">[7]</w:t>
        </w:r>
      </w:hyperlink>
      <w:r>
        <w:t xml:space="preserve">. This is the property that distinguishes the dataset from an assertion. A skeptic can take any row, follow its source pointer to the document, and check that the publication year, venue family, and theme expression the row records are the ones the document actually carries. The construction rules are frozen before estimation. Nothing in the scoring adapts to the outcome, and no variable is redefined after the coefficients are seen</w:t>
      </w:r>
      <w:r>
        <w:t xml:space="preserve"> </w:t>
      </w:r>
      <w:hyperlink w:anchor="ref-2">
        <w:r>
          <w:rPr>
            <w:rStyle w:val="Hyperlink"/>
          </w:rPr>
          <w:t xml:space="preserve">[2]</w:t>
        </w:r>
      </w:hyperlink>
      <w:r>
        <w:t xml:space="preserve"> </w:t>
      </w:r>
      <w:hyperlink w:anchor="ref-4">
        <w:r>
          <w:rPr>
            <w:rStyle w:val="Hyperlink"/>
          </w:rPr>
          <w:t xml:space="preserve">[4]</w:t>
        </w:r>
      </w:hyperlink>
      <w:r>
        <w:t xml:space="preserve">. This freezing is the data-side counterpart to the fixed specification described in Chapter 4. Together they close off the two most common routes to spurious findings on a small sample: flexible measurement and flexible modeling. The dataset is small and its variables are coarse, and the dissertation states both limits plainly rather than obscuring them, because an honest account of the data is the only foundation on which the results in Chapter 6 can stand</w:t>
      </w:r>
      <w:r>
        <w:t xml:space="preserve"> </w:t>
      </w:r>
      <w:hyperlink w:anchor="ref-6">
        <w:r>
          <w:rPr>
            <w:rStyle w:val="Hyperlink"/>
          </w:rPr>
          <w:t xml:space="preserve">[6]</w:t>
        </w:r>
      </w:hyperlink>
      <w:r>
        <w:t xml:space="preserve">.</w:t>
      </w:r>
    </w:p>
    <w:bookmarkEnd w:id="101"/>
    <w:bookmarkStart w:id="102" w:name="the-distribution-of-the-variables"/>
    <w:p>
      <w:pPr>
        <w:pStyle w:val="Heading2"/>
        <w:spacing w:line="480" w:lineRule="auto"/>
      </w:pPr>
      <w:r>
        <w:t xml:space="preserve">5.7 The distribution of the variables</w:t>
      </w:r>
    </w:p>
    <w:p>
      <w:pPr>
        <w:pStyle w:val="FirstParagraph"/>
        <w:spacing w:line="480" w:lineRule="auto"/>
      </w:pPr>
      <w:r>
        <w:t xml:space="preserve">Understanding the results requires understanding how the variables are distributed, because a coefficient’s meaning depends on the spread of the data behind it. Several distributional facts about this pack shape everything in Chapter 6. The topic-signal score is concentrated and low. Because it counts theme-term hits across four short metadata fields, most records score within a narrow band, and the score’s limited dispersion caps how much variance any predictor can explain</w:t>
      </w:r>
      <w:r>
        <w:t xml:space="preserve"> </w:t>
      </w:r>
      <w:hyperlink w:anchor="ref-1">
        <w:r>
          <w:rPr>
            <w:rStyle w:val="Hyperlink"/>
          </w:rPr>
          <w:t xml:space="preserve">[1]</w:t>
        </w:r>
      </w:hyperlink>
      <w:r>
        <w:t xml:space="preserve">. This is why even a strong and significant relationship, like the venue effect, coexists with a moderate overall model fit: the outcome simply does not vary enough to be explained more fully. A reader who expected a high explained-variance figure should recalibrate to the reality of a coarse outcome measured on thirty records</w:t>
      </w:r>
      <w:r>
        <w:t xml:space="preserve"> </w:t>
      </w:r>
      <w:hyperlink w:anchor="ref-2">
        <w:r>
          <w:rPr>
            <w:rStyle w:val="Hyperlink"/>
          </w:rPr>
          <w:t xml:space="preserve">[2]</w:t>
        </w:r>
      </w:hyperlink>
      <w:r>
        <w:t xml:space="preserve">. The citation count is dominated by zeros. Many records carry no recorded local citations, so the citation variable is not a smooth spread but a spike at zero with a thin tail</w:t>
      </w:r>
      <w:r>
        <w:t xml:space="preserve"> </w:t>
      </w:r>
      <w:hyperlink w:anchor="ref-6">
        <w:r>
          <w:rPr>
            <w:rStyle w:val="Hyperlink"/>
          </w:rPr>
          <w:t xml:space="preserve">[6]</w:t>
        </w:r>
      </w:hyperlink>
      <w:r>
        <w:t xml:space="preserve">. A variable shaped this way has little capacity to organize an outcome, because for most records it takes the same value, and a predictor that barely varies cannot explain variation in anything. This distributional fact is the proximate reason the citation predictions return nulls, and naming it here, before the results, keeps those nulls interpretable rather than surprising</w:t>
      </w:r>
      <w:r>
        <w:t xml:space="preserve"> </w:t>
      </w:r>
      <w:hyperlink w:anchor="ref-4">
        <w:r>
          <w:rPr>
            <w:rStyle w:val="Hyperlink"/>
          </w:rPr>
          <w:t xml:space="preserve">[4]</w:t>
        </w:r>
      </w:hyperlink>
      <w:r>
        <w:t xml:space="preserve">.</w:t>
      </w:r>
    </w:p>
    <w:p>
      <w:pPr>
        <w:pStyle w:val="BodyText"/>
        <w:spacing w:line="480" w:lineRule="auto"/>
        <w:ind w:firstLine="720"/>
      </w:pPr>
      <w:r>
        <w:t xml:space="preserve">The venue score spans its full ordinal range. Records populate all three rungs of the venue ladder, from AMOS proceedings through Acta Astronautica to the space-economy family, so the venue variable has genuine spread</w:t>
      </w:r>
      <w:r>
        <w:t xml:space="preserve"> </w:t>
      </w:r>
      <w:hyperlink w:anchor="ref-2">
        <w:r>
          <w:rPr>
            <w:rStyle w:val="Hyperlink"/>
          </w:rPr>
          <w:t xml:space="preserve">[2]</w:t>
        </w:r>
      </w:hyperlink>
      <w:r>
        <w:t xml:space="preserve"> </w:t>
      </w:r>
      <w:hyperlink w:anchor="ref-3">
        <w:r>
          <w:rPr>
            <w:rStyle w:val="Hyperlink"/>
          </w:rPr>
          <w:t xml:space="preserve">[3]</w:t>
        </w:r>
      </w:hyperlink>
      <w:r>
        <w:t xml:space="preserve">. This spread is what gives the venue coefficient the leverage to reach significance where the citation coefficient cannot: a predictor that varies across its full range can organize an outcome, and venue does. The contrast between a well-spread venue variable and a zero-spiked citation variable is, in distributional terms, the whole story of why one prediction confirms and another fails. The recency index spans several years but thinly. Records are distributed across publication years, but with only thirty records the coverage of any single year is sparse, so the recency gradient is estimated from few observations per level</w:t>
      </w:r>
      <w:r>
        <w:t xml:space="preserve"> </w:t>
      </w:r>
      <w:hyperlink w:anchor="ref-1">
        <w:r>
          <w:rPr>
            <w:rStyle w:val="Hyperlink"/>
          </w:rPr>
          <w:t xml:space="preserve">[1]</w:t>
        </w:r>
      </w:hyperlink>
      <w:r>
        <w:t xml:space="preserve">. Thin coverage widens the standard error on the recency coefficient, which is the distributional reason that term lands as a near-miss rather than a clear result. The data can see the direction of the recency association but not its magnitude with confidence.</w:t>
      </w:r>
    </w:p>
    <w:bookmarkEnd w:id="102"/>
    <w:bookmarkStart w:id="103" w:name="the-intermediate-metadata-fields"/>
    <w:p>
      <w:pPr>
        <w:pStyle w:val="Heading2"/>
        <w:spacing w:line="480" w:lineRule="auto"/>
      </w:pPr>
      <w:r>
        <w:t xml:space="preserve">5.8 The intermediate metadata fields</w:t>
      </w:r>
    </w:p>
    <w:p>
      <w:pPr>
        <w:pStyle w:val="FirstParagraph"/>
        <w:spacing w:line="480" w:lineRule="auto"/>
      </w:pPr>
      <w:r>
        <w:t xml:space="preserve">The cross-sectional estimation file carries several fields beyond the four variables the model consumes, and their presence is deliberate rather than incidental. These intermediate fields, counts of title words, snippet words, keyword entries, and theme hits, are the ingredients from which the topic-signal score is built</w:t>
      </w:r>
      <w:r>
        <w:t xml:space="preserve"> </w:t>
      </w:r>
      <w:hyperlink w:anchor="ref-1">
        <w:r>
          <w:rPr>
            <w:rStyle w:val="Hyperlink"/>
          </w:rPr>
          <w:t xml:space="preserve">[1]</w:t>
        </w:r>
      </w:hyperlink>
      <w:r>
        <w:t xml:space="preserve">. Retaining them in the released file is what lets a reader verify the score’s construction rather than accept it on faith. The logic is that of a visible calculation. The signal score is a count assembled from theme-term hits across the metadata fields, and a reader who sees only the final score cannot check the assembly. A reader who also sees the component counts can trace the score back to its inputs and confirm that the counting rule was applied as stated</w:t>
      </w:r>
      <w:r>
        <w:t xml:space="preserve"> </w:t>
      </w:r>
      <w:hyperlink w:anchor="ref-2">
        <w:r>
          <w:rPr>
            <w:rStyle w:val="Hyperlink"/>
          </w:rPr>
          <w:t xml:space="preserve">[2]</w:t>
        </w:r>
      </w:hyperlink>
      <w:r>
        <w:t xml:space="preserve">. This turns the score from an assertion into a reconstruction, which is the standard the whole design holds itself to. These intermediate fields also document a source of noise the design must acknowledge. Title and snippet lengths vary across records and venues, and a longer text offers more surface for theme terms to appear, which could inflate the score for verbose records independent of their actual topic focus</w:t>
      </w:r>
      <w:r>
        <w:t xml:space="preserve"> </w:t>
      </w:r>
      <w:hyperlink w:anchor="ref-6">
        <w:r>
          <w:rPr>
            <w:rStyle w:val="Hyperlink"/>
          </w:rPr>
          <w:t xml:space="preserve">[6]</w:t>
        </w:r>
      </w:hyperlink>
      <w:r>
        <w:t xml:space="preserve">. The design does not correct for this, because a correction would introduce a modeling choice the small sample cannot support, but it exposes the component counts so that a reader can judge whether length is driving any particular record’s score. Transparency about a limitation is the design’s substitute for a correction it cannot credibly make</w:t>
      </w:r>
      <w:r>
        <w:t xml:space="preserve"> </w:t>
      </w:r>
      <w:hyperlink w:anchor="ref-4">
        <w:r>
          <w:rPr>
            <w:rStyle w:val="Hyperlink"/>
          </w:rPr>
          <w:t xml:space="preserve">[4]</w:t>
        </w:r>
      </w:hyperlink>
      <w:r>
        <w:t xml:space="preserve">.</w:t>
      </w:r>
    </w:p>
    <w:bookmarkEnd w:id="103"/>
    <w:bookmarkStart w:id="104" w:name="X858f5a5856fc77badd3ac4cd3d062d628b5715d"/>
    <w:p>
      <w:pPr>
        <w:pStyle w:val="Heading2"/>
        <w:spacing w:line="480" w:lineRule="auto"/>
      </w:pPr>
      <w:r>
        <w:t xml:space="preserve">5.9 Reproducibility and the released artifacts</w:t>
      </w:r>
    </w:p>
    <w:p>
      <w:pPr>
        <w:pStyle w:val="FirstParagraph"/>
        <w:spacing w:line="480" w:lineRule="auto"/>
      </w:pPr>
      <w:r>
        <w:t xml:space="preserve">The dataset does not live only in this prose. It lives in the two estimation files and their accompanying configuration records, which are released as part of the dissertation’s appendices</w:t>
      </w:r>
      <w:r>
        <w:t xml:space="preserve"> </w:t>
      </w:r>
      <w:hyperlink w:anchor="ref-1">
        <w:r>
          <w:rPr>
            <w:rStyle w:val="Hyperlink"/>
          </w:rPr>
          <w:t xml:space="preserve">[1]</w:t>
        </w:r>
      </w:hyperlink>
      <w:r>
        <w:t xml:space="preserve"> </w:t>
      </w:r>
      <w:hyperlink w:anchor="ref-2">
        <w:r>
          <w:rPr>
            <w:rStyle w:val="Hyperlink"/>
          </w:rPr>
          <w:t xml:space="preserve">[2]</w:t>
        </w:r>
      </w:hyperlink>
      <w:r>
        <w:t xml:space="preserve">. Each configuration record states the estimator, the outcome and predictors, the exact variable definitions, and the model formula, so that a reader can reconstruct the analysis without reference to the narrative. The prose describes the data; the released artifacts are the data. This separation is a deliberate reproducibility choice. Prose can drift from the underlying numbers as a manuscript is revised, but a released estimation file cannot, because it is the object the estimator actually consumed</w:t>
      </w:r>
      <w:r>
        <w:t xml:space="preserve"> </w:t>
      </w:r>
      <w:hyperlink w:anchor="ref-5">
        <w:r>
          <w:rPr>
            <w:rStyle w:val="Hyperlink"/>
          </w:rPr>
          <w:t xml:space="preserve">[5]</w:t>
        </w:r>
      </w:hyperlink>
      <w:r>
        <w:t xml:space="preserve">. A reader who suspects the narrative has overstated a construction rule can open the configuration and check the rule against the definition recorded there. A reader who suspects a coefficient has been misreported can rerun the estimator on the released file and compare. Every claim in Chapter 6 is exposed to this check.</w:t>
      </w:r>
    </w:p>
    <w:p>
      <w:pPr>
        <w:pStyle w:val="BodyText"/>
        <w:spacing w:line="480" w:lineRule="auto"/>
        <w:ind w:firstLine="720"/>
      </w:pPr>
      <w:r>
        <w:t xml:space="preserve">The provenance column is what ties the released files back to the world. Each row’s source pointer resolves to a real digital object identifier or a stable venue URL, so the chain runs from coefficient to estimation file to row to source pointer to document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7">
        <w:r>
          <w:rPr>
            <w:rStyle w:val="Hyperlink"/>
          </w:rPr>
          <w:t xml:space="preserve">[7]</w:t>
        </w:r>
      </w:hyperlink>
      <w:r>
        <w:t xml:space="preserve">. No link in that chain is asserted; each is inspectable. This is the concrete meaning of the auditability the dissertation has claimed since Chapter 1, and it is realized in the released artifacts rather than promised in the text. One limitation of the released data deserves statement alongside its strengths. The pack is a snapshot, retrieved at one time from a local index whose contents and citation figures reflect that moment</w:t>
      </w:r>
      <w:r>
        <w:t xml:space="preserve"> </w:t>
      </w:r>
      <w:hyperlink w:anchor="ref-6">
        <w:r>
          <w:rPr>
            <w:rStyle w:val="Hyperlink"/>
          </w:rPr>
          <w:t xml:space="preserve">[6]</w:t>
        </w:r>
      </w:hyperlink>
      <w:r>
        <w:t xml:space="preserve">. A rerun against a later index could return different local citation counts, because indices grow. The venue coding and the year-based variables are stable, but the citation variable is time-stamped in a way the others are not, and a replication should be read against the same snapshot rather than a fresh retrieval. This is a normal property of bibliometric data and it is disclosed here so that no future replication mistakes an index update for a substantive discrepancy</w:t>
      </w:r>
      <w:r>
        <w:t xml:space="preserve"> </w:t>
      </w:r>
      <w:hyperlink w:anchor="ref-4">
        <w:r>
          <w:rPr>
            <w:rStyle w:val="Hyperlink"/>
          </w:rPr>
          <w:t xml:space="preserve">[4]</w:t>
        </w:r>
      </w:hyperlink>
      <w:r>
        <w:t xml:space="preserve">.</w:t>
      </w:r>
    </w:p>
    <w:p>
      <w:pPr>
        <w:pStyle w:val="BodyText"/>
        <w:spacing w:line="480" w:lineRule="auto"/>
        <w:ind w:firstLine="720"/>
      </w:pPr>
      <w:r>
        <w:t xml:space="preserve">Every row traces to a real document. Nothing here is asserted without a source.</w:t>
      </w:r>
    </w:p>
    <w:bookmarkEnd w:id="104"/>
    <w:bookmarkStart w:id="105" w:name="what-the-data-can-and-cannot-carry"/>
    <w:p>
      <w:pPr>
        <w:pStyle w:val="Heading2"/>
        <w:spacing w:line="480" w:lineRule="auto"/>
      </w:pPr>
      <w:r>
        <w:t xml:space="preserve">5.10 What the data can and cannot carry</w:t>
      </w:r>
    </w:p>
    <w:p>
      <w:pPr>
        <w:pStyle w:val="FirstParagraph"/>
        <w:spacing w:line="480" w:lineRule="auto"/>
      </w:pPr>
      <w:r>
        <w:t xml:space="preserve">A closing statement of scope belongs here, before the results, because it governs how those results should be read. The data can carry a claim about the internal structure of a retrieved corpus: whether topic signal is organized along recency, attention, and venue, and whether citation accumulates with age inside this pack</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data cannot carry a claim about the behavior of states, because no state-level variable appears in any row. Nor can they carry a claim about universal citation dynamics, because the counts are local. The thirty records are a lens onto a literature, not a census of a field, and certainly not a window onto the alignment choices the title ultimately concerns</w:t>
      </w:r>
      <w:r>
        <w:t xml:space="preserve"> </w:t>
      </w:r>
      <w:hyperlink w:anchor="ref-9">
        <w:r>
          <w:rPr>
            <w:rStyle w:val="Hyperlink"/>
          </w:rPr>
          <w:t xml:space="preserve">[9]</w:t>
        </w:r>
      </w:hyperlink>
      <w:r>
        <w:t xml:space="preserve"> </w:t>
      </w:r>
      <w:hyperlink w:anchor="ref-12">
        <w:r>
          <w:rPr>
            <w:rStyle w:val="Hyperlink"/>
          </w:rPr>
          <w:t xml:space="preserve">[12]</w:t>
        </w:r>
      </w:hyperlink>
      <w:r>
        <w:t xml:space="preserve">. Chapter 6 reports what the lens shows, and Chapter 7 marks the edge of what it can resolve.</w:t>
      </w:r>
    </w:p>
    <w:bookmarkEnd w:id="105"/>
    <w:bookmarkEnd w:id="106"/>
    <w:bookmarkStart w:id="115" w:name="chapter-6-results"/>
    <w:p>
      <w:pPr>
        <w:pStyle w:val="Heading1"/>
        <w:spacing w:line="480" w:lineRule="auto"/>
      </w:pPr>
      <w:r>
        <w:t xml:space="preserve">Chapter 6: Results</w:t>
      </w:r>
    </w:p>
    <w:p>
      <w:pPr>
        <w:pStyle w:val="FirstParagraph"/>
        <w:spacing w:line="480" w:lineRule="auto"/>
      </w:pPr>
      <w:r>
        <w:t xml:space="preserve">The reporting convention here is strict. Every coefficient, standard error, p-value, and fit statistic is transcribed from the workbook output rather than rounded to a convenient figure or restated from memory</w:t>
      </w:r>
      <w:r>
        <w:t xml:space="preserve"> </w:t>
      </w:r>
      <w:hyperlink w:anchor="ref-1">
        <w:r>
          <w:rPr>
            <w:rStyle w:val="Hyperlink"/>
          </w:rPr>
          <w:t xml:space="preserve">[1]</w:t>
        </w:r>
      </w:hyperlink>
      <w:r>
        <w:t xml:space="preserve">. Where a value is long, it is carried to four decimal places, which is enough to identify it uniquely against the released file while sparing the reader a string of trailing digits. A reader who wishes to confirm any number can open the workbook and match it. Nothing in this chapter is a paraphrase of a result; each figure is the result</w:t>
      </w:r>
      <w:r>
        <w:t xml:space="preserve"> </w:t>
      </w:r>
      <w:hyperlink w:anchor="ref-2">
        <w:r>
          <w:rPr>
            <w:rStyle w:val="Hyperlink"/>
          </w:rPr>
          <w:t xml:space="preserve">[2]</w:t>
        </w:r>
      </w:hyperlink>
      <w:r>
        <w:t xml:space="preserve">. This chapter reports what the two workbooks produced. The numbers are reproduced exactly as the estimators returned them, and they are interpreted in the terms Chapter 3 fixed in advance. One model returns a sharp, precise structural finding. The other returns a null on its central term. Both are reported in full, because a corpus screen that suppressed its null would forfeit the credibility the whole design was built to earn.</w:t>
      </w:r>
    </w:p>
    <w:bookmarkStart w:id="107" w:name="the-cross-sectional-model"/>
    <w:p>
      <w:pPr>
        <w:pStyle w:val="Heading2"/>
        <w:spacing w:line="480" w:lineRule="auto"/>
      </w:pPr>
      <w:r>
        <w:t xml:space="preserve">6.1 The cross-sectional model</w:t>
      </w:r>
    </w:p>
    <w:p>
      <w:pPr>
        <w:pStyle w:val="FirstParagraph"/>
        <w:spacing w:line="480" w:lineRule="auto"/>
      </w:pPr>
      <w:r>
        <w:t xml:space="preserve">Paper 1 estimates the ordinary least squares model of topic-signal intensity on recency, citation count, and venue score, with HC1 robust standard errors. The fit summary for the model is N = 30, R2 = 0.2486, adjusted R2 = 0.1619, F = 6.7919, and F p-value = 0.0016. Roughly a quarter of the variance in the topic-signal score is explained.</w:t>
      </w:r>
    </w:p>
    <w:p>
      <w:pPr>
        <w:pStyle w:val="BodyText"/>
        <w:spacing w:line="480" w:lineRule="auto"/>
        <w:ind w:firstLine="720"/>
      </w:pPr>
      <w:r>
        <w:t xml:space="preserve">On thirty records against three predictors, an R2 of 0.2486 is a moderate fit, and the adjusted figure of 0.1619 discounts it appropriately for the parameters spent. What matters more for the hypothesis test is the joint significance: the F-statistic of 6.7919 with a p-value of 0.0016 rejects the null that all three coefficients are jointly zero. The corpus is not structureless. Something in the arrangement of recency, attention, and venue organizes the topic signal, and the joint test says so with a comfortable margin below conventional thresholds</w:t>
      </w:r>
      <w:r>
        <w:t xml:space="preserve"> </w:t>
      </w:r>
      <w:hyperlink w:anchor="ref-1">
        <w:r>
          <w:rPr>
            <w:rStyle w:val="Hyperlink"/>
          </w:rPr>
          <w:t xml:space="preserve">[1]</w:t>
        </w:r>
      </w:hyperlink>
      <w:r>
        <w:t xml:space="preserve"> </w:t>
      </w:r>
      <w:hyperlink w:anchor="ref-2">
        <w:r>
          <w:rPr>
            <w:rStyle w:val="Hyperlink"/>
          </w:rPr>
          <w:t xml:space="preserve">[2]</w:t>
        </w:r>
      </w:hyperlink>
      <w:r>
        <w:t xml:space="preserve">. Term-level estimates locate that structure. The constant is 3.1062 with a standard error of 1.2154 and a p-value of 0.0106. The recency index carries a coefficient of 0.1685 with a standard error of 0.1188 and a p-value of 0.1559. The citation count carries a coefficient of -0.0235 with a standard error of 0.0574 and a p-value of 0.6821. The venue score carries a coefficient of -0.7664 with a standard error of 0.2763 and a p-value of 0.0055.</w:t>
      </w:r>
    </w:p>
    <w:p>
      <w:pPr>
        <w:pStyle w:val="BodyText"/>
        <w:spacing w:line="480" w:lineRule="auto"/>
        <w:ind w:firstLine="720"/>
      </w:pPr>
      <w:r>
        <w:t xml:space="preserve">Before interpreting individual terms, one property of the fit deserves emphasis. The moderate R2 of 0.2486 is not a disappointment against the coarseness of the outcome; it is roughly what a coarse, low-variance signal score can yield</w:t>
      </w:r>
      <w:r>
        <w:t xml:space="preserve"> </w:t>
      </w:r>
      <w:hyperlink w:anchor="ref-2">
        <w:r>
          <w:rPr>
            <w:rStyle w:val="Hyperlink"/>
          </w:rPr>
          <w:t xml:space="preserve">[2]</w:t>
        </w:r>
      </w:hyperlink>
      <w:r>
        <w:t xml:space="preserve">. A reader trained on models of continuous outcomes might expect more explained variance, but a bounded count with few distinct values caps the ceiling, and a quarter of that ceiling captured by three predictors is a substantive fit for this kind of measure. The joint significance, not the R2, is where the hypothesis test lives, and the joint test is decisive</w:t>
      </w:r>
      <w:r>
        <w:t xml:space="preserve"> </w:t>
      </w:r>
      <w:hyperlink w:anchor="ref-1">
        <w:r>
          <w:rPr>
            <w:rStyle w:val="Hyperlink"/>
          </w:rPr>
          <w:t xml:space="preserve">[1]</w:t>
        </w:r>
      </w:hyperlink>
      <w:r>
        <w:t xml:space="preserve">.</w:t>
      </w:r>
    </w:p>
    <w:bookmarkEnd w:id="107"/>
    <w:bookmarkStart w:id="108" w:name="reading-the-cross-sectional-coefficients"/>
    <w:p>
      <w:pPr>
        <w:pStyle w:val="Heading2"/>
        <w:spacing w:line="480" w:lineRule="auto"/>
      </w:pPr>
      <w:r>
        <w:t xml:space="preserve">6.2 Reading the cross-sectional coefficients</w:t>
      </w:r>
    </w:p>
    <w:p>
      <w:pPr>
        <w:pStyle w:val="FirstParagraph"/>
        <w:spacing w:line="480" w:lineRule="auto"/>
      </w:pPr>
      <w:r>
        <w:t xml:space="preserve">Take the predictions from Chapter 3 in order.</w:t>
      </w:r>
    </w:p>
    <w:p>
      <w:pPr>
        <w:pStyle w:val="BodyText"/>
        <w:spacing w:line="480" w:lineRule="auto"/>
        <w:ind w:firstLine="720"/>
      </w:pPr>
      <w:r>
        <w:t xml:space="preserve">Prediction 1 concerned recency. The recency coefficient is positive, 0.1685, in the direction the ascending-topic account predicts: newer records express the theme slightly more densely. But its p-value is 0.1559, above conventional significance, so the estimate is imprecise. The honest reading is that recency points the right way without reaching the threshold that would let one lean on it. The theory anticipated exactly this possibility and instructed that a weak recency term be treated as suggestive rather than confirmatory</w:t>
      </w:r>
      <w:r>
        <w:t xml:space="preserve"> </w:t>
      </w:r>
      <w:hyperlink w:anchor="ref-1">
        <w:r>
          <w:rPr>
            <w:rStyle w:val="Hyperlink"/>
          </w:rPr>
          <w:t xml:space="preserve">[1]</w:t>
        </w:r>
      </w:hyperlink>
      <w:r>
        <w:t xml:space="preserve">. It is suggestive here and no more. Prediction 2 concerned citation attention. The citation coefficient is -0.0235 with a p-value of 0.6821. This is a null. The sign is faintly negative, but with a p-value near seven-tenths the estimate is statistically indistinguishable from zero, and its sign should not be interpreted</w:t>
      </w:r>
      <w:r>
        <w:t xml:space="preserve"> </w:t>
      </w:r>
      <w:hyperlink w:anchor="ref-4">
        <w:r>
          <w:rPr>
            <w:rStyle w:val="Hyperlink"/>
          </w:rPr>
          <w:t xml:space="preserve">[4]</w:t>
        </w:r>
      </w:hyperlink>
      <w:r>
        <w:t xml:space="preserve">. Within this corpus, local citation attention does not organize the topic signal. Prediction 2 fails, and the failure is reported as a finding. It means that attention, as measured by local counts, is not where the topic’s structure lives in this evidence. Chapter 7 takes up why the local counts are the likely reason.</w:t>
      </w:r>
    </w:p>
    <w:p>
      <w:pPr>
        <w:pStyle w:val="BodyText"/>
        <w:spacing w:line="480" w:lineRule="auto"/>
        <w:ind w:firstLine="720"/>
      </w:pPr>
      <w:r>
        <w:t xml:space="preserve">Prediction 3 concerned venue. Here the model speaks clearly. The venue coefficient is -0.7664 with a standard error of 0.2763 and a p-value of 0.0055, comfortably significant. The theory left the sign open, and the data resolve it as negative. As one climbs the venue ladder from AMOS proceedings toward Acta Astronautica and the space-economy family, the topic-signal score falls, and it falls by a substantial amount: nearly three-quarters of a signal point per step up the ordinal ladder</w:t>
      </w:r>
      <w:r>
        <w:t xml:space="preserve"> </w:t>
      </w:r>
      <w:hyperlink w:anchor="ref-3">
        <w:r>
          <w:rPr>
            <w:rStyle w:val="Hyperlink"/>
          </w:rPr>
          <w:t xml:space="preserve">[3]</w:t>
        </w:r>
      </w:hyperlink>
      <w:r>
        <w:t xml:space="preserve"> </w:t>
      </w:r>
      <w:hyperlink w:anchor="ref-9">
        <w:r>
          <w:rPr>
            <w:rStyle w:val="Hyperlink"/>
          </w:rPr>
          <w:t xml:space="preserve">[9]</w:t>
        </w:r>
      </w:hyperlink>
      <w:r>
        <w:t xml:space="preserve">. This is the single strongest structural finding in the dissertation. The candidate theme is expressed most densely in the lower, faster, more technical rungs of the venue ladder and thins as the discourse moves toward abstract policy venues.</w:t>
      </w:r>
    </w:p>
    <w:p>
      <w:pPr>
        <w:pStyle w:val="BodyText"/>
        <w:spacing w:line="480" w:lineRule="auto"/>
        <w:ind w:firstLine="720"/>
      </w:pPr>
      <w:r>
        <w:t xml:space="preserve">The negative venue coefficient deserves interpretation because it is easy to misread.</w:t>
      </w:r>
    </w:p>
    <w:p>
      <w:pPr>
        <w:pStyle w:val="BodyText"/>
        <w:spacing w:line="480" w:lineRule="auto"/>
        <w:ind w:firstLine="720"/>
      </w:pPr>
      <w:r>
        <w:t xml:space="preserve">It does not say the topic is unimportant in policy venues. It says the topic’s vocabulary, the theme-term density the signal score counts, is highest where cislunar work originates, in the technical proceedings, and lower where that work is discussed in more general policy language</w:t>
      </w:r>
      <w:r>
        <w:t xml:space="preserve"> </w:t>
      </w:r>
      <w:hyperlink w:anchor="ref-2">
        <w:r>
          <w:rPr>
            <w:rStyle w:val="Hyperlink"/>
          </w:rPr>
          <w:t xml:space="preserve">[2]</w:t>
        </w:r>
      </w:hyperlink>
      <w:r>
        <w:t xml:space="preserve">. That is a coherent picture of a topic still anchored in its technical home. It is also a caution against reading the space-governance journals as the place where the alignment theme is most concentrated; on this measure, they are not.</w:t>
      </w:r>
    </w:p>
    <w:p>
      <w:pPr>
        <w:pStyle w:val="BodyText"/>
        <w:spacing w:line="480" w:lineRule="auto"/>
        <w:ind w:firstLine="720"/>
      </w:pPr>
      <w:r>
        <w:t xml:space="preserve">A skeptic might wonder whether the negative venue coefficient could be an artifact of the ordinal coding, which treats the ladder as evenly spaced.</w:t>
      </w:r>
    </w:p>
    <w:p>
      <w:pPr>
        <w:pStyle w:val="BodyText"/>
        <w:spacing w:line="480" w:lineRule="auto"/>
        <w:ind w:firstLine="720"/>
      </w:pPr>
      <w:r>
        <w:t xml:space="preserve">The concern is legitimate and Chapter 7 develops it, but two features of the estimate blunt it here. The coefficient’s significance at 0.0055 is robust to the HC1 correction, so it does not rest on an optimistic variance assumption</w:t>
      </w:r>
      <w:r>
        <w:t xml:space="preserve"> </w:t>
      </w:r>
      <w:hyperlink w:anchor="ref-3">
        <w:r>
          <w:rPr>
            <w:rStyle w:val="Hyperlink"/>
          </w:rPr>
          <w:t xml:space="preserve">[3]</w:t>
        </w:r>
      </w:hyperlink>
      <w:r>
        <w:t xml:space="preserve">. And the sign, negative, is stable regardless of the exact spacing one assigns the rungs, because a monotone recoding preserves the direction of a monotone relationship</w:t>
      </w:r>
      <w:r>
        <w:t xml:space="preserve"> </w:t>
      </w:r>
      <w:hyperlink w:anchor="ref-2">
        <w:r>
          <w:rPr>
            <w:rStyle w:val="Hyperlink"/>
          </w:rPr>
          <w:t xml:space="preserve">[2]</w:t>
        </w:r>
      </w:hyperlink>
      <w:r>
        <w:t xml:space="preserve">. What the ordinal coding puts at risk is the precise magnitude of -0.7664, not the existence or direction of the effect. That is the appropriate level of caution: trust the sign and significance, hold the cardinal magnitude loosely</w:t>
      </w:r>
      <w:r>
        <w:t xml:space="preserve"> </w:t>
      </w:r>
      <w:hyperlink w:anchor="ref-4">
        <w:r>
          <w:rPr>
            <w:rStyle w:val="Hyperlink"/>
          </w:rPr>
          <w:t xml:space="preserve">[4]</w:t>
        </w:r>
      </w:hyperlink>
      <w:r>
        <w:t xml:space="preserve">.</w:t>
      </w:r>
    </w:p>
    <w:bookmarkEnd w:id="108"/>
    <w:bookmarkStart w:id="109" w:name="the-dynamic-model"/>
    <w:p>
      <w:pPr>
        <w:pStyle w:val="Heading2"/>
        <w:spacing w:line="480" w:lineRule="auto"/>
      </w:pPr>
      <w:r>
        <w:t xml:space="preserve">6.3 The dynamic model</w:t>
      </w:r>
    </w:p>
    <w:p>
      <w:pPr>
        <w:pStyle w:val="FirstParagraph"/>
        <w:spacing w:line="480" w:lineRule="auto"/>
      </w:pPr>
      <w:r>
        <w:t xml:space="preserve">Paper 2 estimates the log-log learning-curve model of citation accumulation on article age, with HC1 robust standard errors.</w:t>
      </w:r>
    </w:p>
    <w:p>
      <w:pPr>
        <w:pStyle w:val="BodyText"/>
        <w:spacing w:line="480" w:lineRule="auto"/>
        <w:ind w:firstLine="720"/>
      </w:pPr>
      <w:r>
        <w:t xml:space="preserve">The fit summary is N = 30, R2 = 0.0111, elasticity b = 0.1292, and progress ratio 2^b = 1.0937. The term-level estimates are: the constant is 0.2404 with a p-value of 0.2712, and the log-age coefficient is 0.1292 with a p-value of 0.4852. This model finds almost nothing, and the finding is the near-nothing itself. The R2 of 0.0111 means the age variable explains barely one percent of the variance in log citation-plus-one. The elasticity of 0.1292 is positive, in the direction the learning-curve account would predict, and the progress ratio of 1.0937 implies that doubling a record’s age is associated with only a nine-percent rise in citation-plus-one. But the log-age coefficient carries a p-value of 0.4852, so it is statistically indistinguishable from zero, and the constant is likewise imprecise at 0.2712</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constant in the dynamic model, estimated at 0.2404 with a p-value of 0.2712, is itself imprecise, which reinforces the reading of the model as underpowered rather than merely flat</w:t>
      </w:r>
      <w:r>
        <w:t xml:space="preserve"> </w:t>
      </w:r>
      <w:hyperlink w:anchor="ref-4">
        <w:r>
          <w:rPr>
            <w:rStyle w:val="Hyperlink"/>
          </w:rPr>
          <w:t xml:space="preserve">[4]</w:t>
        </w:r>
      </w:hyperlink>
      <w:r>
        <w:t xml:space="preserve">. In a well-identified learning curve the intercept anchors the accumulation baseline at the reference age; here it is estimated with too much uncertainty to anchor anything. Both parameters of the two-parameter model, the constant and the log-age slope, fail to clear significance, so the model is not partially informative with one solid term and one weak one. It is uninformative across the board, and the R2 of 0.0111 confirms as much</w:t>
      </w:r>
      <w:r>
        <w:t xml:space="preserve"> </w:t>
      </w:r>
      <w:hyperlink w:anchor="ref-5">
        <w:r>
          <w:rPr>
            <w:rStyle w:val="Hyperlink"/>
          </w:rPr>
          <w:t xml:space="preserve">[5]</w:t>
        </w:r>
      </w:hyperlink>
      <w:r>
        <w:t xml:space="preserve">.</w:t>
      </w:r>
    </w:p>
    <w:bookmarkEnd w:id="109"/>
    <w:bookmarkStart w:id="110" w:name="reading-the-dynamic-result"/>
    <w:p>
      <w:pPr>
        <w:pStyle w:val="Heading2"/>
        <w:spacing w:line="480" w:lineRule="auto"/>
      </w:pPr>
      <w:r>
        <w:t xml:space="preserve">6.4 Reading the dynamic result</w:t>
      </w:r>
    </w:p>
    <w:p>
      <w:pPr>
        <w:pStyle w:val="FirstParagraph"/>
        <w:spacing w:line="480" w:lineRule="auto"/>
      </w:pPr>
      <w:r>
        <w:t xml:space="preserve">Prediction 4 concerned accumulation. It held that citation-plus-one should scale with article age along a measurable curve with positive elasticity and meaningful explanatory power. The elasticity is positive but the explanatory power is negligible and the coefficient is insignificant. Prediction 4 fails. The theory in Chapter 3 prepared for this failure and named its likely cause: sparse local citation counts. Many records in the pack carry zero recorded citations, and after the plus-one transformation the outcome has little dispersion to explain</w:t>
      </w:r>
      <w:r>
        <w:t xml:space="preserve"> </w:t>
      </w:r>
      <w:hyperlink w:anchor="ref-4">
        <w:r>
          <w:rPr>
            <w:rStyle w:val="Hyperlink"/>
          </w:rPr>
          <w:t xml:space="preserve">[4]</w:t>
        </w:r>
      </w:hyperlink>
      <w:r>
        <w:t xml:space="preserve">. An estimator cannot resolve a slope from an outcome that barely varies, and that is what the R2 of 0.0111 is telling the reader. The honest conclusion is not that citation accumulation is unstructured in the broader field. It is narrower and more precise: within this corpus, with these local counts, the accumulation curve cannot be resolved. The instrument is silent here, and the silence is reported rather than dressed up</w:t>
      </w:r>
      <w:r>
        <w:t xml:space="preserve"> </w:t>
      </w:r>
      <w:hyperlink w:anchor="ref-6">
        <w:r>
          <w:rPr>
            <w:rStyle w:val="Hyperlink"/>
          </w:rPr>
          <w:t xml:space="preserve">[6]</w:t>
        </w:r>
      </w:hyperlink>
      <w:r>
        <w:t xml:space="preserve">.</w:t>
      </w:r>
    </w:p>
    <w:bookmarkEnd w:id="110"/>
    <w:bookmarkStart w:id="111" w:name="the-magnitude-of-the-venue-effect"/>
    <w:p>
      <w:pPr>
        <w:pStyle w:val="Heading2"/>
        <w:spacing w:line="480" w:lineRule="auto"/>
      </w:pPr>
      <w:r>
        <w:t xml:space="preserve">6.5 The magnitude of the venue effect</w:t>
      </w:r>
    </w:p>
    <w:p>
      <w:pPr>
        <w:pStyle w:val="FirstParagraph"/>
        <w:spacing w:line="480" w:lineRule="auto"/>
      </w:pPr>
      <w:r>
        <w:t xml:space="preserve">The venue coefficient rewards a closer look at its magnitude, not just its significance, because magnitude is where a coefficient becomes substantively meaningful rather than merely statistically detectable. The estimate is -0.7664 per ordinal step</w:t>
      </w:r>
      <w:r>
        <w:t xml:space="preserve"> </w:t>
      </w:r>
      <w:hyperlink w:anchor="ref-3">
        <w:r>
          <w:rPr>
            <w:rStyle w:val="Hyperlink"/>
          </w:rPr>
          <w:t xml:space="preserve">[3]</w:t>
        </w:r>
      </w:hyperlink>
      <w:r>
        <w:t xml:space="preserve">. Against a topic-signal score that occupies a narrow, low range, a shift of roughly three-quarters of a point per rung is large relative to the outcome’s own spread. Moving from an AMOS proceeding at venue score one to the space-economy family at venue score three implies, on the linear model, a fall of about 1.53 signal points across the full ladder, which is a substantial fraction of the range the score covers</w:t>
      </w:r>
      <w:r>
        <w:t xml:space="preserve"> </w:t>
      </w:r>
      <w:hyperlink w:anchor="ref-2">
        <w:r>
          <w:rPr>
            <w:rStyle w:val="Hyperlink"/>
          </w:rPr>
          <w:t xml:space="preserve">[2]</w:t>
        </w:r>
      </w:hyperlink>
      <w:r>
        <w:t xml:space="preserve">. Put in the terms of the mechanism, this is not a marginal gradient. It is a steep one. The theme-term density that the signal score counts is concentrated heavily at the technical origin of the discourse and drops off sharply as the discourse moves toward policy venues</w:t>
      </w:r>
      <w:r>
        <w:t xml:space="preserve"> </w:t>
      </w:r>
      <w:hyperlink w:anchor="ref-1">
        <w:r>
          <w:rPr>
            <w:rStyle w:val="Hyperlink"/>
          </w:rPr>
          <w:t xml:space="preserve">[1]</w:t>
        </w:r>
      </w:hyperlink>
      <w:r>
        <w:t xml:space="preserve">. A reader tempted to treat the venue effect as a statistical curiosity should register that its size, relative to the outcome, makes it the dominant structural feature of the corpus. The constant of 3.1062 sets the baseline against which this decline runs, anchoring a hypothetical low-venue record near the upper part of the observed signal range before the venue penalty pulls it down</w:t>
      </w:r>
      <w:r>
        <w:t xml:space="preserve"> </w:t>
      </w:r>
      <w:hyperlink w:anchor="ref-2">
        <w:r>
          <w:rPr>
            <w:rStyle w:val="Hyperlink"/>
          </w:rPr>
          <w:t xml:space="preserve">[2]</w:t>
        </w:r>
      </w:hyperlink>
      <w:r>
        <w:t xml:space="preserve">.</w:t>
      </w:r>
    </w:p>
    <w:p>
      <w:pPr>
        <w:pStyle w:val="BodyText"/>
        <w:spacing w:line="480" w:lineRule="auto"/>
        <w:ind w:firstLine="720"/>
      </w:pPr>
      <w:r>
        <w:t xml:space="preserve">The intercept itself carries interpretable content and is precisely estimated, with a p-value of 0.0106</w:t>
      </w:r>
      <w:r>
        <w:t xml:space="preserve"> </w:t>
      </w:r>
      <w:hyperlink w:anchor="ref-1">
        <w:r>
          <w:rPr>
            <w:rStyle w:val="Hyperlink"/>
          </w:rPr>
          <w:t xml:space="preserve">[1]</w:t>
        </w:r>
      </w:hyperlink>
      <w:r>
        <w:t xml:space="preserve">. It represents the modeled signal for a record at the reference values of the predictors, and its significance confirms that the model is anchored on a nonzero baseline rather than floating. This matters for reading the venue slope: a steep negative slope from a well-determined intercept describes a real descent from a real starting point, not an artifact of an unidentified constant</w:t>
      </w:r>
      <w:r>
        <w:t xml:space="preserve"> </w:t>
      </w:r>
      <w:hyperlink w:anchor="ref-4">
        <w:r>
          <w:rPr>
            <w:rStyle w:val="Hyperlink"/>
          </w:rPr>
          <w:t xml:space="preserve">[4]</w:t>
        </w:r>
      </w:hyperlink>
      <w:r>
        <w:t xml:space="preserve">.</w:t>
      </w:r>
    </w:p>
    <w:bookmarkEnd w:id="111"/>
    <w:bookmarkStart w:id="112" w:name="X6d1b83bbb8eac6a23a14bf5778c5af2fbd94df5"/>
    <w:p>
      <w:pPr>
        <w:pStyle w:val="Heading2"/>
        <w:spacing w:line="480" w:lineRule="auto"/>
      </w:pPr>
      <w:r>
        <w:t xml:space="preserve">6.6 Why the recency near-miss is not a confirmation</w:t>
      </w:r>
    </w:p>
    <w:p>
      <w:pPr>
        <w:pStyle w:val="FirstParagraph"/>
        <w:spacing w:line="480" w:lineRule="auto"/>
      </w:pPr>
      <w:r>
        <w:t xml:space="preserve">It is worth pausing on the recency term to forestall a common misreading. The coefficient is 0.1685, positive and in the predicted direction, and a reader eager for confirmation might be tempted to count it</w:t>
      </w:r>
      <w:r>
        <w:t xml:space="preserve"> </w:t>
      </w:r>
      <w:hyperlink w:anchor="ref-1">
        <w:r>
          <w:rPr>
            <w:rStyle w:val="Hyperlink"/>
          </w:rPr>
          <w:t xml:space="preserve">[1]</w:t>
        </w:r>
      </w:hyperlink>
      <w:r>
        <w:t xml:space="preserve">. The p-value of 0.1559 forbids this. A coefficient that does not clear its significance threshold provides no evidence for its sign; the estimate is consistent with a true value of zero, and its apparent positivity could be sampling noise</w:t>
      </w:r>
      <w:r>
        <w:t xml:space="preserve"> </w:t>
      </w:r>
      <w:hyperlink w:anchor="ref-2">
        <w:r>
          <w:rPr>
            <w:rStyle w:val="Hyperlink"/>
          </w:rPr>
          <w:t xml:space="preserve">[2]</w:t>
        </w:r>
      </w:hyperlink>
      <w:r>
        <w:t xml:space="preserve">. The theory in Chapter 3 precommitted to this reading, and honoring the precommitment is what separates a disciplined screen from a hopeful one. The recency estimate is reported, its direction is noted, and it is leaned on for nothing</w:t>
      </w:r>
      <w:r>
        <w:t xml:space="preserve"> </w:t>
      </w:r>
      <w:hyperlink w:anchor="ref-4">
        <w:r>
          <w:rPr>
            <w:rStyle w:val="Hyperlink"/>
          </w:rPr>
          <w:t xml:space="preserve">[4]</w:t>
        </w:r>
      </w:hyperlink>
      <w:r>
        <w:t xml:space="preserve">. What it licenses is a modest statement: recency did not contradict the ascending-topic account, and a larger sample might resolve the term. What it does not license is any claim that recent records demonstrably express the theme more densely. That claim would require significance the data did not supply</w:t>
      </w:r>
      <w:r>
        <w:t xml:space="preserve"> </w:t>
      </w:r>
      <w:hyperlink w:anchor="ref-6">
        <w:r>
          <w:rPr>
            <w:rStyle w:val="Hyperlink"/>
          </w:rPr>
          <w:t xml:space="preserve">[6]</w:t>
        </w:r>
      </w:hyperlink>
      <w:r>
        <w:t xml:space="preserve">.</w:t>
      </w:r>
    </w:p>
    <w:p>
      <w:pPr>
        <w:pStyle w:val="BodyText"/>
        <w:spacing w:line="480" w:lineRule="auto"/>
        <w:ind w:firstLine="720"/>
      </w:pPr>
      <w:r>
        <w:t xml:space="preserve">The distributional discussion of Chapter 5 explains why the term underperforms. With thin coverage of each publication year across thirty records, the recency gradient is estimated from few observations per level, and the standard error of 0.1188 is correspondingly wide relative to the coefficient of 0.1685</w:t>
      </w:r>
      <w:r>
        <w:t xml:space="preserve"> </w:t>
      </w:r>
      <w:hyperlink w:anchor="ref-1">
        <w:r>
          <w:rPr>
            <w:rStyle w:val="Hyperlink"/>
          </w:rPr>
          <w:t xml:space="preserve">[1]</w:t>
        </w:r>
      </w:hyperlink>
      <w:r>
        <w:t xml:space="preserve">. The estimate and its uncertainty are of similar size, which is the arithmetic signature of a near-miss. Nothing is wrong with the estimation; the data simply lack the resolution to pin the recency slope down.</w:t>
      </w:r>
    </w:p>
    <w:bookmarkEnd w:id="112"/>
    <w:bookmarkStart w:id="113" w:name="the-two-results-together"/>
    <w:p>
      <w:pPr>
        <w:pStyle w:val="Heading2"/>
        <w:spacing w:line="480" w:lineRule="auto"/>
      </w:pPr>
      <w:r>
        <w:t xml:space="preserve">6.7 The two results together</w:t>
      </w:r>
    </w:p>
    <w:p>
      <w:pPr>
        <w:pStyle w:val="FirstParagraph"/>
        <w:spacing w:line="480" w:lineRule="auto"/>
      </w:pPr>
      <w:r>
        <w:t xml:space="preserve">Set the models side by side. The cross-sectional estimator rejects its joint null decisively, F p-value 0.0016, and locates the topic’s structure in venue family, with a strong significant negative venue coefficient of -0.7664 and a suggestive positive recency coefficient of 0.1685 that does not reach significance. The dynamic estimator finds no resolvable accumulation curve, R2 of 0.0111, with an insignificant age elasticity of 0.1292</w:t>
      </w:r>
      <w:r>
        <w:t xml:space="preserve"> </w:t>
      </w:r>
      <w:hyperlink w:anchor="ref-1">
        <w:r>
          <w:rPr>
            <w:rStyle w:val="Hyperlink"/>
          </w:rPr>
          <w:t xml:space="preserve">[1]</w:t>
        </w:r>
      </w:hyperlink>
      <w:r>
        <w:t xml:space="preserve"> </w:t>
      </w:r>
      <w:hyperlink w:anchor="ref-4">
        <w:r>
          <w:rPr>
            <w:rStyle w:val="Hyperlink"/>
          </w:rPr>
          <w:t xml:space="preserve">[4]</w:t>
        </w:r>
      </w:hyperlink>
      <w:r>
        <w:t xml:space="preserve">. This split is the dissertation’s actual empirical result, and it is more informative than a clean confirmation would have been. H0 is rejected for the cross-sectional structure: the topic signal is systematically related to venue family, and jointly to the three predictors, so the corpus is structured</w:t>
      </w:r>
      <w:r>
        <w:t xml:space="preserve"> </w:t>
      </w:r>
      <w:hyperlink w:anchor="ref-2">
        <w:r>
          <w:rPr>
            <w:rStyle w:val="Hyperlink"/>
          </w:rPr>
          <w:t xml:space="preserve">[2]</w:t>
        </w:r>
      </w:hyperlink>
      <w:r>
        <w:t xml:space="preserve"> </w:t>
      </w:r>
      <w:hyperlink w:anchor="ref-3">
        <w:r>
          <w:rPr>
            <w:rStyle w:val="Hyperlink"/>
          </w:rPr>
          <w:t xml:space="preserve">[3]</w:t>
        </w:r>
      </w:hyperlink>
      <w:r>
        <w:t xml:space="preserve">. H0 is not rejected for citation attention within that model, nor for the age-based accumulation curve in the second model</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topic is legible in the corpus along one axis, venue, and invisible along another, citation dynamics.</w:t>
      </w:r>
    </w:p>
    <w:p>
      <w:pPr>
        <w:pStyle w:val="BodyText"/>
        <w:spacing w:line="480" w:lineRule="auto"/>
        <w:ind w:firstLine="720"/>
      </w:pPr>
      <w:r>
        <w:t xml:space="preserve">Reading the two together yields a disciplined statement. The candidate theme has a measurable structural signature in the retrieved literature, concentrated in the technical venue rungs and thinning toward policy venues, and detectable jointly across the specified features. It does not, in this evidence, ride a resolvable citation-accumulation curve, because the local citation counts are too sparse to carry that claim</w:t>
      </w:r>
      <w:r>
        <w:t xml:space="preserve"> </w:t>
      </w:r>
      <w:hyperlink w:anchor="ref-6">
        <w:r>
          <w:rPr>
            <w:rStyle w:val="Hyperlink"/>
          </w:rPr>
          <w:t xml:space="preserve">[6]</w:t>
        </w:r>
      </w:hyperlink>
      <w:r>
        <w:t xml:space="preserve">. Every number in this chapter can be recomputed from the released workbooks.</w:t>
      </w:r>
    </w:p>
    <w:p>
      <w:pPr>
        <w:pStyle w:val="BodyText"/>
        <w:spacing w:line="480" w:lineRule="auto"/>
        <w:ind w:firstLine="720"/>
      </w:pPr>
      <w:r>
        <w:t xml:space="preserve">One model spoke. The other stayed silent. Both are reported whole.</w:t>
      </w:r>
    </w:p>
    <w:bookmarkEnd w:id="113"/>
    <w:bookmarkStart w:id="114" w:name="mapping-the-results-to-the-hypotheses"/>
    <w:p>
      <w:pPr>
        <w:pStyle w:val="Heading2"/>
        <w:spacing w:line="480" w:lineRule="auto"/>
      </w:pPr>
      <w:r>
        <w:t xml:space="preserve">6.8 Mapping the results to the hypotheses</w:t>
      </w:r>
    </w:p>
    <w:p>
      <w:pPr>
        <w:pStyle w:val="FirstParagraph"/>
        <w:spacing w:line="480" w:lineRule="auto"/>
      </w:pPr>
      <w:r>
        <w:t xml:space="preserve">It helps to state the correspondence between the numbers and the hypotheses explicitly, so that no reader is left to infer which prediction each coefficient settled. The overarching pair from Chapter 1 was H0, that the topic signal is unrelated to recency, citation, and venue, against H1, that it is systematically related. The joint F-test is the primary adjudicator of that pair. With F equal to 6.7919 and an F p-value of 0.0016, the cross-sectional model rejects the joint null</w:t>
      </w:r>
      <w:r>
        <w:t xml:space="preserve"> </w:t>
      </w:r>
      <w:hyperlink w:anchor="ref-1">
        <w:r>
          <w:rPr>
            <w:rStyle w:val="Hyperlink"/>
          </w:rPr>
          <w:t xml:space="preserve">[1]</w:t>
        </w:r>
      </w:hyperlink>
      <w:r>
        <w:t xml:space="preserve">. On the terms the design fixed in advance, this is the decisive evidence for H1 at the corpus-structure level: the three predictors together organize the topic signal to a degree unlikely under the null. The individual coefficients then decompose that joint result, showing that the venue term carries the structure, the recency term points the right way without reaching significance, and the citation term contributes nothing detectable</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The four decomposed predictions resolve as follows. Prediction 3 on venue is confirmed, with a coefficient of -0.7664 at a p-value of 0.0055, and its sign is resolved as negative</w:t>
      </w:r>
      <w:r>
        <w:t xml:space="preserve"> </w:t>
      </w:r>
      <w:hyperlink w:anchor="ref-3">
        <w:r>
          <w:rPr>
            <w:rStyle w:val="Hyperlink"/>
          </w:rPr>
          <w:t xml:space="preserve">[3]</w:t>
        </w:r>
      </w:hyperlink>
      <w:r>
        <w:t xml:space="preserve">. Prediction 1 on recency is not confirmed, the coefficient of 0.1685 sitting at a p-value of 0.1559, and it is read as a directional near-miss</w:t>
      </w:r>
      <w:r>
        <w:t xml:space="preserve"> </w:t>
      </w:r>
      <w:hyperlink w:anchor="ref-1">
        <w:r>
          <w:rPr>
            <w:rStyle w:val="Hyperlink"/>
          </w:rPr>
          <w:t xml:space="preserve">[1]</w:t>
        </w:r>
      </w:hyperlink>
      <w:r>
        <w:t xml:space="preserve">. Prediction 2 on citation attention is not confirmed, the coefficient of -0.0235 at a p-value of 0.6821 being a null</w:t>
      </w:r>
      <w:r>
        <w:t xml:space="preserve"> </w:t>
      </w:r>
      <w:hyperlink w:anchor="ref-4">
        <w:r>
          <w:rPr>
            <w:rStyle w:val="Hyperlink"/>
          </w:rPr>
          <w:t xml:space="preserve">[4]</w:t>
        </w:r>
      </w:hyperlink>
      <w:r>
        <w:t xml:space="preserve">. Prediction 4 on accumulation is not confirmed, the age elasticity of 0.1292 at a p-value of 0.4852 inside a model with an R2 of 0.0111</w:t>
      </w:r>
      <w:r>
        <w:t xml:space="preserve"> </w:t>
      </w:r>
      <w:hyperlink w:anchor="ref-5">
        <w:r>
          <w:rPr>
            <w:rStyle w:val="Hyperlink"/>
          </w:rPr>
          <w:t xml:space="preserve">[5]</w:t>
        </w:r>
      </w:hyperlink>
      <w:r>
        <w:t xml:space="preserve">.</w:t>
      </w:r>
    </w:p>
    <w:p>
      <w:pPr>
        <w:pStyle w:val="BodyText"/>
        <w:spacing w:line="480" w:lineRule="auto"/>
        <w:ind w:firstLine="720"/>
      </w:pPr>
      <w:r>
        <w:t xml:space="preserve">The pattern across the four is the dissertation’s result in compact form. One structural feature is confirmed decisively, one points the right way without significance, and two return nulls traceable to the sparsity of the citation measure</w:t>
      </w:r>
      <w:r>
        <w:t xml:space="preserve"> </w:t>
      </w:r>
      <w:hyperlink w:anchor="ref-6">
        <w:r>
          <w:rPr>
            <w:rStyle w:val="Hyperlink"/>
          </w:rPr>
          <w:t xml:space="preserve">[6]</w:t>
        </w:r>
      </w:hyperlink>
      <w:r>
        <w:t xml:space="preserve">. The joint test says the corpus is structured; the decomposition says the structure lives in venue. This is a bounded, honest answer to the hypothesis pair, and it is the answer the released workbooks produce without adjustment. Chapter 7 turns to what the split result means, what threatens its validity, and what the data are simply unable to show.</w:t>
      </w:r>
    </w:p>
    <w:bookmarkEnd w:id="114"/>
    <w:bookmarkEnd w:id="115"/>
    <w:bookmarkStart w:id="125" w:name="chapter-7-discussion-and-limitations"/>
    <w:p>
      <w:pPr>
        <w:pStyle w:val="Heading1"/>
        <w:spacing w:line="480" w:lineRule="auto"/>
      </w:pPr>
      <w:r>
        <w:t xml:space="preserve">Chapter 7: Discussion and Limitations</w:t>
      </w:r>
    </w:p>
    <w:p>
      <w:pPr>
        <w:pStyle w:val="FirstParagraph"/>
        <w:spacing w:line="480" w:lineRule="auto"/>
      </w:pPr>
      <w:r>
        <w:t xml:space="preserve">The chapter’s structure follows the shape of the result. It interprets the one strong finding, then the one near-miss, then the two nulls, before turning to the threats that could undermine any of them and the boundaries the whole exercise cannot cross</w:t>
      </w:r>
      <w:r>
        <w:t xml:space="preserve"> </w:t>
      </w:r>
      <w:hyperlink w:anchor="ref-1">
        <w:r>
          <w:rPr>
            <w:rStyle w:val="Hyperlink"/>
          </w:rPr>
          <w:t xml:space="preserve">[1]</w:t>
        </w:r>
      </w:hyperlink>
      <w:r>
        <w:t xml:space="preserve"> </w:t>
      </w:r>
      <w:hyperlink w:anchor="ref-4">
        <w:r>
          <w:rPr>
            <w:rStyle w:val="Hyperlink"/>
          </w:rPr>
          <w:t xml:space="preserve">[4]</w:t>
        </w:r>
      </w:hyperlink>
      <w:r>
        <w:t xml:space="preserve">. Ordering the discussion this way, from the most secure claim to the least, keeps the reader oriented to how much weight each part of the result can bear, which is the central discipline a corpus screen owes its audience</w:t>
      </w:r>
      <w:r>
        <w:t xml:space="preserve"> </w:t>
      </w:r>
      <w:hyperlink w:anchor="ref-9">
        <w:r>
          <w:rPr>
            <w:rStyle w:val="Hyperlink"/>
          </w:rPr>
          <w:t xml:space="preserve">[9]</w:t>
        </w:r>
      </w:hyperlink>
      <w:r>
        <w:t xml:space="preserve">. A split result demands a careful reading. One estimator found sharp structure; the other found none. This chapter interprets what that pattern means, subjects it to the threats that could undermine it, and marks the boundary between what the data show and what they cannot. The tone throughout is deflationary by design, because a corpus screen that inflates its findings would betray the discipline that justified running it.</w:t>
      </w:r>
    </w:p>
    <w:bookmarkStart w:id="116" w:name="what-the-venue-finding-means"/>
    <w:p>
      <w:pPr>
        <w:pStyle w:val="Heading2"/>
        <w:spacing w:line="480" w:lineRule="auto"/>
      </w:pPr>
      <w:r>
        <w:t xml:space="preserve">7.1 What the venue finding means</w:t>
      </w:r>
    </w:p>
    <w:p>
      <w:pPr>
        <w:pStyle w:val="FirstParagraph"/>
        <w:spacing w:line="480" w:lineRule="auto"/>
      </w:pPr>
      <w:r>
        <w:t xml:space="preserve">The clearest result is the negative venue coefficient of -0.7664, significant at a p-value of 0.0055</w:t>
      </w:r>
      <w:r>
        <w:t xml:space="preserve"> </w:t>
      </w:r>
      <w:hyperlink w:anchor="ref-3">
        <w:r>
          <w:rPr>
            <w:rStyle w:val="Hyperlink"/>
          </w:rPr>
          <w:t xml:space="preserve">[3]</w:t>
        </w:r>
      </w:hyperlink>
      <w:r>
        <w:t xml:space="preserve">. The topic signal falls as one moves up the venue ladder from technical proceedings toward policy journals. This is worth dwelling on because it is counterintuitive to anyone who assumed a governance theme would be densest in governance venues. The interpretation that fits the mechanism from Chapter 3 is maturation-stage anchoring.</w:t>
      </w:r>
    </w:p>
    <w:p>
      <w:pPr>
        <w:pStyle w:val="BodyText"/>
        <w:spacing w:line="480" w:lineRule="auto"/>
        <w:ind w:firstLine="720"/>
      </w:pPr>
      <w:r>
        <w:t xml:space="preserve">The candidate theme lives, on this measure, closest to its technical origin. Cislunar work begins in fast conference venues where operators and analysts first name the domain’s problems, and the theme-term vocabulary the signal score counts is densest there</w:t>
      </w:r>
      <w:r>
        <w:t xml:space="preserve"> </w:t>
      </w:r>
      <w:hyperlink w:anchor="ref-1">
        <w:r>
          <w:rPr>
            <w:rStyle w:val="Hyperlink"/>
          </w:rPr>
          <w:t xml:space="preserve">[1]</w:t>
        </w:r>
      </w:hyperlink>
      <w:r>
        <w:t xml:space="preserve"> </w:t>
      </w:r>
      <w:hyperlink w:anchor="ref-2">
        <w:r>
          <w:rPr>
            <w:rStyle w:val="Hyperlink"/>
          </w:rPr>
          <w:t xml:space="preserve">[2]</w:t>
        </w:r>
      </w:hyperlink>
      <w:r>
        <w:t xml:space="preserve">. As the discourse migrates toward Acta Astronautica and the space-economy family, it is rephrased in more general policy language that expresses the specific theme vocabulary less densely, even as it engages the substance more broadly</w:t>
      </w:r>
      <w:r>
        <w:t xml:space="preserve"> </w:t>
      </w:r>
      <w:hyperlink w:anchor="ref-9">
        <w:r>
          <w:rPr>
            <w:rStyle w:val="Hyperlink"/>
          </w:rPr>
          <w:t xml:space="preserve">[9]</w:t>
        </w:r>
      </w:hyperlink>
      <w:r>
        <w:t xml:space="preserve">. The negative coefficient thus records a real feature of how the topic is distributed, not an absence of policy interest. There is a competing interpretation worth naming. The venue ladder is ordinal and coded by hand, and its three rungs mix genre with maturity. A negative coefficient could partly reflect that technical proceedings simply use more keyword-dense metadata than policy journals, a genre effect rather than a topic effect</w:t>
      </w:r>
      <w:r>
        <w:t xml:space="preserve"> </w:t>
      </w:r>
      <w:hyperlink w:anchor="ref-6">
        <w:r>
          <w:rPr>
            <w:rStyle w:val="Hyperlink"/>
          </w:rPr>
          <w:t xml:space="preserve">[6]</w:t>
        </w:r>
      </w:hyperlink>
      <w:r>
        <w:t xml:space="preserve">. The dissertation cannot fully separate these, and it should not pretend to. What it can say is that the venue axis carries significant structure, and that the most economical reading ties that structure to the topic’s technical anchoring. The genre caveat bounds the claim without erasing it.</w:t>
      </w:r>
    </w:p>
    <w:p>
      <w:pPr>
        <w:pStyle w:val="BodyText"/>
        <w:spacing w:line="480" w:lineRule="auto"/>
        <w:ind w:firstLine="720"/>
      </w:pPr>
      <w:r>
        <w:t xml:space="preserve">A reader might ask why the dissertation invests so much in a single significant coefficient.</w:t>
      </w:r>
    </w:p>
    <w:p>
      <w:pPr>
        <w:pStyle w:val="BodyText"/>
        <w:spacing w:line="480" w:lineRule="auto"/>
        <w:ind w:firstLine="720"/>
      </w:pPr>
      <w:r>
        <w:t xml:space="preserve">The answer is that in a corpus screen a single well-identified structural finding is the deliverable, not a consolation. The venue coefficient is precisely estimated, survives the robust standard errors, and resolves a sign the theory left open, which is exactly the profile of a result worth building on</w:t>
      </w:r>
      <w:r>
        <w:t xml:space="preserve"> </w:t>
      </w:r>
      <w:hyperlink w:anchor="ref-3">
        <w:r>
          <w:rPr>
            <w:rStyle w:val="Hyperlink"/>
          </w:rPr>
          <w:t xml:space="preserve">[3]</w:t>
        </w:r>
      </w:hyperlink>
      <w:r>
        <w:t xml:space="preserve">. A study that reported five weak associations would offer less than one strong, auditable one. The venue finding is the load the bridge can bear, and the chapter spends its attention accordingly</w:t>
      </w:r>
      <w:r>
        <w:t xml:space="preserve"> </w:t>
      </w:r>
      <w:hyperlink w:anchor="ref-2">
        <w:r>
          <w:rPr>
            <w:rStyle w:val="Hyperlink"/>
          </w:rPr>
          <w:t xml:space="preserve">[2]</w:t>
        </w:r>
      </w:hyperlink>
      <w:r>
        <w:t xml:space="preserve">.</w:t>
      </w:r>
    </w:p>
    <w:bookmarkEnd w:id="116"/>
    <w:bookmarkStart w:id="117" w:name="what-the-recency-near-miss-means"/>
    <w:p>
      <w:pPr>
        <w:pStyle w:val="Heading2"/>
        <w:spacing w:line="480" w:lineRule="auto"/>
      </w:pPr>
      <w:r>
        <w:t xml:space="preserve">7.2 What the recency near-miss means</w:t>
      </w:r>
    </w:p>
    <w:p>
      <w:pPr>
        <w:pStyle w:val="FirstParagraph"/>
        <w:spacing w:line="480" w:lineRule="auto"/>
      </w:pPr>
      <w:r>
        <w:t xml:space="preserve">Recency pointed the predicted way, coefficient 0.1685, but missed significance at a p-value of 0.1559</w:t>
      </w:r>
      <w:r>
        <w:t xml:space="preserve"> </w:t>
      </w:r>
      <w:hyperlink w:anchor="ref-1">
        <w:r>
          <w:rPr>
            <w:rStyle w:val="Hyperlink"/>
          </w:rPr>
          <w:t xml:space="preserve">[1]</w:t>
        </w:r>
      </w:hyperlink>
      <w:r>
        <w:t xml:space="preserve">.</w:t>
      </w:r>
    </w:p>
    <w:p>
      <w:pPr>
        <w:pStyle w:val="BodyText"/>
        <w:spacing w:line="480" w:lineRule="auto"/>
        <w:ind w:firstLine="720"/>
      </w:pPr>
      <w:r>
        <w:t xml:space="preserve">The temptation is to call this a soft confirmation. The theory forbids that, and the forbidding is correct. A coefficient that does not clear its threshold is not evidence for its sign; it is an absence of evidence about its sign. The most one can say is that recency did not contradict the ascending-topic account and might reach significance in a larger sample.</w:t>
      </w:r>
    </w:p>
    <w:p>
      <w:pPr>
        <w:pStyle w:val="BodyText"/>
        <w:spacing w:line="480" w:lineRule="auto"/>
        <w:ind w:firstLine="720"/>
      </w:pPr>
      <w:r>
        <w:t xml:space="preserve">The likely reason recency underperforms is the same coarseness that shapes the whole design.</w:t>
      </w:r>
    </w:p>
    <w:p>
      <w:pPr>
        <w:pStyle w:val="BodyText"/>
        <w:spacing w:line="480" w:lineRule="auto"/>
        <w:ind w:firstLine="720"/>
      </w:pPr>
      <w:r>
        <w:t xml:space="preserve">With thirty records and a signal score that takes only a few values, the recency term has little room to demonstrate a gradient</w:t>
      </w:r>
      <w:r>
        <w:t xml:space="preserve"> </w:t>
      </w:r>
      <w:hyperlink w:anchor="ref-2">
        <w:r>
          <w:rPr>
            <w:rStyle w:val="Hyperlink"/>
          </w:rPr>
          <w:t xml:space="preserve">[2]</w:t>
        </w:r>
      </w:hyperlink>
      <w:r>
        <w:t xml:space="preserve">. A larger and finer-grained corpus is the obvious remedy, and Chapter 8 names it as future work. For now the recency prediction rests in the honest limbo of a suggestive near-miss, reported plainly and leaned on for nothing. The near-miss also illustrates a general hazard the dissertation navigates deliberately: the pull toward reading a favorable sign as if it were a result. A positive recency coefficient fits the story the project set out to tell, and that fit generates a temptation to soften the significance threshold just enough to claim it</w:t>
      </w:r>
      <w:r>
        <w:t xml:space="preserve"> </w:t>
      </w:r>
      <w:hyperlink w:anchor="ref-1">
        <w:r>
          <w:rPr>
            <w:rStyle w:val="Hyperlink"/>
          </w:rPr>
          <w:t xml:space="preserve">[1]</w:t>
        </w:r>
      </w:hyperlink>
      <w:r>
        <w:t xml:space="preserve">. The design resists by holding the threshold fixed and reporting the term as a near-miss, no matter how congenial its direction. Resisting this pull on a term one wanted to confirm is harder than resisting it on a term one did not, which is exactly why the resistance is worth naming</w:t>
      </w:r>
      <w:r>
        <w:t xml:space="preserve"> </w:t>
      </w:r>
      <w:hyperlink w:anchor="ref-2">
        <w:r>
          <w:rPr>
            <w:rStyle w:val="Hyperlink"/>
          </w:rPr>
          <w:t xml:space="preserve">[2]</w:t>
        </w:r>
      </w:hyperlink>
      <w:r>
        <w:t xml:space="preserve">.</w:t>
      </w:r>
    </w:p>
    <w:bookmarkEnd w:id="117"/>
    <w:bookmarkStart w:id="118" w:name="why-citation-attention-went-null"/>
    <w:p>
      <w:pPr>
        <w:pStyle w:val="Heading2"/>
        <w:spacing w:line="480" w:lineRule="auto"/>
      </w:pPr>
      <w:r>
        <w:t xml:space="preserve">7.3 Why citation attention went null</w:t>
      </w:r>
    </w:p>
    <w:p>
      <w:pPr>
        <w:pStyle w:val="FirstParagraph"/>
        <w:spacing w:line="480" w:lineRule="auto"/>
      </w:pPr>
      <w:r>
        <w:t xml:space="preserve">Two nulls concern citation. The citation coefficient in the cross-sectional model is -0.0235 at a p-value of 0.6821, and the age elasticity in the dynamic model is 0.1292 at a p-value of 0.4852, with the whole learning-curve model explaining only one percent of variance</w:t>
      </w:r>
      <w:r>
        <w:t xml:space="preserve"> </w:t>
      </w:r>
      <w:hyperlink w:anchor="ref-4">
        <w:r>
          <w:rPr>
            <w:rStyle w:val="Hyperlink"/>
          </w:rPr>
          <w:t xml:space="preserve">[4]</w:t>
        </w:r>
      </w:hyperlink>
      <w:r>
        <w:t xml:space="preserve"> </w:t>
      </w:r>
      <w:hyperlink w:anchor="ref-5">
        <w:r>
          <w:rPr>
            <w:rStyle w:val="Hyperlink"/>
          </w:rPr>
          <w:t xml:space="preserve">[5]</w:t>
        </w:r>
      </w:hyperlink>
      <w:r>
        <w:t xml:space="preserve">. Both point to the same root cause, and identifying it precisely is more useful than lamenting the nulls. The cause is the local citation counts. These are attention figures from a local index, not universal citation totals, and many records carry zero</w:t>
      </w:r>
      <w:r>
        <w:t xml:space="preserve"> </w:t>
      </w:r>
      <w:hyperlink w:anchor="ref-6">
        <w:r>
          <w:rPr>
            <w:rStyle w:val="Hyperlink"/>
          </w:rPr>
          <w:t xml:space="preserve">[6]</w:t>
        </w:r>
      </w:hyperlink>
      <w:r>
        <w:t xml:space="preserve">. A predictor that is zero for a large share of records cannot organize an outcome, and a dynamic outcome built on citation-plus-one cannot trace an accumulation curve when most of its mass sits at one. The nulls are therefore not evidence that citation attention is unrelated to the topic in the wider world. They are evidence that this measure of attention, on this corpus, lacks the variation to detect a relationship. The distinction is the difference between a substantive null and an instrumentation null, and this is the latter.</w:t>
      </w:r>
    </w:p>
    <w:p>
      <w:pPr>
        <w:pStyle w:val="BodyText"/>
        <w:spacing w:line="480" w:lineRule="auto"/>
        <w:ind w:firstLine="720"/>
      </w:pPr>
      <w:r>
        <w:t xml:space="preserve">Naming it an instrumentation null is not an excuse; it is a diagnosis with a fix. A design that drew citation counts from a universal index rather than a local one would give the attention variables room to vary, and would let the citation predictions be tested rather than merely attempted</w:t>
      </w:r>
      <w:r>
        <w:t xml:space="preserve"> </w:t>
      </w:r>
      <w:hyperlink w:anchor="ref-4">
        <w:r>
          <w:rPr>
            <w:rStyle w:val="Hyperlink"/>
          </w:rPr>
          <w:t xml:space="preserve">[4]</w:t>
        </w:r>
      </w:hyperlink>
      <w:r>
        <w:t xml:space="preserve">. Until that design is run, the honest statement is that the dissertation could not see citation structure, not that no citation structure exists.</w:t>
      </w:r>
    </w:p>
    <w:bookmarkEnd w:id="118"/>
    <w:bookmarkStart w:id="119" w:name="threats-to-validity"/>
    <w:p>
      <w:pPr>
        <w:pStyle w:val="Heading2"/>
        <w:spacing w:line="480" w:lineRule="auto"/>
      </w:pPr>
      <w:r>
        <w:t xml:space="preserve">7.4 Threats to validity</w:t>
      </w:r>
    </w:p>
    <w:p>
      <w:pPr>
        <w:pStyle w:val="FirstParagraph"/>
        <w:spacing w:line="480" w:lineRule="auto"/>
      </w:pPr>
      <w:r>
        <w:t xml:space="preserve">Several threats bear on the findings, and each is stated with its direction.</w:t>
      </w:r>
    </w:p>
    <w:p>
      <w:pPr>
        <w:pStyle w:val="BodyText"/>
        <w:spacing w:line="480" w:lineRule="auto"/>
        <w:ind w:firstLine="720"/>
      </w:pPr>
      <w:r>
        <w:t xml:space="preserve">Source-pack noise is the first. The thirty records were retrieved by topic match, and any retrieval introduces records that fit the theme loosely</w:t>
      </w:r>
      <w:r>
        <w:t xml:space="preserve"> </w:t>
      </w:r>
      <w:hyperlink w:anchor="ref-1">
        <w:r>
          <w:rPr>
            <w:rStyle w:val="Hyperlink"/>
          </w:rPr>
          <w:t xml:space="preserve">[1]</w:t>
        </w:r>
      </w:hyperlink>
      <w:r>
        <w:t xml:space="preserve">. Loose fit adds noise to the signal score, which biases coefficients toward zero and works against finding structure. The venue result survived that bias, which strengthens confidence in it; the citation nulls are consistent with it, which is a further reason to read them as instrumentation rather than substance</w:t>
      </w:r>
      <w:r>
        <w:t xml:space="preserve"> </w:t>
      </w:r>
      <w:hyperlink w:anchor="ref-2">
        <w:r>
          <w:rPr>
            <w:rStyle w:val="Hyperlink"/>
          </w:rPr>
          <w:t xml:space="preserve">[2]</w:t>
        </w:r>
      </w:hyperlink>
      <w:r>
        <w:t xml:space="preserve">. Small sample size is the second. Thirty records against four parameters in the cross-sectional model leaves thin degrees of freedom, and standard errors are correspondingly wide</w:t>
      </w:r>
      <w:r>
        <w:t xml:space="preserve"> </w:t>
      </w:r>
      <w:hyperlink w:anchor="ref-3">
        <w:r>
          <w:rPr>
            <w:rStyle w:val="Hyperlink"/>
          </w:rPr>
          <w:t xml:space="preserve">[3]</w:t>
        </w:r>
      </w:hyperlink>
      <w:r>
        <w:t xml:space="preserve">. Wide errors are why the recency term misses and why only a strong effect like venue clears significance. The sample is honest about this: it can detect large structure and will miss small structure, and the results distribute exactly as that limitation predicts. Ordinal venue coding is the third. The venue score treats the ladder as evenly spaced when it is not, and the strong venue coefficient depends on that coding</w:t>
      </w:r>
      <w:r>
        <w:t xml:space="preserve"> </w:t>
      </w:r>
      <w:hyperlink w:anchor="ref-3">
        <w:r>
          <w:rPr>
            <w:rStyle w:val="Hyperlink"/>
          </w:rPr>
          <w:t xml:space="preserve">[3]</w:t>
        </w:r>
      </w:hyperlink>
      <w:r>
        <w:t xml:space="preserve">. A different ordering, or a treatment of venue as unordered categories, could shift the estimate. The dissertation reports the coding rule so that a reader can test sensitivity, and it declines to overread the cardinal magnitude of the coefficient while trusting its sign and significance.</w:t>
      </w:r>
    </w:p>
    <w:p>
      <w:pPr>
        <w:pStyle w:val="BodyText"/>
        <w:spacing w:line="480" w:lineRule="auto"/>
        <w:ind w:firstLine="720"/>
      </w:pPr>
      <w:r>
        <w:t xml:space="preserve">The fourth threat is the deepest and the design concedes it openly. This is a study of corpus structure, not of causal policy impact and not of state behavior</w:t>
      </w:r>
      <w:r>
        <w:t xml:space="preserve"> </w:t>
      </w:r>
      <w:hyperlink w:anchor="ref-9">
        <w:r>
          <w:rPr>
            <w:rStyle w:val="Hyperlink"/>
          </w:rPr>
          <w:t xml:space="preserve">[9]</w:t>
        </w:r>
      </w:hyperlink>
      <w:r>
        <w:t xml:space="preserve">. No coefficient here identifies why the topic is distributed as it is, and none speaks to how any middle power actually aligns. The estimators describe a literature. They do not explain a world.</w:t>
      </w:r>
    </w:p>
    <w:bookmarkEnd w:id="119"/>
    <w:bookmarkStart w:id="120" w:name="Xbf5c61a72f85fced193b81c757974f7ce4238a2"/>
    <w:p>
      <w:pPr>
        <w:pStyle w:val="Heading2"/>
        <w:spacing w:line="480" w:lineRule="auto"/>
      </w:pPr>
      <w:r>
        <w:t xml:space="preserve">7.5 The instrumentation null as a distinct category</w:t>
      </w:r>
    </w:p>
    <w:p>
      <w:pPr>
        <w:pStyle w:val="FirstParagraph"/>
        <w:spacing w:line="480" w:lineRule="auto"/>
      </w:pPr>
      <w:r>
        <w:t xml:space="preserve">The distinction between an instrumentation null and a substantive null runs through this chapter, and it is worth developing as a general point because it is easy to state and hard to hold. A substantive null means the world contains no relationship to find; an instrumentation null means the measure lacks the resolution to find a relationship that may well exist</w:t>
      </w:r>
      <w:r>
        <w:t xml:space="preserve"> </w:t>
      </w:r>
      <w:hyperlink w:anchor="ref-4">
        <w:r>
          <w:rPr>
            <w:rStyle w:val="Hyperlink"/>
          </w:rPr>
          <w:t xml:space="preserve">[4]</w:t>
        </w:r>
      </w:hyperlink>
      <w:r>
        <w:t xml:space="preserve">. The two look identical in a coefficient table. Both show an estimate near zero with a large p-value. Only the surrounding context separates them. The context that separates them here is the distribution of the citation variable. Because that variable is a spike at zero for most records, it cannot organize an outcome regardless of any underlying truth, and a null estimated from such a variable is uninformative about the world</w:t>
      </w:r>
      <w:r>
        <w:t xml:space="preserve"> </w:t>
      </w:r>
      <w:hyperlink w:anchor="ref-6">
        <w:r>
          <w:rPr>
            <w:rStyle w:val="Hyperlink"/>
          </w:rPr>
          <w:t xml:space="preserve">[6]</w:t>
        </w:r>
      </w:hyperlink>
      <w:r>
        <w:t xml:space="preserve">. This is what licenses reading the citation nulls as instrumentation rather than substance. The reading is not a rescue of the hypothesis; it is a correct diagnosis of what a zero-dominated predictor can and cannot demonstrate, made against a distributional fact established before the estimation.</w:t>
      </w:r>
    </w:p>
    <w:p>
      <w:pPr>
        <w:pStyle w:val="BodyText"/>
        <w:spacing w:line="480" w:lineRule="auto"/>
        <w:ind w:firstLine="720"/>
      </w:pPr>
      <w:r>
        <w:t xml:space="preserve">The discipline is to apply this diagnosis symmetrically. A researcher must not label every inconvenient null as instrumentation while accepting every convenient significant result at face value</w:t>
      </w:r>
      <w:r>
        <w:t xml:space="preserve"> </w:t>
      </w:r>
      <w:hyperlink w:anchor="ref-5">
        <w:r>
          <w:rPr>
            <w:rStyle w:val="Hyperlink"/>
          </w:rPr>
          <w:t xml:space="preserve">[5]</w:t>
        </w:r>
      </w:hyperlink>
      <w:r>
        <w:t xml:space="preserve">. The safeguard is that the instrumentation reading is available only when a distributional fact supports it, and here it does: the citation variable’s near-degenerate distribution is documented in Chapter 5 independent of any result</w:t>
      </w:r>
      <w:r>
        <w:t xml:space="preserve"> </w:t>
      </w:r>
      <w:hyperlink w:anchor="ref-6">
        <w:r>
          <w:rPr>
            <w:rStyle w:val="Hyperlink"/>
          </w:rPr>
          <w:t xml:space="preserve">[6]</w:t>
        </w:r>
      </w:hyperlink>
      <w:r>
        <w:t xml:space="preserve">. The recency near-miss, by contrast, is not called instrumentation, because the recency variable does vary; it is called a small-sample imprecision, a different and milder condition. Matching each weak result to its correct cause, rather than to the most flattering one, is what keeps the honesty of the account intact</w:t>
      </w:r>
      <w:r>
        <w:t xml:space="preserve"> </w:t>
      </w:r>
      <w:hyperlink w:anchor="ref-1">
        <w:r>
          <w:rPr>
            <w:rStyle w:val="Hyperlink"/>
          </w:rPr>
          <w:t xml:space="preserve">[1]</w:t>
        </w:r>
      </w:hyperlink>
      <w:r>
        <w:t xml:space="preserve">.</w:t>
      </w:r>
    </w:p>
    <w:bookmarkEnd w:id="120"/>
    <w:bookmarkStart w:id="121" w:name="what-the-data-cannot-show"/>
    <w:p>
      <w:pPr>
        <w:pStyle w:val="Heading2"/>
        <w:spacing w:line="480" w:lineRule="auto"/>
      </w:pPr>
      <w:r>
        <w:t xml:space="preserve">7.6 What the data cannot show</w:t>
      </w:r>
    </w:p>
    <w:p>
      <w:pPr>
        <w:pStyle w:val="FirstParagraph"/>
        <w:spacing w:line="480" w:lineRule="auto"/>
      </w:pPr>
      <w:r>
        <w:t xml:space="preserve">It is worth stating the boundary in plain terms, because the title promises more than the evidence delivers, and the gap should not be papered over. The dissertation set out under the banner of a revealed-preference model of middle-power alignment. What it delivered is a validated measurement prelude: a demonstration that the alignment theme has a detectable structural signature in the technical literature, concentrated by venue, and a demonstration that the available citation measures cannot yet carry the attention half of the story</w:t>
      </w:r>
      <w:r>
        <w:t xml:space="preserve"> </w:t>
      </w:r>
      <w:hyperlink w:anchor="ref-4">
        <w:r>
          <w:rPr>
            <w:rStyle w:val="Hyperlink"/>
          </w:rPr>
          <w:t xml:space="preserve">[4]</w:t>
        </w:r>
      </w:hyperlink>
      <w:r>
        <w:t xml:space="preserve"> </w:t>
      </w:r>
      <w:hyperlink w:anchor="ref-9">
        <w:r>
          <w:rPr>
            <w:rStyle w:val="Hyperlink"/>
          </w:rPr>
          <w:t xml:space="preserve">[9]</w:t>
        </w:r>
      </w:hyperlink>
      <w:r>
        <w:t xml:space="preserve">. The data cannot show that any state hedges. They contain no state-level variable, no alignment choice, no participation record</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They cannot show that the topic’s salience will keep rising; the recency term is too imprecise to project a trend</w:t>
      </w:r>
      <w:r>
        <w:t xml:space="preserve"> </w:t>
      </w:r>
      <w:hyperlink w:anchor="ref-1">
        <w:r>
          <w:rPr>
            <w:rStyle w:val="Hyperlink"/>
          </w:rPr>
          <w:t xml:space="preserve">[1]</w:t>
        </w:r>
      </w:hyperlink>
      <w:r>
        <w:t xml:space="preserve">. And they cannot show universal citation dynamics; the local counts foreclose that</w:t>
      </w:r>
      <w:r>
        <w:t xml:space="preserve"> </w:t>
      </w:r>
      <w:hyperlink w:anchor="ref-6">
        <w:r>
          <w:rPr>
            <w:rStyle w:val="Hyperlink"/>
          </w:rPr>
          <w:t xml:space="preserve">[6]</w:t>
        </w:r>
      </w:hyperlink>
      <w:r>
        <w:t xml:space="preserve">. These are not failures of execution. They are the honest edge of a bounded design, and marking the edge is what separates a doctoral corpus screen from an op-ed.</w:t>
      </w:r>
    </w:p>
    <w:bookmarkEnd w:id="121"/>
    <w:bookmarkStart w:id="122" w:name="Xd4425372b4e53f9a8e89dd35864a067eb86eabb"/>
    <w:p>
      <w:pPr>
        <w:pStyle w:val="Heading2"/>
        <w:spacing w:line="480" w:lineRule="auto"/>
      </w:pPr>
      <w:r>
        <w:t xml:space="preserve">7.7 Alternative explanations for the venue finding</w:t>
      </w:r>
    </w:p>
    <w:p>
      <w:pPr>
        <w:pStyle w:val="FirstParagraph"/>
        <w:spacing w:line="480" w:lineRule="auto"/>
      </w:pPr>
      <w:r>
        <w:t xml:space="preserve">Good practice requires taking seriously the explanations for the venue result that do not involve the topic at all, because the finding is the dissertation’s strongest claim and a strong claim earns the most scrutiny. Chapter 3 named the rival mechanisms in advance; here they are weighed against the estimate. Consider first the genre-density explanation. Technical proceedings may carry keyword-rich metadata as a matter of publishing convention, while policy journals write sparer titles and abstracts</w:t>
      </w:r>
      <w:r>
        <w:t xml:space="preserve"> </w:t>
      </w:r>
      <w:hyperlink w:anchor="ref-6">
        <w:r>
          <w:rPr>
            <w:rStyle w:val="Hyperlink"/>
          </w:rPr>
          <w:t xml:space="preserve">[6]</w:t>
        </w:r>
      </w:hyperlink>
      <w:r>
        <w:t xml:space="preserve">. If so, a signal score built on metadata term hits would decline up the venue ladder for reasons of house style rather than topic anchoring. This explanation cannot be dismissed on the present data, and the dissertation does not dismiss it. What can be said is that it does not erase the finding: even if part of the venue coefficient reflects genre, the coefficient’s size, about three-quarters of a signal point per rung, is large enough that a purely stylistic account strains to explain all of it</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honest position is that the venue effect is real and its interpretation is partly contested.</w:t>
      </w:r>
    </w:p>
    <w:p>
      <w:pPr>
        <w:pStyle w:val="BodyText"/>
        <w:spacing w:line="480" w:lineRule="auto"/>
        <w:ind w:firstLine="720"/>
      </w:pPr>
      <w:r>
        <w:t xml:space="preserve">Consider next the funding-cycle rival. If a burst of funded technical work happened to coincide with the retrieval window, the lower venue rungs could be overpopulated with theme-dense records for budgetary rather than salience reasons</w:t>
      </w:r>
      <w:r>
        <w:t xml:space="preserve"> </w:t>
      </w:r>
      <w:hyperlink w:anchor="ref-3">
        <w:r>
          <w:rPr>
            <w:rStyle w:val="Hyperlink"/>
          </w:rPr>
          <w:t xml:space="preserve">[3]</w:t>
        </w:r>
      </w:hyperlink>
      <w:r>
        <w:t xml:space="preserve">. This rival predicts concentration in time and venue, not a smooth gradient, and the venue coefficient is estimated across a pack spanning several years, which weakens the pure funding-cycle story</w:t>
      </w:r>
      <w:r>
        <w:t xml:space="preserve"> </w:t>
      </w:r>
      <w:hyperlink w:anchor="ref-1">
        <w:r>
          <w:rPr>
            <w:rStyle w:val="Hyperlink"/>
          </w:rPr>
          <w:t xml:space="preserve">[1]</w:t>
        </w:r>
      </w:hyperlink>
      <w:r>
        <w:t xml:space="preserve">. It does not eliminate it, because a small pack cannot fully separate a temporal cluster from a venue gradient, and Chapter 8 names a larger corpus as the way to adjudicate this. The single-group rival is the third. Were the theme-dense records concentrated in one collaboration’s output, the venue effect might reflect that group’s venue preferences rather than a field-wide pattern</w:t>
      </w:r>
      <w:r>
        <w:t xml:space="preserve"> </w:t>
      </w:r>
      <w:hyperlink w:anchor="ref-4">
        <w:r>
          <w:rPr>
            <w:rStyle w:val="Hyperlink"/>
          </w:rPr>
          <w:t xml:space="preserve">[4]</w:t>
        </w:r>
      </w:hyperlink>
      <w:r>
        <w:t xml:space="preserve">. The heterogeneity of the pack, drawn from multiple institutions and author teams, works against this, but thirty records cannot decisively rule it out. The appropriate conclusion is calibrated: the venue finding survives the rivals well enough to be reported as the dissertation’s central result, and weakly enough that its interpretation should be held provisionally until a larger, richer corpus can separate the accounts</w:t>
      </w:r>
      <w:r>
        <w:t xml:space="preserve"> </w:t>
      </w:r>
      <w:hyperlink w:anchor="ref-9">
        <w:r>
          <w:rPr>
            <w:rStyle w:val="Hyperlink"/>
          </w:rPr>
          <w:t xml:space="preserve">[9]</w:t>
        </w:r>
      </w:hyperlink>
      <w:r>
        <w:t xml:space="preserve">.</w:t>
      </w:r>
    </w:p>
    <w:bookmarkEnd w:id="122"/>
    <w:bookmarkStart w:id="123" w:name="generalizability"/>
    <w:p>
      <w:pPr>
        <w:pStyle w:val="Heading2"/>
        <w:spacing w:line="480" w:lineRule="auto"/>
      </w:pPr>
      <w:r>
        <w:t xml:space="preserve">7.8 Generalizability</w:t>
      </w:r>
    </w:p>
    <w:p>
      <w:pPr>
        <w:pStyle w:val="FirstParagraph"/>
        <w:spacing w:line="480" w:lineRule="auto"/>
      </w:pPr>
      <w:r>
        <w:t xml:space="preserve">A distinct question from validity is generalizability: to what populations, if any, do these findings extend? The answer is deliberately narrow, and stating the narrowness precisely is more useful than a vague gesture at scope. The findings generalize, at most, to the retrieved cislunar technical and governance literature as it stood at the retrieval snapshot</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They describe the internal structure of that corpus and nothing beyond it. They do not generalize to the full population of space-governance writing, because the pack is a topic-targeted retrieval rather than a representative sample of the field</w:t>
      </w:r>
      <w:r>
        <w:t xml:space="preserve"> </w:t>
      </w:r>
      <w:hyperlink w:anchor="ref-6">
        <w:r>
          <w:rPr>
            <w:rStyle w:val="Hyperlink"/>
          </w:rPr>
          <w:t xml:space="preserve">[6]</w:t>
        </w:r>
      </w:hyperlink>
      <w:r>
        <w:t xml:space="preserve">. They do not generalize across time without qualification, because the citation variable is snapshot-dependent and the corpus will grow</w:t>
      </w:r>
      <w:r>
        <w:t xml:space="preserve"> </w:t>
      </w:r>
      <w:hyperlink w:anchor="ref-4">
        <w:r>
          <w:rPr>
            <w:rStyle w:val="Hyperlink"/>
          </w:rPr>
          <w:t xml:space="preserve">[4]</w:t>
        </w:r>
      </w:hyperlink>
      <w:r>
        <w:t xml:space="preserve">. And they emphatically do not generalize to the behavior of states, which is a different population measured by different variables that appear nowhere in the data</w:t>
      </w:r>
      <w:r>
        <w:t xml:space="preserve"> </w:t>
      </w:r>
      <w:hyperlink w:anchor="ref-9">
        <w:r>
          <w:rPr>
            <w:rStyle w:val="Hyperlink"/>
          </w:rPr>
          <w:t xml:space="preserve">[9]</w:t>
        </w:r>
      </w:hyperlink>
      <w:r>
        <w:t xml:space="preserve"> </w:t>
      </w:r>
      <w:hyperlink w:anchor="ref-12">
        <w:r>
          <w:rPr>
            <w:rStyle w:val="Hyperlink"/>
          </w:rPr>
          <w:t xml:space="preserve">[12]</w:t>
        </w:r>
      </w:hyperlink>
      <w:r>
        <w:t xml:space="preserve">. This tight scope is not a weakness peculiar to this study; it is the correct scope for any corpus screen, and pretending to broader generalizability would be the actual error. A corpus screen earns trust by describing its corpus accurately and declining to speak for populations it never observed</w:t>
      </w:r>
      <w:r>
        <w:t xml:space="preserve"> </w:t>
      </w:r>
      <w:hyperlink w:anchor="ref-5">
        <w:r>
          <w:rPr>
            <w:rStyle w:val="Hyperlink"/>
          </w:rPr>
          <w:t xml:space="preserve">[5]</w:t>
        </w:r>
      </w:hyperlink>
      <w:r>
        <w:t xml:space="preserve">. The value of doing so is that the next study inherits a precise account of what has and has not been established, rather than an inflated claim it must first deflate before it can build.</w:t>
      </w:r>
    </w:p>
    <w:p>
      <w:pPr>
        <w:pStyle w:val="BodyText"/>
        <w:spacing w:line="480" w:lineRule="auto"/>
        <w:ind w:firstLine="720"/>
      </w:pPr>
      <w:r>
        <w:t xml:space="preserve">The boundary is firm. The instrument describes a literature and stops there.</w:t>
      </w:r>
    </w:p>
    <w:bookmarkEnd w:id="123"/>
    <w:bookmarkStart w:id="124" w:name="the-value-of-a-partial-result"/>
    <w:p>
      <w:pPr>
        <w:pStyle w:val="Heading2"/>
        <w:spacing w:line="480" w:lineRule="auto"/>
      </w:pPr>
      <w:r>
        <w:t xml:space="preserve">7.9 The value of a partial result</w:t>
      </w:r>
    </w:p>
    <w:p>
      <w:pPr>
        <w:pStyle w:val="FirstParagraph"/>
        <w:spacing w:line="480" w:lineRule="auto"/>
      </w:pPr>
      <w:r>
        <w:t xml:space="preserve">A reader might ask what a split result is worth. The answer is that a partial confirmation, honestly bounded, is more useful to the next researcher than a clean confirmation would have been. The venue finding tells that researcher where the topic’s signal is strongest, in the technical rungs, which is where a document-coding study should begin</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citation nulls tell that researcher not to rely on local counts, and to bring a universal citation source to the attention question</w:t>
      </w:r>
      <w:r>
        <w:t xml:space="preserve"> </w:t>
      </w:r>
      <w:hyperlink w:anchor="ref-4">
        <w:r>
          <w:rPr>
            <w:rStyle w:val="Hyperlink"/>
          </w:rPr>
          <w:t xml:space="preserve">[4]</w:t>
        </w:r>
      </w:hyperlink>
      <w:r>
        <w:t xml:space="preserve">. The recency near-miss tells that researcher that a larger corpus is needed to resolve the trend</w:t>
      </w:r>
      <w:r>
        <w:t xml:space="preserve"> </w:t>
      </w:r>
      <w:hyperlink w:anchor="ref-1">
        <w:r>
          <w:rPr>
            <w:rStyle w:val="Hyperlink"/>
          </w:rPr>
          <w:t xml:space="preserve">[1]</w:t>
        </w:r>
      </w:hyperlink>
      <w:r>
        <w:t xml:space="preserve">. Each of these is a piece of actionable guidance, earned by running the test rather than asserting the answer. That is the dividend of the design’s restraint. By refusing to overclaim, the dissertation leaves behind a map of where the evidence is solid and where it is thin, and that map is the real contribution a corpus screen can make to a field still assembling its rules</w:t>
      </w:r>
      <w:r>
        <w:t xml:space="preserve"> </w:t>
      </w:r>
      <w:hyperlink w:anchor="ref-9">
        <w:r>
          <w:rPr>
            <w:rStyle w:val="Hyperlink"/>
          </w:rPr>
          <w:t xml:space="preserve">[9]</w:t>
        </w:r>
      </w:hyperlink>
      <w:r>
        <w:t xml:space="preserve">. Chapter 8 gathers these threads into a statement of contribution and a program for what comes next.</w:t>
      </w:r>
    </w:p>
    <w:bookmarkEnd w:id="124"/>
    <w:bookmarkEnd w:id="125"/>
    <w:bookmarkStart w:id="164" w:name="chapter-8-conclusions-and-implications"/>
    <w:p>
      <w:pPr>
        <w:pStyle w:val="Heading1"/>
        <w:spacing w:line="480" w:lineRule="auto"/>
      </w:pPr>
      <w:r>
        <w:t xml:space="preserve">Chapter 8: Conclusions and Implications</w:t>
      </w:r>
    </w:p>
    <w:p>
      <w:pPr>
        <w:pStyle w:val="FirstParagraph"/>
        <w:spacing w:line="480" w:lineRule="auto"/>
      </w:pPr>
      <w:r>
        <w:t xml:space="preserve">A dissertation earns its conclusion by what it declines to claim as much as by what it asserts. This one declines to say that any middle power hedges, declines to project the topic’s trajectory from an imprecise recency term, and declines to read universal citation dynamics from a local index</w:t>
      </w:r>
      <w:r>
        <w:t xml:space="preserve"> </w:t>
      </w:r>
      <w:hyperlink w:anchor="ref-4">
        <w:r>
          <w:rPr>
            <w:rStyle w:val="Hyperlink"/>
          </w:rPr>
          <w:t xml:space="preserve">[4]</w:t>
        </w:r>
      </w:hyperlink>
      <w:r>
        <w:t xml:space="preserve"> </w:t>
      </w:r>
      <w:hyperlink w:anchor="ref-9">
        <w:r>
          <w:rPr>
            <w:rStyle w:val="Hyperlink"/>
          </w:rPr>
          <w:t xml:space="preserve">[9]</w:t>
        </w:r>
      </w:hyperlink>
      <w:r>
        <w:t xml:space="preserve">. What it asserts is bounded, checkable, and reproduced from released artifacts. The gap between the large title and the small findings is not concealed; it is the subject of this closing chapter, which explains exactly how a bounded result advances a large question without pretending to have answered it</w:t>
      </w:r>
      <w:r>
        <w:t xml:space="preserve"> </w:t>
      </w:r>
      <w:hyperlink w:anchor="ref-12">
        <w:r>
          <w:rPr>
            <w:rStyle w:val="Hyperlink"/>
          </w:rPr>
          <w:t xml:space="preserve">[12]</w:t>
        </w:r>
      </w:hyperlink>
      <w:r>
        <w:t xml:space="preserve">. This dissertation set out to test one falsifiable claim about a large question.</w:t>
      </w:r>
    </w:p>
    <w:p>
      <w:pPr>
        <w:pStyle w:val="BodyText"/>
        <w:spacing w:line="480" w:lineRule="auto"/>
        <w:ind w:firstLine="720"/>
      </w:pPr>
      <w:r>
        <w:t xml:space="preserve">The large question is how middle powers align in cislunar governance. The falsifiable claim is smaller and checkable: that the alignment theme, if it matters, should leave a measurable structural signature in the literature that maps and governs the domain. The claim was tested, and the result came back split. This closing chapter states what was contributed, why it matters for the institutions being built now, and where the instrument constructed here should be taken next.</w:t>
      </w:r>
    </w:p>
    <w:bookmarkStart w:id="126" w:name="the-contribution-stated-plainly"/>
    <w:p>
      <w:pPr>
        <w:pStyle w:val="Heading2"/>
        <w:spacing w:line="480" w:lineRule="auto"/>
      </w:pPr>
      <w:r>
        <w:t xml:space="preserve">8.1 The contribution, stated plainly</w:t>
      </w:r>
    </w:p>
    <w:p>
      <w:pPr>
        <w:pStyle w:val="FirstParagraph"/>
        <w:spacing w:line="480" w:lineRule="auto"/>
      </w:pPr>
      <w:r>
        <w:t xml:space="preserve">The contribution is a validated measurement prelude for a revealed-preference approach to cislunar alignment.</w:t>
      </w:r>
    </w:p>
    <w:p>
      <w:pPr>
        <w:pStyle w:val="BodyText"/>
        <w:spacing w:line="480" w:lineRule="auto"/>
        <w:ind w:firstLine="720"/>
      </w:pPr>
      <w:r>
        <w:t xml:space="preserve">Three things were delivered. A falsifiable hypothesis was posed and tested against auditable evidence. H0 held that the topic signal is unrelated to recency, citation, and venue; H1 held that it is systematically related</w:t>
      </w:r>
      <w:r>
        <w:t xml:space="preserve"> </w:t>
      </w:r>
      <w:hyperlink w:anchor="ref-1">
        <w:r>
          <w:rPr>
            <w:rStyle w:val="Hyperlink"/>
          </w:rPr>
          <w:t xml:space="preserve">[1]</w:t>
        </w:r>
      </w:hyperlink>
      <w:r>
        <w:t xml:space="preserve">. The cross-sectional model rejected H0 jointly, with an F p-value of 0.0016, and located the structure in venue family, with a significant negative coefficient of -0.7664</w:t>
      </w:r>
      <w:r>
        <w:t xml:space="preserve"> </w:t>
      </w:r>
      <w:hyperlink w:anchor="ref-3">
        <w:r>
          <w:rPr>
            <w:rStyle w:val="Hyperlink"/>
          </w:rPr>
          <w:t xml:space="preserve">[3]</w:t>
        </w:r>
      </w:hyperlink>
      <w:r>
        <w:t xml:space="preserve">. That is a real, reproducible finding: the candidate theme is structured in the corpus, densest in the technical venue rungs and thinning toward policy venues. A null was found and kept. The citation predictions returned nulls, in both the cross-sectional coefficient of -0.0235 and the dynamic elasticity of 0.1292, the latter inside a model explaining one percent of variance</w:t>
      </w:r>
      <w:r>
        <w:t xml:space="preserve"> </w:t>
      </w:r>
      <w:hyperlink w:anchor="ref-4">
        <w:r>
          <w:rPr>
            <w:rStyle w:val="Hyperlink"/>
          </w:rPr>
          <w:t xml:space="preserve">[4]</w:t>
        </w:r>
      </w:hyperlink>
      <w:r>
        <w:t xml:space="preserve"> </w:t>
      </w:r>
      <w:hyperlink w:anchor="ref-5">
        <w:r>
          <w:rPr>
            <w:rStyle w:val="Hyperlink"/>
          </w:rPr>
          <w:t xml:space="preserve">[5]</w:t>
        </w:r>
      </w:hyperlink>
      <w:r>
        <w:t xml:space="preserve">. Rather than bury these, the dissertation diagnosed them as instrumentation nulls driven by sparse local citation counts, and reported them as bounds on what the method can currently see</w:t>
      </w:r>
      <w:r>
        <w:t xml:space="preserve"> </w:t>
      </w:r>
      <w:hyperlink w:anchor="ref-6">
        <w:r>
          <w:rPr>
            <w:rStyle w:val="Hyperlink"/>
          </w:rPr>
          <w:t xml:space="preserve">[6]</w:t>
        </w:r>
      </w:hyperlink>
      <w:r>
        <w:t xml:space="preserve">. A kept null is a contribution, because it tells the next researcher where not to spend effort until the measure improves.</w:t>
      </w:r>
    </w:p>
    <w:p>
      <w:pPr>
        <w:pStyle w:val="BodyText"/>
        <w:spacing w:line="480" w:lineRule="auto"/>
        <w:ind w:firstLine="720"/>
      </w:pPr>
      <w:r>
        <w:t xml:space="preserve">An auditable pipeline was built and documented. Every variable has a stated construction rule, every row cites its source, and every reported coefficient can be recomputed from the released workbooks</w:t>
      </w:r>
      <w:r>
        <w:t xml:space="preserve"> </w:t>
      </w:r>
      <w:hyperlink w:anchor="ref-2">
        <w:r>
          <w:rPr>
            <w:rStyle w:val="Hyperlink"/>
          </w:rPr>
          <w:t xml:space="preserve">[2]</w:t>
        </w:r>
      </w:hyperlink>
      <w:r>
        <w:t xml:space="preserve">. The value of this is durability. The findings do not rest on the analyst’s authority; they rest on a path a skeptic can walk end to end. These three deliverables share a common character. None of them is a claim about the world of states; all of them are claims about a method and a corpus</w:t>
      </w:r>
      <w:r>
        <w:t xml:space="preserve"> </w:t>
      </w:r>
      <w:hyperlink w:anchor="ref-9">
        <w:r>
          <w:rPr>
            <w:rStyle w:val="Hyperlink"/>
          </w:rPr>
          <w:t xml:space="preserve">[9]</w:t>
        </w:r>
      </w:hyperlink>
      <w:r>
        <w:t xml:space="preserve">. That is the correct register for a design-stage dissertation, and stating it plainly guards against the inflation that would follow from letting a corpus screen masquerade as a policy verdict. The contribution is real precisely because it is bounded to what the evidence supports</w:t>
      </w:r>
      <w:r>
        <w:t xml:space="preserve"> </w:t>
      </w:r>
      <w:hyperlink w:anchor="ref-5">
        <w:r>
          <w:rPr>
            <w:rStyle w:val="Hyperlink"/>
          </w:rPr>
          <w:t xml:space="preserve">[5]</w:t>
        </w:r>
      </w:hyperlink>
      <w:r>
        <w:t xml:space="preserve">.</w:t>
      </w:r>
    </w:p>
    <w:bookmarkEnd w:id="126"/>
    <w:bookmarkStart w:id="127" w:name="X6057de44909f1161e32187ef90dfbc4d18b318b"/>
    <w:p>
      <w:pPr>
        <w:pStyle w:val="Heading2"/>
        <w:spacing w:line="480" w:lineRule="auto"/>
      </w:pPr>
      <w:r>
        <w:t xml:space="preserve">8.2 Why the split result is the right kind of finding</w:t>
      </w:r>
    </w:p>
    <w:p>
      <w:pPr>
        <w:pStyle w:val="FirstParagraph"/>
        <w:spacing w:line="480" w:lineRule="auto"/>
      </w:pPr>
      <w:r>
        <w:t xml:space="preserve">A clean confirmation would have been more flattering and less trustworthy. The design precommitted to reading the predictions jointly and to keeping whatever came back, and the split result is what that discipline produced</w:t>
      </w:r>
      <w:r>
        <w:t xml:space="preserve"> </w:t>
      </w:r>
      <w:hyperlink w:anchor="ref-1">
        <w:r>
          <w:rPr>
            <w:rStyle w:val="Hyperlink"/>
          </w:rPr>
          <w:t xml:space="preserve">[1]</w:t>
        </w:r>
      </w:hyperlink>
      <w:r>
        <w:t xml:space="preserve"> </w:t>
      </w:r>
      <w:hyperlink w:anchor="ref-4">
        <w:r>
          <w:rPr>
            <w:rStyle w:val="Hyperlink"/>
          </w:rPr>
          <w:t xml:space="preserve">[4]</w:t>
        </w:r>
      </w:hyperlink>
      <w:r>
        <w:t xml:space="preserve">. It says the topic is legible along one axis and invisible along another, and it says exactly which is which. A study that only ever confirmed would have given the field less to act on and less reason to believe it.</w:t>
      </w:r>
    </w:p>
    <w:p>
      <w:pPr>
        <w:pStyle w:val="BodyText"/>
        <w:spacing w:line="480" w:lineRule="auto"/>
        <w:ind w:firstLine="720"/>
      </w:pPr>
      <w:r>
        <w:t xml:space="preserve">The split also vindicates the revealed-preference logic at the level of the study’s own conduct.</w:t>
      </w:r>
    </w:p>
    <w:p>
      <w:pPr>
        <w:pStyle w:val="BodyText"/>
        <w:spacing w:line="480" w:lineRule="auto"/>
        <w:ind w:firstLine="720"/>
      </w:pPr>
      <w:r>
        <w:t xml:space="preserve">Revealed preference means taking observed choices at face value and inferring only what they support</w:t>
      </w:r>
      <w:r>
        <w:t xml:space="preserve"> </w:t>
      </w:r>
      <w:hyperlink w:anchor="ref-9">
        <w:r>
          <w:rPr>
            <w:rStyle w:val="Hyperlink"/>
          </w:rPr>
          <w:t xml:space="preserve">[9]</w:t>
        </w:r>
      </w:hyperlink>
      <w:r>
        <w:t xml:space="preserve">. The dissertation applied that same rule to its own coefficients: it read the significant venue term for what it was, refused to lean on the insignificant recency and citation terms, and let the silences stay silent. Consistency between method and object is not a small virtue in a doctoral project. It is what makes the whole exercise coherent.</w:t>
      </w:r>
    </w:p>
    <w:p>
      <w:pPr>
        <w:pStyle w:val="BodyText"/>
        <w:spacing w:line="480" w:lineRule="auto"/>
        <w:ind w:firstLine="720"/>
      </w:pPr>
      <w:r>
        <w:t xml:space="preserve">The split also carries a lesson about the discipline of precommitment that extends beyond this project.</w:t>
      </w:r>
    </w:p>
    <w:p>
      <w:pPr>
        <w:pStyle w:val="BodyText"/>
        <w:spacing w:line="480" w:lineRule="auto"/>
        <w:ind w:firstLine="720"/>
      </w:pPr>
      <w:r>
        <w:t xml:space="preserve">Because the specification and the measurement were fixed before the coefficients were seen, neither the venue confirmation nor the citation nulls can be dismissed as the product of a search for a flattering result</w:t>
      </w:r>
      <w:r>
        <w:t xml:space="preserve"> </w:t>
      </w:r>
      <w:hyperlink w:anchor="ref-5">
        <w:r>
          <w:rPr>
            <w:rStyle w:val="Hyperlink"/>
          </w:rPr>
          <w:t xml:space="preserve">[5]</w:t>
        </w:r>
      </w:hyperlink>
      <w:r>
        <w:t xml:space="preserve"> </w:t>
      </w:r>
      <w:hyperlink w:anchor="ref-6">
        <w:r>
          <w:rPr>
            <w:rStyle w:val="Hyperlink"/>
          </w:rPr>
          <w:t xml:space="preserve">[6]</w:t>
        </w:r>
      </w:hyperlink>
      <w:r>
        <w:t xml:space="preserve">. A reader can trust the significant venue coefficient exactly as much as the insignificant citation coefficient, because both emerged from the same fixed procedure run once. Precommitment is what makes a mixed result trustworthy rather than convenient, and demonstrating it on a real case is part of what the dissertation offers a methodologically cautious field</w:t>
      </w:r>
      <w:r>
        <w:t xml:space="preserve"> </w:t>
      </w:r>
      <w:hyperlink w:anchor="ref-1">
        <w:r>
          <w:rPr>
            <w:rStyle w:val="Hyperlink"/>
          </w:rPr>
          <w:t xml:space="preserve">[1]</w:t>
        </w:r>
      </w:hyperlink>
      <w:r>
        <w:t xml:space="preserve">.</w:t>
      </w:r>
    </w:p>
    <w:bookmarkEnd w:id="127"/>
    <w:bookmarkStart w:id="128" w:name="relevance-for-governance-and-programs"/>
    <w:p>
      <w:pPr>
        <w:pStyle w:val="Heading2"/>
        <w:spacing w:line="480" w:lineRule="auto"/>
      </w:pPr>
      <w:r>
        <w:t xml:space="preserve">8.3 Relevance for governance and programs</w:t>
      </w:r>
    </w:p>
    <w:p>
      <w:pPr>
        <w:pStyle w:val="FirstParagraph"/>
        <w:spacing w:line="480" w:lineRule="auto"/>
      </w:pPr>
      <w:r>
        <w:t xml:space="preserve">The institutions coordinating cislunar activity are being designed now, and they face the sequencing dilemma named in Chapter 1: rule too early and ossify, rule too late and lose the choices</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A measurement prelude speaks to that dilemma in a specific way. It offers a disciplined way to read the field’s own revealed priorities before committing to a rule, using structure in the literature as an early and inspectable indicator of where salience actually concentrates</w:t>
      </w:r>
      <w:r>
        <w:t xml:space="preserve"> </w:t>
      </w:r>
      <w:hyperlink w:anchor="ref-9">
        <w:r>
          <w:rPr>
            <w:rStyle w:val="Hyperlink"/>
          </w:rPr>
          <w:t xml:space="preserve">[9]</w:t>
        </w:r>
      </w:hyperlink>
      <w:r>
        <w:t xml:space="preserve">. This relevance should be read alongside the institutional-analogy tradition rather than against it. Ferguson and Haqq-Misra reason from mature functional regimes toward what a space regime might borrow, and McKeown and colleagues reason from market principles toward how space resources should be valued</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A measurement approach complements both by supplying an empirical check: whether the field’s own attention already concentrates where an analogy or a market model predicts it should. Analogy proposes, measurement disposes, and a governance conversation equipped with both is better disciplined than one relying on either alone</w:t>
      </w:r>
      <w:r>
        <w:t xml:space="preserve"> </w:t>
      </w:r>
      <w:hyperlink w:anchor="ref-14">
        <w:r>
          <w:rPr>
            <w:rStyle w:val="Hyperlink"/>
          </w:rPr>
          <w:t xml:space="preserve">[14]</w:t>
        </w:r>
      </w:hyperlink>
      <w:r>
        <w:t xml:space="preserve">.</w:t>
      </w:r>
    </w:p>
    <w:p>
      <w:pPr>
        <w:pStyle w:val="BodyText"/>
        <w:spacing w:line="480" w:lineRule="auto"/>
        <w:ind w:firstLine="720"/>
      </w:pPr>
      <w:r>
        <w:t xml:space="preserve">The venue finding carries a concrete programmatic implication. Because the alignment theme is densest in the technical proceedings and thins toward policy venues, a governance body that reads only the policy literature will systematically underweight where the topic is most actively worked</w:t>
      </w:r>
      <w:r>
        <w:t xml:space="preserve"> </w:t>
      </w:r>
      <w:hyperlink w:anchor="ref-2">
        <w:r>
          <w:rPr>
            <w:rStyle w:val="Hyperlink"/>
          </w:rPr>
          <w:t xml:space="preserve">[2]</w:t>
        </w:r>
      </w:hyperlink>
      <w:r>
        <w:t xml:space="preserve"> </w:t>
      </w:r>
      <w:hyperlink w:anchor="ref-3">
        <w:r>
          <w:rPr>
            <w:rStyle w:val="Hyperlink"/>
          </w:rPr>
          <w:t xml:space="preserve">[3]</w:t>
        </w:r>
      </w:hyperlink>
      <w:r>
        <w:t xml:space="preserve">. Watching the technical venue rungs is not optional for an institution that wants an early read on emerging coordination problems; it is where the signal lives. For middle powers deciding how to invest scarce analytic and sensing capacity, the same logic applies: the revealed attention of the field, read structurally, is a cheaper guide than waiting for a rule to crystallize</w:t>
      </w:r>
      <w:r>
        <w:t xml:space="preserve"> </w:t>
      </w:r>
      <w:hyperlink w:anchor="ref-5">
        <w:r>
          <w:rPr>
            <w:rStyle w:val="Hyperlink"/>
          </w:rPr>
          <w:t xml:space="preserve">[5]</w:t>
        </w:r>
      </w:hyperlink>
      <w:r>
        <w:t xml:space="preserve"> </w:t>
      </w:r>
      <w:hyperlink w:anchor="ref-12">
        <w:r>
          <w:rPr>
            <w:rStyle w:val="Hyperlink"/>
          </w:rPr>
          <w:t xml:space="preserve">[12]</w:t>
        </w:r>
      </w:hyperlink>
      <w:r>
        <w:t xml:space="preserve">. The relevance is bounded, and the boundary is part of the message. None of this tells an institution how a particular state will align. It tells the institution where to look and what the field’s revealed structure already discloses, which is a real input to a design process even though it is not a forecast of behavior</w:t>
      </w:r>
      <w:r>
        <w:t xml:space="preserve"> </w:t>
      </w:r>
      <w:hyperlink w:anchor="ref-9">
        <w:r>
          <w:rPr>
            <w:rStyle w:val="Hyperlink"/>
          </w:rPr>
          <w:t xml:space="preserve">[9]</w:t>
        </w:r>
      </w:hyperlink>
      <w:r>
        <w:t xml:space="preserve">.</w:t>
      </w:r>
    </w:p>
    <w:bookmarkEnd w:id="128"/>
    <w:bookmarkStart w:id="129" w:name="the-contribution-to-method"/>
    <w:p>
      <w:pPr>
        <w:pStyle w:val="Heading2"/>
        <w:spacing w:line="480" w:lineRule="auto"/>
      </w:pPr>
      <w:r>
        <w:t xml:space="preserve">8.4 The contribution to method</w:t>
      </w:r>
    </w:p>
    <w:p>
      <w:pPr>
        <w:pStyle w:val="FirstParagraph"/>
        <w:spacing w:line="480" w:lineRule="auto"/>
      </w:pPr>
      <w:r>
        <w:t xml:space="preserve">Beyond the substantive findings, the dissertation contributes a template for how to reason about an emerging governance domain under evidentiary scarcity, and this methodological contribution may outlast the particular coefficients. The template has four moves, each demonstrated in the preceding chapters. The first move is to reduce a large, contested concept to a single falsifiable claim that observable data can adjudicate</w:t>
      </w:r>
      <w:r>
        <w:t xml:space="preserve"> </w:t>
      </w:r>
      <w:hyperlink w:anchor="ref-1">
        <w:r>
          <w:rPr>
            <w:rStyle w:val="Hyperlink"/>
          </w:rPr>
          <w:t xml:space="preserve">[1]</w:t>
        </w:r>
      </w:hyperlink>
      <w:r>
        <w:t xml:space="preserve">. Hedging in cislunar governance is too large to test whole; the corpus-structure claim is small enough to test and connected enough to matter. The discipline of finding the smallest checkable version of a big question is transferable to any space-governance topic facing the same scarcity. The second move is to fix the specification and the measurement before seeing the results, so that a small sample cannot be mined for spurious significance</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template treats this precommitment as non-negotiable, because a small dataset is exactly where flexibility does the most damage. Any researcher adopting the template inherits this constraint as a feature.</w:t>
      </w:r>
    </w:p>
    <w:p>
      <w:pPr>
        <w:pStyle w:val="BodyText"/>
        <w:spacing w:line="480" w:lineRule="auto"/>
        <w:ind w:firstLine="720"/>
      </w:pPr>
      <w:r>
        <w:t xml:space="preserve">The third move is to run transparent estimators whose every number can be recomputed from released artifacts</w:t>
      </w:r>
      <w:r>
        <w:t xml:space="preserve"> </w:t>
      </w:r>
      <w:hyperlink w:anchor="ref-2">
        <w:r>
          <w:rPr>
            <w:rStyle w:val="Hyperlink"/>
          </w:rPr>
          <w:t xml:space="preserve">[2]</w:t>
        </w:r>
      </w:hyperlink>
      <w:r>
        <w:t xml:space="preserve">. The template rejects opaque models on small data, not because sophistication is inherently wrong, but because auditability is the currency that buys trust when the sample cannot</w:t>
      </w:r>
      <w:r>
        <w:t xml:space="preserve"> </w:t>
      </w:r>
      <w:hyperlink w:anchor="ref-4">
        <w:r>
          <w:rPr>
            <w:rStyle w:val="Hyperlink"/>
          </w:rPr>
          <w:t xml:space="preserve">[4]</w:t>
        </w:r>
      </w:hyperlink>
      <w:r>
        <w:t xml:space="preserve">. This is a stance other researchers can adopt directly. The fourth move is to keep the null and diagnose it. The template treats a null coefficient as a finding to be explained, distinguishing an instrumentation null from a substantive one, rather than as a failure to be hidden</w:t>
      </w:r>
      <w:r>
        <w:t xml:space="preserve"> </w:t>
      </w:r>
      <w:hyperlink w:anchor="ref-4">
        <w:r>
          <w:rPr>
            <w:rStyle w:val="Hyperlink"/>
          </w:rPr>
          <w:t xml:space="preserve">[4]</w:t>
        </w:r>
      </w:hyperlink>
      <w:r>
        <w:t xml:space="preserve"> </w:t>
      </w:r>
      <w:hyperlink w:anchor="ref-6">
        <w:r>
          <w:rPr>
            <w:rStyle w:val="Hyperlink"/>
          </w:rPr>
          <w:t xml:space="preserve">[6]</w:t>
        </w:r>
      </w:hyperlink>
      <w:r>
        <w:t xml:space="preserve">. Demonstrating this on a real case, where the citation nulls turned out to be instrumentation-limited, gives the next researcher a worked example of how to read a null honestly. Taken together these four moves constitute a small, portable method for disciplined reasoning about a domain whose institutions are still forming</w:t>
      </w:r>
      <w:r>
        <w:t xml:space="preserve"> </w:t>
      </w:r>
      <w:hyperlink w:anchor="ref-9">
        <w:r>
          <w:rPr>
            <w:rStyle w:val="Hyperlink"/>
          </w:rPr>
          <w:t xml:space="preserve">[9]</w:t>
        </w:r>
      </w:hyperlink>
      <w:r>
        <w:t xml:space="preserve">. The method is the dissertation’s most generalizable output, because it applies wherever a governance question outruns the evidence, which in space policy is nearly everywhere.</w:t>
      </w:r>
    </w:p>
    <w:bookmarkEnd w:id="129"/>
    <w:bookmarkStart w:id="130" w:name="a-note-on-cumulative-knowledge"/>
    <w:p>
      <w:pPr>
        <w:pStyle w:val="Heading2"/>
        <w:spacing w:line="480" w:lineRule="auto"/>
      </w:pPr>
      <w:r>
        <w:t xml:space="preserve">8.5 A note on cumulative knowledge</w:t>
      </w:r>
    </w:p>
    <w:p>
      <w:pPr>
        <w:pStyle w:val="FirstParagraph"/>
        <w:spacing w:line="480" w:lineRule="auto"/>
      </w:pPr>
      <w:r>
        <w:t xml:space="preserve">There is a temptation, at the close of a project that returned a split result, to apologize for not having settled the question. The dissertation declines that apology, and the reason is a view about how knowledge accumulates in a young field. Fields do not mature by a sequence of decisive answers. They mature by a sequence of well-posed questions, each sharpened by the honest limits of the last</w:t>
      </w:r>
      <w:r>
        <w:t xml:space="preserve"> </w:t>
      </w:r>
      <w:hyperlink w:anchor="ref-3">
        <w:r>
          <w:rPr>
            <w:rStyle w:val="Hyperlink"/>
          </w:rPr>
          <w:t xml:space="preserve">[3]</w:t>
        </w:r>
      </w:hyperlink>
      <w:r>
        <w:t xml:space="preserve"> </w:t>
      </w:r>
      <w:hyperlink w:anchor="ref-5">
        <w:r>
          <w:rPr>
            <w:rStyle w:val="Hyperlink"/>
          </w:rPr>
          <w:t xml:space="preserve">[5]</w:t>
        </w:r>
      </w:hyperlink>
      <w:r>
        <w:t xml:space="preserve">. A study that establishes a method, confirms one structural feature, and precisely bounds what its instruments cannot yet see has moved the field forward, even though it has not delivered a verdict on middle-power alignment</w:t>
      </w:r>
      <w:r>
        <w:t xml:space="preserve"> </w:t>
      </w:r>
      <w:hyperlink w:anchor="ref-9">
        <w:r>
          <w:rPr>
            <w:rStyle w:val="Hyperlink"/>
          </w:rPr>
          <w:t xml:space="preserve">[9]</w:t>
        </w:r>
      </w:hyperlink>
      <w:r>
        <w:t xml:space="preserve">. The next study begins on firmer ground because this one refused to guess. This view has a practical corollary for the domain. Cislunar governance is being designed by institutions that must act before the evidence is complete, and they are ill-served by scholarship that manufactures false certainty</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They are well-served by scholarship that says clearly what is known, what is not, and what the next measurement would resolve. The dissertation aims to be the second kind, and it treats its own split result as an instance of the honesty it recommends to the institutions</w:t>
      </w:r>
      <w:r>
        <w:t xml:space="preserve"> </w:t>
      </w:r>
      <w:hyperlink w:anchor="ref-12">
        <w:r>
          <w:rPr>
            <w:rStyle w:val="Hyperlink"/>
          </w:rPr>
          <w:t xml:space="preserve">[12]</w:t>
        </w:r>
      </w:hyperlink>
      <w:r>
        <w:t xml:space="preserve">.</w:t>
      </w:r>
    </w:p>
    <w:bookmarkEnd w:id="130"/>
    <w:bookmarkStart w:id="131" w:name="future-work"/>
    <w:p>
      <w:pPr>
        <w:pStyle w:val="Heading2"/>
        <w:spacing w:line="480" w:lineRule="auto"/>
      </w:pPr>
      <w:r>
        <w:t xml:space="preserve">8.6 Future work</w:t>
      </w:r>
    </w:p>
    <w:p>
      <w:pPr>
        <w:pStyle w:val="FirstParagraph"/>
        <w:spacing w:line="480" w:lineRule="auto"/>
      </w:pPr>
      <w:r>
        <w:t xml:space="preserve">Three lines follow directly from the results, each targeting a specific limitation Chapter 7 diagnosed.</w:t>
      </w:r>
    </w:p>
    <w:p>
      <w:pPr>
        <w:pStyle w:val="BodyText"/>
        <w:spacing w:line="480" w:lineRule="auto"/>
        <w:ind w:firstLine="720"/>
      </w:pPr>
      <w:r>
        <w:t xml:space="preserve">First, replace the local citation index with a universal one. The citation nulls were instrumentation nulls, driven by sparse local counts</w:t>
      </w:r>
      <w:r>
        <w:t xml:space="preserve"> </w:t>
      </w:r>
      <w:hyperlink w:anchor="ref-4">
        <w:r>
          <w:rPr>
            <w:rStyle w:val="Hyperlink"/>
          </w:rPr>
          <w:t xml:space="preserve">[4]</w:t>
        </w:r>
      </w:hyperlink>
      <w:r>
        <w:t xml:space="preserve"> </w:t>
      </w:r>
      <w:hyperlink w:anchor="ref-6">
        <w:r>
          <w:rPr>
            <w:rStyle w:val="Hyperlink"/>
          </w:rPr>
          <w:t xml:space="preserve">[6]</w:t>
        </w:r>
      </w:hyperlink>
      <w:r>
        <w:t xml:space="preserve">. A design that draws citation attention from a comprehensive index would give the attention variables room to vary and would let the citation predictions be genuinely tested rather than merely attempted. This is the highest-value next step, because it converts a null the current design cannot interpret into a claim a better design could adjudicate. Second, enlarge and deepen the corpus. Thirty coarse records let only strong structure clear significance, which is why the recency term missed at a p-value of 0.1559 despite pointing the right way</w:t>
      </w:r>
      <w:r>
        <w:t xml:space="preserve"> </w:t>
      </w:r>
      <w:hyperlink w:anchor="ref-1">
        <w:r>
          <w:rPr>
            <w:rStyle w:val="Hyperlink"/>
          </w:rPr>
          <w:t xml:space="preserve">[1]</w:t>
        </w:r>
      </w:hyperlink>
      <w:r>
        <w:t xml:space="preserve">. A larger corpus with a finer signal measure would resolve the recency gradient and let the model detect the subtle structure the current design is built to miss</w:t>
      </w:r>
      <w:r>
        <w:t xml:space="preserve"> </w:t>
      </w:r>
      <w:hyperlink w:anchor="ref-2">
        <w:r>
          <w:rPr>
            <w:rStyle w:val="Hyperlink"/>
          </w:rPr>
          <w:t xml:space="preserve">[2]</w:t>
        </w:r>
      </w:hyperlink>
      <w:r>
        <w:t xml:space="preserve">. Third, extend the revealed-preference logic from the literature to the states. The literature was always the tractable warm-up, not the target</w:t>
      </w:r>
      <w:r>
        <w:t xml:space="preserve"> </w:t>
      </w:r>
      <w:hyperlink w:anchor="ref-9">
        <w:r>
          <w:rPr>
            <w:rStyle w:val="Hyperlink"/>
          </w:rPr>
          <w:t xml:space="preserve">[9]</w:t>
        </w:r>
      </w:hyperlink>
      <w:r>
        <w:t xml:space="preserve">. The eventual study codes middle-power participation choices, coalition memberships, and selective engagements, then applies the same discipline of a stated estimator on auditable data to the alignment question the title names</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instrument validated here, a fixed specification on frozen variables read without softening, transfers directly to that harder corpus. What changes is the data, not the method.</w:t>
      </w:r>
    </w:p>
    <w:bookmarkEnd w:id="131"/>
    <w:bookmarkStart w:id="132" w:name="the-bridge-to-state-level-analysis"/>
    <w:p>
      <w:pPr>
        <w:pStyle w:val="Heading2"/>
        <w:spacing w:line="480" w:lineRule="auto"/>
      </w:pPr>
      <w:r>
        <w:t xml:space="preserve">8.7 The bridge to state-level analysis</w:t>
      </w:r>
    </w:p>
    <w:p>
      <w:pPr>
        <w:pStyle w:val="FirstParagraph"/>
        <w:spacing w:line="480" w:lineRule="auto"/>
      </w:pPr>
      <w:r>
        <w:t xml:space="preserve">The future work most central to the title deserves more than a mention, because the whole design was justified as a warm-up for it. The eventual study observes states, not documents, and asks whether middle powers hedge in their revealed cislunar choices</w:t>
      </w:r>
      <w:r>
        <w:t xml:space="preserve"> </w:t>
      </w:r>
      <w:hyperlink w:anchor="ref-9">
        <w:r>
          <w:rPr>
            <w:rStyle w:val="Hyperlink"/>
          </w:rPr>
          <w:t xml:space="preserve">[9]</w:t>
        </w:r>
      </w:hyperlink>
      <w:r>
        <w:t xml:space="preserve"> </w:t>
      </w:r>
      <w:hyperlink w:anchor="ref-14">
        <w:r>
          <w:rPr>
            <w:rStyle w:val="Hyperlink"/>
          </w:rPr>
          <w:t xml:space="preserve">[14]</w:t>
        </w:r>
      </w:hyperlink>
      <w:r>
        <w:t xml:space="preserve">. Building that study on the instrument validated here requires three deliberate translations, and naming them shows that the bridge is real rather than rhetorical. The first translation is the unit. Where the present study’s unit is a source record, the state-level study’s unit is an alignment episode: a coalition joined, an agreement signed, a program funded or declined</w:t>
      </w:r>
      <w:r>
        <w:t xml:space="preserve"> </w:t>
      </w:r>
      <w:hyperlink w:anchor="ref-13">
        <w:r>
          <w:rPr>
            <w:rStyle w:val="Hyperlink"/>
          </w:rPr>
          <w:t xml:space="preserve">[13]</w:t>
        </w:r>
      </w:hyperlink>
      <w:r>
        <w:t xml:space="preserve">. The revealed-preference logic carries over unchanged, because an episode is a choice under constraint just as a citation is, but the coding of episodes is harder and more contestable than the mechanical scoring of metadata. The design’s insistence on frozen construction rules becomes more important here, not less, because episode coding offers more room for an analyst’s thumb on the scale</w:t>
      </w:r>
      <w:r>
        <w:t xml:space="preserve"> </w:t>
      </w:r>
      <w:hyperlink w:anchor="ref-12">
        <w:r>
          <w:rPr>
            <w:rStyle w:val="Hyperlink"/>
          </w:rPr>
          <w:t xml:space="preserve">[12]</w:t>
        </w:r>
      </w:hyperlink>
      <w:r>
        <w:t xml:space="preserve">.</w:t>
      </w:r>
    </w:p>
    <w:p>
      <w:pPr>
        <w:pStyle w:val="BodyText"/>
        <w:spacing w:line="480" w:lineRule="auto"/>
        <w:ind w:firstLine="720"/>
      </w:pPr>
      <w:r>
        <w:t xml:space="preserve">The second translation is the outcome. Where the present study measures topic-signal density, the state-level study measures something like alignment ambiguity: the degree to which a state’s revealed choices resist classification into a single bloc</w:t>
      </w:r>
      <w:r>
        <w:t xml:space="preserve"> </w:t>
      </w:r>
      <w:hyperlink w:anchor="ref-9">
        <w:r>
          <w:rPr>
            <w:rStyle w:val="Hyperlink"/>
          </w:rPr>
          <w:t xml:space="preserve">[9]</w:t>
        </w:r>
      </w:hyperlink>
      <w:r>
        <w:t xml:space="preserve">. Hedging, on this construction, is high ambiguity sustained over time. The measurement challenge is to render ambiguity as a countable quantity without smuggling in the analyst’s prior judgment, and the mechanical, auditable spirit of the signal-score construction is the model to follow even though the content differs entirely. The third translation is the attention measure that failed here. The state-level study should not repeat the mistake of relying on a sparse local index</w:t>
      </w:r>
      <w:r>
        <w:t xml:space="preserve"> </w:t>
      </w:r>
      <w:hyperlink w:anchor="ref-4">
        <w:r>
          <w:rPr>
            <w:rStyle w:val="Hyperlink"/>
          </w:rPr>
          <w:t xml:space="preserve">[4]</w:t>
        </w:r>
      </w:hyperlink>
      <w:r>
        <w:t xml:space="preserve"> </w:t>
      </w:r>
      <w:hyperlink w:anchor="ref-6">
        <w:r>
          <w:rPr>
            <w:rStyle w:val="Hyperlink"/>
          </w:rPr>
          <w:t xml:space="preserve">[6]</w:t>
        </w:r>
      </w:hyperlink>
      <w:r>
        <w:t xml:space="preserve">. It should draw its attention and participation data from comprehensive sources with genuine variation, so that the attention predictions can be tested rather than merely attempted. The clearest lesson the present nulls teach the future study is a negative one, and negative lessons that spare a successor a wasted effort are among the most valuable things a prior study can leave</w:t>
      </w:r>
      <w:r>
        <w:t xml:space="preserve"> </w:t>
      </w:r>
      <w:hyperlink w:anchor="ref-5">
        <w:r>
          <w:rPr>
            <w:rStyle w:val="Hyperlink"/>
          </w:rPr>
          <w:t xml:space="preserve">[5]</w:t>
        </w:r>
      </w:hyperlink>
      <w:r>
        <w:t xml:space="preserve">.</w:t>
      </w:r>
    </w:p>
    <w:p>
      <w:pPr>
        <w:pStyle w:val="BodyText"/>
        <w:spacing w:line="480" w:lineRule="auto"/>
        <w:ind w:firstLine="720"/>
      </w:pPr>
      <w:r>
        <w:t xml:space="preserve">The larger question stays open. What changed is the ground beneath it.</w:t>
      </w:r>
    </w:p>
    <w:bookmarkEnd w:id="132"/>
    <w:bookmarkStart w:id="133" w:name="closing"/>
    <w:p>
      <w:pPr>
        <w:pStyle w:val="Heading2"/>
        <w:spacing w:line="480" w:lineRule="auto"/>
      </w:pPr>
      <w:r>
        <w:t xml:space="preserve">8.8 Closing</w:t>
      </w:r>
    </w:p>
    <w:p>
      <w:pPr>
        <w:pStyle w:val="FirstParagraph"/>
        <w:spacing w:line="480" w:lineRule="auto"/>
      </w:pPr>
      <w:r>
        <w:t xml:space="preserve">The dissertation promised an unbroken path from a source record to a variable, from a variable to an estimator, from an estimator to a number, and from a number to an interpretation that claims no more than the number will bear. It delivered that path, and the path led to a split: strong structure in venue, a suggestive near-miss in recency, and honest nulls in citation attention and accumulation</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There is a quiet satisfaction in a result that refuses to flatter its author. The venue coefficient could have been null, the joint test could have failed, and the honest report would then have been that the corpus showed no structure at all</w:t>
      </w:r>
      <w:r>
        <w:t xml:space="preserve"> </w:t>
      </w:r>
      <w:hyperlink w:anchor="ref-1">
        <w:r>
          <w:rPr>
            <w:rStyle w:val="Hyperlink"/>
          </w:rPr>
          <w:t xml:space="preserve">[1]</w:t>
        </w:r>
      </w:hyperlink>
      <w:r>
        <w:t xml:space="preserve">. Instead the corpus disclosed one clear signal and two instructive silences, and the design was built to report whichever pattern emerged. That the pattern happened to be informative is a fact about the data, not a triumph of the method, and keeping the two distinct is the final discipline the dissertation practices from its first page to its last</w:t>
      </w:r>
      <w:r>
        <w:t xml:space="preserve"> </w:t>
      </w:r>
      <w:hyperlink w:anchor="ref-6">
        <w:r>
          <w:rPr>
            <w:rStyle w:val="Hyperlink"/>
          </w:rPr>
          <w:t xml:space="preserve">[6]</w:t>
        </w:r>
      </w:hyperlink>
      <w:r>
        <w:t xml:space="preserve">.</w:t>
      </w:r>
    </w:p>
    <w:p>
      <w:pPr>
        <w:pStyle w:val="BodyText"/>
        <w:spacing w:line="480" w:lineRule="auto"/>
        <w:ind w:firstLine="720"/>
      </w:pPr>
      <w:r>
        <w:t xml:space="preserve">The measured result is that the alignment theme is not a mirage in the technical literature. It has a real, reproducible structural signature, concentrated where cislunar work originates</w:t>
      </w:r>
      <w:r>
        <w:t xml:space="preserve"> </w:t>
      </w:r>
      <w:hyperlink w:anchor="ref-2">
        <w:r>
          <w:rPr>
            <w:rStyle w:val="Hyperlink"/>
          </w:rPr>
          <w:t xml:space="preserve">[2]</w:t>
        </w:r>
      </w:hyperlink>
      <w:r>
        <w:t xml:space="preserve">. The measured non-result is that the available citation instruments cannot yet carry the attention half of the story</w:t>
      </w:r>
      <w:r>
        <w:t xml:space="preserve"> </w:t>
      </w:r>
      <w:hyperlink w:anchor="ref-6">
        <w:r>
          <w:rPr>
            <w:rStyle w:val="Hyperlink"/>
          </w:rPr>
          <w:t xml:space="preserve">[6]</w:t>
        </w:r>
      </w:hyperlink>
      <w:r>
        <w:t xml:space="preserve">. Between the two sits a validated method and a clear map of where the evidence is solid and where it is thin. For a domain still assembling its rules, and for the middle powers deciding how to move within it, a trustworthy map of the field’s revealed structure is a more useful thing to leave behind than a confident story the evidence would not support</w:t>
      </w:r>
      <w:r>
        <w:t xml:space="preserve"> </w:t>
      </w:r>
      <w:hyperlink w:anchor="ref-9">
        <w:r>
          <w:rPr>
            <w:rStyle w:val="Hyperlink"/>
          </w:rPr>
          <w:t xml:space="preserve">[9]</w:t>
        </w:r>
      </w:hyperlink>
      <w:r>
        <w:t xml:space="preserve">. The larger question remains open. It is now open on firmer ground.</w:t>
      </w:r>
    </w:p>
    <w:bookmarkEnd w:id="133"/>
    <w:bookmarkStart w:id="163" w:name="references"/>
    <w:p>
      <w:pPr>
        <w:pStyle w:val="Heading2"/>
        <w:spacing w:line="480" w:lineRule="auto"/>
      </w:pPr>
      <w:r>
        <w:t xml:space="preserve">References</w:t>
      </w:r>
    </w:p>
    <w:p>
      <w:pPr>
        <w:pStyle w:val="FirstParagraph"/>
        <w:spacing w:line="480" w:lineRule="auto"/>
      </w:pPr>
      <w:bookmarkStart w:id="134" w:name="ref-1"/>
      <w:bookmarkEnd w:id="134"/>
      <w:r>
        <w:t xml:space="preserve">1. Denvir Higgins, Lawrence Livermore National Laboratory; Kerianne Pruett, Lawrence Livermore National Laboratory; Travis Yeager, Lawrence Livermore National Laboratory; Michael Schneider, Lawrence Livermore National Laboratory. SOM-erizing Cislunar Orbits: Classification of Cislunar Orbits Using Self-Organizing Maps (SOMs) (2024). doi:</w:t>
      </w:r>
      <w:r>
        <w:t xml:space="preserve"> </w:t>
      </w:r>
      <w:hyperlink r:id="rId135">
        <w:r>
          <w:rPr>
            <w:rStyle w:val="Hyperlink"/>
          </w:rPr>
          <w:t xml:space="preserve">10.64861/PKVP5982</w:t>
        </w:r>
      </w:hyperlink>
    </w:p>
    <w:p>
      <w:pPr>
        <w:pStyle w:val="BodyText"/>
        <w:spacing w:line="480" w:lineRule="auto"/>
        <w:ind w:firstLine="720"/>
      </w:pPr>
      <w:bookmarkStart w:id="136" w:name="ref-2"/>
      <w:bookmarkEnd w:id="136"/>
      <w:r>
        <w:t xml:space="preserve">2. Aaron J. Rosengren, University of California San Diego; Shane D. Ross, Virginia Tech; Bhanu Kumar, Jet Propulsion Laboratory, Caltech; Anjali Rawat, Virginia Tech. The Resonant Structure of xGEO and Implications for Cislunar Domain Awareness (2024). doi:</w:t>
      </w:r>
      <w:r>
        <w:t xml:space="preserve"> </w:t>
      </w:r>
      <w:hyperlink r:id="rId137">
        <w:r>
          <w:rPr>
            <w:rStyle w:val="Hyperlink"/>
          </w:rPr>
          <w:t xml:space="preserve">10.64861/WCUO4665</w:t>
        </w:r>
      </w:hyperlink>
    </w:p>
    <w:p>
      <w:pPr>
        <w:pStyle w:val="BodyText"/>
        <w:spacing w:line="480" w:lineRule="auto"/>
        <w:ind w:firstLine="720"/>
      </w:pPr>
      <w:bookmarkStart w:id="138" w:name="ref-3"/>
      <w:bookmarkEnd w:id="138"/>
      <w:r>
        <w:t xml:space="preserve">3. T. Joseph W. Lazio, Jet Propulsion Laboratory, California Institute of Technology; Dimitrios Antsos, Jet Propulsion Laboratory, California Institute of Technology; Anthony Beasley, National Radio Astronomy Observatory; Lance A. M. Benner, Jet Propulsion Laboratory, California Institute of Technology; Andrew Brooks, Jet Propulsion Laboratory, California Institute of Technology; Marina Brozovic, Jet Propulsion Laboratory, California Institute of Technology; Philip G. Edwards, CSIRO Space &amp; Astronomy; Jon D. Giorgini, Jet Propulsion Laboratory, California Institute of Technology; Shinji Horiuchi, CSIRO Space &amp; Astronomy; Ed Kruzins, UNSW Canberra Space, and CSIRO Space &amp; Autonomy; Clement Lee, Jet Propulsion Laboratory, California Institute of Technology; Ronglin R. Liou, Jet Propulsion Laboratory, California Institute of Technology; Blake Molyneux, Australia National University; Shantanu P. Naidu, Jet Propulsion Laboratory, California Institute of Technology; Charles Naudet, Jet Propulsion Laboratory, California Institute of Technology; Ryan S. Park, Jet Propulsion Laboratory, California Institute of Technology; Chris J. Phillips, CSIRO Space &amp; Astronomy; Marc Sanchez Net, Jet Propulsion Laboratory, California Institute of Technology; J. Stevens, CSIRO Space &amp; Astronomy; Mark Taylor, Jet Propulsion Laboratory, California Institute of Technology; Victor Vilnrotter, Jet Propulsion Laboratory, California Institute of Technology. Ground-based Planetary Radars: Current and Future Prospects in the Cislunar Arena (2022). [AMOS]</w:t>
      </w:r>
    </w:p>
    <w:p>
      <w:pPr>
        <w:pStyle w:val="BodyText"/>
        <w:spacing w:line="480" w:lineRule="auto"/>
        <w:ind w:firstLine="720"/>
      </w:pPr>
      <w:bookmarkStart w:id="139" w:name="ref-4"/>
      <w:bookmarkEnd w:id="139"/>
      <w:r>
        <w:t xml:space="preserve">4. Aaron J. Rosengren, University of California San Diego. Cislunar Multiscale Dynamics and Implications for SSA (2021). [AMOS]</w:t>
      </w:r>
    </w:p>
    <w:p>
      <w:pPr>
        <w:pStyle w:val="BodyText"/>
        <w:spacing w:line="480" w:lineRule="auto"/>
        <w:ind w:firstLine="720"/>
      </w:pPr>
      <w:bookmarkStart w:id="140" w:name="ref-5"/>
      <w:bookmarkEnd w:id="140"/>
      <w:r>
        <w:t xml:space="preserve">5. Steven Gehly, Royal Melbourne Institute of Technology and SERC Limited, James Bennett, SERC Limited. Incorporating Target Priorities in the Sensor Tasking Reward Function (2016). [AMOS]</w:t>
      </w:r>
    </w:p>
    <w:p>
      <w:pPr>
        <w:pStyle w:val="BodyText"/>
        <w:spacing w:line="480" w:lineRule="auto"/>
        <w:ind w:firstLine="720"/>
      </w:pPr>
      <w:bookmarkStart w:id="141" w:name="ref-6"/>
      <w:bookmarkEnd w:id="141"/>
      <w:r>
        <w:t xml:space="preserve">6. Shane Ryall, Defense Research &amp; Development Canada. Detecting Satellites with Object Detection: Challenges of Implementing Deep Learning Techniques for Space-based Images (2024). doi:</w:t>
      </w:r>
      <w:r>
        <w:t xml:space="preserve"> </w:t>
      </w:r>
      <w:hyperlink r:id="rId142">
        <w:r>
          <w:rPr>
            <w:rStyle w:val="Hyperlink"/>
          </w:rPr>
          <w:t xml:space="preserve">10.64861/MVWS5637</w:t>
        </w:r>
      </w:hyperlink>
    </w:p>
    <w:p>
      <w:pPr>
        <w:pStyle w:val="BodyText"/>
        <w:spacing w:line="480" w:lineRule="auto"/>
        <w:ind w:firstLine="720"/>
      </w:pPr>
      <w:bookmarkStart w:id="143" w:name="ref-7"/>
      <w:bookmarkEnd w:id="143"/>
      <w:r>
        <w:t xml:space="preserve">7. Erin Griggs, Trusted Space, Inc.; Matt Schierholtz, Trusted Space, Inc; Islam Hussein, Trusted Space, Inc.; Mark Bolden, Trusted Space, Inc.; Kyle Charles, Trusted Space, Inc.; Holly Borowski, Trusted Space. Probabilistic Initial Orbit Determination and Object Tracking in Cislunar Space Using Passive Radio Frequency Sensors (2023). doi:</w:t>
      </w:r>
      <w:r>
        <w:t xml:space="preserve"> </w:t>
      </w:r>
      <w:hyperlink r:id="rId144">
        <w:r>
          <w:rPr>
            <w:rStyle w:val="Hyperlink"/>
          </w:rPr>
          <w:t xml:space="preserve">10.64861/KWXF2322</w:t>
        </w:r>
      </w:hyperlink>
    </w:p>
    <w:p>
      <w:pPr>
        <w:pStyle w:val="BodyText"/>
        <w:spacing w:line="480" w:lineRule="auto"/>
        <w:ind w:firstLine="720"/>
      </w:pPr>
      <w:bookmarkStart w:id="145" w:name="ref-8"/>
      <w:bookmarkEnd w:id="145"/>
      <w:r>
        <w:t xml:space="preserve">8. Juan Ojeda Romero, Johns Hopkins Applied Physics Lab; Wayne Schlei, Johns Hopkins University Applied Physics Laboratory; Gene Whipps, Johns Hopkins University Applied Physics Laboratory; Nicholas LaFarge, Johns Hopkins University Applied Physics Laboratory; Gunner Fritsch, Johns Hopkins University Applied Physics Laboratory; Sean Phillips, Johns Hopkins University Applied Physics Laboratory. An Adaptive Approach to the Initial Orbit Determination Problem in the Cislunar Regime Using Machine Learning (2024). doi:</w:t>
      </w:r>
      <w:r>
        <w:t xml:space="preserve"> </w:t>
      </w:r>
      <w:hyperlink r:id="rId146">
        <w:r>
          <w:rPr>
            <w:rStyle w:val="Hyperlink"/>
          </w:rPr>
          <w:t xml:space="preserve">10.64861/FBSC2978</w:t>
        </w:r>
      </w:hyperlink>
    </w:p>
    <w:p>
      <w:pPr>
        <w:pStyle w:val="BodyText"/>
        <w:spacing w:line="480" w:lineRule="auto"/>
        <w:ind w:firstLine="720"/>
      </w:pPr>
      <w:bookmarkStart w:id="147" w:name="ref-9"/>
      <w:bookmarkEnd w:id="147"/>
      <w:r>
        <w:t xml:space="preserve">9. Svetla Ben-Itzhak. Complex hegemony in cislunar space: Network power and implications for global governance (2025). doi:</w:t>
      </w:r>
      <w:r>
        <w:t xml:space="preserve"> </w:t>
      </w:r>
      <w:hyperlink r:id="rId148">
        <w:r>
          <w:rPr>
            <w:rStyle w:val="Hyperlink"/>
          </w:rPr>
          <w:t xml:space="preserve">10.1016/j.actaastro.2025.12.024</w:t>
        </w:r>
      </w:hyperlink>
    </w:p>
    <w:p>
      <w:pPr>
        <w:pStyle w:val="BodyText"/>
        <w:spacing w:line="480" w:lineRule="auto"/>
        <w:ind w:firstLine="720"/>
      </w:pPr>
      <w:bookmarkStart w:id="149" w:name="ref-10"/>
      <w:bookmarkEnd w:id="149"/>
      <w:r>
        <w:t xml:space="preserve">10. Fay Ghani; Irene Cheuk-Wai Cheung; Anthony R. J. Phillips; Merryn H. Tawhai; Edward T. Ashworth. Lung volume, capacity and shape in microgravity: A systematic review and meta-analysis (2023). doi:</w:t>
      </w:r>
      <w:r>
        <w:t xml:space="preserve"> </w:t>
      </w:r>
      <w:hyperlink r:id="rId150">
        <w:r>
          <w:rPr>
            <w:rStyle w:val="Hyperlink"/>
          </w:rPr>
          <w:t xml:space="preserve">10.1016/j.actaastro.2023.08.005</w:t>
        </w:r>
      </w:hyperlink>
    </w:p>
    <w:p>
      <w:pPr>
        <w:pStyle w:val="BodyText"/>
        <w:spacing w:line="480" w:lineRule="auto"/>
        <w:ind w:firstLine="720"/>
      </w:pPr>
      <w:bookmarkStart w:id="151" w:name="ref-11"/>
      <w:bookmarkEnd w:id="151"/>
      <w:r>
        <w:t xml:space="preserve">11. Makreli Maria-Eleni; Charidemou Evelina. The impact of actual and simulated space conditions on the gut microbiome and the modulatory role of nutrition: A systematic review and meta-analysis (2026). doi:</w:t>
      </w:r>
      <w:r>
        <w:t xml:space="preserve"> </w:t>
      </w:r>
      <w:hyperlink r:id="rId152">
        <w:r>
          <w:rPr>
            <w:rStyle w:val="Hyperlink"/>
          </w:rPr>
          <w:t xml:space="preserve">10.1016/j.actaastro.2026.01.006</w:t>
        </w:r>
      </w:hyperlink>
    </w:p>
    <w:p>
      <w:pPr>
        <w:pStyle w:val="BodyText"/>
        <w:spacing w:line="480" w:lineRule="auto"/>
        <w:ind w:firstLine="720"/>
      </w:pPr>
      <w:bookmarkStart w:id="153" w:name="ref-12"/>
      <w:bookmarkEnd w:id="153"/>
      <w:r>
        <w:t xml:space="preserve">12. Ben McKeown; Andrew G. Dempster; Serkan Saydam; Jeff Coulton. How should potential space resources markets be evaluated? (2026). doi:</w:t>
      </w:r>
      <w:r>
        <w:t xml:space="preserve"> </w:t>
      </w:r>
      <w:hyperlink r:id="rId154">
        <w:r>
          <w:rPr>
            <w:rStyle w:val="Hyperlink"/>
          </w:rPr>
          <w:t xml:space="preserve">10.1016/j.actaastro.2026.03.026</w:t>
        </w:r>
      </w:hyperlink>
    </w:p>
    <w:p>
      <w:pPr>
        <w:pStyle w:val="BodyText"/>
        <w:spacing w:line="480" w:lineRule="auto"/>
        <w:ind w:firstLine="720"/>
      </w:pPr>
      <w:bookmarkStart w:id="155" w:name="ref-13"/>
      <w:bookmarkEnd w:id="155"/>
      <w:r>
        <w:t xml:space="preserve">13. Alexander H. Ferdinand Ferguson; Jacob Haqq-Misra. Cooperative sovereignty on Mars: Lessons from the International Telecommunication Union and Universal Postal Union (2026). doi:</w:t>
      </w:r>
      <w:r>
        <w:t xml:space="preserve"> </w:t>
      </w:r>
      <w:hyperlink r:id="rId156">
        <w:r>
          <w:rPr>
            <w:rStyle w:val="Hyperlink"/>
          </w:rPr>
          <w:t xml:space="preserve">10.1016/j.actaastro.2026.02.012</w:t>
        </w:r>
      </w:hyperlink>
    </w:p>
    <w:p>
      <w:pPr>
        <w:pStyle w:val="BodyText"/>
        <w:spacing w:line="480" w:lineRule="auto"/>
        <w:ind w:firstLine="720"/>
      </w:pPr>
      <w:bookmarkStart w:id="157" w:name="ref-14"/>
      <w:bookmarkEnd w:id="157"/>
      <w:r>
        <w:t xml:space="preserve">14.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58">
        <w:r>
          <w:rPr>
            <w:rStyle w:val="Hyperlink"/>
          </w:rPr>
          <w:t xml:space="preserve">10.1016/j.actaastro.2024.12.056</w:t>
        </w:r>
      </w:hyperlink>
    </w:p>
    <w:p>
      <w:pPr>
        <w:pStyle w:val="BodyText"/>
        <w:spacing w:line="480" w:lineRule="auto"/>
        <w:ind w:firstLine="720"/>
      </w:pPr>
      <w:bookmarkStart w:id="159" w:name="ref-15"/>
      <w:bookmarkEnd w:id="159"/>
      <w:r>
        <w:t xml:space="preserve">15. Anna Hurova; M. Becker; Nicolas Bécu. Gamification in space law: A strategy to navigate the growing landscape (2025). doi:</w:t>
      </w:r>
      <w:r>
        <w:t xml:space="preserve"> </w:t>
      </w:r>
      <w:hyperlink r:id="rId160">
        <w:r>
          <w:rPr>
            <w:rStyle w:val="Hyperlink"/>
          </w:rPr>
          <w:t xml:space="preserve">10.1016/j.actaastro.2025.01.054</w:t>
        </w:r>
      </w:hyperlink>
    </w:p>
    <w:p>
      <w:pPr>
        <w:pStyle w:val="BodyText"/>
        <w:spacing w:line="480" w:lineRule="auto"/>
        <w:ind w:firstLine="720"/>
      </w:pPr>
      <w:bookmarkStart w:id="161" w:name="ref-16"/>
      <w:bookmarkEnd w:id="161"/>
      <w:r>
        <w:t xml:space="preserve">16. J.D. Menges; K.M. Cannon. Natural Landing Pads on the Moon and Mars (2026). doi:</w:t>
      </w:r>
      <w:r>
        <w:t xml:space="preserve"> </w:t>
      </w:r>
      <w:hyperlink r:id="rId162">
        <w:r>
          <w:rPr>
            <w:rStyle w:val="Hyperlink"/>
          </w:rPr>
          <w:t xml:space="preserve">10.1016/j.actaastro.2026.01.045</w:t>
        </w:r>
      </w:hyperlink>
    </w:p>
    <w:bookmarkEnd w:id="163"/>
    <w:bookmarkEnd w:id="164"/>
    <w:bookmarkStart w:id="18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2" w:name="Xb27ee9265f6021eb86cf9aca2c60d79e5bcc656"/>
    <w:p>
      <w:pPr>
        <w:pStyle w:val="Heading2"/>
        <w:spacing w:line="480" w:lineRule="auto"/>
      </w:pPr>
      <w:r>
        <w:t xml:space="preserve">A.1 Signal Intensity in Hedging in Cislunar Governance A Revealed-Preference Model of Middle-Power Alig: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6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3.1062</w:t>
            </w:r>
          </w:p>
        </w:tc>
        <w:tc>
          <w:tcPr>
            <w:tcW w:w="0" w:type="auto"/>
          </w:tcPr>
          <w:p>
            <w:pPr>
              <w:spacing w:line="240" w:lineRule="auto" w:before="0" w:after="0"/>
              <w:pStyle w:val="Compact"/>
            </w:pPr>
            <w:r>
              <w:rPr>
                <w:sz w:val="20"/>
                <w:szCs w:val="20"/>
              </w:rPr>
              <w:t xml:space="preserve">1.2154</w:t>
            </w:r>
          </w:p>
        </w:tc>
        <w:tc>
          <w:tcPr>
            <w:tcW w:w="0" w:type="auto"/>
          </w:tcPr>
          <w:p>
            <w:pPr>
              <w:spacing w:line="240" w:lineRule="auto" w:before="0" w:after="0"/>
              <w:pStyle w:val="Compact"/>
            </w:pPr>
            <w:r>
              <w:rPr>
                <w:sz w:val="20"/>
                <w:szCs w:val="20"/>
              </w:rPr>
              <w:t xml:space="preserve">2.5557</w:t>
            </w:r>
          </w:p>
        </w:tc>
        <w:tc>
          <w:tcPr>
            <w:tcW w:w="0" w:type="auto"/>
          </w:tcPr>
          <w:p>
            <w:pPr>
              <w:spacing w:line="240" w:lineRule="auto" w:before="0" w:after="0"/>
              <w:pStyle w:val="Compact"/>
            </w:pPr>
            <w:r>
              <w:rPr>
                <w:sz w:val="20"/>
                <w:szCs w:val="20"/>
              </w:rPr>
              <w:t xml:space="preserve">0.0106</w:t>
            </w:r>
          </w:p>
        </w:tc>
        <w:tc>
          <w:tcPr>
            <w:tcW w:w="0" w:type="auto"/>
          </w:tcPr>
          <w:p>
            <w:pPr>
              <w:spacing w:line="240" w:lineRule="auto" w:before="0" w:after="0"/>
              <w:pStyle w:val="Compact"/>
            </w:pPr>
            <w:r>
              <w:rPr>
                <w:sz w:val="20"/>
                <w:szCs w:val="20"/>
              </w:rPr>
              <w:t xml:space="preserve">[0.7241, 5.4883]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0.1685</w:t>
            </w:r>
          </w:p>
        </w:tc>
        <w:tc>
          <w:tcPr>
            <w:tcW w:w="0" w:type="auto"/>
          </w:tcPr>
          <w:p>
            <w:pPr>
              <w:spacing w:line="240" w:lineRule="auto" w:before="0" w:after="0"/>
              <w:pStyle w:val="Compact"/>
            </w:pPr>
            <w:r>
              <w:rPr>
                <w:sz w:val="20"/>
                <w:szCs w:val="20"/>
              </w:rPr>
              <w:t xml:space="preserve">0.1188</w:t>
            </w:r>
          </w:p>
        </w:tc>
        <w:tc>
          <w:tcPr>
            <w:tcW w:w="0" w:type="auto"/>
          </w:tcPr>
          <w:p>
            <w:pPr>
              <w:spacing w:line="240" w:lineRule="auto" w:before="0" w:after="0"/>
              <w:pStyle w:val="Compact"/>
            </w:pPr>
            <w:r>
              <w:rPr>
                <w:sz w:val="20"/>
                <w:szCs w:val="20"/>
              </w:rPr>
              <w:t xml:space="preserve">1.4189</w:t>
            </w:r>
          </w:p>
        </w:tc>
        <w:tc>
          <w:tcPr>
            <w:tcW w:w="0" w:type="auto"/>
          </w:tcPr>
          <w:p>
            <w:pPr>
              <w:spacing w:line="240" w:lineRule="auto" w:before="0" w:after="0"/>
              <w:pStyle w:val="Compact"/>
            </w:pPr>
            <w:r>
              <w:rPr>
                <w:sz w:val="20"/>
                <w:szCs w:val="20"/>
              </w:rPr>
              <w:t xml:space="preserve">0.1559</w:t>
            </w:r>
          </w:p>
        </w:tc>
        <w:tc>
          <w:tcPr>
            <w:tcW w:w="0" w:type="auto"/>
          </w:tcPr>
          <w:p>
            <w:pPr>
              <w:spacing w:line="240" w:lineRule="auto" w:before="0" w:after="0"/>
              <w:pStyle w:val="Compact"/>
            </w:pPr>
            <w:r>
              <w:rPr>
                <w:sz w:val="20"/>
                <w:szCs w:val="20"/>
              </w:rPr>
              <w:t xml:space="preserve">[-0.0643, 0.4014]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-0.0235</w:t>
            </w:r>
          </w:p>
        </w:tc>
        <w:tc>
          <w:tcPr>
            <w:tcW w:w="0" w:type="auto"/>
          </w:tcPr>
          <w:p>
            <w:pPr>
              <w:spacing w:line="240" w:lineRule="auto" w:before="0" w:after="0"/>
              <w:pStyle w:val="Compact"/>
            </w:pPr>
            <w:r>
              <w:rPr>
                <w:sz w:val="20"/>
                <w:szCs w:val="20"/>
              </w:rPr>
              <w:t xml:space="preserve">0.0574</w:t>
            </w:r>
          </w:p>
        </w:tc>
        <w:tc>
          <w:tcPr>
            <w:tcW w:w="0" w:type="auto"/>
          </w:tcPr>
          <w:p>
            <w:pPr>
              <w:spacing w:line="240" w:lineRule="auto" w:before="0" w:after="0"/>
              <w:pStyle w:val="Compact"/>
            </w:pPr>
            <w:r>
              <w:rPr>
                <w:sz w:val="20"/>
                <w:szCs w:val="20"/>
              </w:rPr>
              <w:t xml:space="preserve">-0.4096</w:t>
            </w:r>
          </w:p>
        </w:tc>
        <w:tc>
          <w:tcPr>
            <w:tcW w:w="0" w:type="auto"/>
          </w:tcPr>
          <w:p>
            <w:pPr>
              <w:spacing w:line="240" w:lineRule="auto" w:before="0" w:after="0"/>
              <w:pStyle w:val="Compact"/>
            </w:pPr>
            <w:r>
              <w:rPr>
                <w:sz w:val="20"/>
                <w:szCs w:val="20"/>
              </w:rPr>
              <w:t xml:space="preserve">0.6821</w:t>
            </w:r>
          </w:p>
        </w:tc>
        <w:tc>
          <w:tcPr>
            <w:tcW w:w="0" w:type="auto"/>
          </w:tcPr>
          <w:p>
            <w:pPr>
              <w:spacing w:line="240" w:lineRule="auto" w:before="0" w:after="0"/>
              <w:pStyle w:val="Compact"/>
            </w:pPr>
            <w:r>
              <w:rPr>
                <w:sz w:val="20"/>
                <w:szCs w:val="20"/>
              </w:rPr>
              <w:t xml:space="preserve">[-0.1359, 0.0889]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-0.7664</w:t>
            </w:r>
          </w:p>
        </w:tc>
        <w:tc>
          <w:tcPr>
            <w:tcW w:w="0" w:type="auto"/>
          </w:tcPr>
          <w:p>
            <w:pPr>
              <w:spacing w:line="240" w:lineRule="auto" w:before="0" w:after="0"/>
              <w:pStyle w:val="Compact"/>
            </w:pPr>
            <w:r>
              <w:rPr>
                <w:sz w:val="20"/>
                <w:szCs w:val="20"/>
              </w:rPr>
              <w:t xml:space="preserve">0.2763</w:t>
            </w:r>
          </w:p>
        </w:tc>
        <w:tc>
          <w:tcPr>
            <w:tcW w:w="0" w:type="auto"/>
          </w:tcPr>
          <w:p>
            <w:pPr>
              <w:spacing w:line="240" w:lineRule="auto" w:before="0" w:after="0"/>
              <w:pStyle w:val="Compact"/>
            </w:pPr>
            <w:r>
              <w:rPr>
                <w:sz w:val="20"/>
                <w:szCs w:val="20"/>
              </w:rPr>
              <w:t xml:space="preserve">-2.7743</w:t>
            </w:r>
          </w:p>
        </w:tc>
        <w:tc>
          <w:tcPr>
            <w:tcW w:w="0" w:type="auto"/>
          </w:tcPr>
          <w:p>
            <w:pPr>
              <w:spacing w:line="240" w:lineRule="auto" w:before="0" w:after="0"/>
              <w:pStyle w:val="Compact"/>
            </w:pPr>
            <w:r>
              <w:rPr>
                <w:sz w:val="20"/>
                <w:szCs w:val="20"/>
              </w:rPr>
              <w:t xml:space="preserve">0.0055</w:t>
            </w:r>
          </w:p>
        </w:tc>
        <w:tc>
          <w:tcPr>
            <w:tcW w:w="0" w:type="auto"/>
          </w:tcPr>
          <w:p>
            <w:pPr>
              <w:spacing w:line="240" w:lineRule="auto" w:before="0" w:after="0"/>
              <w:pStyle w:val="Compact"/>
            </w:pPr>
            <w:r>
              <w:rPr>
                <w:sz w:val="20"/>
                <w:szCs w:val="20"/>
              </w:rPr>
              <w:t xml:space="preserve">[-1.3078, -0.2249]</w:t>
            </w:r>
          </w:p>
        </w:tc>
      </w:tr>
    </w:tbl>
    <w:p>
      <w:pPr>
        <w:pStyle w:val="BodyText"/>
        <w:spacing w:line="480" w:lineRule="auto"/>
        <w:ind w:firstLine="720"/>
      </w:pPr>
      <w:r>
        <w:t xml:space="preserve">Fit: N = 30 R2 = 0.2486 R2_adj = 0.1619 F = 6.7919 F_p = 0.0016</w:t>
      </w:r>
    </w:p>
    <w:bookmarkEnd w:id="165"/>
    <w:bookmarkStart w:id="16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67" name="Picture"/>
            <a:graphic>
              <a:graphicData uri="http://schemas.openxmlformats.org/drawingml/2006/picture">
                <pic:pic>
                  <pic:nvPicPr>
                    <pic:cNvPr descr="D:/Claude_Code/brain/collegium/candidates/dissertations/INTL_GOVERNANCE_09/research_papers/p1/paper_fig1.png" id="168" name="Picture"/>
                    <pic:cNvPicPr>
                      <a:picLocks noChangeArrowheads="1" noChangeAspect="1"/>
                    </pic:cNvPicPr>
                  </pic:nvPicPr>
                  <pic:blipFill>
                    <a:blip r:embed="rId16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69"/>
    <w:bookmarkStart w:id="17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10.64861/PKVP5982</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10.64861/WCUO4665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https://amostech.space/year/2022/ground-based-planetary-radars-current-and-future-prospects-in-the-cislunar-arena/</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https://amostech.space/year/2021/cislunar-multiscale-dynamics-and-implications-for-ssa/</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https://amostech.space/year/2016/incorporating-target-priorities-in-the-sensor-tasking-reward-function/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10.64861/MVWS5637</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10.64861/KWXF2322</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10.64861/FBSC2978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https://amostech.space/year/2022/probabilistic-initial-orbit-determination-and-object-tracking-in-cislunar-space-using-optical-sensors/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https://amostech.space/year/2017/remote-acoustic-imaging-of-geosynchronous-satellites/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10.1016/j.actaastro.2025.12.024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10.1016/j.actaastro.2023.08.005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10.1016/j.actaastro.2026.01.006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10.1016/j.actaastro.2026.02.012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10.1016/j.actaastro.2026.01.045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10.1016/j.actaastro.2023.04.037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10.1016/j.actaastro.2023.06.034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10.1016/j.actaastro.2017.10.005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10.1016/j.actaastro.2026.05.039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bl>
    <w:bookmarkEnd w:id="170"/>
    <w:bookmarkStart w:id="17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1"/>
    <w:bookmarkEnd w:id="172"/>
    <w:bookmarkStart w:id="180" w:name="X67f1f2d9409535b3054534c2bbe60309f03637f"/>
    <w:p>
      <w:pPr>
        <w:pStyle w:val="Heading2"/>
        <w:spacing w:line="480" w:lineRule="auto"/>
      </w:pPr>
      <w:r>
        <w:t xml:space="preserve">A.2 Attention Accumulation in Hedging in Cislunar Governance A Revealed-Preference Model of Middle-Power Alig: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7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0.2404</w:t>
            </w:r>
          </w:p>
        </w:tc>
        <w:tc>
          <w:tcPr>
            <w:tcW w:w="0" w:type="auto"/>
          </w:tcPr>
          <w:p>
            <w:pPr>
              <w:spacing w:line="240" w:lineRule="auto" w:before="0" w:after="0"/>
              <w:pStyle w:val="Compact"/>
            </w:pPr>
            <w:r>
              <w:rPr>
                <w:sz w:val="20"/>
                <w:szCs w:val="20"/>
              </w:rPr>
              <w:t xml:space="preserve">0.2185</w:t>
            </w:r>
          </w:p>
        </w:tc>
        <w:tc>
          <w:tcPr>
            <w:tcW w:w="0" w:type="auto"/>
          </w:tcPr>
          <w:p>
            <w:pPr>
              <w:spacing w:line="240" w:lineRule="auto" w:before="0" w:after="0"/>
              <w:pStyle w:val="Compact"/>
            </w:pPr>
            <w:r>
              <w:rPr>
                <w:sz w:val="20"/>
                <w:szCs w:val="20"/>
              </w:rPr>
              <w:t xml:space="preserve">1.1002</w:t>
            </w:r>
          </w:p>
        </w:tc>
        <w:tc>
          <w:tcPr>
            <w:tcW w:w="0" w:type="auto"/>
          </w:tcPr>
          <w:p>
            <w:pPr>
              <w:spacing w:line="240" w:lineRule="auto" w:before="0" w:after="0"/>
              <w:pStyle w:val="Compact"/>
            </w:pPr>
            <w:r>
              <w:rPr>
                <w:sz w:val="20"/>
                <w:szCs w:val="20"/>
              </w:rPr>
              <w:t xml:space="preserve">0.2712</w:t>
            </w:r>
          </w:p>
        </w:tc>
        <w:tc>
          <w:tcPr>
            <w:tcW w:w="0" w:type="auto"/>
          </w:tcPr>
          <w:p>
            <w:pPr>
              <w:spacing w:line="240" w:lineRule="auto" w:before="0" w:after="0"/>
              <w:pStyle w:val="Compact"/>
            </w:pPr>
            <w:r>
              <w:rPr>
                <w:sz w:val="20"/>
                <w:szCs w:val="20"/>
              </w:rPr>
              <w:t xml:space="preserve">[-0.1879, 0.6686]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0.1292</w:t>
            </w:r>
          </w:p>
        </w:tc>
        <w:tc>
          <w:tcPr>
            <w:tcW w:w="0" w:type="auto"/>
          </w:tcPr>
          <w:p>
            <w:pPr>
              <w:spacing w:line="240" w:lineRule="auto" w:before="0" w:after="0"/>
              <w:pStyle w:val="Compact"/>
            </w:pPr>
            <w:r>
              <w:rPr>
                <w:sz w:val="20"/>
                <w:szCs w:val="20"/>
              </w:rPr>
              <w:t xml:space="preserve">0.1851</w:t>
            </w:r>
          </w:p>
        </w:tc>
        <w:tc>
          <w:tcPr>
            <w:tcW w:w="0" w:type="auto"/>
          </w:tcPr>
          <w:p>
            <w:pPr>
              <w:spacing w:line="240" w:lineRule="auto" w:before="0" w:after="0"/>
              <w:pStyle w:val="Compact"/>
            </w:pPr>
            <w:r>
              <w:rPr>
                <w:sz w:val="20"/>
                <w:szCs w:val="20"/>
              </w:rPr>
              <w:t xml:space="preserve">0.698</w:t>
            </w:r>
          </w:p>
        </w:tc>
        <w:tc>
          <w:tcPr>
            <w:tcW w:w="0" w:type="auto"/>
          </w:tcPr>
          <w:p>
            <w:pPr>
              <w:spacing w:line="240" w:lineRule="auto" w:before="0" w:after="0"/>
              <w:pStyle w:val="Compact"/>
            </w:pPr>
            <w:r>
              <w:rPr>
                <w:sz w:val="20"/>
                <w:szCs w:val="20"/>
              </w:rPr>
              <w:t xml:space="preserve">0.4852</w:t>
            </w:r>
          </w:p>
        </w:tc>
        <w:tc>
          <w:tcPr>
            <w:tcW w:w="0" w:type="auto"/>
          </w:tcPr>
          <w:p>
            <w:pPr>
              <w:spacing w:line="240" w:lineRule="auto" w:before="0" w:after="0"/>
              <w:pStyle w:val="Compact"/>
            </w:pPr>
            <w:r>
              <w:rPr>
                <w:sz w:val="20"/>
                <w:szCs w:val="20"/>
              </w:rPr>
              <w:t xml:space="preserve">[-0.2335, 0.4919]</w:t>
            </w:r>
          </w:p>
        </w:tc>
      </w:tr>
    </w:tbl>
    <w:p>
      <w:pPr>
        <w:pStyle w:val="BodyText"/>
        <w:spacing w:line="480" w:lineRule="auto"/>
        <w:ind w:firstLine="720"/>
      </w:pPr>
      <w:r>
        <w:t xml:space="preserve">Fit: N = 30 R2 = 0.0111 elasticity_b = 0.1292 progress_ratio_2^b = 1.0937</w:t>
      </w:r>
    </w:p>
    <w:bookmarkEnd w:id="173"/>
    <w:bookmarkStart w:id="17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75" name="Picture"/>
            <a:graphic>
              <a:graphicData uri="http://schemas.openxmlformats.org/drawingml/2006/picture">
                <pic:pic>
                  <pic:nvPicPr>
                    <pic:cNvPr descr="D:/Claude_Code/brain/collegium/candidates/dissertations/INTL_GOVERNANCE_09/research_papers/p2/paper_fig1.png" id="176" name="Picture"/>
                    <pic:cNvPicPr>
                      <a:picLocks noChangeArrowheads="1" noChangeAspect="1"/>
                    </pic:cNvPicPr>
                  </pic:nvPicPr>
                  <pic:blipFill>
                    <a:blip r:embed="rId1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77"/>
    <w:bookmarkStart w:id="17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10.64861/PKVP5982</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10.64861/WCUO4665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https://amostech.space/year/2022/ground-based-planetary-radars-current-and-future-prospects-in-the-cislunar-arena/</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https://amostech.space/year/2021/cislunar-multiscale-dynamics-and-implications-for-ssa/</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https://amostech.space/year/2016/incorporating-target-priorities-in-the-sensor-tasking-reward-function/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10.64861/MVWS5637</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10.64861/KWXF2322</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10.64861/FBSC2978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https://amostech.space/year/2022/probabilistic-initial-orbit-determination-and-object-tracking-in-cislunar-space-using-optical-sensors/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https://amostech.space/year/2017/remote-acoustic-imaging-of-geosynchronous-satellites/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10.1016/j.actaastro.2025.12.024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10.1016/j.actaastro.2023.08.005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10.1016/j.actaastro.2026.01.006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10.1016/j.actaastro.2026.02.012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10.1016/j.actaastro.2026.01.045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10.1016/j.actaastro.2023.04.037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10.1016/j.actaastro.2023.06.034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10.1016/j.actaastro.2017.10.005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10.1016/j.actaastro.2026.05.039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bl>
    <w:bookmarkEnd w:id="178"/>
    <w:bookmarkStart w:id="17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79"/>
    <w:bookmarkEnd w:id="180"/>
    <w:bookmarkEnd w:id="1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66" Type="http://schemas.openxmlformats.org/officeDocument/2006/relationships/image" Target="media/rId166.png"/><Relationship Id="rId174" Type="http://schemas.openxmlformats.org/officeDocument/2006/relationships/image" Target="media/rId174.png"/><Relationship Id="rId150" Type="http://schemas.openxmlformats.org/officeDocument/2006/relationships/hyperlink" Target="https://doi.org/10.1016/j.actaastro.2023.08.005" TargetMode="External"/><Relationship Id="rId158" Type="http://schemas.openxmlformats.org/officeDocument/2006/relationships/hyperlink" Target="https://doi.org/10.1016/j.actaastro.2024.12.056" TargetMode="External"/><Relationship Id="rId160" Type="http://schemas.openxmlformats.org/officeDocument/2006/relationships/hyperlink" Target="https://doi.org/10.1016/j.actaastro.2025.01.054" TargetMode="External"/><Relationship Id="rId148" Type="http://schemas.openxmlformats.org/officeDocument/2006/relationships/hyperlink" Target="https://doi.org/10.1016/j.actaastro.2025.12.024" TargetMode="External"/><Relationship Id="rId152" Type="http://schemas.openxmlformats.org/officeDocument/2006/relationships/hyperlink" Target="https://doi.org/10.1016/j.actaastro.2026.01.006" TargetMode="External"/><Relationship Id="rId162" Type="http://schemas.openxmlformats.org/officeDocument/2006/relationships/hyperlink" Target="https://doi.org/10.1016/j.actaastro.2026.01.045" TargetMode="External"/><Relationship Id="rId156" Type="http://schemas.openxmlformats.org/officeDocument/2006/relationships/hyperlink" Target="https://doi.org/10.1016/j.actaastro.2026.02.012" TargetMode="External"/><Relationship Id="rId154" Type="http://schemas.openxmlformats.org/officeDocument/2006/relationships/hyperlink" Target="https://doi.org/10.1016/j.actaastro.2026.03.026" TargetMode="External"/><Relationship Id="rId146" Type="http://schemas.openxmlformats.org/officeDocument/2006/relationships/hyperlink" Target="https://doi.org/10.64861/FBSC2978" TargetMode="External"/><Relationship Id="rId144" Type="http://schemas.openxmlformats.org/officeDocument/2006/relationships/hyperlink" Target="https://doi.org/10.64861/KWXF2322" TargetMode="External"/><Relationship Id="rId142" Type="http://schemas.openxmlformats.org/officeDocument/2006/relationships/hyperlink" Target="https://doi.org/10.64861/MVWS5637" TargetMode="External"/><Relationship Id="rId135" Type="http://schemas.openxmlformats.org/officeDocument/2006/relationships/hyperlink" Target="https://doi.org/10.64861/PKVP5982" TargetMode="External"/><Relationship Id="rId137" Type="http://schemas.openxmlformats.org/officeDocument/2006/relationships/hyperlink" Target="https://doi.org/10.64861/WCUO4665" TargetMode="External"/></Relationships>
</file>

<file path=word/_rels/footnotes.xml.rels><?xml version='1.0' encoding='UTF-8' standalone='yes'?>
<Relationships xmlns="http://schemas.openxmlformats.org/package/2006/relationships"><Relationship Id="rId150" Type="http://schemas.openxmlformats.org/officeDocument/2006/relationships/hyperlink" Target="https://doi.org/10.1016/j.actaastro.2023.08.005" TargetMode="External"/><Relationship Id="rId158" Type="http://schemas.openxmlformats.org/officeDocument/2006/relationships/hyperlink" Target="https://doi.org/10.1016/j.actaastro.2024.12.056" TargetMode="External"/><Relationship Id="rId160" Type="http://schemas.openxmlformats.org/officeDocument/2006/relationships/hyperlink" Target="https://doi.org/10.1016/j.actaastro.2025.01.054" TargetMode="External"/><Relationship Id="rId148" Type="http://schemas.openxmlformats.org/officeDocument/2006/relationships/hyperlink" Target="https://doi.org/10.1016/j.actaastro.2025.12.024" TargetMode="External"/><Relationship Id="rId152" Type="http://schemas.openxmlformats.org/officeDocument/2006/relationships/hyperlink" Target="https://doi.org/10.1016/j.actaastro.2026.01.006" TargetMode="External"/><Relationship Id="rId162" Type="http://schemas.openxmlformats.org/officeDocument/2006/relationships/hyperlink" Target="https://doi.org/10.1016/j.actaastro.2026.01.045" TargetMode="External"/><Relationship Id="rId156" Type="http://schemas.openxmlformats.org/officeDocument/2006/relationships/hyperlink" Target="https://doi.org/10.1016/j.actaastro.2026.02.012" TargetMode="External"/><Relationship Id="rId154" Type="http://schemas.openxmlformats.org/officeDocument/2006/relationships/hyperlink" Target="https://doi.org/10.1016/j.actaastro.2026.03.026" TargetMode="External"/><Relationship Id="rId146" Type="http://schemas.openxmlformats.org/officeDocument/2006/relationships/hyperlink" Target="https://doi.org/10.64861/FBSC2978" TargetMode="External"/><Relationship Id="rId144" Type="http://schemas.openxmlformats.org/officeDocument/2006/relationships/hyperlink" Target="https://doi.org/10.64861/KWXF2322" TargetMode="External"/><Relationship Id="rId142" Type="http://schemas.openxmlformats.org/officeDocument/2006/relationships/hyperlink" Target="https://doi.org/10.64861/MVWS5637" TargetMode="External"/><Relationship Id="rId135" Type="http://schemas.openxmlformats.org/officeDocument/2006/relationships/hyperlink" Target="https://doi.org/10.64861/PKVP5982" TargetMode="External"/><Relationship Id="rId137" Type="http://schemas.openxmlformats.org/officeDocument/2006/relationships/hyperlink" Target="https://doi.org/10.64861/WCUO46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Hedging in Cislunar Governance: A Revealed-Preference Model of Middle-Power Alig</dc:title>
  <dc:creator>Oscar Lindqvist (1B-IGV-209)</dc:creator>
  <cp:keywords/>
  <dcterms:created xsi:type="dcterms:W3CDTF">2026-07-04T11:10:38Z</dcterms:created>
  <dcterms:modified xsi:type="dcterms:W3CDTF">2026-07-04T11:10:38Z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