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2.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90" w:name="X8c650d2ececfd60bc5c2f10afe83f58c3342ee8"/>
    <w:p>
      <w:pPr>
        <w:pStyle w:val="Heading1"/>
      </w:pPr>
      <w:r>
        <w:t xml:space="preserve">Attention Accumulation in Norm Entrepreneurship and the Drafting of the Artemis Accords Whose Language Su: A Learning-Curve Analysis of Citation Growth by Article Age</w:t>
      </w:r>
    </w:p>
    <w:bookmarkStart w:id="61" w:name="introduction"/>
    <w:p>
      <w:pPr>
        <w:pStyle w:val="Heading2"/>
      </w:pPr>
      <w:r>
        <w:t xml:space="preserve">1. Introduction</w:t>
      </w:r>
    </w:p>
    <w:p>
      <w:pPr>
        <w:pStyle w:val="FirstParagraph"/>
      </w:pPr>
      <w:r>
        <w:t xml:space="preserve">This empirical paper supports Amara Rahman (1B-IGV-208) and the dissertation project</w:t>
      </w:r>
      <w:r>
        <w:t xml:space="preserve"> </w:t>
      </w:r>
      <w:r>
        <w:rPr>
          <w:i/>
          <w:iCs/>
        </w:rPr>
        <w:t xml:space="preserve">Norm Entrepreneurship and the Drafting of the Artemis Accords: Whose Language Su</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R2=0.006798623643227364, elasticity_b=-0.13234450119780067, progress_ratio_2^b=0.912347603014938. The exact term summary is: const coef=0.719875366395704 p=0.014339913659512996; _ln_x coef=-0.13234450119780067 p=0.5083106199187482.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80" w:name="references"/>
    <w:p>
      <w:pPr>
        <w:pStyle w:val="Heading2"/>
      </w:pPr>
      <w:r>
        <w:t xml:space="preserve">References</w:t>
      </w:r>
    </w:p>
    <w:p>
      <w:pPr>
        <w:pStyle w:val="FirstParagraph"/>
      </w:pPr>
      <w:bookmarkStart w:id="67" w:name="ref-1"/>
      <w:bookmarkEnd w:id="67"/>
      <w:r>
        <w:t xml:space="preserve">1. Harvey Reed, MITRE; Nathaniel Dailey, MITRE; Ruth Stilwell, Aerospace Policy Solutions, LLC; Brian Weeden, Secure World Foundation. Decentralized Space Information Sharing as a Key Enabler of Trust and the Preservation of Space (2021). [AMOS]</w:t>
      </w:r>
      <w:r>
        <w:t xml:space="preserve"> </w:t>
      </w:r>
      <w:bookmarkStart w:id="68" w:name="ref-2"/>
      <w:bookmarkEnd w:id="68"/>
      <w:r>
        <w:t xml:space="preserve">2. Jacqueline Smith, MIT; Moriba Jah, University of Texas; Danielle Wood, MIT. Architecting a Decision Support System for Continuing Supervision of Commercial In-Space Servicing (2024). doi:</w:t>
      </w:r>
      <w:r>
        <w:t xml:space="preserve"> </w:t>
      </w:r>
      <w:hyperlink r:id="rId69">
        <w:r>
          <w:rPr>
            <w:rStyle w:val="Hyperlink"/>
          </w:rPr>
          <w:t xml:space="preserve">10.64861/SYQO6621</w:t>
        </w:r>
      </w:hyperlink>
      <w:r>
        <w:t xml:space="preserve"> </w:t>
      </w:r>
      <w:bookmarkStart w:id="70" w:name="ref-3"/>
      <w:bookmarkEnd w:id="70"/>
      <w:r>
        <w:t xml:space="preserve">3. Todd Harrison, Center for Strategic and International Studies. International Perspectives on Space Weapons (2020). [AMOS]</w:t>
      </w:r>
      <w:r>
        <w:t xml:space="preserve"> </w:t>
      </w:r>
      <w:bookmarkStart w:id="71" w:name="ref-4"/>
      <w:bookmarkEnd w:id="71"/>
      <w:r>
        <w:t xml:space="preserve">4. Purin Tanirat, Geo-Informatics and Space Technology Development Agency (GISTDA); Sittiporn Channumsin, Geo-Informatics and Space Technology Development Agency (GISTDA); Suwat Sreesawet, Geo-Informatics and Space Technology Development Agency (GISTDA); Setthanun Thongsuwan, Geo-Informatics and Space Technology Development Agency (GISTDA); Keerati Puttasuwan, Geo-Informatics and Space Technology Development Agency (GISTDA); Phasawee Saingyen, Geo-Informatics and Space Technology Development Agency (GISTDA); Borirak Kitrattana, Geo-Informatics and Space Technology Development Agency (GISTDA); Yodyium Tipsuwan, Kasetsart University. Enhancing Space Safety and Security: GISTDA’s Integrated Approach to Space Situational Awareness and Traffic Management (2025). doi:</w:t>
      </w:r>
      <w:r>
        <w:t xml:space="preserve"> </w:t>
      </w:r>
      <w:hyperlink r:id="rId72">
        <w:r>
          <w:rPr>
            <w:rStyle w:val="Hyperlink"/>
          </w:rPr>
          <w:t xml:space="preserve">10.64861/KSPN2451</w:t>
        </w:r>
      </w:hyperlink>
      <w:r>
        <w:t xml:space="preserve"> </w:t>
      </w:r>
      <w:bookmarkStart w:id="73" w:name="ref-5"/>
      <w:bookmarkEnd w:id="73"/>
      <w:r>
        <w:t xml:space="preserve">5. Grant Privett, Defence Science Technology Laboratory (Dstl); Calum Meredith, Defence Science Technology Laboratory (Dstl); Andy Winterbotham, Defence Science Technology Laboratory (Dstl); Jamie Symons, Defence Science Technology Laboratory (Dstl); Lauchie Scott, Defense R&amp;D Canada; Allie Fawcett, Bornea Dynamics; Simon Lyddiatt, Bornea Dynamics; Ricky Gill, University of Manitoba; Brendan Doherty, University of Manitoba; Riley Sweeney, University of Manitoba; Philip Ferguson, University of Manitoba; Paul Harrison, Magellan Aerospace; Matthew Driedger, Magellan Aerospace; Vojtech Balaban, Magellan Aerospace. On-Orbit Satellite Detection and Extraction in J Band Imagery (2025). doi:</w:t>
      </w:r>
      <w:r>
        <w:t xml:space="preserve"> </w:t>
      </w:r>
      <w:hyperlink r:id="rId74">
        <w:r>
          <w:rPr>
            <w:rStyle w:val="Hyperlink"/>
          </w:rPr>
          <w:t xml:space="preserve">10.64861/AZUD8556</w:t>
        </w:r>
      </w:hyperlink>
      <w:r>
        <w:t xml:space="preserve"> </w:t>
      </w:r>
      <w:bookmarkStart w:id="75" w:name="ref-6"/>
      <w:bookmarkEnd w:id="75"/>
      <w:r>
        <w:t xml:space="preserve">6. Tomasz Zubowicz, Polish Space Agency; Mikolaj Kruzynski, Polish Space Agency; Zygmunt Aniol, Polish Space Agency; Krzysztof Arminski, Polish Space Agency; Mikolaj Karawacki, Polish Space Agency; Krzysztof Szyszka, Polish Space Agency; Tymoteusz Trocki, Polish Space Agency; Judyta Wojtala, Polish Space Agency; Pawel Zmudzki, Polish Space Agency. An Introduction to the Optical Fence Subnetwork for Optical Triangulation (2025). doi:</w:t>
      </w:r>
      <w:r>
        <w:t xml:space="preserve"> </w:t>
      </w:r>
      <w:hyperlink r:id="rId76">
        <w:r>
          <w:rPr>
            <w:rStyle w:val="Hyperlink"/>
          </w:rPr>
          <w:t xml:space="preserve">10.64861/OEWV1817</w:t>
        </w:r>
      </w:hyperlink>
      <w:r>
        <w:t xml:space="preserve"> </w:t>
      </w:r>
      <w:bookmarkStart w:id="77" w:name="ref-7"/>
      <w:bookmarkEnd w:id="77"/>
      <w:r>
        <w:t xml:space="preserve">7. Tomasz Zubowicz, POLSA; Mikolaj Kruzynski, POLSA; Krzysztof Arminski, POLSA; Mikolaj Karawacaki, POLSA; Krzysztof Szyszka, POLSA; Marcin Teofilewicz, POLSA; Artur Makarewicz, POLSA; Edwin Wnuk, POLSA; Zygmunt Aniol, POLSA; Tymoteusz Trocki, POLSA. POLSA Sensor Network Capabilities Under Different Operating Modes (2024). doi:</w:t>
      </w:r>
      <w:r>
        <w:t xml:space="preserve"> </w:t>
      </w:r>
      <w:hyperlink r:id="rId78">
        <w:r>
          <w:rPr>
            <w:rStyle w:val="Hyperlink"/>
          </w:rPr>
          <w:t xml:space="preserve">10.64861/SFBT8061</w:t>
        </w:r>
      </w:hyperlink>
      <w:r>
        <w:t xml:space="preserve"> </w:t>
      </w:r>
      <w:bookmarkStart w:id="79" w:name="ref-8"/>
      <w:bookmarkEnd w:id="79"/>
      <w:r>
        <w:t xml:space="preserve">8. Maciej Konacki, Nicolaus Copernicus Astronomical Center, Polish Academy of Sciences; Adrian Malacz, Polish Space Agency; Arkadiusz Chimicz, Polish Space Agency; Pawe? Lejba, Space Research Center, Polish Academy of Sciences, Borowiec Astrogeodynamic Observatory; Piotr Sybilski, Sybilla Technologies; Rafa? Paw?aszek, Sybilla Technologies; Stanis?aw Koz?owski, Cillium Engineering; Tomasz Suchodolski, Space Research Center, Polish Academy of Sciences, Borowiec Astrogeodynamic Observatory; Krzysztof Koz?owski, Institute of Automation and Robotics; Agnieszka Sybilska, Baltic Institute of Technology; Beata Rogowska, Nicolaus Copernicus Astronomical Center, Polish Academy of Sciences; Dariusz Pazderski, Institute of Automation and Robotics; Micha? ?o?nowski, 6Roads Ltd; Andy Shearer, National University of Ireland Galway; Agnieszka S?owikowska, Centre for Astronomy, Faculty of Physics, Astronomy and Informatics, Nicolaus Copernicus; Maciej Pilichowski, Sybilla Technologies; Marek Malawski, Polish Space Agency; Marcin G?dek, 6Roads Ltd. Optical, Laser and Processing Capabilities of the New Polish Space Situational Awareness Centre (2019). [AMOS]</w:t>
      </w:r>
    </w:p>
    <w:bookmarkEnd w:id="80"/>
    <w:bookmarkStart w:id="81"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81"/>
    <w:bookmarkStart w:id="85"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0.7199</w:t>
            </w:r>
          </w:p>
        </w:tc>
        <w:tc>
          <w:tcPr>
            <w:tcW w:w="0" w:type="auto"/>
          </w:tcPr>
          <w:p>
            <w:pPr>
              <w:spacing w:line="240" w:lineRule="auto" w:before="0" w:after="0"/>
              <w:pStyle w:val="Compact"/>
            </w:pPr>
            <w:r>
              <w:rPr>
                <w:sz w:val="20"/>
                <w:szCs w:val="20"/>
              </w:rPr>
              <w:t xml:space="preserve">0.294</w:t>
            </w:r>
          </w:p>
        </w:tc>
        <w:tc>
          <w:tcPr>
            <w:tcW w:w="0" w:type="auto"/>
          </w:tcPr>
          <w:p>
            <w:pPr>
              <w:spacing w:line="240" w:lineRule="auto" w:before="0" w:after="0"/>
              <w:pStyle w:val="Compact"/>
            </w:pPr>
            <w:r>
              <w:rPr>
                <w:sz w:val="20"/>
                <w:szCs w:val="20"/>
              </w:rPr>
              <w:t xml:space="preserve">2.4486</w:t>
            </w:r>
          </w:p>
        </w:tc>
        <w:tc>
          <w:tcPr>
            <w:tcW w:w="0" w:type="auto"/>
          </w:tcPr>
          <w:p>
            <w:pPr>
              <w:spacing w:line="240" w:lineRule="auto" w:before="0" w:after="0"/>
              <w:pStyle w:val="Compact"/>
            </w:pPr>
            <w:r>
              <w:rPr>
                <w:sz w:val="20"/>
                <w:szCs w:val="20"/>
              </w:rPr>
              <w:t xml:space="preserve">0.0143</w:t>
            </w:r>
          </w:p>
        </w:tc>
        <w:tc>
          <w:tcPr>
            <w:tcW w:w="0" w:type="auto"/>
          </w:tcPr>
          <w:p>
            <w:pPr>
              <w:spacing w:line="240" w:lineRule="auto" w:before="0" w:after="0"/>
              <w:pStyle w:val="Compact"/>
            </w:pPr>
            <w:r>
              <w:rPr>
                <w:sz w:val="20"/>
                <w:szCs w:val="20"/>
              </w:rPr>
              <w:t xml:space="preserve">[0.1437, 1.2961]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-0.1323</w:t>
            </w:r>
          </w:p>
        </w:tc>
        <w:tc>
          <w:tcPr>
            <w:tcW w:w="0" w:type="auto"/>
          </w:tcPr>
          <w:p>
            <w:pPr>
              <w:spacing w:line="240" w:lineRule="auto" w:before="0" w:after="0"/>
              <w:pStyle w:val="Compact"/>
            </w:pPr>
            <w:r>
              <w:rPr>
                <w:sz w:val="20"/>
                <w:szCs w:val="20"/>
              </w:rPr>
              <w:t xml:space="preserve">0.2001</w:t>
            </w:r>
          </w:p>
        </w:tc>
        <w:tc>
          <w:tcPr>
            <w:tcW w:w="0" w:type="auto"/>
          </w:tcPr>
          <w:p>
            <w:pPr>
              <w:spacing w:line="240" w:lineRule="auto" w:before="0" w:after="0"/>
              <w:pStyle w:val="Compact"/>
            </w:pPr>
            <w:r>
              <w:rPr>
                <w:sz w:val="20"/>
                <w:szCs w:val="20"/>
              </w:rPr>
              <w:t xml:space="preserve">-0.6615</w:t>
            </w:r>
          </w:p>
        </w:tc>
        <w:tc>
          <w:tcPr>
            <w:tcW w:w="0" w:type="auto"/>
          </w:tcPr>
          <w:p>
            <w:pPr>
              <w:spacing w:line="240" w:lineRule="auto" w:before="0" w:after="0"/>
              <w:pStyle w:val="Compact"/>
            </w:pPr>
            <w:r>
              <w:rPr>
                <w:sz w:val="20"/>
                <w:szCs w:val="20"/>
              </w:rPr>
              <w:t xml:space="preserve">0.5083</w:t>
            </w:r>
          </w:p>
        </w:tc>
        <w:tc>
          <w:tcPr>
            <w:tcW w:w="0" w:type="auto"/>
          </w:tcPr>
          <w:p>
            <w:pPr>
              <w:spacing w:line="240" w:lineRule="auto" w:before="0" w:after="0"/>
              <w:pStyle w:val="Compact"/>
            </w:pPr>
            <w:r>
              <w:rPr>
                <w:sz w:val="20"/>
                <w:szCs w:val="20"/>
              </w:rPr>
              <w:t xml:space="preserve">[-0.5245, 0.2598]</w:t>
            </w:r>
          </w:p>
        </w:tc>
      </w:tr>
    </w:tbl>
    <w:p>
      <w:pPr>
        <w:pStyle w:val="BodyText"/>
      </w:pPr>
      <w:r>
        <w:t xml:space="preserve">Fit: N = 30 R2 = 0.0068 elasticity_b = -0.1323 progress_ratio_2^b = 0.9123</w:t>
      </w:r>
    </w:p>
    <w:p>
      <w:pPr>
        <w:pStyle w:val="CaptionedFigure"/>
      </w:pPr>
      <w:r>
        <w:drawing>
          <wp:inline>
            <wp:extent cx="5669280" cy="3657600"/>
            <wp:effectExtent b="0" l="0" r="0" t="0"/>
            <wp:docPr descr="Figure 1. Citation accumulation against article age in the retrieved topic literature." title="" id="83" name="Picture"/>
            <a:graphic>
              <a:graphicData uri="http://schemas.openxmlformats.org/drawingml/2006/picture">
                <pic:pic>
                  <pic:nvPicPr>
                    <pic:cNvPr descr="D:\Claude_Code\brain\collegium\candidates\dissertations\INTL_GOVERNANCE_08\research_papers\p2\paper_fig1.png" id="84" name="Picture"/>
                    <pic:cNvPicPr>
                      <a:picLocks noChangeArrowheads="1" noChangeAspect="1"/>
                    </pic:cNvPicPr>
                  </pic:nvPicPr>
                  <pic:blipFill>
                    <a:blip r:embed="rId82"/>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5"/>
    <w:bookmarkStart w:id="89"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6"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https://amostech.space/year/2021/decentralized-space-information-sharing-as-a-key-enabler-of-trust-and-the-preservation-of-space/</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10.64861/SYQO6621</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https://amostech.space/year/2020/international-perspectives-on-space-weapons/</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10.64861/KSPN2451</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10.64861/AZUD8556</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10.64861/OEWV1817</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10.64861/SFBT8061</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https://amostech.space/year/2019/optical-laser-and-processing-capabilities-of-the-new-polish-space-situational-awareness-centre/</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https://amostech.space/year/2022/sharing-operational-risk-information-in-the-space-domain-to-facilitate-norms-development-and-compliance-monitoring/</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10.64861/VSAT2607</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10.64861/EZRE5509</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https://amostech.space/year/2020/can-international-law-provide-a-basis-for-actively-removing-space-debris/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10.1016/j.actaastro.2025.02.010</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10.1016/j.actaastro.2025.01.054</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10.1016/j.actaastro.2025.04.063</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10.1016/j.actaastro.2023.01.003</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10.1016/j.actaastro.2025.09.070</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10.1016/j.actaastro.2022.11.005</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10.1016/j.actaastro.2026.03.030</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10.1016/j.actaastro.2025.04.041</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10.1016/j.actaastro.2025.05.036</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10.1016/j.actaastro.2025.11.069</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10.1016/j.actaastro.2024.09.005</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10.1016/j.actaastro.2023.07.009</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Roadmap: Australia Economic-Technological Renaissance in Space</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MITRE white paper arguing that Australia’s geolocational Delta-V advantage, automated mining expertise, and university smallsat capacity can underpin a commercial space economy analogous to Japan’s and Germany’s post-WWII economic miracles, provided the country prioritizes LTS Guidelines, orbital debris governance, and Artemis Accords leadership over defense-budget reliance.</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Mapping Outer Space Norms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10.1177/00471178261418898</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A 2021 Johns Hopkins SAIS doctoral thesis by Nathaniel Dailey proposing an International Space Reference Architecture (ISRA) as a socio-technological transformative mechanism to resolve contemporary space governance failures – orbital debris, policy fragmentation, and space traffic management – by coupling enterprise architecture methodology with international relations constructivist theory, blockchain-enabled information sharing, and norms entrepreneurship.</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The Missing Ingredients for a Polycentric Governance System of Orbital Debris</w:t>
            </w:r>
          </w:p>
        </w:tc>
      </w:tr>
    </w:tbl>
    <w:bookmarkEnd w:id="86"/>
    <w:bookmarkStart w:id="87"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7"/>
    <w:bookmarkStart w:id="88"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0.7199</w:t>
            </w:r>
          </w:p>
        </w:tc>
        <w:tc>
          <w:tcPr>
            <w:tcW w:w="0" w:type="auto"/>
          </w:tcPr>
          <w:p>
            <w:pPr>
              <w:spacing w:line="240" w:lineRule="auto" w:before="0" w:after="0"/>
              <w:pStyle w:val="Compact"/>
            </w:pPr>
            <w:r>
              <w:rPr>
                <w:sz w:val="20"/>
                <w:szCs w:val="20"/>
              </w:rPr>
              <w:t xml:space="preserve">0.294</w:t>
            </w:r>
          </w:p>
        </w:tc>
        <w:tc>
          <w:tcPr>
            <w:tcW w:w="0" w:type="auto"/>
          </w:tcPr>
          <w:p>
            <w:pPr>
              <w:spacing w:line="240" w:lineRule="auto" w:before="0" w:after="0"/>
              <w:pStyle w:val="Compact"/>
            </w:pPr>
            <w:r>
              <w:rPr>
                <w:sz w:val="20"/>
                <w:szCs w:val="20"/>
              </w:rPr>
              <w:t xml:space="preserve">2.4486</w:t>
            </w:r>
          </w:p>
        </w:tc>
        <w:tc>
          <w:tcPr>
            <w:tcW w:w="0" w:type="auto"/>
          </w:tcPr>
          <w:p>
            <w:pPr>
              <w:spacing w:line="240" w:lineRule="auto" w:before="0" w:after="0"/>
              <w:pStyle w:val="Compact"/>
            </w:pPr>
            <w:r>
              <w:rPr>
                <w:sz w:val="20"/>
                <w:szCs w:val="20"/>
              </w:rPr>
              <w:t xml:space="preserve">0.0143</w:t>
            </w:r>
          </w:p>
        </w:tc>
        <w:tc>
          <w:tcPr>
            <w:tcW w:w="0" w:type="auto"/>
          </w:tcPr>
          <w:p>
            <w:pPr>
              <w:spacing w:line="240" w:lineRule="auto" w:before="0" w:after="0"/>
              <w:pStyle w:val="Compact"/>
            </w:pPr>
            <w:r>
              <w:rPr>
                <w:sz w:val="20"/>
                <w:szCs w:val="20"/>
              </w:rPr>
              <w:t xml:space="preserve">[0.1437, 1.2961]</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-0.1323</w:t>
            </w:r>
          </w:p>
        </w:tc>
        <w:tc>
          <w:tcPr>
            <w:tcW w:w="0" w:type="auto"/>
          </w:tcPr>
          <w:p>
            <w:pPr>
              <w:spacing w:line="240" w:lineRule="auto" w:before="0" w:after="0"/>
              <w:pStyle w:val="Compact"/>
            </w:pPr>
            <w:r>
              <w:rPr>
                <w:sz w:val="20"/>
                <w:szCs w:val="20"/>
              </w:rPr>
              <w:t xml:space="preserve">0.2001</w:t>
            </w:r>
          </w:p>
        </w:tc>
        <w:tc>
          <w:tcPr>
            <w:tcW w:w="0" w:type="auto"/>
          </w:tcPr>
          <w:p>
            <w:pPr>
              <w:spacing w:line="240" w:lineRule="auto" w:before="0" w:after="0"/>
              <w:pStyle w:val="Compact"/>
            </w:pPr>
            <w:r>
              <w:rPr>
                <w:sz w:val="20"/>
                <w:szCs w:val="20"/>
              </w:rPr>
              <w:t xml:space="preserve">-0.6615</w:t>
            </w:r>
          </w:p>
        </w:tc>
        <w:tc>
          <w:tcPr>
            <w:tcW w:w="0" w:type="auto"/>
          </w:tcPr>
          <w:p>
            <w:pPr>
              <w:spacing w:line="240" w:lineRule="auto" w:before="0" w:after="0"/>
              <w:pStyle w:val="Compact"/>
            </w:pPr>
            <w:r>
              <w:rPr>
                <w:sz w:val="20"/>
                <w:szCs w:val="20"/>
              </w:rPr>
              <w:t xml:space="preserve">0.5083</w:t>
            </w:r>
          </w:p>
        </w:tc>
        <w:tc>
          <w:tcPr>
            <w:tcW w:w="0" w:type="auto"/>
          </w:tcPr>
          <w:p>
            <w:pPr>
              <w:spacing w:line="240" w:lineRule="auto" w:before="0" w:after="0"/>
              <w:pStyle w:val="Compact"/>
            </w:pPr>
            <w:r>
              <w:rPr>
                <w:sz w:val="20"/>
                <w:szCs w:val="20"/>
              </w:rPr>
              <w:t xml:space="preserve">[-0.5245, 0.2598]</w:t>
            </w:r>
          </w:p>
        </w:tc>
      </w:tr>
    </w:tbl>
    <w:p>
      <w:pPr>
        <w:pStyle w:val="BodyText"/>
      </w:pPr>
      <w:r>
        <w:t xml:space="preserve">Fit: N = 30 R2 = 0.0068 elasticity_b = -0.1323 progress_ratio_2^b = 0.9123</w:t>
      </w:r>
    </w:p>
    <w:bookmarkEnd w:id="88"/>
    <w:bookmarkEnd w:id="89"/>
    <w:bookmarkEnd w:id="90"/>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2" Target="media/rId82.png" /><Relationship Type="http://schemas.openxmlformats.org/officeDocument/2006/relationships/hyperlink" Id="rId74" Target="https://doi.org/10.64861/AZUD8556" TargetMode="External" /><Relationship Type="http://schemas.openxmlformats.org/officeDocument/2006/relationships/hyperlink" Id="rId72" Target="https://doi.org/10.64861/KSPN2451" TargetMode="External" /><Relationship Type="http://schemas.openxmlformats.org/officeDocument/2006/relationships/hyperlink" Id="rId76" Target="https://doi.org/10.64861/OEWV1817" TargetMode="External" /><Relationship Type="http://schemas.openxmlformats.org/officeDocument/2006/relationships/hyperlink" Id="rId78" Target="https://doi.org/10.64861/SFBT8061" TargetMode="External" /><Relationship Type="http://schemas.openxmlformats.org/officeDocument/2006/relationships/hyperlink" Id="rId69" Target="https://doi.org/10.64861/SYQO6621" TargetMode="External" /></Relationships>
</file>

<file path=word/_rels/footnotes.xml.rels><?xml version="1.0" encoding="UTF-8"?><Relationships xmlns="http://schemas.openxmlformats.org/package/2006/relationships"><Relationship Type="http://schemas.openxmlformats.org/officeDocument/2006/relationships/hyperlink" Id="rId74" Target="https://doi.org/10.64861/AZUD8556" TargetMode="External" /><Relationship Type="http://schemas.openxmlformats.org/officeDocument/2006/relationships/hyperlink" Id="rId72" Target="https://doi.org/10.64861/KSPN2451" TargetMode="External" /><Relationship Type="http://schemas.openxmlformats.org/officeDocument/2006/relationships/hyperlink" Id="rId76" Target="https://doi.org/10.64861/OEWV1817" TargetMode="External" /><Relationship Type="http://schemas.openxmlformats.org/officeDocument/2006/relationships/hyperlink" Id="rId78" Target="https://doi.org/10.64861/SFBT8061" TargetMode="External" /><Relationship Type="http://schemas.openxmlformats.org/officeDocument/2006/relationships/hyperlink" Id="rId69" Target="https://doi.org/10.64861/SYQO6621"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2026-06-29T09:40:12Z</dcterms:created>
  <dcterms:modified xsi:type="dcterms:W3CDTF">2026-06-29T09:40:12Z</dcterms:modified>
</cp:coreProperties>
</file>

<file path=docProps/custom.xml><?xml version="1.0" encoding="utf-8"?>
<Properties xmlns="http://schemas.openxmlformats.org/officeDocument/2006/custom-properties" xmlns:vt="http://schemas.openxmlformats.org/officeDocument/2006/docPropsVTypes"/>
</file>