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27a9d05d9bcdf91afb4039e6c962947b96694c6"/>
    <w:p>
      <w:pPr>
        <w:pStyle w:val="Heading1"/>
      </w:pPr>
      <w:r>
        <w:t xml:space="preserve">Signal Intensity in Norm Entrepreneurship and the Drafting of the Artemis Accords Whose Language Su: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Amara Rahman (1B-IGV-208) and the dissertation project</w:t>
      </w:r>
      <w:r>
        <w:t xml:space="preserve"> </w:t>
      </w:r>
      <w:r>
        <w:rPr>
          <w:i/>
          <w:iCs/>
        </w:rPr>
        <w:t xml:space="preserve">Norm Entrepreneurship and the Drafting of the Artemis Accords: Whose Language Su</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R2=0.231950196261969, R2_adj=0.14332906506142695, F=4.31969627883677, F_p=0.013420239699961744. The exact term summary is: const coef=1.7639518628536552 p=0.08875484544928247; recency_index coef=-0.06867257466441334 p=0.7039004529139515; cites_num coef=0.12169283865575005 p=0.016096231143562165; venue_score coef=0.9842467942016369 p=0.13375466128680852.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Jacqueline Smith, MIT; Moriba Jah, University of Texas; Danielle Wood, MIT. Architecting a Decision Support System for Continuing Supervision of Commercial In-Space Servicing (2024). doi:</w:t>
      </w:r>
      <w:r>
        <w:t xml:space="preserve"> </w:t>
      </w:r>
      <w:hyperlink r:id="rId69">
        <w:r>
          <w:rPr>
            <w:rStyle w:val="Hyperlink"/>
          </w:rPr>
          <w:t xml:space="preserve">10.64861/SYQO6621</w:t>
        </w:r>
      </w:hyperlink>
      <w:r>
        <w:t xml:space="preserve"> </w:t>
      </w:r>
      <w:bookmarkStart w:id="70" w:name="ref-3"/>
      <w:bookmarkEnd w:id="70"/>
      <w:r>
        <w:t xml:space="preserve">3. Todd Harrison, Center for Strategic and International Studies. International Perspectives on Space Weapons (2020). [AMOS]</w:t>
      </w:r>
      <w:r>
        <w:t xml:space="preserve"> </w:t>
      </w:r>
      <w:bookmarkStart w:id="71" w:name="ref-4"/>
      <w:bookmarkEnd w:id="71"/>
      <w:r>
        <w:t xml:space="preserve">4. Purin Tanirat, Geo-Informatics and Space Technology Development Agency (GISTDA); Sittiporn Channumsin, Geo-Informatics and Space Technology Development Agency (GISTDA); Suwat Sreesawet, Geo-Informatics and Space Technology Development Agency (GISTDA); Setthanun Thongsuwan, Geo-Informatics and Space Technology Development Agency (GISTDA); Keerati Puttasuwan, Geo-Informatics and Space Technology Development Agency (GISTDA); Phasawee Saingyen, Geo-Informatics and Space Technology Development Agency (GISTDA); Borirak Kitrattana, Geo-Informatics and Space Technology Development Agency (GISTDA); Yodyium Tipsuwan, Kasetsart University. Enhancing Space Safety and Security: GISTDA’s Integrated Approach to Space Situational Awareness and Traffic Management (2025). doi:</w:t>
      </w:r>
      <w:r>
        <w:t xml:space="preserve"> </w:t>
      </w:r>
      <w:hyperlink r:id="rId72">
        <w:r>
          <w:rPr>
            <w:rStyle w:val="Hyperlink"/>
          </w:rPr>
          <w:t xml:space="preserve">10.64861/KSPN2451</w:t>
        </w:r>
      </w:hyperlink>
      <w:r>
        <w:t xml:space="preserve"> </w:t>
      </w:r>
      <w:bookmarkStart w:id="73" w:name="ref-5"/>
      <w:bookmarkEnd w:id="73"/>
      <w:r>
        <w:t xml:space="preserve">5. Grant Privett, Defence Science Technology Laboratory (Dstl); Calum Meredith, Defence Science Technology Laboratory (Dstl); Andy Winterbotham, Defence Science Technology Laboratory (Dstl); Jamie Symons, Defence Science Technology Laboratory (Dstl); Lauchie Scott, Defense R&amp;D Canada; Allie Fawcett, Bornea Dynamics; Simon Lyddiatt, Bornea Dynamics; Ricky Gill, University of Manitoba; Brendan Doherty, University of Manitoba; Riley Sweeney, University of Manitoba; Philip Ferguson, University of Manitoba; Paul Harrison, Magellan Aerospace; Matthew Driedger, Magellan Aerospace; Vojtech Balaban, Magellan Aerospace. On-Orbit Satellite Detection and Extraction in J Band Imagery (2025). doi:</w:t>
      </w:r>
      <w:r>
        <w:t xml:space="preserve"> </w:t>
      </w:r>
      <w:hyperlink r:id="rId74">
        <w:r>
          <w:rPr>
            <w:rStyle w:val="Hyperlink"/>
          </w:rPr>
          <w:t xml:space="preserve">10.64861/AZUD8556</w:t>
        </w:r>
      </w:hyperlink>
      <w:r>
        <w:t xml:space="preserve"> </w:t>
      </w:r>
      <w:bookmarkStart w:id="75" w:name="ref-6"/>
      <w:bookmarkEnd w:id="75"/>
      <w:r>
        <w:t xml:space="preserve">6. Tomasz Zubowicz, Polish Space Agency; Mikolaj Kruzynski, Polish Space Agency; Zygmunt Aniol, Polish Space Agency; Krzysztof Arminski, Polish Space Agency; Mikolaj Karawacki, Polish Space Agency; Krzysztof Szyszka, Polish Space Agency; Tymoteusz Trocki, Polish Space Agency; Judyta Wojtala, Polish Space Agency; Pawel Zmudzki, Polish Space Agency. An Introduction to the Optical Fence Subnetwork for Optical Triangulation (2025). doi:</w:t>
      </w:r>
      <w:r>
        <w:t xml:space="preserve"> </w:t>
      </w:r>
      <w:hyperlink r:id="rId76">
        <w:r>
          <w:rPr>
            <w:rStyle w:val="Hyperlink"/>
          </w:rPr>
          <w:t xml:space="preserve">10.64861/OEWV1817</w:t>
        </w:r>
      </w:hyperlink>
      <w:r>
        <w:t xml:space="preserve"> </w:t>
      </w:r>
      <w:bookmarkStart w:id="77" w:name="ref-7"/>
      <w:bookmarkEnd w:id="77"/>
      <w:r>
        <w:t xml:space="preserve">7. Tomasz Zubowicz, POLSA; Mikolaj Kruzynski, POLSA; Krzysztof Arminski, POLSA; Mikolaj Karawacaki, POLSA; Krzysztof Szyszka, POLSA; Marcin Teofilewicz, POLSA; Artur Makarewicz, POLSA; Edwin Wnuk, POLSA; Zygmunt Aniol, POLSA; Tymoteusz Trocki, POLSA. POLSA Sensor Network Capabilities Under Different Operating Modes (2024). doi:</w:t>
      </w:r>
      <w:r>
        <w:t xml:space="preserve"> </w:t>
      </w:r>
      <w:hyperlink r:id="rId78">
        <w:r>
          <w:rPr>
            <w:rStyle w:val="Hyperlink"/>
          </w:rPr>
          <w:t xml:space="preserve">10.64861/SFBT8061</w:t>
        </w:r>
      </w:hyperlink>
      <w:r>
        <w:t xml:space="preserve"> </w:t>
      </w:r>
      <w:bookmarkStart w:id="79" w:name="ref-8"/>
      <w:bookmarkEnd w:id="79"/>
      <w:r>
        <w:t xml:space="preserve">8.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1.764</w:t>
            </w:r>
          </w:p>
        </w:tc>
        <w:tc>
          <w:tcPr>
            <w:tcW w:w="0" w:type="auto"/>
          </w:tcPr>
          <w:p>
            <w:pPr>
              <w:spacing w:line="240" w:lineRule="auto" w:before="0" w:after="0"/>
              <w:pStyle w:val="Compact"/>
            </w:pPr>
            <w:r>
              <w:rPr>
                <w:sz w:val="20"/>
                <w:szCs w:val="20"/>
              </w:rPr>
              <w:t xml:space="preserve">1.0364</w:t>
            </w:r>
          </w:p>
        </w:tc>
        <w:tc>
          <w:tcPr>
            <w:tcW w:w="0" w:type="auto"/>
          </w:tcPr>
          <w:p>
            <w:pPr>
              <w:spacing w:line="240" w:lineRule="auto" w:before="0" w:after="0"/>
              <w:pStyle w:val="Compact"/>
            </w:pPr>
            <w:r>
              <w:rPr>
                <w:sz w:val="20"/>
                <w:szCs w:val="20"/>
              </w:rPr>
              <w:t xml:space="preserve">1.702</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[-0.2674, 3.7953]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0.1807</w:t>
            </w:r>
          </w:p>
        </w:tc>
        <w:tc>
          <w:tcPr>
            <w:tcW w:w="0" w:type="auto"/>
          </w:tcPr>
          <w:p>
            <w:pPr>
              <w:spacing w:line="240" w:lineRule="auto" w:before="0" w:after="0"/>
              <w:pStyle w:val="Compact"/>
            </w:pPr>
            <w:r>
              <w:rPr>
                <w:sz w:val="20"/>
                <w:szCs w:val="20"/>
              </w:rPr>
              <w:t xml:space="preserve">-0.3801</w:t>
            </w:r>
          </w:p>
        </w:tc>
        <w:tc>
          <w:tcPr>
            <w:tcW w:w="0" w:type="auto"/>
          </w:tcPr>
          <w:p>
            <w:pPr>
              <w:spacing w:line="240" w:lineRule="auto" w:before="0" w:after="0"/>
              <w:pStyle w:val="Compact"/>
            </w:pPr>
            <w:r>
              <w:rPr>
                <w:sz w:val="20"/>
                <w:szCs w:val="20"/>
              </w:rPr>
              <w:t xml:space="preserve">0.7039</w:t>
            </w:r>
          </w:p>
        </w:tc>
        <w:tc>
          <w:tcPr>
            <w:tcW w:w="0" w:type="auto"/>
          </w:tcPr>
          <w:p>
            <w:pPr>
              <w:spacing w:line="240" w:lineRule="auto" w:before="0" w:after="0"/>
              <w:pStyle w:val="Compact"/>
            </w:pPr>
            <w:r>
              <w:rPr>
                <w:sz w:val="20"/>
                <w:szCs w:val="20"/>
              </w:rPr>
              <w:t xml:space="preserve">[-0.4228, 0.2855]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0.0161</w:t>
            </w:r>
          </w:p>
        </w:tc>
        <w:tc>
          <w:tcPr>
            <w:tcW w:w="0" w:type="auto"/>
          </w:tcPr>
          <w:p>
            <w:pPr>
              <w:spacing w:line="240" w:lineRule="auto" w:before="0" w:after="0"/>
              <w:pStyle w:val="Compact"/>
            </w:pPr>
            <w:r>
              <w:rPr>
                <w:sz w:val="20"/>
                <w:szCs w:val="20"/>
              </w:rPr>
              <w:t xml:space="preserve">[0.0226, 0.2208]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0.9842</w:t>
            </w:r>
          </w:p>
        </w:tc>
        <w:tc>
          <w:tcPr>
            <w:tcW w:w="0" w:type="auto"/>
          </w:tcPr>
          <w:p>
            <w:pPr>
              <w:spacing w:line="240" w:lineRule="auto" w:before="0" w:after="0"/>
              <w:pStyle w:val="Compact"/>
            </w:pPr>
            <w:r>
              <w:rPr>
                <w:sz w:val="20"/>
                <w:szCs w:val="20"/>
              </w:rPr>
              <w:t xml:space="preserve">0.6564</w:t>
            </w:r>
          </w:p>
        </w:tc>
        <w:tc>
          <w:tcPr>
            <w:tcW w:w="0" w:type="auto"/>
          </w:tcPr>
          <w:p>
            <w:pPr>
              <w:spacing w:line="240" w:lineRule="auto" w:before="0" w:after="0"/>
              <w:pStyle w:val="Compact"/>
            </w:pPr>
            <w:r>
              <w:rPr>
                <w:sz w:val="20"/>
                <w:szCs w:val="20"/>
              </w:rPr>
              <w:t xml:space="preserve">1.4995</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[-0.3023, 2.2708]</w:t>
            </w:r>
          </w:p>
        </w:tc>
      </w:tr>
    </w:tbl>
    <w:p>
      <w:pPr>
        <w:pStyle w:val="BodyText"/>
      </w:pPr>
      <w:r>
        <w:t xml:space="preserve">Fit: N = 30 R2 = 0.232 R2_adj = 0.1433 F = 4.3197 F_p = 0.0134</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INTL_GOVERNANCE_08\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10.64861/OEWV1817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10.64861/SFBT8061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1.764</w:t>
            </w:r>
          </w:p>
        </w:tc>
        <w:tc>
          <w:tcPr>
            <w:tcW w:w="0" w:type="auto"/>
          </w:tcPr>
          <w:p>
            <w:pPr>
              <w:spacing w:line="240" w:lineRule="auto" w:before="0" w:after="0"/>
              <w:pStyle w:val="Compact"/>
            </w:pPr>
            <w:r>
              <w:rPr>
                <w:sz w:val="20"/>
                <w:szCs w:val="20"/>
              </w:rPr>
              <w:t xml:space="preserve">1.0364</w:t>
            </w:r>
          </w:p>
        </w:tc>
        <w:tc>
          <w:tcPr>
            <w:tcW w:w="0" w:type="auto"/>
          </w:tcPr>
          <w:p>
            <w:pPr>
              <w:spacing w:line="240" w:lineRule="auto" w:before="0" w:after="0"/>
              <w:pStyle w:val="Compact"/>
            </w:pPr>
            <w:r>
              <w:rPr>
                <w:sz w:val="20"/>
                <w:szCs w:val="20"/>
              </w:rPr>
              <w:t xml:space="preserve">1.702</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[-0.2674, 3.7953]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0.1807</w:t>
            </w:r>
          </w:p>
        </w:tc>
        <w:tc>
          <w:tcPr>
            <w:tcW w:w="0" w:type="auto"/>
          </w:tcPr>
          <w:p>
            <w:pPr>
              <w:spacing w:line="240" w:lineRule="auto" w:before="0" w:after="0"/>
              <w:pStyle w:val="Compact"/>
            </w:pPr>
            <w:r>
              <w:rPr>
                <w:sz w:val="20"/>
                <w:szCs w:val="20"/>
              </w:rPr>
              <w:t xml:space="preserve">-0.3801</w:t>
            </w:r>
          </w:p>
        </w:tc>
        <w:tc>
          <w:tcPr>
            <w:tcW w:w="0" w:type="auto"/>
          </w:tcPr>
          <w:p>
            <w:pPr>
              <w:spacing w:line="240" w:lineRule="auto" w:before="0" w:after="0"/>
              <w:pStyle w:val="Compact"/>
            </w:pPr>
            <w:r>
              <w:rPr>
                <w:sz w:val="20"/>
                <w:szCs w:val="20"/>
              </w:rPr>
              <w:t xml:space="preserve">0.7039</w:t>
            </w:r>
          </w:p>
        </w:tc>
        <w:tc>
          <w:tcPr>
            <w:tcW w:w="0" w:type="auto"/>
          </w:tcPr>
          <w:p>
            <w:pPr>
              <w:spacing w:line="240" w:lineRule="auto" w:before="0" w:after="0"/>
              <w:pStyle w:val="Compact"/>
            </w:pPr>
            <w:r>
              <w:rPr>
                <w:sz w:val="20"/>
                <w:szCs w:val="20"/>
              </w:rPr>
              <w:t xml:space="preserve">[-0.4228, 0.2855]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0.0161</w:t>
            </w:r>
          </w:p>
        </w:tc>
        <w:tc>
          <w:tcPr>
            <w:tcW w:w="0" w:type="auto"/>
          </w:tcPr>
          <w:p>
            <w:pPr>
              <w:spacing w:line="240" w:lineRule="auto" w:before="0" w:after="0"/>
              <w:pStyle w:val="Compact"/>
            </w:pPr>
            <w:r>
              <w:rPr>
                <w:sz w:val="20"/>
                <w:szCs w:val="20"/>
              </w:rPr>
              <w:t xml:space="preserve">[0.0226, 0.2208]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0.9842</w:t>
            </w:r>
          </w:p>
        </w:tc>
        <w:tc>
          <w:tcPr>
            <w:tcW w:w="0" w:type="auto"/>
          </w:tcPr>
          <w:p>
            <w:pPr>
              <w:spacing w:line="240" w:lineRule="auto" w:before="0" w:after="0"/>
              <w:pStyle w:val="Compact"/>
            </w:pPr>
            <w:r>
              <w:rPr>
                <w:sz w:val="20"/>
                <w:szCs w:val="20"/>
              </w:rPr>
              <w:t xml:space="preserve">0.6564</w:t>
            </w:r>
          </w:p>
        </w:tc>
        <w:tc>
          <w:tcPr>
            <w:tcW w:w="0" w:type="auto"/>
          </w:tcPr>
          <w:p>
            <w:pPr>
              <w:spacing w:line="240" w:lineRule="auto" w:before="0" w:after="0"/>
              <w:pStyle w:val="Compact"/>
            </w:pPr>
            <w:r>
              <w:rPr>
                <w:sz w:val="20"/>
                <w:szCs w:val="20"/>
              </w:rPr>
              <w:t xml:space="preserve">1.4995</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[-0.3023, 2.2708]</w:t>
            </w:r>
          </w:p>
        </w:tc>
      </w:tr>
    </w:tbl>
    <w:p>
      <w:pPr>
        <w:pStyle w:val="BodyText"/>
      </w:pPr>
      <w:r>
        <w:t xml:space="preserve">Fit: N = 30 R2 = 0.232 R2_adj = 0.1433 F = 4.3197 F_p = 0.0134</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4" Target="https://doi.org/10.64861/AZUD8556" TargetMode="External" /><Relationship Type="http://schemas.openxmlformats.org/officeDocument/2006/relationships/hyperlink" Id="rId72" Target="https://doi.org/10.64861/KSPN2451" TargetMode="External" /><Relationship Type="http://schemas.openxmlformats.org/officeDocument/2006/relationships/hyperlink" Id="rId76" Target="https://doi.org/10.64861/OEWV1817" TargetMode="External" /><Relationship Type="http://schemas.openxmlformats.org/officeDocument/2006/relationships/hyperlink" Id="rId78" Target="https://doi.org/10.64861/SFBT8061" TargetMode="External" /><Relationship Type="http://schemas.openxmlformats.org/officeDocument/2006/relationships/hyperlink" Id="rId69" Target="https://doi.org/10.64861/SYQO6621"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AZUD8556" TargetMode="External" /><Relationship Type="http://schemas.openxmlformats.org/officeDocument/2006/relationships/hyperlink" Id="rId72" Target="https://doi.org/10.64861/KSPN2451" TargetMode="External" /><Relationship Type="http://schemas.openxmlformats.org/officeDocument/2006/relationships/hyperlink" Id="rId76" Target="https://doi.org/10.64861/OEWV1817" TargetMode="External" /><Relationship Type="http://schemas.openxmlformats.org/officeDocument/2006/relationships/hyperlink" Id="rId78" Target="https://doi.org/10.64861/SFBT8061" TargetMode="External" /><Relationship Type="http://schemas.openxmlformats.org/officeDocument/2006/relationships/hyperlink" Id="rId69" Target="https://doi.org/10.64861/SYQO66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2026-06-29T09:40:10Z</dcterms:created>
  <dcterms:modified xsi:type="dcterms:W3CDTF">2026-06-29T09:40:10Z</dcterms:modified>
</cp:coreProperties>
</file>

<file path=docProps/custom.xml><?xml version="1.0" encoding="utf-8"?>
<Properties xmlns="http://schemas.openxmlformats.org/officeDocument/2006/custom-properties" xmlns:vt="http://schemas.openxmlformats.org/officeDocument/2006/docPropsVTypes"/>
</file>