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NORM ENTREPRENEURSHIP AND THE DRAFTING OF THE ARTEMIS ACCORDS: WHOSE LANGUAGE SU</w:t>
      </w:r>
    </w:p>
    <w:p>
      <w:pPr>
        <w:jc w:val="center"/>
      </w:pPr>
    </w:p>
    <w:p>
      <w:pPr>
        <w:jc w:val="center"/>
      </w:pPr>
      <w:r>
        <w:rPr>
          <w:rFonts w:ascii="Times New Roman" w:hAnsi="Times New Roman"/>
          <w:sz w:val="24"/>
        </w:rPr>
        <w:t>by</w:t>
      </w:r>
    </w:p>
    <w:p>
      <w:pPr>
        <w:jc w:val="center"/>
      </w:pPr>
      <w:r>
        <w:rPr>
          <w:rFonts w:ascii="Times New Roman" w:hAnsi="Times New Roman"/>
          <w:b/>
          <w:sz w:val="28"/>
        </w:rPr>
        <w:t>Amara Rahman</w:t>
      </w:r>
    </w:p>
    <w:p>
      <w:pPr>
        <w:jc w:val="center"/>
      </w:pPr>
      <w:r>
        <w:rPr>
          <w:rFonts w:ascii="Times New Roman" w:hAnsi="Times New Roman"/>
          <w:sz w:val="24"/>
        </w:rPr>
        <w:t>1B-IGV-208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Space governance tends to arrive late. A hazard becomes visible in operational data, in a near miss, in a contested maneuver, and only afterward do institutions begin to argue about the rule that should have governed it. The Artemis Accords sit inside that lag. They are a set of principles for civil space cooperation, drafted by a small group of states and then offered to others as a text to sign. Whose language survived that drafting, and whose was quietly set aside, is a question about power expressed through wording. This dissertation treats that question as something that can be examined with evidence rather than asserted through narrative alone. The candidate topic is norm entrepreneurship in the drafting of the Artemis Accords.</w:t>
      </w:r>
    </w:p>
    <w:p>
      <w:pPr>
        <w:pStyle w:val="BodyText"/>
        <w:spacing w:line="480" w:lineRule="auto"/>
        <w:ind w:firstLine="720"/>
      </w:pPr>
      <w:r>
        <w:t xml:space="preserve">Norm entrepreneurship, in the constructivist tradition, describes the work of actors who try to convert a preferred practice into a shared expectation. The entrepreneur names a problem, proposes a rule, and recruits others to treat that rule as normal. Space offers an unusually clean setting to watch this happen, because the operational community, the policy community, and the academic community publish across identifiable venues and leave a datable trail. When a governance idea gains traction, its vocabulary begins to appear in more recent work, in more cited work, and in venues that carry institutional weight</w:t>
      </w:r>
      <w:r>
        <w:t xml:space="preserve"> </w:t>
      </w:r>
      <w:hyperlink w:anchor="ref-1">
        <w:r>
          <w:rPr>
            <w:rStyle w:val="Hyperlink"/>
          </w:rPr>
          <w:t xml:space="preserve">[1]</w:t>
        </w:r>
      </w:hyperlink>
      <w:r>
        <w:t xml:space="preserve"> </w:t>
      </w:r>
      <w:hyperlink w:anchor="ref-3">
        <w:r>
          <w:rPr>
            <w:rStyle w:val="Hyperlink"/>
          </w:rPr>
          <w:t xml:space="preserve">[3]</w:t>
        </w:r>
      </w:hyperlink>
      <w:r>
        <w:t xml:space="preserve">. When it does not, the vocabulary stays thin and scattered. The trail thins out. Scattered signal is the tell.</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Practical stakes are not abstract here. Not in orbit. Orbital debris, uncoordinated traffic, and disputed resource rights are already shaping how satellites are flown and how missions are insured. The Accords were one attempt to move ahead of formal treaty negotiation by building a coalition around a written text. That move has been praised as pragmatic leadership and criticized as an end run around multilateral consent. Both readings assume a claim about influence: that certain framings, carried by certain actors, came to dominate the drafting conversation. The assumption is rarely tested. It is usually inferred from the identity of the drafters and the shape of the final document. This project refuses the shortcut. It asks whether the influence claim leaves a measurable trace in the literature that surrounds the topic. If a framing has become dominant, it should be visible in how the surrounding corpus is structured across time, attention, and venue. If the framing is contested or immature, the same corpus should look noisy, with signal scattered across records that do not line up with recency or citation attention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design turns an argument about norms into a set of screens on a documented body of sources. That is the move. Why does this matter for a doctoral project, and not only for the substantive debate?</w:t>
      </w:r>
    </w:p>
    <w:p>
      <w:pPr>
        <w:pStyle w:val="BodyText"/>
        <w:spacing w:line="480" w:lineRule="auto"/>
        <w:ind w:firstLine="720"/>
      </w:pPr>
      <w:r>
        <w:t xml:space="preserve">Traceability. A dissertation in this program is expected to leave a reader with an inspectable path from the selection of sources, through the construction of variables, to the estimator output and the final interpretation. Space policy writing often skips the middle of that path. It jumps from a reading of a few documents to a strong claim about who won. The contribution here is to slow that jump down and to make each step auditable</w:t>
      </w:r>
      <w:r>
        <w:t xml:space="preserve"> </w:t>
      </w:r>
      <w:hyperlink w:anchor="ref-5">
        <w:r>
          <w:rPr>
            <w:rStyle w:val="Hyperlink"/>
          </w:rPr>
          <w:t xml:space="preserve">[5]</w:t>
        </w:r>
      </w:hyperlink>
      <w:r>
        <w:t xml:space="preserve"> </w:t>
      </w:r>
      <w:hyperlink w:anchor="ref-6">
        <w:r>
          <w:rPr>
            <w:rStyle w:val="Hyperlink"/>
          </w:rPr>
          <w:t xml:space="preserve">[6]</w:t>
        </w:r>
      </w:hyperlink>
      <w:r>
        <w:t xml:space="preserve">. Consider how the influence claim usually travels. An analyst reads the final text, notes which state hosted the drafting, and concludes that the host’s preferences shaped the outcome. The reasoning may be correct. It may also be lazy. It is also unfalsifiable as stated, because any final text can be read backward into a story about the drafters. A test that could have failed is different in kind. It commits in advance to a pattern that the evidence either shows or does not, and it accepts the verdict either way. That commitment is what separates a screen from a rationalization. The difference is not cosmetic.</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The dissertation is organized around one falsifiable claim, stated as a null and an alternative. H0 holds that the candidate topic signal is unrelated to publication recency, citation attention, and venue family in the retrieved source corpus.</w:t>
      </w:r>
    </w:p>
    <w:p>
      <w:pPr>
        <w:pStyle w:val="BodyText"/>
        <w:spacing w:line="480" w:lineRule="auto"/>
        <w:ind w:firstLine="720"/>
      </w:pPr>
      <w:r>
        <w:t xml:space="preserve">Under this null, the vocabulary of Artemis Accords norm entrepreneurship is distributed at random with respect to when a source appeared, how much attention it drew, and where it was published.</w:t>
      </w:r>
    </w:p>
    <w:p>
      <w:pPr>
        <w:pStyle w:val="BodyText"/>
        <w:spacing w:line="480" w:lineRule="auto"/>
        <w:ind w:firstLine="720"/>
      </w:pPr>
      <w:r>
        <w:t xml:space="preserve">H1 holds that the candidate topic signal is systematically related to publication recency, citation attention, and venue family.</w:t>
      </w:r>
    </w:p>
    <w:p>
      <w:pPr>
        <w:pStyle w:val="BodyText"/>
        <w:spacing w:line="480" w:lineRule="auto"/>
        <w:ind w:firstLine="720"/>
      </w:pPr>
      <w:r>
        <w:t xml:space="preserve">Under this alternative, the signal concentrates in identifiable parts of the corpus, which is what one would expect if a framing were gaining ground. The contribution is deliberately bounded. It is not a claim that a particular state authored the decisive clause, nor a claim about causal impact on treaty outcomes. It is a claim about corpus structure, tested on a fixed set of documented records with a fixed estimator, reported exactly as the workbook produced it. A bounded claim can fail a test; a sweeping one cannot. If the signal turns out to be unstructured, the design is built to say so plainly rather than to rescue the hypothesis with a softer restatement. Two empirical screens carry the test. The first is an ordinary least squares model that regresses a deterministic topic-signal score on publication recency, reported citation count, and an ordinal venue-family code. The second is a log-log learning-curve model that regresses citation accumulation on article age. The two screens interrogate different faces of the same corpus. One asks whether the topic signal itself is structured; the other asks whether attention to the topic accumulates in the age-graded way that a maturing literature would show</w:t>
      </w:r>
      <w:r>
        <w:t xml:space="preserve"> </w:t>
      </w:r>
      <w:hyperlink w:anchor="ref-1">
        <w:r>
          <w:rPr>
            <w:rStyle w:val="Hyperlink"/>
          </w:rPr>
          <w:t xml:space="preserve">[1]</w:t>
        </w:r>
      </w:hyperlink>
      <w:r>
        <w:t xml:space="preserve"> </w:t>
      </w:r>
      <w:hyperlink w:anchor="ref-2">
        <w:r>
          <w:rPr>
            <w:rStyle w:val="Hyperlink"/>
          </w:rPr>
          <w:t xml:space="preserve">[2]</w:t>
        </w:r>
      </w:hyperlink>
      <w:r>
        <w:t xml:space="preserve">. Neither screen settles the policy question. Together they discipline what can honestly be said about it.</w:t>
      </w:r>
    </w:p>
    <w:p>
      <w:pPr>
        <w:pStyle w:val="BodyText"/>
        <w:spacing w:line="480" w:lineRule="auto"/>
        <w:ind w:firstLine="720"/>
      </w:pPr>
      <w:r>
        <w:t xml:space="preserve">A short word on why two screens rather than one. A single regression can be lucky. It can find a precise coefficient on one predictor while the rest of the model is weak, and an author who wants a strong conclusion can then foreground the lucky term. Running a second screen on a different face of the same data raises the cost of that maneuver. If the two screens disagree, the disagreement is itself a finding about how thin the structure is. If they agree, the agreement is harder to dismiss as an artifact of one specification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2"/>
    <w:bookmarkStart w:id="63" w:name="Xe249285719f75f3b3cf9b87d97f5720a39151e8"/>
    <w:p>
      <w:pPr>
        <w:pStyle w:val="Heading2"/>
        <w:spacing w:line="480" w:lineRule="auto"/>
      </w:pPr>
      <w:r>
        <w:t xml:space="preserve">1.3 Scope and what the design does not attempt</w:t>
      </w:r>
    </w:p>
    <w:p>
      <w:pPr>
        <w:pStyle w:val="FirstParagraph"/>
        <w:spacing w:line="480" w:lineRule="auto"/>
      </w:pPr>
      <w:r>
        <w:t xml:space="preserve">Honesty about scope is part of the argument. This is a design-stage dissertation built on a candidate-specific local source pool, a set of deterministic feature rows derived from that pack, and two auditable workbooks. The corpus is what was retrievable for the topic, not the universe of everything ever written about the Accords. Citation counts are drawn from a local index rather than from a global citation database, so they measure attention as recorded in that index and nothing broader. Venue family is coded ordinally, which imposes a ranking that should be read as a coarse grouping, not as a precise scale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These limits are not disclaimers added at the end. They shape the inference from the start. A screen run on a noisy source pool cannot be asked to carry a strong causal verdict, and the interpretation throughout is written to respect that ceiling. Where a coefficient is signed and precise, the dissertation reads it as structure in the retrieved corpus. Where a coefficient is imprecise, it reads that as evidence against a strong claim rather than as a weak version of the claim</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discipline runs in both directions.</w:t>
      </w:r>
    </w:p>
    <w:p>
      <w:pPr>
        <w:pStyle w:val="BodyText"/>
        <w:spacing w:line="480" w:lineRule="auto"/>
        <w:ind w:firstLine="720"/>
      </w:pPr>
      <w:r>
        <w:t xml:space="preserve">There is a second reason to be explicit about scope. Documentary tests of influence are vulnerable to a subtle circularity. If the topic-signal score is built from the same term hits that also define the topic, then finding signal where the topic is dense is close to tautological. The design guards against this by measuring signal against variables that are independent of the term hits themselves: the year a source appeared, the citation count an external index assigned it, and the venue that published it. None of those three is derived from the topic vocabulary. That independence is what gives the screen any evidentiary bite</w:t>
      </w:r>
      <w:r>
        <w:t xml:space="preserve"> </w:t>
      </w:r>
      <w:hyperlink w:anchor="ref-2">
        <w:r>
          <w:rPr>
            <w:rStyle w:val="Hyperlink"/>
          </w:rPr>
          <w:t xml:space="preserve">[2]</w:t>
        </w:r>
      </w:hyperlink>
      <w:r>
        <w:t xml:space="preserve"> </w:t>
      </w:r>
      <w:hyperlink w:anchor="ref-4">
        <w:r>
          <w:rPr>
            <w:rStyle w:val="Hyperlink"/>
          </w:rPr>
          <w:t xml:space="preserve">[4]</w:t>
        </w:r>
      </w:hyperlink>
      <w:r>
        <w:t xml:space="preserve">. Without it, nothing holds.</w:t>
      </w:r>
    </w:p>
    <w:bookmarkEnd w:id="63"/>
    <w:bookmarkStart w:id="64" w:name="roadmap"/>
    <w:p>
      <w:pPr>
        <w:pStyle w:val="Heading2"/>
        <w:spacing w:line="480" w:lineRule="auto"/>
      </w:pPr>
      <w:r>
        <w:t xml:space="preserve">1.4 Roadmap</w:t>
      </w:r>
    </w:p>
    <w:p>
      <w:pPr>
        <w:pStyle w:val="FirstParagraph"/>
        <w:spacing w:line="480" w:lineRule="auto"/>
      </w:pPr>
      <w:r>
        <w:t xml:space="preserve">The chapters proceed as a single argument. Chapter 2 situates the project against prior work on space information sharing, governance framing, and the measurement of attention in a technical literature, using the retrieved corpus to locate the gap this design fills. Chapter 3 develops the mechanism, drawing the link from norm entrepreneurship to observable corpus structure, and states the testable predictions that follow. Chapter 4 sets out the two estimators and explains why each identifies the specific quantity it claims to identify, along with the standard-error choice and its rationale. Chapter 5 documents the data: the source pool, the construction of every variable, the provenance columns, and the sample size of thirty records. Chapter 6 reports the estimator output exactly as the workbooks produced it, coefficient by coefficient, and interprets the signs and magnitudes without inflating them. Chapter 7 turns to discussion and limitations, naming the threats to validity and stating clearly what the data cannot show. Chapter 8 draws the conclusions, connects them to governance and program relevance, and lays out the document-coding work that a fuller design would require.</w:t>
      </w:r>
    </w:p>
    <w:p>
      <w:pPr>
        <w:pStyle w:val="BodyText"/>
        <w:spacing w:line="480" w:lineRule="auto"/>
        <w:ind w:firstLine="720"/>
      </w:pPr>
      <w:r>
        <w:t xml:space="preserve">The through line is modest and firm. A contested claim about whose language survived the drafting of the Artemis Accords can be examined, in part, by asking whether the topic leaves a structured footprint in the literature that surrounds it. This dissertation runs that examination, reports what the screens return, and refuses to say more than the evidence allows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64"/>
    <w:bookmarkStart w:id="65" w:name="X84b09be43b47baa0405de1516721939c183927a"/>
    <w:p>
      <w:pPr>
        <w:pStyle w:val="Heading2"/>
        <w:spacing w:line="480" w:lineRule="auto"/>
      </w:pPr>
      <w:r>
        <w:t xml:space="preserve">1.5 Why the Artemis Accords are a hard case for measurement</w:t>
      </w:r>
    </w:p>
    <w:p>
      <w:pPr>
        <w:pStyle w:val="FirstParagraph"/>
        <w:spacing w:line="480" w:lineRule="auto"/>
      </w:pPr>
      <w:r>
        <w:t xml:space="preserve">The Accords are worth studying precisely because they resist easy measurement, and it helps to say why before the design proceeds. Unlike a treaty negotiated at a single conference with a published record of interventions, the Accords emerged from a drafting process that was diplomatically distributed and only partly documented in public. States signed at different moments, for different reasons, and the text itself is short relative to the volume of commentary it generated. A researcher cannot simply open a negotiating transcript and count who said what. The evidentiary situation is thinner and more oblique than that, which is exactly the situation that tempts analysts to substitute inference for measurement</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thinness is the reason the design reaches for the surrounding literature rather than the drafting record. If the direct record were rich, a document-coding study would be the obvious first move. Because it is not, the surrounding corpus becomes the available proxy: a body of technical, policy, and academic writing that reacts to, extends, or contests the framing the Accords advance. Measuring structure in that reactive corpus is a second-best strategy, and the dissertation says so openly</w:t>
      </w:r>
      <w:r>
        <w:t xml:space="preserve"> </w:t>
      </w:r>
      <w:hyperlink w:anchor="ref-2">
        <w:r>
          <w:rPr>
            <w:rStyle w:val="Hyperlink"/>
          </w:rPr>
          <w:t xml:space="preserve">[2]</w:t>
        </w:r>
      </w:hyperlink>
      <w:r>
        <w:t xml:space="preserve"> </w:t>
      </w:r>
      <w:hyperlink w:anchor="ref-5">
        <w:r>
          <w:rPr>
            <w:rStyle w:val="Hyperlink"/>
          </w:rPr>
          <w:t xml:space="preserve">[5]</w:t>
        </w:r>
      </w:hyperlink>
      <w:r>
        <w:t xml:space="preserve">. A second-best strategy that reports its own limits is more useful than a first-best claim that cannot be checked.</w:t>
      </w:r>
    </w:p>
    <w:p>
      <w:pPr>
        <w:pStyle w:val="BodyText"/>
        <w:spacing w:line="480" w:lineRule="auto"/>
        <w:ind w:firstLine="720"/>
      </w:pPr>
      <w:r>
        <w:t xml:space="preserve">There is a further reason the case is hard. The space literature is dominated by engineering, and governance framings are a minority presence within it. A vocabulary about norms and drafting competes for attention against sensing, orbit determination, and mission design, which fill most of the pages</w:t>
      </w:r>
      <w:r>
        <w:t xml:space="preserve"> </w:t>
      </w:r>
      <w:hyperlink w:anchor="ref-4">
        <w:r>
          <w:rPr>
            <w:rStyle w:val="Hyperlink"/>
          </w:rPr>
          <w:t xml:space="preserve">[4]</w:t>
        </w:r>
      </w:hyperlink>
      <w:r>
        <w:t xml:space="preserve"> </w:t>
      </w:r>
      <w:hyperlink w:anchor="ref-5">
        <w:r>
          <w:rPr>
            <w:rStyle w:val="Hyperlink"/>
          </w:rPr>
          <w:t xml:space="preserve">[5]</w:t>
        </w:r>
      </w:hyperlink>
      <w:r>
        <w:t xml:space="preserve">. Any measure of topic signal has to survive that imbalance, and any finding about attention has to be read against a field whose center of mass lies elsewhere. This is not a flaw in the corpus. It is a feature of the domain, and the design accounts for it by measuring signal against variables that are independent of the engineering bulk.</w:t>
      </w:r>
    </w:p>
    <w:bookmarkEnd w:id="65"/>
    <w:bookmarkStart w:id="66" w:name="X24b3f1e296fcab5879e66fbbe75256c0e77560d"/>
    <w:p>
      <w:pPr>
        <w:pStyle w:val="Heading2"/>
        <w:spacing w:line="480" w:lineRule="auto"/>
      </w:pPr>
      <w:r>
        <w:t xml:space="preserve">1.6 The stance of the dissertation toward its own numbers</w:t>
      </w:r>
    </w:p>
    <w:p>
      <w:pPr>
        <w:pStyle w:val="FirstParagraph"/>
        <w:spacing w:line="480" w:lineRule="auto"/>
      </w:pPr>
      <w:r>
        <w:t xml:space="preserve">A last introductory commitment concerns how the study will treat the figures it produces. The estimators return exact coefficients, standard errors, and p-values, and the temptation with any such output is to narrate the convenient parts and mute the rest. This dissertation adopts the opposite posture. It reports every coefficient the workbooks returned, in full precision, and it lets the imprecise ones stand as imprecise. A term that fails to reach significance is not quietly dropped or reframed as a trend; it is reported as evidence against a strong claim on that dimension</w:t>
      </w:r>
      <w:r>
        <w:t xml:space="preserve"> </w:t>
      </w:r>
      <w:hyperlink w:anchor="ref-2">
        <w:r>
          <w:rPr>
            <w:rStyle w:val="Hyperlink"/>
          </w:rPr>
          <w:t xml:space="preserve">[2]</w:t>
        </w:r>
      </w:hyperlink>
      <w:r>
        <w:t xml:space="preserve"> </w:t>
      </w:r>
      <w:hyperlink w:anchor="ref-6">
        <w:r>
          <w:rPr>
            <w:rStyle w:val="Hyperlink"/>
          </w:rPr>
          <w:t xml:space="preserve">[6]</w:t>
        </w:r>
      </w:hyperlink>
      <w:r>
        <w:t xml:space="preserve">. This posture has a cost. It produces a conclusion that is mixed rather than clean, and mixed conclusions are harder to sell than triumphant ones. The trade is deliberate. A doctoral contribution in this program is judged partly by whether its evidentiary chain can be trusted, and a study that reports its weak results as honestly as its strong ones earns a trust that a tidier study forfeits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chapters that follow are written to keep that trust, coefficient by coefficient, from the construction of the variables through to the final interpretation.</w:t>
      </w:r>
    </w:p>
    <w:bookmarkEnd w:id="66"/>
    <w:bookmarkStart w:id="67" w:name="X19374570a642323df2002d6781170a1cabcd9c2"/>
    <w:p>
      <w:pPr>
        <w:pStyle w:val="Heading2"/>
        <w:spacing w:line="480" w:lineRule="auto"/>
      </w:pPr>
      <w:r>
        <w:t xml:space="preserve">1.7 Situating the question in the constructivist tradition</w:t>
      </w:r>
    </w:p>
    <w:p>
      <w:pPr>
        <w:pStyle w:val="FirstParagraph"/>
        <w:spacing w:line="480" w:lineRule="auto"/>
      </w:pPr>
      <w:r>
        <w:t xml:space="preserve">The intellectual home of this project is constructivist international relations, and locating it there clarifies both what it borrows and what it adds. Constructivism holds that the interests of states are not fixed but constituted through shared ideas, and that norms, once established, shape behavior by defining what counts as appropriate conduct. Norm entrepreneurs are the agents who set that process in motion, working to make a preferred practice seem natural and then obligatory. The tradition has produced rich case studies of how norms rise and fall, but its empirical toolkit has leaned heavily on interpretive reading of documents and interviews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addition this dissertation makes is small and specific: it asks whether the interpretive claim about a rising norm can be paired with a documentary screen that could contradict it. Constructivist case studies rarely expose their central claim to a result that could fail, because the method is interpretive rather than predictive. Pairing the tradition’s substantive question with a falsifiable screen does not replace interpretation; it disciplines it, by giving the interpreter a fixed pattern to check the reading against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Accords are a fitting subject for this pairing because they are a live instance of attempted norm construction, recent enough to leave a datable trail and contested enough that the influence claim is genuinely in doubt.</w:t>
      </w:r>
    </w:p>
    <w:p>
      <w:pPr>
        <w:pStyle w:val="BodyText"/>
        <w:spacing w:line="480" w:lineRule="auto"/>
        <w:ind w:firstLine="720"/>
      </w:pPr>
      <w:r>
        <w:t xml:space="preserve">There is a reason the pairing has not been common. Interpretive scholars often distrust quantification of ideational processes, and quantitative scholars often find ideational variables too soft to measure. The design threads between these positions by measuring something modest, the distribution of a framing’s vocabulary across a documented corpus, and claiming only what that modest measure can support</w:t>
      </w:r>
      <w:r>
        <w:t xml:space="preserve"> </w:t>
      </w:r>
      <w:hyperlink w:anchor="ref-4">
        <w:r>
          <w:rPr>
            <w:rStyle w:val="Hyperlink"/>
          </w:rPr>
          <w:t xml:space="preserve">[4]</w:t>
        </w:r>
      </w:hyperlink>
      <w:r>
        <w:t xml:space="preserve"> </w:t>
      </w:r>
      <w:hyperlink w:anchor="ref-6">
        <w:r>
          <w:rPr>
            <w:rStyle w:val="Hyperlink"/>
          </w:rPr>
          <w:t xml:space="preserve">[6]</w:t>
        </w:r>
      </w:hyperlink>
      <w:r>
        <w:t xml:space="preserve">. It does not quantify the norm itself, which would overreach. It quantifies the footprint the norm would leave if it were consolidating, and it lets the presence or absence of that footprint inform, without determining, the interpretive judgment.</w:t>
      </w:r>
    </w:p>
    <w:bookmarkEnd w:id="67"/>
    <w:bookmarkStart w:id="68" w:name="X0cc48b7ccb4a3f4756f465508b8a87e08be58e3"/>
    <w:p>
      <w:pPr>
        <w:pStyle w:val="Heading2"/>
        <w:spacing w:line="480" w:lineRule="auto"/>
      </w:pPr>
      <w:r>
        <w:t xml:space="preserve">1.8 What a reader should take from this chapter</w:t>
      </w:r>
    </w:p>
    <w:p>
      <w:pPr>
        <w:pStyle w:val="FirstParagraph"/>
        <w:spacing w:line="480" w:lineRule="auto"/>
      </w:pPr>
      <w:r>
        <w:t xml:space="preserve">Three commitments should carry forward from this introduction into the chapters that follow. First, the question is bounded: it asks whether the Accords framing leaves a structured footprint in a retrieved corpus, not who authored the text or whether the framing caused any outcome. Second, the test is falsifiable: it commits in advance to patterns that the evidence can contradict, and it accepts contradiction as a finding rather than a failure. Third, the reporting is complete: every coefficient the screens return is stated in full, and the weak ones are read as evidence against strong claims rather than quietly set aside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These commitments are what make the study a doctoral contribution rather than an essay. An essay could assert that a framing won and marshal quotations to support the assertion. This dissertation instead builds a screen that could have shown the framing had no footprint at all, runs it, and reports what it found. The value lies as much in the discipline of the method as in the substance of the answer, and the chapters ahead are structured so that a reader can verify both</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8"/>
    <w:bookmarkEnd w:id="69"/>
    <w:bookmarkStart w:id="82" w:name="chapter-2.-literature-review"/>
    <w:p>
      <w:pPr>
        <w:pStyle w:val="Heading1"/>
        <w:spacing w:line="480" w:lineRule="auto"/>
      </w:pPr>
      <w:r>
        <w:t xml:space="preserve">Chapter 2. Literature Review</w:t>
      </w:r>
    </w:p>
    <w:p>
      <w:pPr>
        <w:pStyle w:val="FirstParagraph"/>
        <w:spacing w:line="480" w:lineRule="auto"/>
      </w:pPr>
      <w:r>
        <w:t xml:space="preserve">Two bodies of writing stand behind this dissertation, and they rarely acknowledge each other. One is the substantive literature on space governance: work that argues about how information should be shared, how activities should be supervised, and how competing interests should be reconciled in orbit and beyond. The other is the smaller, more procedural literature on how to read a documentary record as data: how to turn years, venues, citation counts, and term frequencies into variables that a model can test. The project sits at the seam. It borrows its question from the first body and its discipline from the second.</w:t>
      </w:r>
    </w:p>
    <w:bookmarkStart w:id="70" w:name="X56cb15694d4747fa4120e95bc4dbc9ab83c1131"/>
    <w:p>
      <w:pPr>
        <w:pStyle w:val="Heading2"/>
        <w:spacing w:line="480" w:lineRule="auto"/>
      </w:pPr>
      <w:r>
        <w:t xml:space="preserve">2.1 Information sharing as the pragmatic route to norms</w:t>
      </w:r>
    </w:p>
    <w:p>
      <w:pPr>
        <w:pStyle w:val="FirstParagraph"/>
        <w:spacing w:line="480" w:lineRule="auto"/>
      </w:pPr>
      <w:r>
        <w:t xml:space="preserve">A recurring theme in the space governance literature is that formal treaties are slow, and that faster coordination often runs through the sharing of operational information.</w:t>
      </w:r>
    </w:p>
    <w:p>
      <w:pPr>
        <w:pStyle w:val="BodyText"/>
        <w:spacing w:line="480" w:lineRule="auto"/>
        <w:ind w:firstLine="720"/>
      </w:pPr>
      <w:r>
        <w:t xml:space="preserve">Reed and colleagues argue that decentralized space information sharing can function as a trust-building mechanism, one that preserves the usability of the domain by giving actors a reason to cooperate before any binding rule exists</w:t>
      </w:r>
      <w:r>
        <w:t xml:space="preserve"> </w:t>
      </w:r>
      <w:hyperlink w:anchor="ref-1">
        <w:r>
          <w:rPr>
            <w:rStyle w:val="Hyperlink"/>
          </w:rPr>
          <w:t xml:space="preserve">[1]</w:t>
        </w:r>
      </w:hyperlink>
      <w:r>
        <w:t xml:space="preserve">. The logic is important for the present study because it describes a norm forming from the bottom up. States and operators who share risk data begin to converge on expectations about behavior, and those expectations can harden into something rule-like without ever passing through a treaty conference. This bottom-up picture bears directly on the Artemis Accords. The Accords are not a treaty. They are a coalition text, closer in spirit to a shared operating agreement than to codified international law. If norms in space often crystallize around shared practice rather than formal negotiation, then the Accords are best read as an attempt to formalize a practice-based consensus quickly, before a slower multilateral process could produce a competing one. Harrison’s survey of international perspectives on space weapons shows how far apart states can remain on the underlying questions, which makes the coalition strategy look less like consensus and more like a race to fix the vocabulary first</w:t>
      </w:r>
      <w:r>
        <w:t xml:space="preserve"> </w:t>
      </w:r>
      <w:hyperlink w:anchor="ref-3">
        <w:r>
          <w:rPr>
            <w:rStyle w:val="Hyperlink"/>
          </w:rPr>
          <w:t xml:space="preserve">[3]</w:t>
        </w:r>
      </w:hyperlink>
      <w:r>
        <w:t xml:space="preserve">.</w:t>
      </w:r>
    </w:p>
    <w:bookmarkEnd w:id="70"/>
    <w:bookmarkStart w:id="71" w:name="Xabe368996449c621e2d230754828afb1be5a3ec"/>
    <w:p>
      <w:pPr>
        <w:pStyle w:val="Heading2"/>
        <w:spacing w:line="480" w:lineRule="auto"/>
      </w:pPr>
      <w:r>
        <w:t xml:space="preserve">2.2 Supervision, decision support, and the architecture of governance</w:t>
      </w:r>
    </w:p>
    <w:p>
      <w:pPr>
        <w:pStyle w:val="FirstParagraph"/>
        <w:spacing w:line="480" w:lineRule="auto"/>
      </w:pPr>
      <w:r>
        <w:t xml:space="preserve">A second strand treats governance as an engineering problem. Smith, Jah, and Wood describe the architecting of a decision support system for the continuing supervision of commercial in-space servicing, framing oversight as something that must be designed, instrumented, and maintained rather than merely declared</w:t>
      </w:r>
      <w:r>
        <w:t xml:space="preserve"> </w:t>
      </w:r>
      <w:hyperlink w:anchor="ref-2">
        <w:r>
          <w:rPr>
            <w:rStyle w:val="Hyperlink"/>
          </w:rPr>
          <w:t xml:space="preserve">[2]</w:t>
        </w:r>
      </w:hyperlink>
      <w:r>
        <w:t xml:space="preserve">. This matters for the dissertation in two ways. First, it establishes that the governance conversation in space is increasingly technical, carried in venues where systems and architectures are the unit of discussion. Second, it suggests that whose framing wins is partly a question of whose architecture the community adopts, because an architecture encodes assumptions about who supervises whom. National capability programs reinforce the point. GISTDA’s integrated approach to space situational awareness and traffic management shows a state building the sensing and data infrastructure that governance depends on, and staking, through that build, a claim to how safety and security should be organized</w:t>
      </w:r>
      <w:r>
        <w:t xml:space="preserve"> </w:t>
      </w:r>
      <w:hyperlink w:anchor="ref-4">
        <w:r>
          <w:rPr>
            <w:rStyle w:val="Hyperlink"/>
          </w:rPr>
          <w:t xml:space="preserve">[4]</w:t>
        </w:r>
      </w:hyperlink>
      <w:r>
        <w:t xml:space="preserve">. Capability and norm travel together. They always have. Sensors buy standing. An actor that supplies the observational backbone for traffic management gains standing to shape the rules that the backbone is meant to enforce. The Polish sensor-network and optical-fence work makes the same move at a different scale, documenting the construction of national awareness capacity as both a technical and an institutional act</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71"/>
    <w:bookmarkStart w:id="72" w:name="X60697ebd4d60bd68591ac08dab1b05288988fab"/>
    <w:p>
      <w:pPr>
        <w:pStyle w:val="Heading2"/>
        <w:spacing w:line="480" w:lineRule="auto"/>
      </w:pPr>
      <w:r>
        <w:t xml:space="preserve">2.3 Detection, sensing, and the raw material of attention</w:t>
      </w:r>
    </w:p>
    <w:p>
      <w:pPr>
        <w:pStyle w:val="FirstParagraph"/>
        <w:spacing w:line="480" w:lineRule="auto"/>
      </w:pPr>
      <w:r>
        <w:t xml:space="preserve">Underneath the governance argument sits a layer of pure capability, and it is not irrelevant to a study of attention.</w:t>
      </w:r>
    </w:p>
    <w:p>
      <w:pPr>
        <w:pStyle w:val="BodyText"/>
        <w:spacing w:line="480" w:lineRule="auto"/>
        <w:ind w:firstLine="720"/>
      </w:pPr>
      <w:r>
        <w:t xml:space="preserve">On-orbit satellite detection and extraction in J band imagery is a sensing problem, not a governance one, yet the presence of such work in the corpus shapes what the topic signal looks like</w:t>
      </w:r>
      <w:r>
        <w:t xml:space="preserve"> </w:t>
      </w:r>
      <w:hyperlink w:anchor="ref-5">
        <w:r>
          <w:rPr>
            <w:rStyle w:val="Hyperlink"/>
          </w:rPr>
          <w:t xml:space="preserve">[5]</w:t>
        </w:r>
      </w:hyperlink>
      <w:r>
        <w:t xml:space="preserve">. A retrieved literature about space activity is dominated, by volume, by technical sensing and detection work. Governance framings compete for attention inside a field whose center of mass is engineering. Any measurement of topic signal has to reckon with that imbalance, because a governance vocabulary will always be a minority presence in a corpus built around instruments and orbits.</w:t>
      </w:r>
    </w:p>
    <w:bookmarkEnd w:id="72"/>
    <w:bookmarkStart w:id="73" w:name="X616d6f3105828c8f7723dfa8a8be4e5c51a49a2"/>
    <w:p>
      <w:pPr>
        <w:pStyle w:val="Heading2"/>
        <w:spacing w:line="480" w:lineRule="auto"/>
      </w:pPr>
      <w:r>
        <w:t xml:space="preserve">2.4 Commercialization, sustainability, and the contested frame</w:t>
      </w:r>
    </w:p>
    <w:p>
      <w:pPr>
        <w:pStyle w:val="FirstParagraph"/>
        <w:spacing w:line="480" w:lineRule="auto"/>
      </w:pPr>
      <w:r>
        <w:t xml:space="preserve">Governance writing increasingly frames the central tension as one between commercialization and sustainability.</w:t>
      </w:r>
    </w:p>
    <w:p>
      <w:pPr>
        <w:pStyle w:val="BodyText"/>
        <w:spacing w:line="480" w:lineRule="auto"/>
        <w:ind w:firstLine="720"/>
      </w:pPr>
      <w:r>
        <w:t xml:space="preserve">Dey and Jagadanandan argue that balancing commercial expansion against the long-term usability of the space environment is the defining new challenge, and that existing instruments handle it poorly</w:t>
      </w:r>
      <w:r>
        <w:t xml:space="preserve"> </w:t>
      </w:r>
      <w:hyperlink w:anchor="ref-9">
        <w:r>
          <w:rPr>
            <w:rStyle w:val="Hyperlink"/>
          </w:rPr>
          <w:t xml:space="preserve">[9]</w:t>
        </w:r>
      </w:hyperlink>
      <w:r>
        <w:t xml:space="preserve">. This is precisely the terrain the Artemis Accords occupy. Their language about resource utilization, deconfliction, and interoperability is a set of moves in the commercialization-versus-sustainability debate, and whose version of that language survives is the substantive core of the candidate topic. Adjacent work explores how the framing itself gets contested and diffused. Hurova and colleagues examine gamification as a strategy for navigating the growing landscape of space law, a reminder that norm entrepreneurs experiment with the form of persuasion and not only its content</w:t>
      </w:r>
      <w:r>
        <w:t xml:space="preserve"> </w:t>
      </w:r>
      <w:hyperlink w:anchor="ref-10">
        <w:r>
          <w:rPr>
            <w:rStyle w:val="Hyperlink"/>
          </w:rPr>
          <w:t xml:space="preserve">[10]</w:t>
        </w:r>
      </w:hyperlink>
      <w:r>
        <w:t xml:space="preserve">. The protection of AI-based space systems from a data-driven governance perspective, treated by Tricco and colleagues, extends the frame again, showing how new technical categories generate new governance vocabularies that then compete for standing in the same venues</w:t>
      </w:r>
      <w:r>
        <w:t xml:space="preserve"> </w:t>
      </w:r>
      <w:hyperlink w:anchor="ref-11">
        <w:r>
          <w:rPr>
            <w:rStyle w:val="Hyperlink"/>
          </w:rPr>
          <w:t xml:space="preserve">[11]</w:t>
        </w:r>
      </w:hyperlink>
      <w:r>
        <w:t xml:space="preserve">. Each of these is an instance of the mechanism this dissertation cares about: a candidate framing seeking room in a crowded literature.</w:t>
      </w:r>
    </w:p>
    <w:bookmarkEnd w:id="73"/>
    <w:bookmarkStart w:id="74" w:name="where-the-substantive-literature-stops"/>
    <w:p>
      <w:pPr>
        <w:pStyle w:val="Heading2"/>
        <w:spacing w:line="480" w:lineRule="auto"/>
      </w:pPr>
      <w:r>
        <w:t xml:space="preserve">2.5 Where the substantive literature stops</w:t>
      </w:r>
    </w:p>
    <w:p>
      <w:pPr>
        <w:pStyle w:val="FirstParagraph"/>
        <w:spacing w:line="480" w:lineRule="auto"/>
      </w:pPr>
      <w:r>
        <w:t xml:space="preserve">For all its richness, the substantive literature shares a limitation that this project takes as its opening. It argues about which framing should win, and it narrates which framing appears to be winning, but it seldom tests the winning claim against the structure of the record itself. Analysts read the documents, form a judgment, and support the judgment with well-chosen quotations. The judgment may be sound. It is not, in the usual telling, exposed to a result that could contradict it</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gap, stated plainly, is between salience and measurement. The literature establishes that the topic is salient and that framings compete. It does not establish a repeatable way to ask whether a given framing has left a structured footprint across time, attention, and venue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is the question the two empirical screens are built to answer, and it is why the dissertation pairs a governance question with a measurement design.</w:t>
      </w:r>
    </w:p>
    <w:bookmarkEnd w:id="74"/>
    <w:bookmarkStart w:id="75" w:name="X800551a37b6b8ab02ea231982b0a4e25fddc7e4"/>
    <w:p>
      <w:pPr>
        <w:pStyle w:val="Heading2"/>
        <w:spacing w:line="480" w:lineRule="auto"/>
      </w:pPr>
      <w:r>
        <w:t xml:space="preserve">2.6 The measurement literature and its cautions</w:t>
      </w:r>
    </w:p>
    <w:p>
      <w:pPr>
        <w:pStyle w:val="FirstParagraph"/>
        <w:spacing w:line="480" w:lineRule="auto"/>
      </w:pPr>
      <w:r>
        <w:t xml:space="preserve">Procedural work supplies the tools and, more valuably, the cautions. Treating citation counts as attention requires accepting that attention is partly a function of age: older work has had more time to accumulate citations, so any comparison across records must account for the age gradient before reading anything into the raw counts. The learning-curve framing, borrowed from the study of how output improves with cumulative experience, gives a disciplined way to model that gradient, because it expresses accumulation as a function of age on a log scale rather than assuming a linear march</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Venue coding carries its own hazard. Assigning an ordinal rank to venue families imposes a hierarchy that the underlying reality may not support, and a model that leans on venue rank can mistake a coding artifact for a substantive result. The measurement literature’s standing advice is to keep such codes coarse, to report them transparently, and to avoid overreading a coefficient that rides on a three-level ordinal scale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design follows that advice, and Chapter 4 makes the estimator choices that the advice implies. The substantive question comes from space governance. The guardrails come from here.</w:t>
      </w:r>
    </w:p>
    <w:bookmarkEnd w:id="75"/>
    <w:bookmarkStart w:id="76" w:name="X64904f9e69d517c2336d7c1f6f5d17d78a1e43d"/>
    <w:p>
      <w:pPr>
        <w:pStyle w:val="Heading2"/>
        <w:spacing w:line="480" w:lineRule="auto"/>
      </w:pPr>
      <w:r>
        <w:t xml:space="preserve">2.7 Mission-concept and architecture writing as a source of framing vocabulary</w:t>
      </w:r>
    </w:p>
    <w:p>
      <w:pPr>
        <w:pStyle w:val="FirstParagraph"/>
        <w:spacing w:line="480" w:lineRule="auto"/>
      </w:pPr>
      <w:r>
        <w:t xml:space="preserve">A less obvious strand of the literature shapes the vocabulary this study measures: the writing on mission and architecture concept generation. Rüede and colleagues propose a pattern language for complex-mode mission concept generation, treating the design of a mission as a structured act with a grammar of its own</w:t>
      </w:r>
      <w:r>
        <w:t xml:space="preserve"> </w:t>
      </w:r>
      <w:hyperlink w:anchor="ref-14">
        <w:r>
          <w:rPr>
            <w:rStyle w:val="Hyperlink"/>
          </w:rPr>
          <w:t xml:space="preserve">[14]</w:t>
        </w:r>
      </w:hyperlink>
      <w:r>
        <w:t xml:space="preserve">. This matters for a study of governance framing because the language of architecture leaks into the language of governance. When a community learns to describe missions as compositions of patterns, it begins to describe governance the same way, and the framing that wins is often the one that fits the community’s existing grammar. The Accords’ emphasis on interoperability and deconfliction is, in part, an architectural vocabulary applied to a governance problem. Constellation and infrastructure work extends the point. Arcia Gil and colleagues describe a methodology for optimizing a lunar global navigation constellation, a technical exercise whose governance implications are unavoidable, since a navigation system is also a coordination regime that someone must own and operate</w:t>
      </w:r>
      <w:r>
        <w:t xml:space="preserve"> </w:t>
      </w:r>
      <w:hyperlink w:anchor="ref-12">
        <w:r>
          <w:rPr>
            <w:rStyle w:val="Hyperlink"/>
          </w:rPr>
          <w:t xml:space="preserve">[12]</w:t>
        </w:r>
      </w:hyperlink>
      <w:r>
        <w:t xml:space="preserve">. Nair and colleagues treat in-orbit assembly of high-value modular infrastructures, again a technical problem that carries a governance shadow: modular infrastructure implies shared standards, and shared standards imply a framing about who sets them</w:t>
      </w:r>
      <w:r>
        <w:t xml:space="preserve"> </w:t>
      </w:r>
      <w:hyperlink w:anchor="ref-13">
        <w:r>
          <w:rPr>
            <w:rStyle w:val="Hyperlink"/>
          </w:rPr>
          <w:t xml:space="preserve">[13]</w:t>
        </w:r>
      </w:hyperlink>
      <w:r>
        <w:t xml:space="preserve">. These works enter the corpus as engineering, but they carry governance vocabulary as a byproduct, and the topic-signal measure will register that byproduct wherever it appears.</w:t>
      </w:r>
    </w:p>
    <w:bookmarkEnd w:id="76"/>
    <w:bookmarkStart w:id="77" w:name="the-resource-and-sustainability-frontier"/>
    <w:p>
      <w:pPr>
        <w:pStyle w:val="Heading2"/>
        <w:spacing w:line="480" w:lineRule="auto"/>
      </w:pPr>
      <w:r>
        <w:t xml:space="preserve">2.8 The resource and sustainability frontier</w:t>
      </w:r>
    </w:p>
    <w:p>
      <w:pPr>
        <w:pStyle w:val="FirstParagraph"/>
        <w:spacing w:line="480" w:lineRule="auto"/>
      </w:pPr>
      <w:r>
        <w:t xml:space="preserve">The lunar-resource literature marks the frontier where the Accords framing is most contested, and it deserves separate treatment. McKeown and colleagues place lunar resources research in the context of terrestrial mining feasibility studies, importing a mature analytical tradition into a domain where the governance rules are unsettled</w:t>
      </w:r>
      <w:r>
        <w:t xml:space="preserve"> </w:t>
      </w:r>
      <w:hyperlink w:anchor="ref-16">
        <w:r>
          <w:rPr>
            <w:rStyle w:val="Hyperlink"/>
          </w:rPr>
          <w:t xml:space="preserve">[16]</w:t>
        </w:r>
      </w:hyperlink>
      <w:r>
        <w:t xml:space="preserve">. The move is telling. When a community borrows feasibility methods from terrestrial mining, it also borrows assumptions about property, extraction, and priority that the Accords framing then has to either ratify or resist. Whose language survives on the resource question is therefore not a narrow legal matter; it is a contest between an extractive framing imported from mining and a sustainability framing native to the space-environment literature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contest is open. This frontier is where the substantive stakes are highest and where the measurement is most delicate. A source can carry the resource vocabulary densely while taking either side of the extraction-versus-sustainability divide, and the topic-signal score, which counts presence rather than stance, cannot tell the two apart. The literature review flags this now because it is the sharpest instance of a general limitation: presence is not position, and a study built on presence must be modest about what it claims on contested ground</w:t>
      </w:r>
      <w:r>
        <w:t xml:space="preserve"> </w:t>
      </w:r>
      <w:hyperlink w:anchor="ref-5">
        <w:r>
          <w:rPr>
            <w:rStyle w:val="Hyperlink"/>
          </w:rPr>
          <w:t xml:space="preserve">[5]</w:t>
        </w:r>
      </w:hyperlink>
      <w:r>
        <w:t xml:space="preserve"> </w:t>
      </w:r>
      <w:hyperlink w:anchor="ref-9">
        <w:r>
          <w:rPr>
            <w:rStyle w:val="Hyperlink"/>
          </w:rPr>
          <w:t xml:space="preserve">[9]</w:t>
        </w:r>
      </w:hyperlink>
      <w:r>
        <w:t xml:space="preserve">. Chapter 7 returns to this gap as a named threat to validity.</w:t>
      </w:r>
    </w:p>
    <w:bookmarkEnd w:id="77"/>
    <w:bookmarkStart w:id="78" w:name="locating-the-gap-precisely"/>
    <w:p>
      <w:pPr>
        <w:pStyle w:val="Heading2"/>
        <w:spacing w:line="480" w:lineRule="auto"/>
      </w:pPr>
      <w:r>
        <w:t xml:space="preserve">2.9 Locating the gap precisely</w:t>
      </w:r>
    </w:p>
    <w:p>
      <w:pPr>
        <w:pStyle w:val="FirstParagraph"/>
        <w:spacing w:line="480" w:lineRule="auto"/>
      </w:pPr>
      <w:r>
        <w:t xml:space="preserve">Pulling the strands together, the gap this dissertation fills can be stated with precision. The substantive literature establishes that the Accords framing is salient, that framings compete, and that the resource frontier is where competition is fiercest</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architecture literature supplies the vocabulary through which framings travel</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measurement literature supplies the tools and the cautions for reading a documentary record as data</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What no strand supplies is a repeatable test of whether the candidate framing has left a structured footprint across time, attention, and venue in the retrievable corpus. That test is the dissertation’s contribution, and it sits exactly at the seam where the substantive and procedural literatures fail to meet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78"/>
    <w:bookmarkStart w:id="79" w:name="X0e02497f497d0b451300a86e5ad59bea54f81e2"/>
    <w:p>
      <w:pPr>
        <w:pStyle w:val="Heading2"/>
        <w:spacing w:line="480" w:lineRule="auto"/>
      </w:pPr>
      <w:r>
        <w:t xml:space="preserve">2.10 The bottom-up versus top-down debate over space norms</w:t>
      </w:r>
    </w:p>
    <w:p>
      <w:pPr>
        <w:pStyle w:val="FirstParagraph"/>
        <w:spacing w:line="480" w:lineRule="auto"/>
      </w:pPr>
      <w:r>
        <w:t xml:space="preserve">Underlying the whole literature is an unresolved debate about where space norms come from, and the Accords sharpen it. One camp holds that norms form top-down, through deliberate instruments drafted by leading actors and then diffused to followers. The Accords, as a coalition text offered for signature, fit this picture: a small group writes, and others adopt. The other camp holds that norms form bottom-up, through accumulated operational practice that hardens into expectation, with information sharing as the connective tissue</w:t>
      </w:r>
      <w:r>
        <w:t xml:space="preserve"> </w:t>
      </w:r>
      <w:hyperlink w:anchor="ref-1">
        <w:r>
          <w:rPr>
            <w:rStyle w:val="Hyperlink"/>
          </w:rPr>
          <w:t xml:space="preserve">[1]</w:t>
        </w:r>
      </w:hyperlink>
      <w:r>
        <w:t xml:space="preserve">. Reed and colleagues sit firmly in this second camp, arguing that trust built through shared risk data is what actually preserves the domain</w:t>
      </w:r>
      <w:r>
        <w:t xml:space="preserve"> </w:t>
      </w:r>
      <w:hyperlink w:anchor="ref-1">
        <w:r>
          <w:rPr>
            <w:rStyle w:val="Hyperlink"/>
          </w:rPr>
          <w:t xml:space="preserve">[1]</w:t>
        </w:r>
      </w:hyperlink>
      <w:r>
        <w:t xml:space="preserve">. The debate is not academic for this study, because the two camps predict different footprints. If norms form top-down, the framing should appear first and most densely in the policy documents that leading actors produce, then diffuse outward. If they form bottom-up, the framing should appear in the operational literature, in the information-sharing and compliance-monitoring work, before it reaches the policy documents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corpus contains both kinds of source, so the distribution of the framing across them is quietly a test of which account better fits the Accords case. This dissertation does not resolve the debate, but it measures a distribution the debate cares about, which is more than the interpretive literature typically offers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9"/>
    <w:bookmarkStart w:id="80" w:name="Xecf9f03e8d42252879bad6ac9b87082e20c7172"/>
    <w:p>
      <w:pPr>
        <w:pStyle w:val="Heading2"/>
        <w:spacing w:line="480" w:lineRule="auto"/>
      </w:pPr>
      <w:r>
        <w:t xml:space="preserve">2.11 Why bibliometric structure is a reasonable proxy for norm salience</w:t>
      </w:r>
    </w:p>
    <w:p>
      <w:pPr>
        <w:pStyle w:val="FirstParagraph"/>
        <w:spacing w:line="480" w:lineRule="auto"/>
      </w:pPr>
      <w:r>
        <w:t xml:space="preserve">A skeptic could object that the structure of a citation corpus is a thin proxy for something as rich as a norm, and the objection deserves an answer rather than a dismissal. The answer is that norms, whatever else they are, leave documentary traces, and those traces are structured when the norm is consolidating. A framing that is becoming the natural language of a field appears in newer work, draws engagement, and clusters in receptive venues, and each of those is measurable</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proxy is thin, but it is not arbitrary; it measures the observable shadow that an unobservable process casts on a documented literature. Thin is not nothing. A shadow still tracks. The measurement literature supplies the discipline that keeps the proxy honest. Tricco and colleagues, working on data-driven governance of AI space systems, model exactly this kind of move: they treat the governance question as one that generates measurable data traces, and they read those traces with explicit attention to their limits</w:t>
      </w:r>
      <w:r>
        <w:t xml:space="preserve"> </w:t>
      </w:r>
      <w:hyperlink w:anchor="ref-11">
        <w:r>
          <w:rPr>
            <w:rStyle w:val="Hyperlink"/>
          </w:rPr>
          <w:t xml:space="preserve">[11]</w:t>
        </w:r>
      </w:hyperlink>
      <w:r>
        <w:t xml:space="preserve">. The pattern-language work of Rüede and colleagues does something similar for mission concepts, formalizing an intuitive process into a structured, inspectable grammar</w:t>
      </w:r>
      <w:r>
        <w:t xml:space="preserve"> </w:t>
      </w:r>
      <w:hyperlink w:anchor="ref-14">
        <w:r>
          <w:rPr>
            <w:rStyle w:val="Hyperlink"/>
          </w:rPr>
          <w:t xml:space="preserve">[14]</w:t>
        </w:r>
      </w:hyperlink>
      <w:r>
        <w:t xml:space="preserve">. Both establish that a soft, ideational object can be studied through its structured documentary shadow, provided the researcher stays modest about what the shadow reveals. This dissertation adopts that stance wholesale: the bibliometric structure is a shadow of the norm, read carefully and claimed narrowly</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80"/>
    <w:bookmarkStart w:id="81" w:name="X5316ec37753c47fdbc92f51dfcd875b4d05ef65"/>
    <w:p>
      <w:pPr>
        <w:pStyle w:val="Heading2"/>
        <w:spacing w:line="480" w:lineRule="auto"/>
      </w:pPr>
      <w:r>
        <w:t xml:space="preserve">2.12 How this review shapes the empirical design</w:t>
      </w:r>
    </w:p>
    <w:p>
      <w:pPr>
        <w:pStyle w:val="FirstParagraph"/>
        <w:spacing w:line="480" w:lineRule="auto"/>
      </w:pPr>
      <w:r>
        <w:t xml:space="preserve">The review does not sit apart from the empirical chapters; it dictates several of their choices. The dominance of engineering in the corpus, established by the detection and sensing literature, is why the topic-signal measure had to be built against variables independent of the engineering bulk</w:t>
      </w:r>
      <w:r>
        <w:t xml:space="preserve"> </w:t>
      </w:r>
      <w:hyperlink w:anchor="ref-5">
        <w:r>
          <w:rPr>
            <w:rStyle w:val="Hyperlink"/>
          </w:rPr>
          <w:t xml:space="preserve">[5]</w:t>
        </w:r>
      </w:hyperlink>
      <w:r>
        <w:t xml:space="preserve">. The concentration of the framing on the resource frontier, established by the commercialization and lunar-resource work, is why the presence-versus-position gap became a named threat rather than an afterthought</w:t>
      </w:r>
      <w:r>
        <w:t xml:space="preserve"> </w:t>
      </w:r>
      <w:hyperlink w:anchor="ref-9">
        <w:r>
          <w:rPr>
            <w:rStyle w:val="Hyperlink"/>
          </w:rPr>
          <w:t xml:space="preserve">[9]</w:t>
        </w:r>
      </w:hyperlink>
      <w:r>
        <w:t xml:space="preserve"> </w:t>
      </w:r>
      <w:hyperlink w:anchor="ref-16">
        <w:r>
          <w:rPr>
            <w:rStyle w:val="Hyperlink"/>
          </w:rPr>
          <w:t xml:space="preserve">[16]</w:t>
        </w:r>
      </w:hyperlink>
      <w:r>
        <w:t xml:space="preserve">. And the bottom-up account of norm formation, established by the information-sharing literature, is why the distribution of the framing across operational and policy venues carries interpretive weight</w:t>
      </w:r>
      <w:r>
        <w:t xml:space="preserve"> </w:t>
      </w:r>
      <w:hyperlink w:anchor="ref-1">
        <w:r>
          <w:rPr>
            <w:rStyle w:val="Hyperlink"/>
          </w:rPr>
          <w:t xml:space="preserve">[1]</w:t>
        </w:r>
      </w:hyperlink>
      <w:r>
        <w:t xml:space="preserve"> </w:t>
      </w:r>
      <w:hyperlink w:anchor="ref-3">
        <w:r>
          <w:rPr>
            <w:rStyle w:val="Hyperlink"/>
          </w:rPr>
          <w:t xml:space="preserve">[3]</w:t>
        </w:r>
      </w:hyperlink>
      <w:r>
        <w:t xml:space="preserve">. Each of these connections runs from a strand of the review to a specific design decision, and naming them here makes the design’s debts explicit. A literature review that merely surveyed the field would leave the empirical chapters unmoored. This one is written to load the design: every strand it covers reappears as a construction rule, a threat to validity, or an interpretive commitment in the chapters that follow</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reader who has followed the review should arrive at the theory chapter already knowing why the mechanism is stated as it is and why the screens take the form they take, because the review has been quietly building toward exactly that design the whole way through</w:t>
      </w:r>
      <w:r>
        <w:t xml:space="preserve"> </w:t>
      </w:r>
      <w:hyperlink w:anchor="ref-6">
        <w:r>
          <w:rPr>
            <w:rStyle w:val="Hyperlink"/>
          </w:rPr>
          <w:t xml:space="preserve">[6]</w:t>
        </w:r>
      </w:hyperlink>
      <w:r>
        <w:t xml:space="preserve">.</w:t>
      </w:r>
    </w:p>
    <w:p>
      <w:pPr>
        <w:pStyle w:val="BodyText"/>
        <w:spacing w:line="480" w:lineRule="auto"/>
        <w:ind w:firstLine="720"/>
      </w:pPr>
      <w:r>
        <w:t xml:space="preserve">One strand deserves a final emphasis because it anchors the whole enterprise. The decision-support and supervision literature, exemplified by Smith, Jah, and Wood, establishes that space governance is increasingly built rather than declared, encoded in architectures and instrumented systems rather than in prose alone</w:t>
      </w:r>
      <w:r>
        <w:t xml:space="preserve"> </w:t>
      </w:r>
      <w:hyperlink w:anchor="ref-2">
        <w:r>
          <w:rPr>
            <w:rStyle w:val="Hyperlink"/>
          </w:rPr>
          <w:t xml:space="preserve">[2]</w:t>
        </w:r>
      </w:hyperlink>
      <w:r>
        <w:t xml:space="preserve">. That insight is why the study treats framing as something with a measurable footprint: if governance is built, the vocabulary of the winning architecture propagates through the literature that describes it, and propagation leaves a trace a screen can find</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review, taken whole, converts an interpretive question about the Accords into a design that measures the trace a built governance framing would leave, which is the bridge the empirical chapters cross</w:t>
      </w:r>
      <w:r>
        <w:t xml:space="preserve"> </w:t>
      </w:r>
      <w:hyperlink w:anchor="ref-1">
        <w:r>
          <w:rPr>
            <w:rStyle w:val="Hyperlink"/>
          </w:rPr>
          <w:t xml:space="preserve">[1]</w:t>
        </w:r>
      </w:hyperlink>
      <w:r>
        <w:t xml:space="preserve">.</w:t>
      </w:r>
    </w:p>
    <w:bookmarkEnd w:id="81"/>
    <w:bookmarkEnd w:id="82"/>
    <w:bookmarkStart w:id="93"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 theory here is compact, and its compactness is deliberate. A large theory would license a large claim, and a large claim would outrun a thirty-record corpus. What follows instead is a small, load-bearing mechanism that connects an abstract idea, norm entrepreneurship, to something a documentary screen can actually see. If the mechanism holds, the corpus should be structured in a particular way. If it does not, the corpus should look like noise. That is the whole of it. Nothing more is claimed. The scope is fixed.</w:t>
      </w:r>
    </w:p>
    <w:bookmarkStart w:id="83" w:name="Xf6fad657db7fe9e5dc2387bf85618f226bc652e"/>
    <w:p>
      <w:pPr>
        <w:pStyle w:val="Heading2"/>
        <w:spacing w:line="480" w:lineRule="auto"/>
      </w:pPr>
      <w:r>
        <w:t xml:space="preserve">3.1 The mechanism: from entrepreneurship to footprint</w:t>
      </w:r>
    </w:p>
    <w:p>
      <w:pPr>
        <w:pStyle w:val="FirstParagraph"/>
        <w:spacing w:line="480" w:lineRule="auto"/>
      </w:pPr>
      <w:r>
        <w:t xml:space="preserve">Norm entrepreneurship is, at bottom, a claim about attention. An entrepreneur succeeds by getting a preferred framing noticed, repeated, and eventually taken for granted. The path to that success runs through publication. A framing that is gaining ground appears in newer work, because authors write toward live debates rather than settled ones. It draws citation, because a framing that others feel obliged to engage becomes a reference point. It clusters in particular venues, because communities that adopt a framing tend to publish where that framing is welcome</w:t>
      </w:r>
      <w:r>
        <w:t xml:space="preserve"> </w:t>
      </w:r>
      <w:hyperlink w:anchor="ref-1">
        <w:r>
          <w:rPr>
            <w:rStyle w:val="Hyperlink"/>
          </w:rPr>
          <w:t xml:space="preserve">[1]</w:t>
        </w:r>
      </w:hyperlink>
      <w:r>
        <w:t xml:space="preserve"> </w:t>
      </w:r>
      <w:hyperlink w:anchor="ref-2">
        <w:r>
          <w:rPr>
            <w:rStyle w:val="Hyperlink"/>
          </w:rPr>
          <w:t xml:space="preserve">[2]</w:t>
        </w:r>
      </w:hyperlink>
      <w:r>
        <w:t xml:space="preserve">. Run that logic in reverse and it becomes a test. If the Artemis Accords framing of space governance has been carried by effective norm entrepreneurship, then the topic signal, the density of the framing’s vocabulary in a source, should not be randomly scattered. It should co-move with recency, with citation attention, and with venue family. The mechanism does not require all three to move together, and it does not require them to move strongly. It requires only that the theory say, in advance, what each movement would mean, so that the estimator output can be read against a prediction rather than after the fact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Two features of the mechanism deserve emphasis. First, it is observational, not causal. It claims that a successful framing leaves a footprint; it does not claim that the footprint proves the framing caused any particular treaty outcome. Second, it is corpus-relative. The footprint is defined against the retrieved literature, so the test speaks to structure inside that corpus and nowhere else. Both features are limits, and both are what make the mechanism honest</w:t>
      </w:r>
      <w:r>
        <w:t xml:space="preserve"> </w:t>
      </w:r>
      <w:hyperlink w:anchor="ref-5">
        <w:r>
          <w:rPr>
            <w:rStyle w:val="Hyperlink"/>
          </w:rPr>
          <w:t xml:space="preserve">[5]</w:t>
        </w:r>
      </w:hyperlink>
      <w:r>
        <w:t xml:space="preserve">. Limits are a virtue here.</w:t>
      </w:r>
    </w:p>
    <w:bookmarkEnd w:id="83"/>
    <w:bookmarkStart w:id="84" w:name="Xbeb3c776f35ce3c375583b639baa4b35b64a79d"/>
    <w:p>
      <w:pPr>
        <w:pStyle w:val="Heading2"/>
        <w:spacing w:line="480" w:lineRule="auto"/>
      </w:pPr>
      <w:r>
        <w:t xml:space="preserve">3.2 Why a footprint is expected, and why it might be absent</w:t>
      </w:r>
    </w:p>
    <w:p>
      <w:pPr>
        <w:pStyle w:val="FirstParagraph"/>
        <w:spacing w:line="480" w:lineRule="auto"/>
      </w:pPr>
      <w:r>
        <w:t xml:space="preserve">A maturing framing and an immature one leave different traces, and the difference is the substance of the hypothesis. Consider the maturing case. As a framing consolidates, the newest sources carry it most densely, because the framing has become the natural language of current work. Attention concentrates on the sources that articulate the framing best, so citation counts and topic signal drift together. And the framing migrates toward the venues that have institutionalized it, giving venue family predictive content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immature case looks different in a way the screen can detect.</w:t>
      </w:r>
    </w:p>
    <w:p>
      <w:pPr>
        <w:pStyle w:val="BodyText"/>
        <w:spacing w:line="480" w:lineRule="auto"/>
        <w:ind w:firstLine="720"/>
      </w:pPr>
      <w:r>
        <w:t xml:space="preserve">When a framing is still contested, its vocabulary appears sporadically, in older and newer work alike, in cited and uncited work alike, across venues with no clear pattern. Recency carries no information because the framing has not yet claimed the present. Citation carries little because attention has not consolidated. Venue carries little because no community has fully adopted the framing. A model run on such a corpus returns weak, imprecise coefficients, and the correct reading of that output is not disappointment but information: the framing has not, on this evidence, achieved the structured footprint that entrepreneurship success would produce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symmetry is what gives the design its spine. A weak result is not a failed test. It is a result. Read it as one. It is a specific finding about the maturity of the framing in the retrieved record, and the interpretation in later chapters treats it that way</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4"/>
    <w:bookmarkStart w:id="85" w:name="the-cross-sectional-prediction"/>
    <w:p>
      <w:pPr>
        <w:pStyle w:val="Heading2"/>
        <w:spacing w:line="480" w:lineRule="auto"/>
      </w:pPr>
      <w:r>
        <w:t xml:space="preserve">3.3 The cross-sectional prediction</w:t>
      </w:r>
    </w:p>
    <w:p>
      <w:pPr>
        <w:pStyle w:val="FirstParagraph"/>
        <w:spacing w:line="480" w:lineRule="auto"/>
      </w:pPr>
      <w:r>
        <w:t xml:space="preserve">A first testable prediction concerns structure across records at a point in time. Paper 1 operationalizes it with an ordinary least squares model in which the outcome is the topic-signal score and the predictors are the recency index, the reported citation count, and the ordinal venue-family score.</w:t>
      </w:r>
    </w:p>
    <w:p>
      <w:pPr>
        <w:pStyle w:val="BodyText"/>
        <w:spacing w:line="480" w:lineRule="auto"/>
        <w:ind w:firstLine="720"/>
      </w:pPr>
      <w:r>
        <w:t xml:space="preserve">H0 for the first screen holds that the topic-signal score is unrelated to publication recency, citation attention, and venue family.</w:t>
      </w:r>
    </w:p>
    <w:p>
      <w:pPr>
        <w:pStyle w:val="BodyText"/>
        <w:spacing w:line="480" w:lineRule="auto"/>
        <w:ind w:firstLine="720"/>
      </w:pPr>
      <w:r>
        <w:t xml:space="preserve">Under this null, none of the three predictors carries systematic information about where the framing’s vocabulary concentrates.</w:t>
      </w:r>
    </w:p>
    <w:p>
      <w:pPr>
        <w:pStyle w:val="BodyText"/>
        <w:spacing w:line="480" w:lineRule="auto"/>
        <w:ind w:firstLine="720"/>
      </w:pPr>
      <w:r>
        <w:t xml:space="preserve">H1 for the first screen holds that the topic-signal score increases with recency and citation attention.</w:t>
      </w:r>
    </w:p>
    <w:p>
      <w:pPr>
        <w:pStyle w:val="BodyText"/>
        <w:spacing w:line="480" w:lineRule="auto"/>
        <w:ind w:firstLine="720"/>
      </w:pPr>
      <w:r>
        <w:t xml:space="preserve">Under this alternative, at least one predictor is systematically associated with the signal, in the direction the mechanism implies: newer and more-cited work carries the framing more densely. The directional content matters. The mechanism predicts positive associations for recency and citation, because a consolidating framing claims the present and draws attention. It is agnostic about the sign on venue family in isolation, because venue rank is a coarse ordinal and its meaning depends on which communities have adopted the framing. The prediction is therefore sharpest on citation and recency, and the interpretation weights those two accordingly</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85"/>
    <w:bookmarkStart w:id="86" w:name="the-temporal-prediction"/>
    <w:p>
      <w:pPr>
        <w:pStyle w:val="Heading2"/>
        <w:spacing w:line="480" w:lineRule="auto"/>
      </w:pPr>
      <w:r>
        <w:t xml:space="preserve">3.4 The temporal prediction</w:t>
      </w:r>
    </w:p>
    <w:p>
      <w:pPr>
        <w:pStyle w:val="FirstParagraph"/>
        <w:spacing w:line="480" w:lineRule="auto"/>
      </w:pPr>
      <w:r>
        <w:t xml:space="preserve">A second prediction concerns how attention accumulates as sources age. A literature in which attention behaves lawfully should show citation counts rising with age in a regular, compressible way, because older work has had longer to be found and cited. The learning-curve form captures this by regressing the log of citation-plus-one on the log of an age index, so that the slope expresses an elasticity: the percentage change in accumulated attention associated with a percentage change in age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H0 for the second screen holds that citation accumulation is unrelated to article age in the retrieved topic literature. Under this null, the log-log slope is indistinguishable from zero, and attention does not track age in any regular way. H1 for the second screen holds that citation accumulation follows a measurable age-based attention curve. Under this alternative, the slope is distinguishable from zero, and the corpus shows the age-graded accumulation that a functioning attention process would produce.</w:t>
      </w:r>
    </w:p>
    <w:p>
      <w:pPr>
        <w:pStyle w:val="BodyText"/>
        <w:spacing w:line="480" w:lineRule="auto"/>
        <w:ind w:firstLine="720"/>
      </w:pPr>
      <w:r>
        <w:t xml:space="preserve">Here the mechanism makes a subtler prediction than it does for the cross section. A healthy, consolidating literature would tend to show older work accumulating more attention, a positive age elasticity. A young or bursty literature, where the newest work draws disproportionate attention, could show a flat or even negative slope, because recent high-signal sources have drawn citations faster than their age would predict. The screen does not assume which case obtains. It measures the slope and lets the sign and precision speak</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data decide.</w:t>
      </w:r>
    </w:p>
    <w:bookmarkEnd w:id="86"/>
    <w:bookmarkStart w:id="87" w:name="X4ea9590870479e18d40e9aa6730e7c2315665db"/>
    <w:p>
      <w:pPr>
        <w:pStyle w:val="Heading2"/>
        <w:spacing w:line="480" w:lineRule="auto"/>
      </w:pPr>
      <w:r>
        <w:t xml:space="preserve">3.5 What confirmation and disconfirmation would each look like</w:t>
      </w:r>
    </w:p>
    <w:p>
      <w:pPr>
        <w:pStyle w:val="FirstParagraph"/>
        <w:spacing w:line="480" w:lineRule="auto"/>
      </w:pPr>
      <w:r>
        <w:t xml:space="preserve">It is worth stating both outcomes concretely before the results arrive, so that the later reading cannot drift. Confirmation of the mechanism would show at least one precise, correctly signed predictor in the cross-sectional screen, most persuasively on citation attention, together with a coherent age slope in the temporal screen. That pattern would say the framing has left a structured footprint consistent with successful entrepreneurship</w:t>
      </w:r>
      <w:r>
        <w:t xml:space="preserve"> </w:t>
      </w:r>
      <w:hyperlink w:anchor="ref-1">
        <w:r>
          <w:rPr>
            <w:rStyle w:val="Hyperlink"/>
          </w:rPr>
          <w:t xml:space="preserve">[1]</w:t>
        </w:r>
      </w:hyperlink>
      <w:r>
        <w:t xml:space="preserve"> </w:t>
      </w:r>
      <w:hyperlink w:anchor="ref-2">
        <w:r>
          <w:rPr>
            <w:rStyle w:val="Hyperlink"/>
          </w:rPr>
          <w:t xml:space="preserve">[2]</w:t>
        </w:r>
      </w:hyperlink>
      <w:r>
        <w:t xml:space="preserve">. Disconfirmation would show predictors that are individually imprecise, a low share of variance explained, and a temporal slope that cannot be distinguished from zero. That pattern would say the framing, in this corpus, has not yet achieved a structured footprint, and that a stronger claim about whose language survived would require a direct document-coding design rather than a metadata screen</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following chapters build the estimators that draw this line, report exactly where the evidence falls, and hold the interpretation to whichever side of the line the numbers land on.</w:t>
      </w:r>
    </w:p>
    <w:bookmarkEnd w:id="87"/>
    <w:bookmarkStart w:id="88" w:name="Xf14a63f2818da67d1bccd9002c1b0ce03eaeeba"/>
    <w:p>
      <w:pPr>
        <w:pStyle w:val="Heading2"/>
        <w:spacing w:line="480" w:lineRule="auto"/>
      </w:pPr>
      <w:r>
        <w:t xml:space="preserve">3.6 Rival explanations the mechanism must survive</w:t>
      </w:r>
    </w:p>
    <w:p>
      <w:pPr>
        <w:pStyle w:val="FirstParagraph"/>
        <w:spacing w:line="480" w:lineRule="auto"/>
      </w:pPr>
      <w:r>
        <w:t xml:space="preserve">A mechanism earns its keep by surviving the rival stories that could produce the same footprint for different reasons. Three rivals deserve statement, because the interpretation later has to rule them in or out. The first rival is age confounding. Citation counts rise with age, so any apparent association between attention and the framing could be an artifact of older sources simply having had more time to accumulate citations. If the framing happened to be dense in older work, the citation coefficient would reflect age, not attention to the framing itself. The design addresses this by holding recency in the same cross-sectional model as citation, so that the citation coefficient reports attention net of the temporal position of the source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temporal screen then examines the age-citation relationship directly, which is what lets the study separate the two channels rather than conflating them. The second rival is venue confounding. If one venue family both cites more and carries the framing more densely, a naive reading could attribute to attention what is really an artifact of venue. The Acta Astronautica journal literature carries most of the nonzero citation counts and also carries a substantial share of the framing vocabulary, so this rival is live. Holding venue family in the model is the guard: the citation coefficient is estimated net of venue rank, so it is not simply the journal family reasserting itself under another name</w:t>
      </w:r>
      <w:r>
        <w:t xml:space="preserve"> </w:t>
      </w:r>
      <w:hyperlink w:anchor="ref-4">
        <w:r>
          <w:rPr>
            <w:rStyle w:val="Hyperlink"/>
          </w:rPr>
          <w:t xml:space="preserve">[4]</w:t>
        </w:r>
      </w:hyperlink>
      <w:r>
        <w:t xml:space="preserve"> </w:t>
      </w:r>
      <w:hyperlink w:anchor="ref-6">
        <w:r>
          <w:rPr>
            <w:rStyle w:val="Hyperlink"/>
          </w:rPr>
          <w:t xml:space="preserve">[6]</w:t>
        </w:r>
      </w:hyperlink>
      <w:r>
        <w:t xml:space="preserve">. Whether that guard fully succeeds on thirty records is a question the results chapter confronts honestly.</w:t>
      </w:r>
    </w:p>
    <w:p>
      <w:pPr>
        <w:pStyle w:val="BodyText"/>
        <w:spacing w:line="480" w:lineRule="auto"/>
        <w:ind w:firstLine="720"/>
      </w:pPr>
      <w:r>
        <w:t xml:space="preserve">The third rival is construction circularity, already flagged in Chapter 1 but worth restating as a threat the mechanism must survive. If the topic-signal score and the predictors shared a common construction input, the association would be built in. They do not. Signal is built from term hits; the predictors are built from year, external citation count, and venue. The independence of these inputs is what makes a nonzero coefficient a finding rather than a definition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mechanism, in short, is designed so that its predictions could be wrong, and the rivals are named so that a confirming result cannot be waved through without confronting them.</w:t>
      </w:r>
    </w:p>
    <w:bookmarkEnd w:id="88"/>
    <w:bookmarkStart w:id="89" w:name="the-scope-conditions-of-the-theory"/>
    <w:p>
      <w:pPr>
        <w:pStyle w:val="Heading2"/>
        <w:spacing w:line="480" w:lineRule="auto"/>
      </w:pPr>
      <w:r>
        <w:t xml:space="preserve">3.7 The scope conditions of the theory</w:t>
      </w:r>
    </w:p>
    <w:p>
      <w:pPr>
        <w:pStyle w:val="FirstParagraph"/>
        <w:spacing w:line="480" w:lineRule="auto"/>
      </w:pPr>
      <w:r>
        <w:t xml:space="preserve">Every mechanism holds within scope conditions, and stating them protects the theory from being asked to explain more than it can. The first condition is corpus completeness at the topic level: the mechanism predicts structure in a corpus that captures the framing’s live conversation, and if retrieval missed a major venue, the predicted footprint could be present in the world but absent from the data. The design cannot verify completeness; it can only report the retrieval it used and let the reader judge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second condition is that attention, as recorded, tracks attention as it matters. The mechanism assumes that citation counts in the local index are a reasonable stand-in for the community’s engagement with a source. If the index systematically under-records some venues, the assumption weakens, and the citation channel of the mechanism becomes harder to read</w:t>
      </w:r>
      <w:r>
        <w:t xml:space="preserve"> </w:t>
      </w:r>
      <w:hyperlink w:anchor="ref-2">
        <w:r>
          <w:rPr>
            <w:rStyle w:val="Hyperlink"/>
          </w:rPr>
          <w:t xml:space="preserve">[2]</w:t>
        </w:r>
      </w:hyperlink>
      <w:r>
        <w:t xml:space="preserve">. The third condition is that the framing is stable enough over the sample window to be measured as one thing. If the Accords vocabulary shifted meaning across the 2019-to-2026 span, the topic-signal score would be counting a moving target, and the cross-sectional reading would blur</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These conditions are not fatal, but they bound the reach of any result, and Chapter 7 tests each against what the data actually show.</w:t>
      </w:r>
    </w:p>
    <w:bookmarkEnd w:id="89"/>
    <w:bookmarkStart w:id="90" w:name="X27f7dc9a1bd8c6ec31c978b4fcf74c4fb51019c"/>
    <w:p>
      <w:pPr>
        <w:pStyle w:val="Heading2"/>
        <w:spacing w:line="480" w:lineRule="auto"/>
      </w:pPr>
      <w:r>
        <w:t xml:space="preserve">3.8 The link from theory to the two functional forms</w:t>
      </w:r>
    </w:p>
    <w:p>
      <w:pPr>
        <w:pStyle w:val="FirstParagraph"/>
        <w:spacing w:line="480" w:lineRule="auto"/>
      </w:pPr>
      <w:r>
        <w:t xml:space="preserve">The theory does not merely motivate two screens; it dictates their functional forms, and the dictation is worth making explicit. The cross-sectional prediction is about linear association: more recency, more citation, and higher venue rank should each shift the signal by some amount. A linear model is the direct expression of that prediction, because it estimates exactly the per-unit shift the theory posits. Nothing in the cross-sectional mechanism implies a nonlinear or threshold relationship, so imposing one would add structure the theory does not warrant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temporal prediction is different in kind, and its functional form follows from how attention actually accumulates. Attention is multiplicative: a work that has been noticed draws further notice in proportion to its existing visibility, so accumulation compounds rather than adding a fixed increment per year. The log-log form captures compounding by turning a multiplicative process into a linear one on the log scale, where the slope reads as an elasticity</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theory of attention accumulation, in other words, is what selects the learning-curve form; the form is not a convenience but a commitment about the process being modeled</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tight coupling between theory and form is a safeguard. When the functional form is chosen to match a stated mechanism, a reader can check whether the form is honest by checking whether the mechanism is plausible. When the form is chosen for statistical convenience, no such check is possible. The design accepts the discipline of deriving each form from its prediction, which means a critic who rejects the form must reject the underlying account of the process, not merely quibble with a modeling choice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90"/>
    <w:bookmarkStart w:id="91" w:name="Xc0cd700a40dab0d2112c318bb74b50689c07f41"/>
    <w:p>
      <w:pPr>
        <w:pStyle w:val="Heading2"/>
        <w:spacing w:line="480" w:lineRule="auto"/>
      </w:pPr>
      <w:r>
        <w:t xml:space="preserve">3.9 How the predictions would inform the substantive question</w:t>
      </w:r>
    </w:p>
    <w:p>
      <w:pPr>
        <w:pStyle w:val="FirstParagraph"/>
        <w:spacing w:line="480" w:lineRule="auto"/>
      </w:pPr>
      <w:r>
        <w:t xml:space="preserve">It remains to connect the abstract predictions to the whose-language-survived question that motivates the project. The predictions do not answer that question directly. What they do is calibrate how much weight the influence narrative can bear. If both screens confirmed the mechanism, the study could say the framing has a mature footprint consistent with successful entrepreneurship, which would lend measured support to the claim that the framing carried</w:t>
      </w:r>
      <w:r>
        <w:t xml:space="preserve"> </w:t>
      </w:r>
      <w:hyperlink w:anchor="ref-1">
        <w:r>
          <w:rPr>
            <w:rStyle w:val="Hyperlink"/>
          </w:rPr>
          <w:t xml:space="preserve">[1]</w:t>
        </w:r>
      </w:hyperlink>
      <w:r>
        <w:t xml:space="preserve"> </w:t>
      </w:r>
      <w:hyperlink w:anchor="ref-2">
        <w:r>
          <w:rPr>
            <w:rStyle w:val="Hyperlink"/>
          </w:rPr>
          <w:t xml:space="preserve">[2]</w:t>
        </w:r>
      </w:hyperlink>
      <w:r>
        <w:t xml:space="preserve">. If both disconfirmed, the study could say the framing has not left the footprint success would produce, which would counsel caution about the influence narrative</w:t>
      </w:r>
      <w:r>
        <w:t xml:space="preserve"> </w:t>
      </w:r>
      <w:hyperlink w:anchor="ref-5">
        <w:r>
          <w:rPr>
            <w:rStyle w:val="Hyperlink"/>
          </w:rPr>
          <w:t xml:space="preserve">[5]</w:t>
        </w:r>
      </w:hyperlink>
      <w:r>
        <w:t xml:space="preserve"> </w:t>
      </w:r>
      <w:hyperlink w:anchor="ref-6">
        <w:r>
          <w:rPr>
            <w:rStyle w:val="Hyperlink"/>
          </w:rPr>
          <w:t xml:space="preserve">[6]</w:t>
        </w:r>
      </w:hyperlink>
      <w:r>
        <w:t xml:space="preserve">. A split result, which is a live possibility given the corpus, would counsel the most careful reading of all: the framing draws attention on one dimension but has not matured on another, so it is influential and young at once. The value of stating these mappings in advance is that the substantive interpretation is then constrained by the numbers rather than free to float above them</w:t>
      </w:r>
      <w:r>
        <w:t xml:space="preserve"> </w:t>
      </w:r>
      <w:hyperlink w:anchor="ref-3">
        <w:r>
          <w:rPr>
            <w:rStyle w:val="Hyperlink"/>
          </w:rPr>
          <w:t xml:space="preserve">[3]</w:t>
        </w:r>
      </w:hyperlink>
      <w:r>
        <w:t xml:space="preserve"> </w:t>
      </w:r>
      <w:hyperlink w:anchor="ref-4">
        <w:r>
          <w:rPr>
            <w:rStyle w:val="Hyperlink"/>
          </w:rPr>
          <w:t xml:space="preserve">[4]</w:t>
        </w:r>
      </w:hyperlink>
      <w:r>
        <w:t xml:space="preserve">. Whatever the screens return, the theory has already fixed what each pattern would mean for the influence claim, and the results chapter simply reads the pattern against the pre-committed map.</w:t>
      </w:r>
    </w:p>
    <w:bookmarkEnd w:id="91"/>
    <w:bookmarkStart w:id="92" w:name="X8f08e8602fbe154c23ca7e4eb3083193db3784a"/>
    <w:p>
      <w:pPr>
        <w:pStyle w:val="Heading2"/>
        <w:spacing w:line="480" w:lineRule="auto"/>
      </w:pPr>
      <w:r>
        <w:t xml:space="preserve">3.10 The mechanism’s silence on stance, stated as theory</w:t>
      </w:r>
    </w:p>
    <w:p>
      <w:pPr>
        <w:pStyle w:val="FirstParagraph"/>
        <w:spacing w:line="480" w:lineRule="auto"/>
      </w:pPr>
      <w:r>
        <w:t xml:space="preserve">The theory chapter should name, as a matter of theory rather than only of measurement, the one thing the mechanism deliberately stays silent on: the stance a source takes toward the framing. The mechanism predicts that a consolidating framing draws attention and claims recent work. It does not predict that the attention is approving. A framing can consolidate as the thing a field argues about, drawing dense engagement from critics and champions alike, and the mechanism would register that consolidation identically whether the framing is winning or merely central to the fight</w:t>
      </w:r>
      <w:r>
        <w:t xml:space="preserve"> </w:t>
      </w:r>
      <w:hyperlink w:anchor="ref-3">
        <w:r>
          <w:rPr>
            <w:rStyle w:val="Hyperlink"/>
          </w:rPr>
          <w:t xml:space="preserve">[3]</w:t>
        </w:r>
      </w:hyperlink>
      <w:r>
        <w:t xml:space="preserve"> </w:t>
      </w:r>
      <w:hyperlink w:anchor="ref-5">
        <w:r>
          <w:rPr>
            <w:rStyle w:val="Hyperlink"/>
          </w:rPr>
          <w:t xml:space="preserve">[5]</w:t>
        </w:r>
      </w:hyperlink>
      <w:r>
        <w:t xml:space="preserve">. This silence is a theoretical choice, not an oversight. Building stance into the mechanism would require a theory of persuasion, of who is convinced and why, that a documentary screen cannot test. The mechanism is scoped to what attention and recency can show, which is centrality, not victory</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consequence is that a confirming result would license the claim that the framing is central and consequential, and would stop short of the claim that it prevailed. Stating this boundary as part of the theory, before any result, prevents the interpretation from sliding from centrality to victory once a significant coefficient appears. The mechanism promises less than the influence narrative wants, and it keeps that promise by design</w:t>
      </w:r>
      <w:r>
        <w:t xml:space="preserve"> </w:t>
      </w:r>
      <w:hyperlink w:anchor="ref-1">
        <w:r>
          <w:rPr>
            <w:rStyle w:val="Hyperlink"/>
          </w:rPr>
          <w:t xml:space="preserve">[1]</w:t>
        </w:r>
      </w:hyperlink>
      <w:r>
        <w:t xml:space="preserve"> </w:t>
      </w:r>
      <w:hyperlink w:anchor="ref-4">
        <w:r>
          <w:rPr>
            <w:rStyle w:val="Hyperlink"/>
          </w:rPr>
          <w:t xml:space="preserve">[4]</w:t>
        </w:r>
      </w:hyperlink>
      <w:r>
        <w:t xml:space="preserve">. Less, but honest.</w:t>
      </w:r>
    </w:p>
    <w:p>
      <w:pPr>
        <w:pStyle w:val="BodyText"/>
        <w:spacing w:line="480" w:lineRule="auto"/>
        <w:ind w:firstLine="720"/>
      </w:pPr>
      <w:r>
        <w:t xml:space="preserve">The theory chapter therefore leaves the reader with a precise instrument and precise expectations. The instrument is a mechanism that links successful norm entrepreneurship to a structured footprint across time, attention, and venue. The expectations are a pair of hypotheses, each with a stated confirming and disconfirming pattern, and a map from every possible result to a bounded substantive reading</w:t>
      </w:r>
      <w:r>
        <w:t xml:space="preserve"> </w:t>
      </w:r>
      <w:hyperlink w:anchor="ref-2">
        <w:r>
          <w:rPr>
            <w:rStyle w:val="Hyperlink"/>
          </w:rPr>
          <w:t xml:space="preserve">[2]</w:t>
        </w:r>
      </w:hyperlink>
      <w:r>
        <w:t xml:space="preserve"> </w:t>
      </w:r>
      <w:hyperlink w:anchor="ref-5">
        <w:r>
          <w:rPr>
            <w:rStyle w:val="Hyperlink"/>
          </w:rPr>
          <w:t xml:space="preserve">[5]</w:t>
        </w:r>
      </w:hyperlink>
      <w:r>
        <w:t xml:space="preserve">. What the theory does not leave is any license to overclaim. It has fenced the interpretation in advance, so that the results chapter can only report centrality, not victory, and immaturity, not decline. That fencing is the theory’s contribution to the study’s honesty, and it holds regardless of which way the coefficients fall</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design uses two estimators, each matched to one of the predictions in Chapter 3. This chapter states each estimator precisely, explains why it identifies the quantity it claims to identify, and defends the choices that surround it: the functional form, the standard-error treatment, and the boundary between what the models can and cannot license. The guiding principle is that a screen on a small documentary corpus earns trust by being explicit, not by being elaborate</w:t>
      </w:r>
      <w:r>
        <w:t xml:space="preserve"> </w:t>
      </w:r>
      <w:hyperlink w:anchor="ref-1">
        <w:r>
          <w:rPr>
            <w:rStyle w:val="Hyperlink"/>
          </w:rPr>
          <w:t xml:space="preserve">[1]</w:t>
        </w:r>
      </w:hyperlink>
      <w:r>
        <w:t xml:space="preserve"> </w:t>
      </w:r>
      <w:hyperlink w:anchor="ref-2">
        <w:r>
          <w:rPr>
            <w:rStyle w:val="Hyperlink"/>
          </w:rPr>
          <w:t xml:space="preserve">[2]</w:t>
        </w:r>
      </w:hyperlink>
      <w:r>
        <w:t xml:space="preserve">. Explicitness is the whole strategy.</w:t>
      </w:r>
    </w:p>
    <w:bookmarkStart w:id="94" w:name="the-cross-sectional-estimator"/>
    <w:p>
      <w:pPr>
        <w:pStyle w:val="Heading2"/>
        <w:spacing w:line="480" w:lineRule="auto"/>
      </w:pPr>
      <w:r>
        <w:t xml:space="preserve">4.1 The cross-sectional estimator</w:t>
      </w:r>
    </w:p>
    <w:p>
      <w:pPr>
        <w:pStyle w:val="FirstParagraph"/>
        <w:spacing w:line="480" w:lineRule="auto"/>
      </w:pPr>
      <w:r>
        <w:t xml:space="preserve">The first screen is ordinary least squares. The outcome is the topic-signal score for each retrieved source, and the predictors are the recency index, the reported citation count, and the ordinal venue-family score. The specification recorded in the configuration file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Ordinary least squares is the appropriate tool for the first prediction because that prediction is fundamentally about linear association across records.</w:t>
      </w:r>
    </w:p>
    <w:p>
      <w:pPr>
        <w:pStyle w:val="BodyText"/>
        <w:spacing w:line="480" w:lineRule="auto"/>
        <w:ind w:firstLine="720"/>
      </w:pPr>
      <w:r>
        <w:t xml:space="preserve">The question is whether variation in when a source appeared, in how much it was cited, and in where it was published tracks variation in how densely the source carries the framing’s vocabulary. Least squares answers exactly that question, returning a coefficient for each predictor that reports the average change in signal associated with a one-unit change in the predictor, holding the others fixed</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word identify deserves care. It is easy to abuse. Many studies do. This model does not identify a causal effect of recency, citation, or venue on the framing. It identifies a conditional association inside the retrieved corpus, and no more. Identification of an association is a real and defensible target: it tells the reader whether the footprint predicted by the mechanism is present in the record. What the model cannot do is rule out that some unmeasured feature drives both a predictor and the signal. The interpretation in Chapter 6 respects that ceiling throughout</w:t>
      </w:r>
      <w:r>
        <w:t xml:space="preserve"> </w:t>
      </w:r>
      <w:hyperlink w:anchor="ref-5">
        <w:r>
          <w:rPr>
            <w:rStyle w:val="Hyperlink"/>
          </w:rPr>
          <w:t xml:space="preserve">[5]</w:t>
        </w:r>
      </w:hyperlink>
      <w:r>
        <w:t xml:space="preserve">.</w:t>
      </w:r>
    </w:p>
    <w:bookmarkEnd w:id="94"/>
    <w:bookmarkStart w:id="95" w:name="X2e5882f940a1250f43d85ea220fc31c9ac4b85a"/>
    <w:p>
      <w:pPr>
        <w:pStyle w:val="Heading2"/>
        <w:spacing w:line="480" w:lineRule="auto"/>
      </w:pPr>
      <w:r>
        <w:t xml:space="preserve">4.2 Why these three predictors, and what each isolates</w:t>
      </w:r>
    </w:p>
    <w:p>
      <w:pPr>
        <w:pStyle w:val="FirstParagraph"/>
        <w:spacing w:line="480" w:lineRule="auto"/>
      </w:pPr>
      <w:r>
        <w:t xml:space="preserve">Each predictor is chosen because it is independent of the term hits that construct the signal, which is what keeps the screen from becoming circular.</w:t>
      </w:r>
    </w:p>
    <w:p>
      <w:pPr>
        <w:pStyle w:val="BodyText"/>
        <w:spacing w:line="480" w:lineRule="auto"/>
        <w:ind w:firstLine="720"/>
      </w:pPr>
      <w:r>
        <w:t xml:space="preserve">Recency is computed from publication year alone. Citation count is parsed from an external index. Venue family is coded from the publishing outlet. None of the three is derived from the topic vocabulary, so a coefficient on any of them reports a genuine relationship rather than a definitional one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Recency isolates the temporal claim in cross section: does the framing concentrate in newer work.</w:t>
      </w:r>
    </w:p>
    <w:p>
      <w:pPr>
        <w:pStyle w:val="BodyText"/>
        <w:spacing w:line="480" w:lineRule="auto"/>
        <w:ind w:firstLine="720"/>
      </w:pPr>
      <w:r>
        <w:t xml:space="preserve">The citation term isolates the attention claim: does the framing concentrate in work that others engage. The venue term isolates the institutional claim, coarsely: does the framing concentrate in one venue family rather than another. Holding all three in one model lets each coefficient report its association net of the other two, so that, for instance, a citation association is not simply recency in disguise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5"/>
    <w:bookmarkStart w:id="96" w:name="Xd37ebd17544c8f5d8d600fa24acd857056297a7"/>
    <w:p>
      <w:pPr>
        <w:pStyle w:val="Heading2"/>
        <w:spacing w:line="480" w:lineRule="auto"/>
      </w:pPr>
      <w:r>
        <w:t xml:space="preserve">4.3 Robust standard errors and why they are used</w:t>
      </w:r>
    </w:p>
    <w:p>
      <w:pPr>
        <w:pStyle w:val="FirstParagraph"/>
        <w:spacing w:line="480" w:lineRule="auto"/>
      </w:pPr>
      <w:r>
        <w:t xml:space="preserve">Both models report heteroskedasticity-consistent standard errors of the HC1 form. The reason is specific to this kind of data. A documentary corpus has no reason to produce residuals of constant variance. High-signal sources and low-signal sources differ in ways that plausibly change the spread of the errors, and citation counts in particular are highly skewed, with most records at or near zero and a few carrying large values. Classical standard errors assume constant error variance and would misstate the precision of the coefficients under these conditions</w:t>
      </w:r>
      <w:r>
        <w:t xml:space="preserve"> </w:t>
      </w:r>
      <w:hyperlink w:anchor="ref-3">
        <w:r>
          <w:rPr>
            <w:rStyle w:val="Hyperlink"/>
          </w:rPr>
          <w:t xml:space="preserve">[3]</w:t>
        </w:r>
      </w:hyperlink>
      <w:r>
        <w:t xml:space="preserve"> </w:t>
      </w:r>
      <w:hyperlink w:anchor="ref-5">
        <w:r>
          <w:rPr>
            <w:rStyle w:val="Hyperlink"/>
          </w:rPr>
          <w:t xml:space="preserve">[5]</w:t>
        </w:r>
      </w:hyperlink>
      <w:r>
        <w:t xml:space="preserve">. HC1 standard errors relax the constant-variance assumption. They let the data speak to the spread of the residuals rather than imposing a spread by assumption. On a sample of thirty, this choice will not work miracles, and the standard errors remain wide, but it produces inference that is honest about the skew rather than falsely confident. Reporting the precise standard error alongside every coefficient, as Chapter 6 does, is the practical expression of this commitment: the reader sees the uncertainty, not a smoothed version of it</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96"/>
    <w:bookmarkStart w:id="97" w:name="the-temporal-estimator"/>
    <w:p>
      <w:pPr>
        <w:pStyle w:val="Heading2"/>
        <w:spacing w:line="480" w:lineRule="auto"/>
      </w:pPr>
      <w:r>
        <w:t xml:space="preserve">4.4 The temporal estimator</w:t>
      </w:r>
    </w:p>
    <w:p>
      <w:pPr>
        <w:pStyle w:val="FirstParagraph"/>
        <w:spacing w:line="480" w:lineRule="auto"/>
      </w:pPr>
      <w:r>
        <w:t xml:space="preserve">The second screen is a log-log learning-curve model estimated by ordinary least squares with the same HC1 standard-error treatment. The outcome is the log of citation-count-plus-one, and the single predictor is the log of an age index. The specification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A learning-curve form is chosen because it is the natural way to model accumulation against age. On a log-log scale the slope is an elasticity, the percentage change in accumulated attention associated with a percentage change in age, and elasticities are the right unit for a process that is expected to be multiplicative rather than additive. Attention does not grow by a fixed number of citations per year; it grows in proportion to how much a work has already been noticed, which is exactly what a log-log slope captures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plus-one transform on the citation count is not cosmetic. Most records in the corpus report zero citations in the local index, and the logarithm of zero is undefined. Adding one before taking the log keeps every record in the estimation, including the uncited ones, so that the slope is estimated over the full corpus rather than over the cited minority. This is a standard device, and its cost, a mild compression of the low end, is small relative to the benefit of not discarding most of the sample</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97"/>
    <w:bookmarkStart w:id="98" w:name="what-the-two-estimators-jointly-identify"/>
    <w:p>
      <w:pPr>
        <w:pStyle w:val="Heading2"/>
        <w:spacing w:line="480" w:lineRule="auto"/>
      </w:pPr>
      <w:r>
        <w:t xml:space="preserve">4.5 What the two estimators jointly identify</w:t>
      </w:r>
    </w:p>
    <w:p>
      <w:pPr>
        <w:pStyle w:val="FirstParagraph"/>
        <w:spacing w:line="480" w:lineRule="auto"/>
      </w:pPr>
      <w:r>
        <w:t xml:space="preserve">Read together, the two screens identify the presence or absence of the predicted footprint from two independent directions. The cross-sectional model asks whether signal is structured by recency, attention, and venue at a point in time. The temporal model asks whether attention itself accumulates lawfully with age. A framing with a genuine footprint should register in both. A framing that only appears to have a footprint, because of one lucky coefficient, is unlikely to register in both</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joint reading is the design’s main defense against overinterpretation. Neither model alone would be persuasive on thirty records. The value comes from asking two different questions of the same corpus and requiring the answers to cohere before any substantive claim is advanced. Where they cohere, the claim is supported. Where they diverge, the divergence is reported as a finding about the thinness of the structure, not smoothed away</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8"/>
    <w:bookmarkStart w:id="99" w:name="the-line-the-methodology-will-not-cross"/>
    <w:p>
      <w:pPr>
        <w:pStyle w:val="Heading2"/>
        <w:spacing w:line="480" w:lineRule="auto"/>
      </w:pPr>
      <w:r>
        <w:t xml:space="preserve">4.6 The line the methodology will not cross</w:t>
      </w:r>
    </w:p>
    <w:p>
      <w:pPr>
        <w:pStyle w:val="FirstParagraph"/>
        <w:spacing w:line="480" w:lineRule="auto"/>
      </w:pPr>
      <w:r>
        <w:t xml:space="preserve">A closing statement of restraint belongs in the method chapter, because it governs everything downstream. These estimators are corpus screens. They test whether the retrieved literature is structured in the way the mechanism predicts. They do not, and are not built to, establish that a particular actor authored a particular clause, or that the Accords framing caused any downstream governance outcome. Those are document-coding and process-tracing questions, and Chapter 8 sketches the design that would take them on</w:t>
      </w:r>
      <w:r>
        <w:t xml:space="preserve"> </w:t>
      </w:r>
      <w:hyperlink w:anchor="ref-2">
        <w:r>
          <w:rPr>
            <w:rStyle w:val="Hyperlink"/>
          </w:rPr>
          <w:t xml:space="preserve">[2]</w:t>
        </w:r>
      </w:hyperlink>
      <w:r>
        <w:t xml:space="preserve"> </w:t>
      </w:r>
      <w:hyperlink w:anchor="ref-5">
        <w:r>
          <w:rPr>
            <w:rStyle w:val="Hyperlink"/>
          </w:rPr>
          <w:t xml:space="preserve">[5]</w:t>
        </w:r>
      </w:hyperlink>
      <w:r>
        <w:t xml:space="preserve">. What the present methodology delivers is a disciplined, reproducible answer to a smaller question, reported with its uncertainty intact and its limits stated in advance.</w:t>
      </w:r>
    </w:p>
    <w:bookmarkEnd w:id="99"/>
    <w:bookmarkStart w:id="100" w:name="Xc3cfbd8908b7b34930688178047a5cd7ba3666d"/>
    <w:p>
      <w:pPr>
        <w:pStyle w:val="Heading2"/>
        <w:spacing w:line="480" w:lineRule="auto"/>
      </w:pPr>
      <w:r>
        <w:t xml:space="preserve">4.7 Estimator diagnostics and how they are read on thirty records</w:t>
      </w:r>
    </w:p>
    <w:p>
      <w:pPr>
        <w:pStyle w:val="FirstParagraph"/>
        <w:spacing w:line="480" w:lineRule="auto"/>
      </w:pPr>
      <w:r>
        <w:t xml:space="preserve">A method chapter owes the reader an account of how the diagnostics will be read, because a small sample changes what each diagnostic can carry. The R2 and adjusted R2 report the share of variance the model explains, but on thirty records these figures are volatile, and the adjusted version matters more than the raw one because it penalizes the model for each parameter spent. The design reports both and leans on the adjusted figure when judging how much structure the model actually found</w:t>
      </w:r>
      <w:r>
        <w:t xml:space="preserve"> </w:t>
      </w:r>
      <w:hyperlink w:anchor="ref-3">
        <w:r>
          <w:rPr>
            <w:rStyle w:val="Hyperlink"/>
          </w:rPr>
          <w:t xml:space="preserve">[3]</w:t>
        </w:r>
      </w:hyperlink>
      <w:r>
        <w:t xml:space="preserve"> </w:t>
      </w:r>
      <w:hyperlink w:anchor="ref-4">
        <w:r>
          <w:rPr>
            <w:rStyle w:val="Hyperlink"/>
          </w:rPr>
          <w:t xml:space="preserve">[4]</w:t>
        </w:r>
      </w:hyperlink>
      <w:r>
        <w:t xml:space="preserve">. A high raw R2 with a much lower adjusted R2 would signal a model that is fitting noise, and the gap between the two is read as a caution rather than a triumph. The overall F-test earns particular weight in this design. On a small sample, individual coefficients can be imprecise even when the model as a whole detects real structure, so the F-test provides a package-level verdict that does not depend on any single term clearing a threshold. The design treats a significant F as evidence that the corpus is structured, and then reads the individual coefficients to locate where the structure lives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two-level reading, package first, then terms, is the discipline that keeps a single lucky coefficient from being mistaken for the whole result.</w:t>
      </w:r>
    </w:p>
    <w:p>
      <w:pPr>
        <w:pStyle w:val="BodyText"/>
        <w:spacing w:line="480" w:lineRule="auto"/>
        <w:ind w:firstLine="720"/>
      </w:pPr>
      <w:r>
        <w:t xml:space="preserve">The per-term p-values are read against a fixed threshold set in advance, not searched for after the fact. A coefficient that clears the threshold is reported as a precise association; one that does not is reported as imprecise, regardless of how substantively interesting its sign might be. There is no post hoc hunt for a specification in which a favored term becomes significant</w:t>
      </w:r>
      <w:r>
        <w:t xml:space="preserve"> </w:t>
      </w:r>
      <w:hyperlink w:anchor="ref-2">
        <w:r>
          <w:rPr>
            <w:rStyle w:val="Hyperlink"/>
          </w:rPr>
          <w:t xml:space="preserve">[2]</w:t>
        </w:r>
      </w:hyperlink>
      <w:r>
        <w:t xml:space="preserve"> </w:t>
      </w:r>
      <w:hyperlink w:anchor="ref-6">
        <w:r>
          <w:rPr>
            <w:rStyle w:val="Hyperlink"/>
          </w:rPr>
          <w:t xml:space="preserve">[6]</w:t>
        </w:r>
      </w:hyperlink>
      <w:r>
        <w:t xml:space="preserve">. Fixing the reading rule before seeing the output is what lets the significant coefficients carry weight, because the reader can trust that they were not selected to look good.</w:t>
      </w:r>
    </w:p>
    <w:bookmarkEnd w:id="100"/>
    <w:bookmarkStart w:id="101" w:name="why-not-a-more-elaborate-estimator"/>
    <w:p>
      <w:pPr>
        <w:pStyle w:val="Heading2"/>
        <w:spacing w:line="480" w:lineRule="auto"/>
      </w:pPr>
      <w:r>
        <w:t xml:space="preserve">4.8 Why not a more elaborate estimator</w:t>
      </w:r>
    </w:p>
    <w:p>
      <w:pPr>
        <w:pStyle w:val="FirstParagraph"/>
        <w:spacing w:line="480" w:lineRule="auto"/>
      </w:pPr>
      <w:r>
        <w:t xml:space="preserve">A reader might reasonably ask why the design does not reach for a richer method: a count model for the citation data, a hierarchical structure for the venue families, or a regularized specification to guard against overfitting. The answer is that elaboration buys little on thirty records and costs transparency. A count model would add distributional assumptions that thirty observations cannot validate. A hierarchical model would try to estimate variance across three venue levels, which is too few to support the structure. Regularization would introduce a tuning choice that the reader would then have to trust</w:t>
      </w:r>
      <w:r>
        <w:t xml:space="preserve"> </w:t>
      </w:r>
      <w:hyperlink w:anchor="ref-3">
        <w:r>
          <w:rPr>
            <w:rStyle w:val="Hyperlink"/>
          </w:rPr>
          <w:t xml:space="preserve">[3]</w:t>
        </w:r>
      </w:hyperlink>
      <w:r>
        <w:t xml:space="preserve"> </w:t>
      </w:r>
      <w:hyperlink w:anchor="ref-16">
        <w:r>
          <w:rPr>
            <w:rStyle w:val="Hyperlink"/>
          </w:rPr>
          <w:t xml:space="preserve">[16]</w:t>
        </w:r>
      </w:hyperlink>
      <w:r>
        <w:t xml:space="preserve">. Trust is the scarce resource. Spend it carefully. Ordinary least squares with robust standard errors is the honest tool for a screen of this size. It makes few assumptions, and the assumptions it does make are visible and defensible. The design’s credibility rests on being simple enough that a reader can reconstruct it, not on being sophisticated enough to impress. On a corpus this small, the simplest estimator that answers the question is also the most trustworthy one, and that judgment governs both screens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learning-curve model is the one concession to functional form, and it is justified not by ambition but by the multiplicative nature of attention accumulation, which a linear model would misrepresent.</w:t>
      </w:r>
    </w:p>
    <w:bookmarkEnd w:id="101"/>
    <w:bookmarkStart w:id="102" w:name="X48288da84febf5f11032b1a7fc69f6bb68c7645"/>
    <w:p>
      <w:pPr>
        <w:pStyle w:val="Heading2"/>
        <w:spacing w:line="480" w:lineRule="auto"/>
      </w:pPr>
      <w:r>
        <w:t xml:space="preserve">4.9 The interpretation of an elasticity in the temporal model</w:t>
      </w:r>
    </w:p>
    <w:p>
      <w:pPr>
        <w:pStyle w:val="FirstParagraph"/>
        <w:spacing w:line="480" w:lineRule="auto"/>
      </w:pPr>
      <w:r>
        <w:t xml:space="preserve">Because the temporal model reports an elasticity rather than a raw slope, the chapter owes the reader an account of how that quantity is to be read. In the log-log form, the coefficient on log age is the percentage change in citation-plus-one associated with a one-percent change in age. A positive elasticity would mean older works carry proportionally more accumulated attention, which is the pattern a settled literature produces as citations pile up over time. A negative or near-zero elasticity would mean age carries little proportional information about attention</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design also derives a progress ratio from the elasticity, computed as two raised to the coefficient, following the learning-curve convention that expresses how the outcome changes as the age index doubles. A progress ratio below one indicates that doubling age is associated with less than proportional growth in attention. The design reports this ratio because it is the conventional summary of a learning curve, but it attaches a firm caveat: the ratio inherits every bit of the coefficient’s imprecision, so a ratio computed from an insignificant slope is a descriptive convenience, not a stable rate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results chapter honors that caveat by refusing to present the ratio as a settled learning rate when the underlying slope cannot be distinguished from zero.</w:t>
      </w:r>
    </w:p>
    <w:bookmarkEnd w:id="102"/>
    <w:bookmarkStart w:id="103" w:name="X1b7c9536a5d4064a54381238b3b054f99d1d99a"/>
    <w:p>
      <w:pPr>
        <w:pStyle w:val="Heading2"/>
        <w:spacing w:line="480" w:lineRule="auto"/>
      </w:pPr>
      <w:r>
        <w:t xml:space="preserve">4.10 Preregistration in spirit and the reproducibility contract</w:t>
      </w:r>
    </w:p>
    <w:p>
      <w:pPr>
        <w:pStyle w:val="FirstParagraph"/>
        <w:spacing w:line="480" w:lineRule="auto"/>
      </w:pPr>
      <w:r>
        <w:t xml:space="preserve">Although this is a design-stage dissertation rather than a formally preregistered study, it adopts preregistration in spirit, and the method chapter is where that commitment is recorded. The two estimators, their outcomes, their predictors, their functional forms, and the standard-error treatment are all fixed before the results are read, and they are documented in the configuration files that travel with the data</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reading rules for significance are likewise fixed in advance. This means the results chapter cannot, without visible violation, substitute a better-fitting specification after seeing the output. The reproducibility contract is the practical form of this commitment. Given the source pool and the construction rules, every variable regenerates deterministically, and given the variables and the fixed specifications, every coefficient regenerates exactly. A reviewer can rerun the entire chain and obtain the identical numbers the results chapter reports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contract is what allows the study to claim its findings are not artifacts of analyst discretion: the discretion was spent in advance, in the open, on choices a reader can inspect and challenge, rather than in a private search across specifications for the most flattering result</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method, in short, is built to be checked, and the checking is what earns the trust the interpretation later spends.</w:t>
      </w:r>
    </w:p>
    <w:bookmarkEnd w:id="103"/>
    <w:bookmarkStart w:id="104" w:name="X35862e7087977a4c4fb70e0dd8e9264cb73f674"/>
    <w:p>
      <w:pPr>
        <w:pStyle w:val="Heading2"/>
        <w:spacing w:line="480" w:lineRule="auto"/>
      </w:pPr>
      <w:r>
        <w:t xml:space="preserve">4.11 The division of labor between the two screens</w:t>
      </w:r>
    </w:p>
    <w:p>
      <w:pPr>
        <w:pStyle w:val="FirstParagraph"/>
        <w:spacing w:line="480" w:lineRule="auto"/>
      </w:pPr>
      <w:r>
        <w:t xml:space="preserve">A final word on method concerns why the two estimators are complementary rather than redundant, because a reader might reasonably ask whether one screen would have sufficed. The cross-sectional model and the temporal model divide the labor of testing the mechanism along its two natural seams. The cross-sectional seam asks about structure in the signal at a moment: does the framing concentrate where attention, recency, and venue would predict. The temporal seam asks about the behavior of attention over time: does it accumulate the way a functioning attention process would</w:t>
      </w:r>
      <w:r>
        <w:t xml:space="preserve"> </w:t>
      </w:r>
      <w:hyperlink w:anchor="ref-1">
        <w:r>
          <w:rPr>
            <w:rStyle w:val="Hyperlink"/>
          </w:rPr>
          <w:t xml:space="preserve">[1]</w:t>
        </w:r>
      </w:hyperlink>
      <w:r>
        <w:t xml:space="preserve"> </w:t>
      </w:r>
      <w:hyperlink w:anchor="ref-12">
        <w:r>
          <w:rPr>
            <w:rStyle w:val="Hyperlink"/>
          </w:rPr>
          <w:t xml:space="preserve">[12]</w:t>
        </w:r>
      </w:hyperlink>
      <w:r>
        <w:t xml:space="preserve">. Neither seam is visible to the other estimator. A cross-sectional model cannot see how attention accumulates with age, because it treats each record as a snapshot; a temporal model cannot see whether the signal is structured by venue or recency, because it collapses the corpus onto a single age axis. Running both is the only way to interrogate both seams, and requiring the two to cohere before advancing a claim is the design’s central discipline against overreach</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division of labor is therefore not duplication but coverage: two estimators, each blind to what the other sees, jointly spanning the mechanism the theory proposed. That joint coverage is what a single screen, however carefully specified, could not have delivered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To summarize the methodology in one line: two simple estimators, fixed in advance, reported in full, on a deterministically constructed corpus with provenance preserved. Every choice in this chapter serves that summary. The estimators are simple so a reader can reconstruct them; they are fixed so the results cannot be reverse-engineered from the output; they are reported in full so the weak coefficients stand alongside the strong; and the corpus is deterministic so the whole chain regenerates on demand</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method makes no claim to sophistication. It claims something more useful for a screen of this kind: that a skeptical reader can check every step and arrive at the same numbers, which is the foundation on which the results and their interpretation rest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brief comparison clarifies what this choice buys. A study that reached for a fashionable estimator on thirty records would trade transparency for an appearance of rigor that the sample cannot support, and its findings would rest on assumptions no reader could verify</w:t>
      </w:r>
      <w:r>
        <w:t xml:space="preserve"> </w:t>
      </w:r>
      <w:hyperlink w:anchor="ref-3">
        <w:r>
          <w:rPr>
            <w:rStyle w:val="Hyperlink"/>
          </w:rPr>
          <w:t xml:space="preserve">[3]</w:t>
        </w:r>
      </w:hyperlink>
      <w:r>
        <w:t xml:space="preserve"> </w:t>
      </w:r>
      <w:hyperlink w:anchor="ref-16">
        <w:r>
          <w:rPr>
            <w:rStyle w:val="Hyperlink"/>
          </w:rPr>
          <w:t xml:space="preserve">[16]</w:t>
        </w:r>
      </w:hyperlink>
      <w:r>
        <w:t xml:space="preserve">. The present design goes the other way. It accepts that thirty records permit only modest inference, and it selects tools whose modesty matches the data. Robust ordinary least squares for the cross section and a log-log learning curve for the temporal question are the two simplest estimators that answer the two questions the theory posed, and their simplicity is a feature that scales with the smallness of the corpus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methodology’s ambition is entirely in its discipline, not in its machinery, and the chapters that follow show that discipline paying off in results a reader can trust precisely because the tools that produced them are ones a reader can reconstruct.</w:t>
      </w:r>
    </w:p>
    <w:bookmarkEnd w:id="104"/>
    <w:bookmarkEnd w:id="105"/>
    <w:bookmarkStart w:id="118" w:name="chapter-5.-data-and-measurement"/>
    <w:p>
      <w:pPr>
        <w:pStyle w:val="Heading1"/>
        <w:spacing w:line="480" w:lineRule="auto"/>
      </w:pPr>
      <w:r>
        <w:t xml:space="preserve">Chapter 5. Data and Measurement</w:t>
      </w:r>
    </w:p>
    <w:p>
      <w:pPr>
        <w:pStyle w:val="FirstParagraph"/>
        <w:spacing w:line="480" w:lineRule="auto"/>
      </w:pPr>
      <w:r>
        <w:t xml:space="preserve">The credibility of a screen rests on the transparency of its data. This chapter documents the corpus, the construction of every variable, the provenance that makes each row auditable, and the sample size that bounds every claim. Nothing here is exotic. It is meant not to be. Plainness is deliberate. The point is that a reader can move from a dissertation sentence to a paper specification to a single data row and back, without a gap where trust has to be assumed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06" w:name="the-source-pool"/>
    <w:p>
      <w:pPr>
        <w:pStyle w:val="Heading2"/>
        <w:spacing w:line="480" w:lineRule="auto"/>
      </w:pPr>
      <w:r>
        <w:t xml:space="preserve">5.1 The source pool</w:t>
      </w:r>
    </w:p>
    <w:p>
      <w:pPr>
        <w:pStyle w:val="FirstParagraph"/>
        <w:spacing w:line="480" w:lineRule="auto"/>
      </w:pPr>
      <w:r>
        <w:t xml:space="preserve">The data are a candidate-specific local source pool: the set of records retrieved for the topic of norm entrepreneurship in the drafting of the Artemis Accords. The pack spans three venue families. The first is AMOS, the applied space-surveillance conference literature, which supplies operational and sensing work along with several governance-adjacent papers on information sharing and risk</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is Acta Astronautica, the peer-reviewed journal literature, which supplies the commercialization, sustainability, and space-law framing that sits closest to the candidate topic</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third is a smaller Space Economy family of policy and roadmap documents, including a doctoral thesis and white-paper material that treat governance architecture directly.</w:t>
      </w:r>
    </w:p>
    <w:p>
      <w:pPr>
        <w:pStyle w:val="BodyText"/>
        <w:spacing w:line="480" w:lineRule="auto"/>
        <w:ind w:firstLine="720"/>
      </w:pPr>
      <w:r>
        <w:t xml:space="preserve">The pack is not a random sample of the space literature, and it is not claimed to be.</w:t>
      </w:r>
    </w:p>
    <w:p>
      <w:pPr>
        <w:pStyle w:val="BodyText"/>
        <w:spacing w:line="480" w:lineRule="auto"/>
        <w:ind w:firstLine="720"/>
      </w:pPr>
      <w:r>
        <w:t xml:space="preserve">It is what a topic-directed retrieval returned, and the estimators speak only to structure within it. That restriction is stated here because it governs the reach of every result: the corpus is the population for this study, not a sample from a larger one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06"/>
    <w:bookmarkStart w:id="107" w:name="Xc9a1a7f655815e61f838871544f3ea927daacdc"/>
    <w:p>
      <w:pPr>
        <w:pStyle w:val="Heading2"/>
        <w:spacing w:line="480" w:lineRule="auto"/>
      </w:pPr>
      <w:r>
        <w:t xml:space="preserve">5.2 The unit of observation and the sample size</w:t>
      </w:r>
    </w:p>
    <w:p>
      <w:pPr>
        <w:pStyle w:val="FirstParagraph"/>
        <w:spacing w:line="480" w:lineRule="auto"/>
      </w:pPr>
      <w:r>
        <w:t xml:space="preserve">The unit of observation is the retrieved source record. Each record is one document with a preserved provenance column, so that the row can be traced to a DOI, a conference URL, or a titled policy document. The estimation file contains thirty records. That number is small, and its smallness is a fact the analysis carries forward rather than hides. A sample of thirty limits precision, widens standard errors, and makes any single influential record matter more than it would in a large sample. The interpretation in Chapter 6 is written with that constraint in view</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thirty records are shared across both papers, with each paper deriving its own variables from the common pack.</w:t>
      </w:r>
    </w:p>
    <w:p>
      <w:pPr>
        <w:pStyle w:val="BodyText"/>
        <w:spacing w:line="480" w:lineRule="auto"/>
        <w:ind w:firstLine="720"/>
      </w:pPr>
      <w:r>
        <w:t xml:space="preserve">This shared base is what lets the two screens be read as two views of one corpus rather than as two unrelated studies. The provenance column is identical in intent across both datasets: every row names its source</w:t>
      </w:r>
      <w:r>
        <w:t xml:space="preserve"> </w:t>
      </w:r>
      <w:hyperlink w:anchor="ref-4">
        <w:r>
          <w:rPr>
            <w:rStyle w:val="Hyperlink"/>
          </w:rPr>
          <w:t xml:space="preserve">[4]</w:t>
        </w:r>
      </w:hyperlink>
      <w:r>
        <w:t xml:space="preserve">.</w:t>
      </w:r>
    </w:p>
    <w:bookmarkEnd w:id="107"/>
    <w:bookmarkStart w:id="108" w:name="Xc4f1c0b6b948054707de910060119c36bb6217c"/>
    <w:p>
      <w:pPr>
        <w:pStyle w:val="Heading2"/>
        <w:spacing w:line="480" w:lineRule="auto"/>
      </w:pPr>
      <w:r>
        <w:t xml:space="preserve">5.3 The outcome in the cross-sectional screen: signal_score</w:t>
      </w:r>
    </w:p>
    <w:p>
      <w:pPr>
        <w:pStyle w:val="FirstParagraph"/>
        <w:spacing w:line="480" w:lineRule="auto"/>
      </w:pPr>
      <w:r>
        <w:t xml:space="preserve">The topic-signal score is the outcome for the first screen. It is a composite count, built deterministically from how many candidate-theme terms appear in a source’s title, snippet, keyword field, and author metadata. A record that mentions the framing’s vocabulary in several of those fields scores higher; a record that mentions it in none scores at the floor. The construction is mechanical and repeatable, which is the property that matters. Two analysts running the same rule on the same pack would produce the same score for every row</w:t>
      </w:r>
      <w:r>
        <w:t xml:space="preserve"> </w:t>
      </w:r>
      <w:hyperlink w:anchor="ref-1">
        <w:r>
          <w:rPr>
            <w:rStyle w:val="Hyperlink"/>
          </w:rPr>
          <w:t xml:space="preserve">[1]</w:t>
        </w:r>
      </w:hyperlink>
      <w:r>
        <w:t xml:space="preserve"> </w:t>
      </w:r>
      <w:hyperlink w:anchor="ref-2">
        <w:r>
          <w:rPr>
            <w:rStyle w:val="Hyperlink"/>
          </w:rPr>
          <w:t xml:space="preserve">[2]</w:t>
        </w:r>
      </w:hyperlink>
      <w:r>
        <w:t xml:space="preserve">. Scores in the pack range from one to eleven. The highest scores attach to the policy and thesis documents in the Space Economy family, which is expected, because those documents are about governance framing directly. Mid-range scores attach to Acta Astronautica papers on AI governance and commercialization. The floor scores attach to pure sensing and detection work, which touches the framing only glancingly</w:t>
      </w:r>
      <w:r>
        <w:t xml:space="preserve"> </w:t>
      </w:r>
      <w:hyperlink w:anchor="ref-5">
        <w:r>
          <w:rPr>
            <w:rStyle w:val="Hyperlink"/>
          </w:rPr>
          <w:t xml:space="preserve">[5]</w:t>
        </w:r>
      </w:hyperlink>
      <w:r>
        <w:t xml:space="preserve"> </w:t>
      </w:r>
      <w:hyperlink w:anchor="ref-11">
        <w:r>
          <w:rPr>
            <w:rStyle w:val="Hyperlink"/>
          </w:rPr>
          <w:t xml:space="preserve">[11]</w:t>
        </w:r>
      </w:hyperlink>
      <w:r>
        <w:t xml:space="preserve">. This spread is itself informative before any model runs: the framing’s vocabulary is concentrated in a minority of records and thin across the rest.</w:t>
      </w:r>
    </w:p>
    <w:bookmarkEnd w:id="108"/>
    <w:bookmarkStart w:id="109" w:name="X258ea8fa5ccba74e70184b0d7b811e89063d9fe"/>
    <w:p>
      <w:pPr>
        <w:pStyle w:val="Heading2"/>
        <w:spacing w:line="480" w:lineRule="auto"/>
      </w:pPr>
      <w:r>
        <w:t xml:space="preserve">5.4 The predictors in the cross-sectional screen</w:t>
      </w:r>
    </w:p>
    <w:p>
      <w:pPr>
        <w:pStyle w:val="FirstParagraph"/>
        <w:spacing w:line="480" w:lineRule="auto"/>
      </w:pPr>
      <w:r>
        <w:t xml:space="preserve">Three predictors enter the first model, each constructed independently of the term hits that build the signal.</w:t>
      </w:r>
    </w:p>
    <w:p>
      <w:pPr>
        <w:pStyle w:val="BodyText"/>
        <w:spacing w:line="480" w:lineRule="auto"/>
        <w:ind w:firstLine="720"/>
      </w:pPr>
      <w:r>
        <w:t xml:space="preserve">The recency index is publication year minus the minimum publication year in the sample, plus one.</w:t>
      </w:r>
    </w:p>
    <w:p>
      <w:pPr>
        <w:pStyle w:val="BodyText"/>
        <w:spacing w:line="480" w:lineRule="auto"/>
        <w:ind w:firstLine="720"/>
      </w:pPr>
      <w:r>
        <w:t xml:space="preserve">The earliest record dates to 2019 and takes the value one; the latest, a 2026 source, takes the value eight. This linear index gives the model a clean temporal axis without imposing any nonlinear shape on the passage of time</w:t>
      </w:r>
      <w:r>
        <w:t xml:space="preserve"> </w:t>
      </w:r>
      <w:hyperlink w:anchor="ref-1">
        <w:r>
          <w:rPr>
            <w:rStyle w:val="Hyperlink"/>
          </w:rPr>
          <w:t xml:space="preserve">[1]</w:t>
        </w:r>
      </w:hyperlink>
      <w:r>
        <w:t xml:space="preserve">. Citation counts are parsed directly from the local brain index. Where the index reports no count, the value is zero. Most records carry zero in this pack, and a small number of Acta Astronautica papers carry the larger counts, the maximum being twenty-five. This skew is exactly why the robust standard-error treatment in Chapter 4 is needed</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venue-family score is an ordinal code: AMOS is one, Acta Astronautica is two, Space Economy is three. The ordinal ranking is a coarse device, and Chapter 4 already flagged the hazard of overreading a coefficient that rides on three levels. The code is included because venue plausibly carries institutional information, but its interpretation is held deliberately loose</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09"/>
    <w:bookmarkStart w:id="110" w:name="Xe4668f6e305503f4e8fb29011bebe7ce126b8a3"/>
    <w:p>
      <w:pPr>
        <w:pStyle w:val="Heading2"/>
        <w:spacing w:line="480" w:lineRule="auto"/>
      </w:pPr>
      <w:r>
        <w:t xml:space="preserve">5.5 The temporal screen: cites_plus1 and age_index</w:t>
      </w:r>
    </w:p>
    <w:p>
      <w:pPr>
        <w:pStyle w:val="FirstParagraph"/>
        <w:spacing w:line="480" w:lineRule="auto"/>
      </w:pPr>
      <w:r>
        <w:t xml:space="preserve">The second screen re-derives two variables from the same pack. The outcome is citation-count-plus-one, the reported count with one added so that the logarithm is defined for the many uncited records. The predictor is an age index, computed as 2026 minus publication year plus one, so that a 2026 source has age one and a 2019 source has age eight. The age index and the recency index are mirror images of each other by construction, which is intentional: the cross-sectional screen reads time as recency, and the temporal screen reads the same time as age, because the learning-curve form is stated in age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Citation-plus-one is heavily bottom-weighted. Most records sit at one, meaning zero reported citations. A handful of older Acta Astronautica papers reach into the twenties. The log transform on both sides compresses this range so that the slope can be read as an elasticity rather than being dominated by two or three high-count records</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10"/>
    <w:bookmarkStart w:id="111" w:name="provenance-and-auditability"/>
    <w:p>
      <w:pPr>
        <w:pStyle w:val="Heading2"/>
        <w:spacing w:line="480" w:lineRule="auto"/>
      </w:pPr>
      <w:r>
        <w:t xml:space="preserve">5.6 Provenance and auditability</w:t>
      </w:r>
    </w:p>
    <w:p>
      <w:pPr>
        <w:pStyle w:val="FirstParagraph"/>
        <w:spacing w:line="480" w:lineRule="auto"/>
      </w:pPr>
      <w:r>
        <w:t xml:space="preserve">Every row in both datasets preserves a source string. For journal records the string is a DOI, resolvable to the published article. For conference records it is a stable AMOS URL. For policy and thesis material it is a titled document reference. This provenance column is the spine of the design’s auditability claim. A reader who doubts a coefficient can trace the influential rows to their sources and inspect them directly, which is the standard this program sets for a documentary dissertation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variable definitions are not left to prose alone. Each is recorded in the paper configuration files, alongside the formula and the figure caption, so that the mapping from raw record to modeled variable is fixed in a machine-readable form. This redundancy, prose plus configuration, is a deliberate guard against the drift that creeps in when a variable is described one way in the text and constructed another way in the workbook</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1"/>
    <w:bookmarkStart w:id="112" w:name="Xb2a6becfa5fc099835d8286a47682a8437e9cf7"/>
    <w:p>
      <w:pPr>
        <w:pStyle w:val="Heading2"/>
        <w:spacing w:line="480" w:lineRule="auto"/>
      </w:pPr>
      <w:r>
        <w:t xml:space="preserve">5.7 What the measurement can and cannot support</w:t>
      </w:r>
    </w:p>
    <w:p>
      <w:pPr>
        <w:pStyle w:val="FirstParagraph"/>
        <w:spacing w:line="480" w:lineRule="auto"/>
      </w:pPr>
      <w:r>
        <w:t xml:space="preserve">The measurement is honest about its reach. It can support statements about how the framing’s vocabulary is distributed across the retrieved records, and how attention accumulates across their ages. It cannot support statements about the framing’s causal role in the actual drafting of the Accords, because nothing in the pack observes the drafting process itself. The topic-signal score measures presence of vocabulary, not authorship of clauses</w:t>
      </w:r>
      <w:r>
        <w:t xml:space="preserve"> </w:t>
      </w:r>
      <w:hyperlink w:anchor="ref-3">
        <w:r>
          <w:rPr>
            <w:rStyle w:val="Hyperlink"/>
          </w:rPr>
          <w:t xml:space="preserve">[3]</w:t>
        </w:r>
      </w:hyperlink>
      <w:r>
        <w:t xml:space="preserve"> </w:t>
      </w:r>
      <w:hyperlink w:anchor="ref-5">
        <w:r>
          <w:rPr>
            <w:rStyle w:val="Hyperlink"/>
          </w:rPr>
          <w:t xml:space="preserve">[5]</w:t>
        </w:r>
      </w:hyperlink>
      <w:r>
        <w:t xml:space="preserve">. Citation counts measure recorded attention in one index, not global influence</w:t>
      </w:r>
      <w:r>
        <w:t xml:space="preserve"> </w:t>
      </w:r>
      <w:hyperlink w:anchor="ref-2">
        <w:r>
          <w:rPr>
            <w:rStyle w:val="Hyperlink"/>
          </w:rPr>
          <w:t xml:space="preserve">[2]</w:t>
        </w:r>
      </w:hyperlink>
      <w:r>
        <w:t xml:space="preserve">. These are not weaknesses to be apologized for. They are the boundary of a design that chose reproducibility over reach. Chapter 6 now reports what the two estimators return on this data, exactly as the workbooks produced it, and Chapter 7 states what those returns do and do not permit the study to conclude</w:t>
      </w:r>
      <w:r>
        <w:t xml:space="preserve"> </w:t>
      </w:r>
      <w:hyperlink w:anchor="ref-6">
        <w:r>
          <w:rPr>
            <w:rStyle w:val="Hyperlink"/>
          </w:rPr>
          <w:t xml:space="preserve">[6]</w:t>
        </w:r>
      </w:hyperlink>
      <w:r>
        <w:t xml:space="preserve">.</w:t>
      </w:r>
    </w:p>
    <w:bookmarkEnd w:id="112"/>
    <w:bookmarkStart w:id="113" w:name="the-composition-of-the-corpus-by-venue"/>
    <w:p>
      <w:pPr>
        <w:pStyle w:val="Heading2"/>
        <w:spacing w:line="480" w:lineRule="auto"/>
      </w:pPr>
      <w:r>
        <w:t xml:space="preserve">5.8 The composition of the corpus by venue</w:t>
      </w:r>
    </w:p>
    <w:p>
      <w:pPr>
        <w:pStyle w:val="FirstParagraph"/>
        <w:spacing w:line="480" w:lineRule="auto"/>
      </w:pPr>
      <w:r>
        <w:t xml:space="preserve">It helps to see the corpus by its parts, because the venue mix shapes every result. The AMOS family supplies roughly the first block of records, and its character is operational: information-sharing papers, sensor-network descriptions, optical-fence and detection work, and a small number of governance-adjacent pieces on norms development and compliance monitoring</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This family carries the framing thinly on average, because most of its papers are about instruments and orbits rather than about drafting or norms. The exceptions, the information-sharing and norms-development papers, are the AMOS records that lift the signal, and they are the ones that connect the operational community to the governance conversation the Accords advance</w:t>
      </w:r>
      <w:r>
        <w:t xml:space="preserve"> </w:t>
      </w:r>
      <w:hyperlink w:anchor="ref-1">
        <w:r>
          <w:rPr>
            <w:rStyle w:val="Hyperlink"/>
          </w:rPr>
          <w:t xml:space="preserve">[1]</w:t>
        </w:r>
      </w:hyperlink>
      <w:r>
        <w:t xml:space="preserve">. The Acta Astronautica family is the journal core, and it carries the framing most consistently in the peer-reviewed literature. Its records span commercialization and sustainability, gamification of space law, data-driven governance of AI-based systems, constellation optimization, in-orbit assembly, and lunar-resource feasibility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This family also carries almost all of the nonzero citation counts in the pack, which makes it central to both screens: it supplies the attention variation the cross-sectional model needs and the aged, cited records the temporal model leans on. The concentration of citations in this one family is a fact the interpretation must keep in view, because it means the attention channel is effectively a journal-literature channel.</w:t>
      </w:r>
    </w:p>
    <w:p>
      <w:pPr>
        <w:pStyle w:val="BodyText"/>
        <w:spacing w:line="480" w:lineRule="auto"/>
        <w:ind w:firstLine="720"/>
      </w:pPr>
      <w:r>
        <w:t xml:space="preserve">The Space Economy family is the smallest and the densest in framing. It holds a roadmap document, a norms-mapping piece, a doctoral thesis proposing an international space reference architecture, and a treatment of polycentric governance for orbital debris. These are governance documents by intent, so they carry the framing’s vocabulary at the top of the scale, with the thesis record reaching the maximum signal score in the pack. But they carry zero recorded citations in the local index, which sets up a tension the results chapter confronts: the records densest in framing are the ones the citation index does not track</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13"/>
    <w:bookmarkStart w:id="114" w:name="descriptive-patterns-before-modeling"/>
    <w:p>
      <w:pPr>
        <w:pStyle w:val="Heading2"/>
        <w:spacing w:line="480" w:lineRule="auto"/>
      </w:pPr>
      <w:r>
        <w:t xml:space="preserve">5.9 Descriptive patterns before modeling</w:t>
      </w:r>
    </w:p>
    <w:p>
      <w:pPr>
        <w:pStyle w:val="FirstParagraph"/>
        <w:spacing w:line="480" w:lineRule="auto"/>
      </w:pPr>
      <w:r>
        <w:t xml:space="preserve">Before any estimator runs, three descriptive patterns are worth fixing, because they anticipate the results and discipline their reading. The signal scores cluster low, with most records at the floor and a thin tail of high-signal governance documents. The citation counts cluster at zero, with a short tail of cited journal papers reaching into the twenties. And the two tails do not coincide: the highest-signal records, the policy and thesis documents, carry zero citations, while the highest-cited records, the older journal papers, carry mid-range signal</w:t>
      </w:r>
      <w:r>
        <w:t xml:space="preserve"> </w:t>
      </w:r>
      <w:hyperlink w:anchor="ref-5">
        <w:r>
          <w:rPr>
            <w:rStyle w:val="Hyperlink"/>
          </w:rPr>
          <w:t xml:space="preserve">[5]</w:t>
        </w:r>
      </w:hyperlink>
      <w:r>
        <w:t xml:space="preserve"> </w:t>
      </w:r>
      <w:hyperlink w:anchor="ref-9">
        <w:r>
          <w:rPr>
            <w:rStyle w:val="Hyperlink"/>
          </w:rPr>
          <w:t xml:space="preserve">[9]</w:t>
        </w:r>
      </w:hyperlink>
      <w:r>
        <w:t xml:space="preserve">. That non-coincidence is the single most consequential feature of the data, and naming it here prepares the reader for what the models find. Watch that gap. It explains the rest. If the framing’s densest carriers are uncited and the corpus’s most-cited works carry only moderate framing, then any positive association between citation and signal has to be built from the middle of the distribution, not from its extremes. The cross-sectional model will find such an association, and its source in the mid-range journal records is exactly what this descriptive pattern predicts</w:t>
      </w:r>
      <w:r>
        <w:t xml:space="preserve"> </w:t>
      </w:r>
      <w:hyperlink w:anchor="ref-2">
        <w:r>
          <w:rPr>
            <w:rStyle w:val="Hyperlink"/>
          </w:rPr>
          <w:t xml:space="preserve">[2]</w:t>
        </w:r>
      </w:hyperlink>
      <w:r>
        <w:t xml:space="preserve"> </w:t>
      </w:r>
      <w:hyperlink w:anchor="ref-4">
        <w:r>
          <w:rPr>
            <w:rStyle w:val="Hyperlink"/>
          </w:rPr>
          <w:t xml:space="preserve">[4]</w:t>
        </w:r>
      </w:hyperlink>
      <w:r>
        <w:t xml:space="preserve">. Seeing the pattern in the raw data first is what keeps the later coefficient from looking like magic; it is the visible shape of the corpus, formalized.</w:t>
      </w:r>
    </w:p>
    <w:bookmarkEnd w:id="114"/>
    <w:bookmarkStart w:id="115" w:name="reproducibility-of-the-feature-rows"/>
    <w:p>
      <w:pPr>
        <w:pStyle w:val="Heading2"/>
        <w:spacing w:line="480" w:lineRule="auto"/>
      </w:pPr>
      <w:r>
        <w:t xml:space="preserve">5.10 Reproducibility of the feature rows</w:t>
      </w:r>
    </w:p>
    <w:p>
      <w:pPr>
        <w:pStyle w:val="FirstParagraph"/>
        <w:spacing w:line="480" w:lineRule="auto"/>
      </w:pPr>
      <w:r>
        <w:t xml:space="preserve">Every variable in both datasets is a deterministic function of the source pool, which is the property that makes the study reproducible in the strong sense. Given the same pack and the same construction rules, the signal scores, recency and age indices, citation counts, and venue codes regenerate exactly. There is no random component, no hand coding of stance, and no analyst discretion in the feature rows themselves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rows are fixed. They do not move. This is a deliberate design choice: discretion is pushed entirely into the transparent construction rules, where it can be inspected, rather than hidden in per-row judgments that a reader cannot audit. The cost of this choice is expressive. Deterministic term counting cannot read irony, stance, or context, so it measures a coarser thing than a human coder would. The benefit is trust. A reader who disagrees with a construction rule can change it and rerun, and a reviewer who doubts a result can regenerate every number from the pack</w:t>
      </w:r>
      <w:r>
        <w:t xml:space="preserve"> </w:t>
      </w:r>
      <w:hyperlink w:anchor="ref-4">
        <w:r>
          <w:rPr>
            <w:rStyle w:val="Hyperlink"/>
          </w:rPr>
          <w:t xml:space="preserve">[4]</w:t>
        </w:r>
      </w:hyperlink>
      <w:r>
        <w:t xml:space="preserve"> </w:t>
      </w:r>
      <w:hyperlink w:anchor="ref-5">
        <w:r>
          <w:rPr>
            <w:rStyle w:val="Hyperlink"/>
          </w:rPr>
          <w:t xml:space="preserve">[5]</w:t>
        </w:r>
      </w:hyperlink>
      <w:r>
        <w:t xml:space="preserve">. For a design that stakes its contribution on an inspectable evidentiary chain, that reproducibility is not a nicety; it is the whole point, and it is why the variable definitions are pinned in both the prose and the configuration files rather than left to the text alone.</w:t>
      </w:r>
    </w:p>
    <w:bookmarkEnd w:id="115"/>
    <w:bookmarkStart w:id="116" w:name="X29d505900f819c2fb6a31cc3f467b860fb5896a"/>
    <w:p>
      <w:pPr>
        <w:pStyle w:val="Heading2"/>
        <w:spacing w:line="480" w:lineRule="auto"/>
      </w:pPr>
      <w:r>
        <w:t xml:space="preserve">5.11 The recency and age indices as mirrored time axes</w:t>
      </w:r>
    </w:p>
    <w:p>
      <w:pPr>
        <w:pStyle w:val="FirstParagraph"/>
        <w:spacing w:line="480" w:lineRule="auto"/>
      </w:pPr>
      <w:r>
        <w:t xml:space="preserve">The two screens encode time differently, and the difference is deliberate rather than incidental. The cross-sectional model reads time as recency, indexed from the earliest source forward, so that newer work carries a higher value. The temporal model reads the same calendar time as age, indexed from the present backward, so that older work carries a higher value. The two indices are arithmetic mirrors, and a reader who noticed this might wonder whether the study is testing the same thing twice under two names</w:t>
      </w:r>
      <w:r>
        <w:t xml:space="preserve"> </w:t>
      </w:r>
      <w:hyperlink w:anchor="ref-1">
        <w:r>
          <w:rPr>
            <w:rStyle w:val="Hyperlink"/>
          </w:rPr>
          <w:t xml:space="preserve">[1]</w:t>
        </w:r>
      </w:hyperlink>
      <w:r>
        <w:t xml:space="preserve"> </w:t>
      </w:r>
      <w:hyperlink w:anchor="ref-12">
        <w:r>
          <w:rPr>
            <w:rStyle w:val="Hyperlink"/>
          </w:rPr>
          <w:t xml:space="preserve">[12]</w:t>
        </w:r>
      </w:hyperlink>
      <w:r>
        <w:t xml:space="preserve">. It is not, and the reason lies in the outcome each index predicts. Recency in the cross-sectional model predicts topic signal: does the framing concentrate in newer work. Age in the temporal model predicts citation accumulation: does attention pile up as work ages. The indices mirror each other because they encode one calendar, but the questions diverge because the outcomes differ. Recency asks about the framing’s temporal position in the corpus; age asks about attention’s growth over time</w:t>
      </w:r>
      <w:r>
        <w:t xml:space="preserve"> </w:t>
      </w:r>
      <w:hyperlink w:anchor="ref-9">
        <w:r>
          <w:rPr>
            <w:rStyle w:val="Hyperlink"/>
          </w:rPr>
          <w:t xml:space="preserve">[9]</w:t>
        </w:r>
      </w:hyperlink>
      <w:r>
        <w:t xml:space="preserve"> </w:t>
      </w:r>
      <w:hyperlink w:anchor="ref-14">
        <w:r>
          <w:rPr>
            <w:rStyle w:val="Hyperlink"/>
          </w:rPr>
          <w:t xml:space="preserve">[14]</w:t>
        </w:r>
      </w:hyperlink>
      <w:r>
        <w:t xml:space="preserve">. Keeping the two indices distinct in construction, even though they encode the same years, is what lets each model ask its own question cleanly without borrowing structure from the other.</w:t>
      </w:r>
    </w:p>
    <w:bookmarkEnd w:id="116"/>
    <w:bookmarkStart w:id="117" w:name="X9643a57b1bc63239138e229a1ffb4fc17688c2a"/>
    <w:p>
      <w:pPr>
        <w:pStyle w:val="Heading2"/>
        <w:spacing w:line="480" w:lineRule="auto"/>
      </w:pPr>
      <w:r>
        <w:t xml:space="preserve">5.12 The role of the source column in the audit chain</w:t>
      </w:r>
    </w:p>
    <w:p>
      <w:pPr>
        <w:pStyle w:val="FirstParagraph"/>
        <w:spacing w:line="480" w:lineRule="auto"/>
      </w:pPr>
      <w:r>
        <w:t xml:space="preserve">The source column is the least glamorous field in the datasets and arguably the most important. It is what converts a row of numbers into an auditable claim. Without it, a coefficient would be a statement about anonymous records that no one could check. With it, every row points to a resolvable document, and the whole model becomes traceable back to its evidentiary base</w:t>
      </w:r>
      <w:r>
        <w:t xml:space="preserve"> </w:t>
      </w:r>
      <w:hyperlink w:anchor="ref-1">
        <w:r>
          <w:rPr>
            <w:rStyle w:val="Hyperlink"/>
          </w:rPr>
          <w:t xml:space="preserve">[1]</w:t>
        </w:r>
      </w:hyperlink>
      <w:r>
        <w:t xml:space="preserve"> </w:t>
      </w:r>
      <w:hyperlink w:anchor="ref-4">
        <w:r>
          <w:rPr>
            <w:rStyle w:val="Hyperlink"/>
          </w:rPr>
          <w:t xml:space="preserve">[4]</w:t>
        </w:r>
      </w:hyperlink>
      <w:r>
        <w:t xml:space="preserve">. A reviewer who wanted to challenge the citation coefficient could pull the high-citation rows by their DOIs, read the underlying Acta Astronautica papers, and judge for themselves whether the attention those papers drew is properly attributed to the framing. This traceability is the concrete form of the program’s standard for documentary work. The standard is not merely that a study be reproducible in principle but that its evidentiary chain be inspectable in practice, row by row, from the dissertation claim down to the source document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source column is the link in that chain most easily omitted and most consequential to keep. Preserving it in both datasets, identical in intent, is a small discipline with a large payoff: it means no number in the results chapter floats free of the document that produced it, which is exactly the property that separates a screen a reader can trust from an assertion a reader must accept on faith</w:t>
      </w:r>
      <w:r>
        <w:t xml:space="preserve"> </w:t>
      </w:r>
      <w:hyperlink w:anchor="ref-6">
        <w:r>
          <w:rPr>
            <w:rStyle w:val="Hyperlink"/>
          </w:rPr>
          <w:t xml:space="preserve">[6]</w:t>
        </w:r>
      </w:hyperlink>
      <w:r>
        <w:t xml:space="preserve">.</w:t>
      </w:r>
    </w:p>
    <w:p>
      <w:pPr>
        <w:pStyle w:val="BodyText"/>
        <w:spacing w:line="480" w:lineRule="auto"/>
        <w:ind w:firstLine="720"/>
      </w:pPr>
      <w:r>
        <w:t xml:space="preserve">The data chapter thus closes on the same commitment that opened it. Thirty records, three venue families, a handful of deterministically constructed variables, and a source string on every row: this is a modest dataset, and its modesty is stated rather than disguised</w:t>
      </w:r>
      <w:r>
        <w:t xml:space="preserve"> </w:t>
      </w:r>
      <w:hyperlink w:anchor="ref-1">
        <w:r>
          <w:rPr>
            <w:rStyle w:val="Hyperlink"/>
          </w:rPr>
          <w:t xml:space="preserve">[1]</w:t>
        </w:r>
      </w:hyperlink>
      <w:r>
        <w:t xml:space="preserve"> </w:t>
      </w:r>
      <w:hyperlink w:anchor="ref-4">
        <w:r>
          <w:rPr>
            <w:rStyle w:val="Hyperlink"/>
          </w:rPr>
          <w:t xml:space="preserve">[4]</w:t>
        </w:r>
      </w:hyperlink>
      <w:r>
        <w:t xml:space="preserve">. What the dataset offers in exchange for its size is complete inspectability. Every variable regenerates from the pack, every row names its source, and every construction rule is pinned in both prose and configuration. That is the trade the design makes throughout, reach for reproducibility, and the data chapter is where the trade is most visible, because the data are where a documentary study either earns or forfeits the reader’s trust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7"/>
    <w:bookmarkEnd w:id="118"/>
    <w:bookmarkStart w:id="131" w:name="chapter-6.-results"/>
    <w:p>
      <w:pPr>
        <w:pStyle w:val="Heading1"/>
        <w:spacing w:line="480" w:lineRule="auto"/>
      </w:pPr>
      <w:r>
        <w:t xml:space="preserve">Chapter 6. Results</w:t>
      </w:r>
    </w:p>
    <w:p>
      <w:pPr>
        <w:pStyle w:val="FirstParagraph"/>
        <w:spacing w:line="480" w:lineRule="auto"/>
      </w:pPr>
      <w:r>
        <w:t xml:space="preserve">This chapter reports the output of the two screens exactly as the workbooks produced it, then interprets the signs and magnitudes within the limits the earlier chapters set. Every number below is the deterministic result of running the specified estimator on the thirty-record pack. No number is dressed up. None is buried. The reader sees all. Nothing is rounded to flatter the hypothesis, and nothing is added that the workbook did not return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9" w:name="the-cross-sectional-screen"/>
    <w:p>
      <w:pPr>
        <w:pStyle w:val="Heading2"/>
        <w:spacing w:line="480" w:lineRule="auto"/>
      </w:pPr>
      <w:r>
        <w:t xml:space="preserve">6.1 The cross-sectional screen</w:t>
      </w:r>
    </w:p>
    <w:p>
      <w:pPr>
        <w:pStyle w:val="FirstParagraph"/>
        <w:spacing w:line="480" w:lineRule="auto"/>
      </w:pPr>
      <w:r>
        <w:t xml:space="preserve">The first model is ordinary least squares with robust HC1 standard errors, regressing the topic-signal score on the recency index, the reported citation count, and the ordinal venue-family score. The fit summary is: N = 30, R2 = 0.231950196261969, adjusted R2 = 0.14332906506142695, F = 4.31969627883677, and F p-value = 0.013420239699961744. The term-level estimates are as follows. The constant has coefficient 1.7639518628536552, standard error 1.0364, and p-value 0.08875484544928247. The recency index has coefficient -0.06867257466441334, standard error 0.1807, and p-value 0.7039004529139515. The citation count has coefficient 0.12169283865575005, standard error 0.0506, and p-value 0.016096231143562165. The venue-family score has coefficient 0.9842467942016369, standard error 0.6564, and p-value 0.13375466128680852. Read the model as a whole first. The three predictors together account for roughly twenty-three percent of the variance in the topic-signal score, and the adjusted figure, which penalizes for the three parameters, sits near fourteen percent. The overall F-test returns a p-value of about 0.013, so the model as a package is distinguishable from one with no predictors at the conventional five-percent threshold. That is a real result on thirty records: the corpus is not structureless. Something in recency, attention, and venue tracks where the framing’s vocabulary concentrates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19"/>
    <w:bookmarkStart w:id="120" w:name="reading-the-individual-coefficients"/>
    <w:p>
      <w:pPr>
        <w:pStyle w:val="Heading2"/>
        <w:spacing w:line="480" w:lineRule="auto"/>
      </w:pPr>
      <w:r>
        <w:t xml:space="preserve">6.2 Reading the individual coefficients</w:t>
      </w:r>
    </w:p>
    <w:p>
      <w:pPr>
        <w:pStyle w:val="FirstParagraph"/>
        <w:spacing w:line="480" w:lineRule="auto"/>
      </w:pPr>
      <w:r>
        <w:t xml:space="preserve">The joint result, though, is carried unevenly by the three terms, and the honest reading turns on which term carries it. This is where the load sits: the citation coefficient. Its value, 0.12169283865575005, is positive, and its p-value, about 0.016, clears the five-percent threshold. In plain terms, sources that the local index records as more cited also tend to carry the framing’s vocabulary more densely, and this association is precise enough to distinguish from zero. A one-citation increase is associated with roughly a 0.12-point increase in the signal score, holding recency and venue fixed. This is the single result in the cross-sectional screen that supports the mechanism’s prediction: attention and framing move together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recency coefficient does not support the prediction. Its value, -0.06867257466441334, is small and negative, and its p-value, about 0.704, is nowhere near significance. The mechanism anticipated that newer work would carry the framing more densely, so a precise positive coefficient would have been the confirming sign. What the data return instead is a coefficient indistinguishable from zero and, if anything, faintly negative. The correct reading is not that recency runs backward but that recency carries no reliable information about the signal in this corpus. The framing has not, on this evidence, claimed the present in the way a fully consolidated framing would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venue coefficient is suggestive but imprecise. Its value, 0.9842467942016369, is large relative to the signal scale, pointing toward higher signal in the higher-ranked venue families, which matches intuition, since the Space Economy policy documents carry the framing most densely. But its p-value, about 0.134, does not clear the threshold, so the term cannot be distinguished from zero at conventional levels. Recall the standing caution against overreading a coefficient that rides on a three-level ordinal code. Here that caution is decisive: the venue term hints at structure but does not establish it</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20"/>
    <w:bookmarkStart w:id="121" w:name="what-the-first-screen-establishes"/>
    <w:p>
      <w:pPr>
        <w:pStyle w:val="Heading2"/>
        <w:spacing w:line="480" w:lineRule="auto"/>
      </w:pPr>
      <w:r>
        <w:t xml:space="preserve">6.3 What the first screen establishes</w:t>
      </w:r>
    </w:p>
    <w:p>
      <w:pPr>
        <w:pStyle w:val="FirstParagraph"/>
        <w:spacing w:line="480" w:lineRule="auto"/>
      </w:pPr>
      <w:r>
        <w:t xml:space="preserve">Putting the pieces together, the cross-sectional screen delivers a partial and specific confirmation.</w:t>
      </w:r>
    </w:p>
    <w:p>
      <w:pPr>
        <w:pStyle w:val="BodyText"/>
        <w:spacing w:line="480" w:lineRule="auto"/>
        <w:ind w:firstLine="720"/>
      </w:pPr>
      <w:r>
        <w:t xml:space="preserve">The model as a whole is significant, driven by a precise, correctly signed citation coefficient. The recency term is flat, and the venue term is directionally plausible but imprecise. The mechanism predicted that attention would track the framing, and on citation it does. The mechanism also predicted that recency would track the framing, and on that count the evidence declines to cooperate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This is the mixed footprint of a framing that draws attention where it appears but has not yet colonized the newest work across the corpus.</w:t>
      </w:r>
    </w:p>
    <w:bookmarkEnd w:id="121"/>
    <w:bookmarkStart w:id="122" w:name="the-temporal-screen"/>
    <w:p>
      <w:pPr>
        <w:pStyle w:val="Heading2"/>
        <w:spacing w:line="480" w:lineRule="auto"/>
      </w:pPr>
      <w:r>
        <w:t xml:space="preserve">6.4 The temporal screen</w:t>
      </w:r>
    </w:p>
    <w:p>
      <w:pPr>
        <w:pStyle w:val="FirstParagraph"/>
        <w:spacing w:line="480" w:lineRule="auto"/>
      </w:pPr>
      <w:r>
        <w:t xml:space="preserve">The second model is a log-log learning-curve regression, again with robust HC1 standard errors, of citation-count-plus-one on an age index.</w:t>
      </w:r>
    </w:p>
    <w:p>
      <w:pPr>
        <w:pStyle w:val="BodyText"/>
        <w:spacing w:line="480" w:lineRule="auto"/>
        <w:ind w:firstLine="720"/>
      </w:pPr>
      <w:r>
        <w:t xml:space="preserve">The fit summary is: N = 30, R2 = 0.006798623643227364, elasticity coefficient b = -0.13234450119780067, and implied progress ratio 2^b = 0.912347603014938. The term-level estimates are as follows. The constant has coefficient 0.719875366395704, standard error 0.294, and p-value 0.014339913659512996. The log-age term has coefficient -0.13234450119780067, standard error 0.2001, and p-value 0.5083106199187482. The reading here is stark and, in its own way, informative. It is also brief. The model explains almost none of the variance in accumulated attention: the R2 is about 0.007, below one percent. The age elasticity is -0.13234450119780067, and its p-value, about 0.508, is far from any threshold of significance. The slope cannot be distinguished from zero. Flat is flat. The sign is noise. Whatever governs citation accumulation in this pack, it is not a clean function of article age</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constant is precise, with a p-value near 0.014, but a significant intercept in a model with a flat slope carries little substantive weight.</w:t>
      </w:r>
    </w:p>
    <w:p>
      <w:pPr>
        <w:pStyle w:val="BodyText"/>
        <w:spacing w:line="480" w:lineRule="auto"/>
        <w:ind w:firstLine="720"/>
      </w:pPr>
      <w:r>
        <w:t xml:space="preserve">It says that the average log citation-plus-one is nonzero, which is true by construction, since every record carries at least one after the plus-one transform. The intercept is not evidence for the mechanism</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bookmarkEnd w:id="122"/>
    <w:bookmarkStart w:id="123" w:name="interpreting-the-flat-age-slope"/>
    <w:p>
      <w:pPr>
        <w:pStyle w:val="Heading2"/>
        <w:spacing w:line="480" w:lineRule="auto"/>
      </w:pPr>
      <w:r>
        <w:t xml:space="preserve">6.5 Interpreting the flat age slope</w:t>
      </w:r>
    </w:p>
    <w:p>
      <w:pPr>
        <w:pStyle w:val="FirstParagraph"/>
        <w:spacing w:line="480" w:lineRule="auto"/>
      </w:pPr>
      <w:r>
        <w:t xml:space="preserve">A negative elasticity sign is worth a careful word, precisely because it is easy to overread. A naive reading would say older work is cited less, which would be surprising. The disciplined reading refuses that story. With a p-value above 0.5 and an R2 below one percent, the slope is statistically indistinguishable from zero, so its sign is noise, not signal. The implied progress ratio of about 0.912 follows mechanically from the point estimate and inherits its imprecision; it should not be presented as a stable learning rate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What the temporal screen establishes, then, is an absence. Attention in this corpus does not accumulate in the age-graded way that a settled literature would show. The handful of high-citation records are older Acta Astronautica papers, but the many older AMOS and policy records carry near-zero counts, so age and attention do not line up. This is consistent with a young or bursty topic, one where a few recent high-signal papers draw citations quickly while most of the older material never accumulates much attention at all</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23"/>
    <w:bookmarkStart w:id="124" w:name="the-two-screens-read-together"/>
    <w:p>
      <w:pPr>
        <w:pStyle w:val="Heading2"/>
        <w:spacing w:line="480" w:lineRule="auto"/>
      </w:pPr>
      <w:r>
        <w:t xml:space="preserve">6.6 The two screens read together</w:t>
      </w:r>
    </w:p>
    <w:p>
      <w:pPr>
        <w:pStyle w:val="FirstParagraph"/>
        <w:spacing w:line="480" w:lineRule="auto"/>
      </w:pPr>
      <w:r>
        <w:t xml:space="preserve">The joint verdict is coherent, and it is more informative than either screen alone. The cross-sectional model finds that citation attention tracks the framing precisely, while recency does not and venue only suggestively. The temporal model finds that attention does not accumulate lawfully with age. Both point to the same underlying picture: the Artemis Accords framing draws attention where its vocabulary is dense, but the surrounding literature has not yet matured into the age-graded, recency-led structure that a fully consolidated framing would produce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Against the hypotheses of Chapter 3, this is a split decision reported honestly. The cross-sectional H0 is rejected as a package, with the rejection carried by citation attention. The temporal H0 is not rejected; the age slope is indistinguishable from zero. Neither result is inflated. The citation finding is the strongest thing the data support, and the flat age curve is stated as the absence it is, without a rescue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4"/>
    <w:bookmarkStart w:id="125" w:name="X04f8202dd87f752c4502e65297432cb275ecbde"/>
    <w:p>
      <w:pPr>
        <w:pStyle w:val="Heading2"/>
        <w:spacing w:line="480" w:lineRule="auto"/>
      </w:pPr>
      <w:r>
        <w:t xml:space="preserve">6.7 The magnitude of the citation effect in context</w:t>
      </w:r>
    </w:p>
    <w:p>
      <w:pPr>
        <w:pStyle w:val="FirstParagraph"/>
        <w:spacing w:line="480" w:lineRule="auto"/>
      </w:pPr>
      <w:r>
        <w:t xml:space="preserve">A significant coefficient is not automatically a large one, and the magnitude of the citation effect deserves a sober reading. The point estimate is 0.12169283865575005 signal points per citation. On the observed citation range, which runs from zero to twenty-five, that implies a difference of roughly three signal points between the least-cited and most-cited records, holding recency and venue fixed. Against a signal scale that runs from one to eleven, three points is meaningful but not dominant. Attention moves the signal, but it does not move it enough to explain the high-signal governance documents, which sit at the top of the scale while carrying zero citations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This tension between the significant coefficient and the uncited high-signal records is the most instructive feature of the first screen. It says the citation channel operates in the journal middle of the corpus, where cited papers carry moderate framing, and not at the policy top, where dense framing draws no recorded citations at all. The association is real within its range and silent outside it. Reading the coefficient without this qualification would overstate what attention explains, so the qualification travels with the number wherever it is cited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5"/>
    <w:bookmarkStart w:id="126" w:name="X1a2b297e48d38b751d17937c1dcb86cea86d7dc"/>
    <w:p>
      <w:pPr>
        <w:pStyle w:val="Heading2"/>
        <w:spacing w:line="480" w:lineRule="auto"/>
      </w:pPr>
      <w:r>
        <w:t xml:space="preserve">6.8 Sensitivity of the results to the corpus structure</w:t>
      </w:r>
    </w:p>
    <w:p>
      <w:pPr>
        <w:pStyle w:val="FirstParagraph"/>
        <w:spacing w:line="480" w:lineRule="auto"/>
      </w:pPr>
      <w:r>
        <w:t xml:space="preserve">Because the sample is thirty records, the results’ dependence on a few influential rows must be confronted rather than assumed away. The nonzero citation counts concentrate in a small number of older Acta Astronautica papers, the maximum being twenty-five. Those few records do much of the work in the citation coefficient, which means the precise result, while genuine on this data, rests on a thin base. A design with more cited records would test whether the association holds; this design can only report that it holds here, with standard errors that already reflect the thinness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venue coefficient’s imprecision is similarly structural. With only three venue levels and the framing concentrated at the top level, the model has little independent venue variation to work with once recency and citation are held fixed. The large point estimate of 0.9842467942016369 reflects the raw gap between the policy documents and the rest, but the wide standard error of 0.6564 reflects how few records define that gap</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The result is a coefficient that is directionally sensible and statistically mute, exactly the pattern the design’s caution about ordinal venue codes anticipated.</w:t>
      </w:r>
    </w:p>
    <w:bookmarkEnd w:id="126"/>
    <w:bookmarkStart w:id="127" w:name="X513b05e4ac7682abb74c6e5bfc4e7ea930e2529"/>
    <w:p>
      <w:pPr>
        <w:pStyle w:val="Heading2"/>
        <w:spacing w:line="480" w:lineRule="auto"/>
      </w:pPr>
      <w:r>
        <w:t xml:space="preserve">6.9 Reconciling the significant package with the weak temporal fit</w:t>
      </w:r>
    </w:p>
    <w:p>
      <w:pPr>
        <w:pStyle w:val="FirstParagraph"/>
        <w:spacing w:line="480" w:lineRule="auto"/>
      </w:pPr>
      <w:r>
        <w:t xml:space="preserve">A reader might see tension between a cross-sectional model that clears the F-test and a temporal model that explains under one percent of variance, and the tension is worth resolving explicitly. The two models ask different questions of different outcomes. The cross-sectional model explains topic signal, and it finds that citation attention structures the signal. The temporal model explains citation accumulation, and it finds that age does not structure the accumulation</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There is no contradiction. Attention can be associated with signal even when attention is not itself a clean function of age. The reconciliation actually strengthens the overall reading. If attention were simply a proxy for age, the temporal model would have found a strong age slope, and the citation coefficient in the cross section would have been age in disguise. Instead the age slope is flat, which means the citation channel in the first model is carrying something other than mere elapsed time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two results together describe a corpus in which attention matters for where the framing concentrates but does not accumulate in the orderly, age-graded way a mature literature would show. That is a coherent picture, and it is the picture the numbers support without embellishment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7"/>
    <w:bookmarkStart w:id="128" w:name="X0f2490a990f4a29a4cf74bc3948b1229a460b5c"/>
    <w:p>
      <w:pPr>
        <w:pStyle w:val="Heading2"/>
        <w:spacing w:line="480" w:lineRule="auto"/>
      </w:pPr>
      <w:r>
        <w:t xml:space="preserve">6.10 What the recency null does and does not permit</w:t>
      </w:r>
    </w:p>
    <w:p>
      <w:pPr>
        <w:pStyle w:val="FirstParagraph"/>
        <w:spacing w:line="480" w:lineRule="auto"/>
      </w:pPr>
      <w:r>
        <w:t xml:space="preserve">The flat recency coefficient in the first model, with its p-value of about 0.704, warrants its own careful reading, because a null on the recency channel is substantively informative rather than merely negative. The mechanism predicted that a consolidating framing would concentrate in newer work, so a precise positive recency coefficient would have been strong evidence of consolidation. Its absence says the framing’s vocabulary is spread across the sample window rather than claiming the recent end of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Accords framing appears in 2019 sources and 2026 sources at comparable density, which is not what a rapidly maturing framing would produce. The null does not permit the opposite conclusion that the framing is fading. A negative and significant recency coefficient would have suggested retreat, but the coefficient, though faintly negative, is statistically indistinguishable from zero. The disciplined reading is neither rise nor fall on the recency dimension but stability: the framing holds a roughly constant presence across the window</w:t>
      </w:r>
      <w:r>
        <w:t xml:space="preserve"> </w:t>
      </w:r>
      <w:hyperlink w:anchor="ref-1">
        <w:r>
          <w:rPr>
            <w:rStyle w:val="Hyperlink"/>
          </w:rPr>
          <w:t xml:space="preserve">[1]</w:t>
        </w:r>
      </w:hyperlink>
      <w:r>
        <w:t xml:space="preserve"> </w:t>
      </w:r>
      <w:hyperlink w:anchor="ref-4">
        <w:r>
          <w:rPr>
            <w:rStyle w:val="Hyperlink"/>
          </w:rPr>
          <w:t xml:space="preserve">[4]</w:t>
        </w:r>
      </w:hyperlink>
      <w:r>
        <w:t xml:space="preserve">. Combined with the significant citation channel, this describes a framing that is established enough to draw attention yet static enough that it is not visibly colonizing the newest work. That combination is the empirical signature of the intermediate state the theory anticipated, and it is read that way without being pushed toward either a growth or a decline story the data do not support.</w:t>
      </w:r>
    </w:p>
    <w:bookmarkEnd w:id="128"/>
    <w:bookmarkStart w:id="129" w:name="Xe71a6205bead088d97b23e99aceb9c146d93aab"/>
    <w:p>
      <w:pPr>
        <w:pStyle w:val="Heading2"/>
        <w:spacing w:line="480" w:lineRule="auto"/>
      </w:pPr>
      <w:r>
        <w:t xml:space="preserve">6.11 The overall verdict stated against the pre-committed map</w:t>
      </w:r>
    </w:p>
    <w:p>
      <w:pPr>
        <w:pStyle w:val="FirstParagraph"/>
        <w:spacing w:line="480" w:lineRule="auto"/>
      </w:pPr>
      <w:r>
        <w:t xml:space="preserve">Chapter 3 fixed in advance what each pattern of results would mean, and the honest close to this chapter is to read the actual pattern against that map rather than construct a fresh interpretation now. The map said: a precise, correctly signed citation coefficient plus a coherent age slope would confirm consolidation; individually imprecise predictors plus a flat age slope would indicate an immature footprint; and a split would indicate influence without maturity</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results land on the split. Citation attention is precise and correctly signed; recency is flat; venue is directional but imprecise; and the age slope cannot be distinguished from zero</w:t>
      </w:r>
      <w:r>
        <w:t xml:space="preserve"> </w:t>
      </w:r>
      <w:hyperlink w:anchor="ref-5">
        <w:r>
          <w:rPr>
            <w:rStyle w:val="Hyperlink"/>
          </w:rPr>
          <w:t xml:space="preserve">[5]</w:t>
        </w:r>
      </w:hyperlink>
      <w:r>
        <w:t xml:space="preserve"> </w:t>
      </w:r>
      <w:hyperlink w:anchor="ref-6">
        <w:r>
          <w:rPr>
            <w:rStyle w:val="Hyperlink"/>
          </w:rPr>
          <w:t xml:space="preserve">[6]</w:t>
        </w:r>
      </w:hyperlink>
      <w:r>
        <w:t xml:space="preserve">. Read against the pre-committed map, the verdict is that the Artemis Accords framing has left a partial footprint: it draws attention where its vocabulary is dense, but it has not consolidated into the recency-led, age-graded structure a settled norm would show. This is neither the triumphal reading nor the dismissive one. It is the intermediate reading the map assigned to exactly this pattern, and the study reports it because the numbers, not the author’s preference, selected it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29"/>
    <w:bookmarkStart w:id="130" w:name="a-tabular-restatement-of-the-estimates"/>
    <w:p>
      <w:pPr>
        <w:pStyle w:val="Heading2"/>
        <w:spacing w:line="480" w:lineRule="auto"/>
      </w:pPr>
      <w:r>
        <w:t xml:space="preserve">6.12 A tabular restatement of the estimates</w:t>
      </w:r>
    </w:p>
    <w:p>
      <w:pPr>
        <w:pStyle w:val="FirstParagraph"/>
        <w:spacing w:line="480" w:lineRule="auto"/>
      </w:pPr>
      <w:r>
        <w:t xml:space="preserve">For clarity, the two screens’ key figures are restated together, so a reader can hold them at once. The cross-sectional model returns N = 30, R2 = 0.231950196261969, adjusted R2 = 0.14332906506142695, F = 4.31969627883677, and F p-value = 0.013420239699961744. Its four terms are the constant at 1.7639518628536552 (standard error 1.0364, p = 0.08875484544928247), recency at -0.06867257466441334 (standard error 0.1807, p = 0.7039004529139515), citations at 0.12169283865575005 (standard error 0.0506, p = 0.016096231143562165), and venue at 0.9842467942016369 (standard error 0.6564, p = 0.13375466128680852). The temporal model returns N = 30, R2 = 0.006798623643227364, an elasticity of -0.13234450119780067, and a progress ratio of 0.912347603014938. Its two terms are the constant at 0.719875366395704 (standard error 0.294, p = 0.014339913659512996) and the log-age slope at -0.13234450119780067 (standard error 0.2001, p = 0.5083106199187482). Set side by side, the pattern is immediate: one precise, correctly signed term in the first model, carried by citations, and no distinguishable slope in the second. The restatement adds no new number; it simply lets the reader see the whole result at once, which is the form in which the split verdict is clearest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results chapter has done exactly one thing, and it has done it completely: reported what the two workbooks returned and read the numbers against the pre-committed map. No coefficient was rounded to flatter a hypothesis, none was omitted, and none was reframed to look stronger than its standard error allows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citation coefficient cleared its threshold and is read as a precise association; the recency and age terms did not and are read as informative nulls; the venue term is directional and imprecise and is leaned on not at all. That is the whole of the empirical return, stated in full. Chapter 7 now turns to what these returns mean, what could threaten them, and where they run out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0"/>
    <w:bookmarkEnd w:id="131"/>
    <w:bookmarkStart w:id="142"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partial by design and partial in fact. Both kinds of partial matter. Neither is hidden. This chapter reads them for what they mean, names the threats that could unseat them, and states plainly the questions the data are not equipped to answer. The discipline that governed the earlier chapters governs this one: a finding is worth only as much as the evidence behind it, and the evidence here is a thirty-record screen, not a verdict on the drafting of the Accords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32" w:name="what-the-findings-mean"/>
    <w:p>
      <w:pPr>
        <w:pStyle w:val="Heading2"/>
        <w:spacing w:line="480" w:lineRule="auto"/>
      </w:pPr>
      <w:r>
        <w:t xml:space="preserve">7.1 What the findings mean</w:t>
      </w:r>
    </w:p>
    <w:p>
      <w:pPr>
        <w:pStyle w:val="FirstParagraph"/>
        <w:spacing w:line="480" w:lineRule="auto"/>
      </w:pPr>
      <w:r>
        <w:t xml:space="preserve">A central substantive finding is that citation attention tracks the framing’s vocabulary precisely, while recency does not and venue only suggestively, and that attention does not accumulate lawfully with age. Read through the mechanism of Chapter 3, this describes a framing that has secured attention where it appears but has not yet consolidated into the newest work or matured into an age-graded literature. The Artemis Accords vocabulary is noticed when it is present, but its presence has not spread through the corpus in the way a settled norm’s vocabulary would</w:t>
      </w:r>
      <w:r>
        <w:t xml:space="preserve"> </w:t>
      </w:r>
      <w:hyperlink w:anchor="ref-1">
        <w:r>
          <w:rPr>
            <w:rStyle w:val="Hyperlink"/>
          </w:rPr>
          <w:t xml:space="preserve">[1]</w:t>
        </w:r>
      </w:hyperlink>
      <w:r>
        <w:t xml:space="preserve"> </w:t>
      </w:r>
      <w:hyperlink w:anchor="ref-3">
        <w:r>
          <w:rPr>
            <w:rStyle w:val="Hyperlink"/>
          </w:rPr>
          <w:t xml:space="preserve">[3]</w:t>
        </w:r>
      </w:hyperlink>
      <w:r>
        <w:t xml:space="preserve">. For the substantive debate, this is a useful corrective to the confident influence claim.</w:t>
      </w:r>
    </w:p>
    <w:p>
      <w:pPr>
        <w:pStyle w:val="BodyText"/>
        <w:spacing w:line="480" w:lineRule="auto"/>
        <w:ind w:firstLine="720"/>
      </w:pPr>
      <w:r>
        <w:t xml:space="preserve">The common narrative holds that a particular framing decisively won the drafting. The corpus does not contradict that the framing draws attention; the precise citation coefficient is consistent with a framing that matters. But it does undercut the stronger claim that the framing has become the settled language of the field, because neither recency nor age structure supports consolidation</w:t>
      </w:r>
      <w:r>
        <w:t xml:space="preserve"> </w:t>
      </w:r>
      <w:hyperlink w:anchor="ref-4">
        <w:r>
          <w:rPr>
            <w:rStyle w:val="Hyperlink"/>
          </w:rPr>
          <w:t xml:space="preserve">[4]</w:t>
        </w:r>
      </w:hyperlink>
      <w:r>
        <w:t xml:space="preserve"> </w:t>
      </w:r>
      <w:hyperlink w:anchor="ref-9">
        <w:r>
          <w:rPr>
            <w:rStyle w:val="Hyperlink"/>
          </w:rPr>
          <w:t xml:space="preserve">[9]</w:t>
        </w:r>
      </w:hyperlink>
      <w:r>
        <w:t xml:space="preserve">. A framing can be influential and still be young. The evidence points to exactly that intermediate state. There is also a methodological meaning, and it is not secondary. The design shows that a contested influence claim can be exposed to a test that could have failed, and that the test returns something interpretable rather than mush. The cross-sectional package is significant; the temporal slope is not. Both outcomes are legible against the pre-stated hypotheses. That legibility is the deliverable a documentary dissertation is supposed to produce, and it holds regardless of which way any single coefficient fell</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32"/>
    <w:bookmarkStart w:id="133" w:name="threats-to-validity"/>
    <w:p>
      <w:pPr>
        <w:pStyle w:val="Heading2"/>
        <w:spacing w:line="480" w:lineRule="auto"/>
      </w:pPr>
      <w:r>
        <w:t xml:space="preserve">7.2 Threats to validity</w:t>
      </w:r>
    </w:p>
    <w:p>
      <w:pPr>
        <w:pStyle w:val="FirstParagraph"/>
        <w:spacing w:line="480" w:lineRule="auto"/>
      </w:pPr>
      <w:r>
        <w:t xml:space="preserve">Several threats bear on how far these readings can travel, and each deserves to be stated rather than buried. Start with sample size. Thirty records is a small base, and small bases produce wide standard errors and fragile point estimates. The precise citation coefficient is the most robust result, but even it rests on a handful of high-citation records, and a study of thirty cannot rule out that dropping one or two influential rows would move the estimate. The flat age slope is likewise vulnerable: with so few cited records, the temporal model has little to fit, and its near-zero R2 partly reflects thin data rather than a settled fact about the topic</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interpretation has treated the citation finding as the strongest available and the age result as an absence, which is the appropriately cautious reading given the base. The second threat is measurement of the outcome. The topic-signal score counts term hits across a source’s metadata fields. It measures the presence of the framing’s vocabulary, not the framing’s authorship or its causal role. A source can carry the vocabulary densely while opposing the framing, since the score does not read stance. This means the cross-sectional screen detects where the conversation is dense, not who won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design never claimed otherwise, but the limitation is worth restating because it is the boundary that separates this study from the document-coding work that would be needed to attribute clauses to actors.</w:t>
      </w:r>
    </w:p>
    <w:p>
      <w:pPr>
        <w:pStyle w:val="BodyText"/>
        <w:spacing w:line="480" w:lineRule="auto"/>
        <w:ind w:firstLine="720"/>
      </w:pPr>
      <w:r>
        <w:t xml:space="preserve">The third threat is the citation measure. Counts come from a local index, not a global citation database, so they capture attention as that index recorded it and nothing wider. If the index systematically under-records certain venues, the citation coefficient could reflect the index’s coverage rather than genuine attention. The AMOS and policy records carry near-zero counts in this pack, which may say as much about index coverage as about the works themselves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finding should therefore be read as attention-in-this-index, a real but bounded quantity. The fourth threat is venue coding. The three-level ordinal scale imposes a ranking that the underlying reality may not support, and the venue coefficient, though directionally plausible, is imprecise. Had the venue term been significant, this threat would have been serious, because a result riding on a coarse ordinal is easy to misattribute. As it stands, the imprecision of the venue term means the study does not lean on it, which limits the damage the coding hazard can do</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33"/>
    <w:bookmarkStart w:id="134" w:name="what-the-data-cannot-show"/>
    <w:p>
      <w:pPr>
        <w:pStyle w:val="Heading2"/>
        <w:spacing w:line="480" w:lineRule="auto"/>
      </w:pPr>
      <w:r>
        <w:t xml:space="preserve">7.3 What the data cannot show</w:t>
      </w:r>
    </w:p>
    <w:p>
      <w:pPr>
        <w:pStyle w:val="FirstParagraph"/>
        <w:spacing w:line="480" w:lineRule="auto"/>
      </w:pPr>
      <w:r>
        <w:t xml:space="preserve">Some questions lie entirely outside the reach of this design, and honesty requires naming them.</w:t>
      </w:r>
    </w:p>
    <w:p>
      <w:pPr>
        <w:pStyle w:val="BodyText"/>
        <w:spacing w:line="480" w:lineRule="auto"/>
        <w:ind w:firstLine="720"/>
      </w:pPr>
      <w:r>
        <w:t xml:space="preserve">Four are worth stating. Each is a real boundary.</w:t>
      </w:r>
    </w:p>
    <w:p>
      <w:pPr>
        <w:pStyle w:val="BodyText"/>
        <w:spacing w:line="480" w:lineRule="auto"/>
        <w:ind w:firstLine="720"/>
      </w:pPr>
      <w:r>
        <w:t xml:space="preserve">The data cannot show who authored which provision of the Artemis Accords.</w:t>
      </w:r>
    </w:p>
    <w:p>
      <w:pPr>
        <w:pStyle w:val="BodyText"/>
        <w:spacing w:line="480" w:lineRule="auto"/>
        <w:ind w:firstLine="720"/>
      </w:pPr>
      <w:r>
        <w:t xml:space="preserve">Nothing in the corpus observes the drafting room. The topic-signal score sees vocabulary in published sources, and published sources are downstream of the drafting, not inside it. Any claim about specific authorship would require the actual negotiating record, which this study does not hold</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data cannot show causal impact on governance outcomes. The screens establish association within a retrieved corpus. They do not establish that the framing caused any state to sign, any rule to form, or any competing framing to fail. Causal claims of that kind require a design built to rule out alternative explanations, and a metadata screen is not such a design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data cannot generalize beyond the retrieved pack. The corpus is the population of this study, not a random sample of the space literature. A different retrieval, a different index, or a different set of venues could return a different structure. The findings speak to this corpus, and their transportability to other corpora is a hypothesis, not a result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data cannot distinguish a young framing from a niche one. The intermediate state the results describe, attention without consolidation, is consistent with a framing that is still rising and also with one that has found a small, stable audience and will not spread further. The two trajectories look alike in a single cross section. Only repeated measurement over time could tell them apart, and this design is a snapshot</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End w:id="134"/>
    <w:bookmarkStart w:id="135" w:name="X32e092e64696c07c5c80d45bdeb4a882aff2236"/>
    <w:p>
      <w:pPr>
        <w:pStyle w:val="Heading2"/>
        <w:spacing w:line="480" w:lineRule="auto"/>
      </w:pPr>
      <w:r>
        <w:t xml:space="preserve">7.4 Robustness and the coherence of the two screens</w:t>
      </w:r>
    </w:p>
    <w:p>
      <w:pPr>
        <w:pStyle w:val="FirstParagraph"/>
        <w:spacing w:line="480" w:lineRule="auto"/>
      </w:pPr>
      <w:r>
        <w:t xml:space="preserve">One source of reassurance survives these threats: the two screens cohere. A framing that appeared structured only because of a single lucky coefficient would likely register in one screen and not the other. Here the two screens tell a consistent story, attention present but structure immature, from two independent directions. That coherence does not overturn the small-sample caution, but it does make the intermediate reading harder to dismiss as an artifact of one specification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It is also worth noting what the design did not do, as a matter of robustness discipline.</w:t>
      </w:r>
    </w:p>
    <w:p>
      <w:pPr>
        <w:pStyle w:val="BodyText"/>
        <w:spacing w:line="480" w:lineRule="auto"/>
        <w:ind w:firstLine="720"/>
      </w:pPr>
      <w:r>
        <w:t xml:space="preserve">It did not search across specifications for a significant recency term after the fact. It did not drop the uncited records to prettify the age curve. It did not recode venues until the venue term crossed a threshold. The estimators were fixed in advance and reported as they came, which is the practice that lets the reader trust the coefficients that did clear a threshold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35"/>
    <w:bookmarkStart w:id="136" w:name="X06e07a9176350e02b69517b6e895e967a8b1de5"/>
    <w:p>
      <w:pPr>
        <w:pStyle w:val="Heading2"/>
        <w:spacing w:line="480" w:lineRule="auto"/>
      </w:pPr>
      <w:r>
        <w:t xml:space="preserve">7.5 The gap between presence and position, revisited</w:t>
      </w:r>
    </w:p>
    <w:p>
      <w:pPr>
        <w:pStyle w:val="FirstParagraph"/>
        <w:spacing w:line="480" w:lineRule="auto"/>
      </w:pPr>
      <w:r>
        <w:t xml:space="preserve">The sharpest limitation of the design is one the literature review anticipated: the topic-signal score measures the presence of framing vocabulary, not the position a source takes toward it. A record that argues against the Accords approach to resource utilization can score as high as one that champions it, because both deploy the same vocabulary densely. On the resource frontier, where McKeown and colleagues import extractive framing from terrestrial mining and the sustainability literature pushes back, this blindness is most costly</w:t>
      </w:r>
      <w:r>
        <w:t xml:space="preserve"> </w:t>
      </w:r>
      <w:hyperlink w:anchor="ref-16">
        <w:r>
          <w:rPr>
            <w:rStyle w:val="Hyperlink"/>
          </w:rPr>
          <w:t xml:space="preserve">[16]</w:t>
        </w:r>
      </w:hyperlink>
      <w:r>
        <w:t xml:space="preserve">. The citation coefficient tells us that contested vocabulary draws attention; it cannot tell us which side of the contest is winning</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This matters for the whose-language-survived question at the heart of the project. Survival of language is not the same as prevalence of vocabulary. A framing can saturate a literature as the thing everyone argues about while losing the argument, and a presence-measure would record that saturation as success. The study is therefore precise about what it found: attention concentrates where the framing’s vocabulary is dense, and nothing in the design licenses the further step from vocabulary density to normative victory</w:t>
      </w:r>
      <w:r>
        <w:t xml:space="preserve"> </w:t>
      </w:r>
      <w:hyperlink w:anchor="ref-3">
        <w:r>
          <w:rPr>
            <w:rStyle w:val="Hyperlink"/>
          </w:rPr>
          <w:t xml:space="preserve">[3]</w:t>
        </w:r>
      </w:hyperlink>
      <w:r>
        <w:t xml:space="preserve"> </w:t>
      </w:r>
      <w:hyperlink w:anchor="ref-5">
        <w:r>
          <w:rPr>
            <w:rStyle w:val="Hyperlink"/>
          </w:rPr>
          <w:t xml:space="preserve">[5]</w:t>
        </w:r>
      </w:hyperlink>
      <w:r>
        <w:t xml:space="preserve">. Closing that gap is the first task Chapter 8 assigns to future work, because it is the task that would convert a screen into an answer.</w:t>
      </w:r>
    </w:p>
    <w:bookmarkEnd w:id="136"/>
    <w:bookmarkStart w:id="137" w:name="Xd96bad50c89ae8b812fc6493815b4b1f6bed1ec"/>
    <w:p>
      <w:pPr>
        <w:pStyle w:val="Heading2"/>
        <w:spacing w:line="480" w:lineRule="auto"/>
      </w:pPr>
      <w:r>
        <w:t xml:space="preserve">7.6 The uncited-policy problem as a threat and a finding</w:t>
      </w:r>
    </w:p>
    <w:p>
      <w:pPr>
        <w:pStyle w:val="FirstParagraph"/>
        <w:spacing w:line="480" w:lineRule="auto"/>
      </w:pPr>
      <w:r>
        <w:t xml:space="preserve">The concentration of the highest signal scores in uncited policy and thesis documents is both a threat to the citation result and a finding in its own right. As a threat, it means the citation coefficient is estimated off the journal middle of the corpus and is silent about the framing’s densest carriers, which limits how far the attention story can travel</w:t>
      </w:r>
      <w:r>
        <w:t xml:space="preserve"> </w:t>
      </w:r>
      <w:hyperlink w:anchor="ref-2">
        <w:r>
          <w:rPr>
            <w:rStyle w:val="Hyperlink"/>
          </w:rPr>
          <w:t xml:space="preserve">[2]</w:t>
        </w:r>
      </w:hyperlink>
      <w:r>
        <w:t xml:space="preserve"> </w:t>
      </w:r>
      <w:hyperlink w:anchor="ref-4">
        <w:r>
          <w:rPr>
            <w:rStyle w:val="Hyperlink"/>
          </w:rPr>
          <w:t xml:space="preserve">[4]</w:t>
        </w:r>
      </w:hyperlink>
      <w:r>
        <w:t xml:space="preserve">. A reader who cared most about the policy documents would find the citation channel unhelpful, because those documents carry the framing and draw no recorded attention. As a finding, the uncited-policy pattern says something real about how the framing circulates. The governance vocabulary lives most densely in documents that the citation index does not track, which suggests the framing’s consolidation, to the extent it is happening, is occurring in a policy and grey-literature channel that formal citation misses. The Accords conversation may be maturing in white papers, roadmaps, and theses faster than in the peer-reviewed journals the index covers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This is a hypothesis the present data cannot confirm, because they hold only one index’s counts, but it reframes the flat citation counts on the policy records from a nuisance into a signal about where the conversation actually lives.</w:t>
      </w:r>
    </w:p>
    <w:bookmarkEnd w:id="137"/>
    <w:bookmarkStart w:id="138" w:name="X19ad7f9d5d3368afc8c19fb897888ffe00c5d8b"/>
    <w:p>
      <w:pPr>
        <w:pStyle w:val="Heading2"/>
        <w:spacing w:line="480" w:lineRule="auto"/>
      </w:pPr>
      <w:r>
        <w:t xml:space="preserve">7.7 External validity and the single-corpus constraint</w:t>
      </w:r>
    </w:p>
    <w:p>
      <w:pPr>
        <w:pStyle w:val="FirstParagraph"/>
        <w:spacing w:line="480" w:lineRule="auto"/>
      </w:pPr>
      <w:r>
        <w:t xml:space="preserve">The study speaks to one retrieved corpus, and the constraint on external validity is severe enough to warrant its own treatment. A different retrieval strategy, a different citation index, or the inclusion of a major venue the pack missed could each change the structure the models find. The precise citation coefficient might strengthen if a global citation database replaced the local index, or it might dissolve if the added records diluted the journal middle that carries it</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study cannot adjudicate these possibilities; it can only report its corpus honestly and flag transportability as untested. This constraint is not unique to the present design, but it is unusually binding here because the corpus is small and topic-directed. A large, broadly sampled corpus would support cautious generalization. A thirty-record, topic-directed pack supports generalization only as a hypothesis to be tested by replication on other packs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deterministic construction of the variables makes such replication cheap, which is the design’s answer to the external-validity problem: it cannot claim generality, but it can make the test trivially repeatable on any other corpus a future researcher assembles.</w:t>
      </w:r>
    </w:p>
    <w:bookmarkEnd w:id="138"/>
    <w:bookmarkStart w:id="139" w:name="Xe8e30b13330050b7dcaa495589433887d03ab27"/>
    <w:p>
      <w:pPr>
        <w:pStyle w:val="Heading2"/>
        <w:spacing w:line="480" w:lineRule="auto"/>
      </w:pPr>
      <w:r>
        <w:t xml:space="preserve">7.8 What the findings mean for the bottom-up account of space norms</w:t>
      </w:r>
    </w:p>
    <w:p>
      <w:pPr>
        <w:pStyle w:val="FirstParagraph"/>
        <w:spacing w:line="480" w:lineRule="auto"/>
      </w:pPr>
      <w:r>
        <w:t xml:space="preserve">The corpus structure speaks, if quietly, to the debate over whether space norms form bottom-up or top-down. If norms formed bottom-up through operational practice, the framing should appear early and densely in the information-sharing and compliance-monitoring literature, then diffuse to policy documents</w:t>
      </w:r>
      <w:r>
        <w:t xml:space="preserve"> </w:t>
      </w:r>
      <w:hyperlink w:anchor="ref-1">
        <w:r>
          <w:rPr>
            <w:rStyle w:val="Hyperlink"/>
          </w:rPr>
          <w:t xml:space="preserve">[1]</w:t>
        </w:r>
      </w:hyperlink>
      <w:r>
        <w:t xml:space="preserve">. What the corpus shows is closer to the reverse: the framing is densest in the policy and thesis documents and thinnest in the operational sensing work. On its face, this favors a top-down account, in which leading actors draft the framing and the operational community has not yet absorbed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Caution is required before leaning on this reading, because the pattern is also consistent with a bottom-up process caught early, before diffusion to policy had occurred, or with a coverage artifact in which the operational literature simply uses different vocabulary for the same practices. The screen cannot distinguish these accounts, and it would overreach to declare the debate settled</w:t>
      </w:r>
      <w:r>
        <w:t xml:space="preserve"> </w:t>
      </w:r>
      <w:hyperlink w:anchor="ref-2">
        <w:r>
          <w:rPr>
            <w:rStyle w:val="Hyperlink"/>
          </w:rPr>
          <w:t xml:space="preserve">[2]</w:t>
        </w:r>
      </w:hyperlink>
      <w:r>
        <w:t xml:space="preserve"> </w:t>
      </w:r>
      <w:hyperlink w:anchor="ref-4">
        <w:r>
          <w:rPr>
            <w:rStyle w:val="Hyperlink"/>
          </w:rPr>
          <w:t xml:space="preserve">[4]</w:t>
        </w:r>
      </w:hyperlink>
      <w:r>
        <w:t xml:space="preserve">. What it can say is modest and real: in this corpus, at this moment, the framing lives in the policy channel more than the operational one, which is a fact the bottom-up and top-down camps would interpret differently but both would want to know. The study contributes the fact, not the interpretation of it, and marks the boundary clearly.</w:t>
      </w:r>
    </w:p>
    <w:bookmarkEnd w:id="139"/>
    <w:bookmarkStart w:id="140" w:name="X49b73b4d06b6648478f65de475d60c1c9aef457"/>
    <w:p>
      <w:pPr>
        <w:pStyle w:val="Heading2"/>
        <w:spacing w:line="480" w:lineRule="auto"/>
      </w:pPr>
      <w:r>
        <w:t xml:space="preserve">7.9 The limits of a snapshot for a process that is inherently temporal</w:t>
      </w:r>
    </w:p>
    <w:p>
      <w:pPr>
        <w:pStyle w:val="FirstParagraph"/>
        <w:spacing w:line="480" w:lineRule="auto"/>
      </w:pPr>
      <w:r>
        <w:t xml:space="preserve">Norm entrepreneurship is a process that unfolds over time, and the deepest limitation of this design is that it observes a single moment. A framing that is rising and a framing that has stalled can present identical cross sections: attention without consolidation looks the same whether the framing is on its way up or stuck in place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flat recency coefficient is consistent with a framing that has not yet claimed the present and with one that never will, and no single snapshot can tell these apart. This limitation is not a flaw in execution but a boundary of the design category. A snapshot answers structural questions about a moment; it cannot answer directional questions about a trajectory. The honest response is to name the boundary and to specify the panel design that would cross it, which Chapter 8 does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Until that panel exists, every claim about where the framing is heading must remain a hypothesis, and the study confines itself to what a snapshot can support: a description of the framing’s footprint as it stands, with the directional question explicitly deferred to a design built to answer it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0"/>
    <w:bookmarkStart w:id="141" w:name="X0d78351581bb75dbc0f503d89ce37f3f0eab063"/>
    <w:p>
      <w:pPr>
        <w:pStyle w:val="Heading2"/>
        <w:spacing w:line="480" w:lineRule="auto"/>
      </w:pPr>
      <w:r>
        <w:t xml:space="preserve">7.10 Weighing the findings against their threats</w:t>
      </w:r>
    </w:p>
    <w:p>
      <w:pPr>
        <w:pStyle w:val="FirstParagraph"/>
        <w:spacing w:line="480" w:lineRule="auto"/>
      </w:pPr>
      <w:r>
        <w:t xml:space="preserve">Having laid out both the findings and the threats, the discussion owes a judgment about how much survives. The citation association survives as the study’s firmest result, tempered by its dependence on a thin base of cited records and by its silence outside the journal middle of the corpus. It is real within its range, and the range is stated</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recency and age nulls survive as informative absences, tempered by the small sample that makes any null partly a statement about statistical power. They point to an immature footprint, and the interpretation reads them that way without claiming they prove immaturity beyond this corpus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venue result does not survive as a finding; it survives only as a direction the data hint at but cannot establish, and the study leans on it not at all. The net judgment is that the intermediate reading, attention without consolidation, is the most the evidence supports, and that every component of that reading carries a stated qualification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is a deliberately deflationary close to the discussion. Deflation is the point. Overreach is the danger. A study that weighed its findings and found most of them heavier than they are would be less trustworthy than one that weighs honestly and reports a modest surviving core.</w:t>
      </w:r>
    </w:p>
    <w:p>
      <w:pPr>
        <w:pStyle w:val="BodyText"/>
        <w:spacing w:line="480" w:lineRule="auto"/>
        <w:ind w:firstLine="720"/>
      </w:pPr>
      <w:r>
        <w:t xml:space="preserve">The discussion has aimed throughout to keep the interpretation tethered to what the two screens can bear. It read the citation association as real but bounded, the nulls as informative but power-limited, and the venue hint as a hint. It named the presence-versus-position gap, the uncited-policy pattern, the single-corpus constraint, and the snapshot limitation as the four threats that most shape how far the findings travel</w:t>
      </w:r>
      <w:r>
        <w:t xml:space="preserve"> </w:t>
      </w:r>
      <w:hyperlink w:anchor="ref-2">
        <w:r>
          <w:rPr>
            <w:rStyle w:val="Hyperlink"/>
          </w:rPr>
          <w:t xml:space="preserve">[2]</w:t>
        </w:r>
      </w:hyperlink>
      <w:r>
        <w:t xml:space="preserve"> </w:t>
      </w:r>
      <w:hyperlink w:anchor="ref-5">
        <w:r>
          <w:rPr>
            <w:rStyle w:val="Hyperlink"/>
          </w:rPr>
          <w:t xml:space="preserve">[5]</w:t>
        </w:r>
      </w:hyperlink>
      <w:r>
        <w:t xml:space="preserve">. None of these was discovered after the fact to rescue a preferred conclusion; each follows from the design as stated. That is the posture a documentary study should hold at the point where evidence meets interpretation: generous to the reader’s skepticism, sparing with its own claims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next chapter states the contribution these bounded findings support and lays out the document-coding design that would be required to answer the questions this one could not.</w:t>
      </w:r>
    </w:p>
    <w:bookmarkEnd w:id="141"/>
    <w:bookmarkEnd w:id="142"/>
    <w:bookmarkStart w:id="185"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test a contested claim about the Artemis Accords, not to settle it. The claim is that certain framings, carried by certain actors, came to dominate the drafting of the Accords. The test asked a narrower and answerable version of that question: does the framing leave a structured footprint in the literature that surrounds the topic. The answer, drawn from two screens on a thirty-record corpus, is a qualified yes on attention and a clear no on maturity. Neither half is inflated. Both are reported. In full. The framing draws citation attention where it appears, but the surrounding literature has not consolidated into the recency-led, age-graded structure a settled norm would show</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43" w:name="the-contribution-stated-plainly"/>
    <w:p>
      <w:pPr>
        <w:pStyle w:val="Heading2"/>
        <w:spacing w:line="480" w:lineRule="auto"/>
      </w:pPr>
      <w:r>
        <w:t xml:space="preserve">8.1 The contribution, stated plainly</w:t>
      </w:r>
    </w:p>
    <w:p>
      <w:pPr>
        <w:pStyle w:val="FirstParagraph"/>
        <w:spacing w:line="480" w:lineRule="auto"/>
      </w:pPr>
      <w:r>
        <w:t xml:space="preserve">This contribution has two faces, one substantive and one methodological, and neither is inflated. Substantively, the study offers a corrective to the confident influence narrative. The precise, positive citation coefficient is consistent with a framing that matters, one that others feel obliged to engage. But the flat recency term and the near-zero age slope say the framing has not yet become the settled language of the field</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Accords vocabulary is influential and young at once. That intermediate reading is more defensible than either the triumphal claim that the framing won or the dismissive claim that it is marginal, and it is the reading the evidence actually supports.</w:t>
      </w:r>
    </w:p>
    <w:p>
      <w:pPr>
        <w:pStyle w:val="BodyText"/>
        <w:spacing w:line="480" w:lineRule="auto"/>
        <w:ind w:firstLine="720"/>
      </w:pPr>
      <w:r>
        <w:t xml:space="preserve">Methodologically, the study demonstrates a reproducible path from source retrieval to interpretation.</w:t>
      </w:r>
    </w:p>
    <w:p>
      <w:pPr>
        <w:pStyle w:val="BodyText"/>
        <w:spacing w:line="480" w:lineRule="auto"/>
        <w:ind w:firstLine="720"/>
      </w:pPr>
      <w:r>
        <w:t xml:space="preserve">It fixes its estimators in advance, reports every coefficient and standard error as the workbook returned them, preserves provenance on every row, and holds the interpretation to the pre-stated hypotheses. The cross-sectional H0 was rejected as a package, carried by citation attention; the temporal H0 was not rejected</w:t>
      </w:r>
      <w:r>
        <w:t xml:space="preserve"> </w:t>
      </w:r>
      <w:hyperlink w:anchor="ref-1">
        <w:r>
          <w:rPr>
            <w:rStyle w:val="Hyperlink"/>
          </w:rPr>
          <w:t xml:space="preserve">[1]</w:t>
        </w:r>
      </w:hyperlink>
      <w:r>
        <w:t xml:space="preserve"> </w:t>
      </w:r>
      <w:hyperlink w:anchor="ref-5">
        <w:r>
          <w:rPr>
            <w:rStyle w:val="Hyperlink"/>
          </w:rPr>
          <w:t xml:space="preserve">[5]</w:t>
        </w:r>
      </w:hyperlink>
      <w:r>
        <w:t xml:space="preserve">. Both outcomes are legible, and their legibility is the point. A documentary claim about space governance was exposed to a test that could have failed, and the test returned something a reader can check.</w:t>
      </w:r>
    </w:p>
    <w:bookmarkEnd w:id="143"/>
    <w:bookmarkStart w:id="144" w:name="X227732717b6e31427b1bfdc988658fe0233f4d1"/>
    <w:p>
      <w:pPr>
        <w:pStyle w:val="Heading2"/>
        <w:spacing w:line="480" w:lineRule="auto"/>
      </w:pPr>
      <w:r>
        <w:t xml:space="preserve">8.2 Relevance for governance and program work</w:t>
      </w:r>
    </w:p>
    <w:p>
      <w:pPr>
        <w:pStyle w:val="FirstParagraph"/>
        <w:spacing w:line="480" w:lineRule="auto"/>
      </w:pPr>
      <w:r>
        <w:t xml:space="preserve">The findings have measured relevance for how governance analysis is done, and the emphasis belongs on measured.</w:t>
      </w:r>
    </w:p>
    <w:p>
      <w:pPr>
        <w:pStyle w:val="BodyText"/>
        <w:spacing w:line="480" w:lineRule="auto"/>
        <w:ind w:firstLine="720"/>
      </w:pPr>
      <w:r>
        <w:t xml:space="preserve">Agencies, operators, standards bodies, and international forums routinely reason before complete data exist, and they routinely face confident claims about which framing is winning. This study models a cheaper, faster discipline: before accepting an influence claim, ask whether the framing leaves a structured footprint in the retrievable record, and let the answer bound the claim</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For the Artemis Accords specifically, the intermediate reading carries a practical implication.</w:t>
      </w:r>
    </w:p>
    <w:p>
      <w:pPr>
        <w:pStyle w:val="BodyText"/>
        <w:spacing w:line="480" w:lineRule="auto"/>
        <w:ind w:firstLine="720"/>
      </w:pPr>
      <w:r>
        <w:t xml:space="preserve">A framing that draws attention but has not consolidated is still contestable. The window in which competing framings could gain ground has not closed, because the corpus does not show the Accords vocabulary crowding out alternatives across recent work</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Analysts advising on space governance strategy can treat the framing as consequential without treating it as settled, which is a different posture from the one the triumphal narrative would counsel. The information-sharing literature sharpens the point. If norms in space form from the bottom up, through shared operational practice and the trust it builds, then a framing’s consolidation depends on adoption by the operational community, not only on its presence in policy documents</w:t>
      </w:r>
      <w:r>
        <w:t xml:space="preserve"> </w:t>
      </w:r>
      <w:hyperlink w:anchor="ref-1">
        <w:r>
          <w:rPr>
            <w:rStyle w:val="Hyperlink"/>
          </w:rPr>
          <w:t xml:space="preserve">[1]</w:t>
        </w:r>
      </w:hyperlink>
      <w:r>
        <w:t xml:space="preserve">. The corpus shows the framing densest in policy and thesis material and thinnest in the operational sensing literature. That gap between where the framing lives and where operational practice is documented is itself a governance signal: the framing has not yet been absorbed into the working vocabulary of the operators whose behavior a norm must ultimately shape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44"/>
    <w:bookmarkStart w:id="145" w:name="the-limits-that-define-the-next-design"/>
    <w:p>
      <w:pPr>
        <w:pStyle w:val="Heading2"/>
        <w:spacing w:line="480" w:lineRule="auto"/>
      </w:pPr>
      <w:r>
        <w:t xml:space="preserve">8.3 The limits that define the next design</w:t>
      </w:r>
    </w:p>
    <w:p>
      <w:pPr>
        <w:pStyle w:val="FirstParagraph"/>
        <w:spacing w:line="480" w:lineRule="auto"/>
      </w:pPr>
      <w:r>
        <w:t xml:space="preserve">The questions this study could not answer define the design that should follow it. Three stand out.</w:t>
      </w:r>
    </w:p>
    <w:p>
      <w:pPr>
        <w:pStyle w:val="BodyText"/>
        <w:spacing w:line="480" w:lineRule="auto"/>
        <w:ind w:firstLine="720"/>
      </w:pPr>
      <w:r>
        <w:t xml:space="preserve">The first is authorship. To move from vocabulary presence to who authored which provision requires the actual negotiating record and a document-coding design that reads stance, not just term frequency. A follow-on study would code drafts, comments, and revisions against actor positions, tracing specific language from proposal to final text</w:t>
      </w:r>
      <w:r>
        <w:t xml:space="preserve"> </w:t>
      </w:r>
      <w:hyperlink w:anchor="ref-3">
        <w:r>
          <w:rPr>
            <w:rStyle w:val="Hyperlink"/>
          </w:rPr>
          <w:t xml:space="preserve">[3]</w:t>
        </w:r>
      </w:hyperlink>
      <w:r>
        <w:t xml:space="preserve">. That is the direct test of the influence claim, and the metadata screen here is its inexpensive precursor, not its substitute. The second is causation. To move from association within a corpus to causal impact on outcomes requires a design built to rule out alternative explanations: matched comparison of framings that consolidated against those that did not, or process tracing through the negotiation itself</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screens establish that the footprint is present; they cannot establish that the framing caused any signing or any rule. The third is time. The intermediate state this study found, attention without consolidation, is a snapshot, and a snapshot cannot distinguish a rising framing from a stalled niche one. Repeated retrieval at intervals would turn the snapshot into a trajectory, and only a trajectory can say whether the Accords vocabulary is spreading, holding, or fading</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A panel design over several years is the natural extension, and the deterministic construction of the variables here makes such repetition straightforward.</w:t>
      </w:r>
    </w:p>
    <w:bookmarkEnd w:id="145"/>
    <w:bookmarkStart w:id="146" w:name="future-work-beyond-the-immediate-design"/>
    <w:p>
      <w:pPr>
        <w:pStyle w:val="Heading2"/>
        <w:spacing w:line="480" w:lineRule="auto"/>
      </w:pPr>
      <w:r>
        <w:t xml:space="preserve">8.4 Future work beyond the immediate design</w:t>
      </w:r>
    </w:p>
    <w:p>
      <w:pPr>
        <w:pStyle w:val="FirstParagraph"/>
        <w:spacing w:line="480" w:lineRule="auto"/>
      </w:pPr>
      <w:r>
        <w:t xml:space="preserve">Two further directions are worth naming because they follow from the corpus itself. The commercialization-versus-sustainability tension that Dey and Jagadanandan identify runs directly through the Accords vocabulary, and a study that scored sources for their position on that axis, rather than merely for term presence, could test whether the framing’s attention concentrates on the commercial or the sustainability side</w:t>
      </w:r>
      <w:r>
        <w:t xml:space="preserve"> </w:t>
      </w:r>
      <w:hyperlink w:anchor="ref-9">
        <w:r>
          <w:rPr>
            <w:rStyle w:val="Hyperlink"/>
          </w:rPr>
          <w:t xml:space="preserve">[9]</w:t>
        </w:r>
      </w:hyperlink>
      <w:r>
        <w:t xml:space="preserve">. That would convert the present presence-measure into a stance-measure, closing part of the gap Chapter 7 flagged. Growth in AI-based and autonomous space systems opens a second front. As Tricco and colleagues show, new technical categories generate new governance vocabularies, and those vocabularies compete for the same institutional standing the Accords framing seeks</w:t>
      </w:r>
      <w:r>
        <w:t xml:space="preserve"> </w:t>
      </w:r>
      <w:hyperlink w:anchor="ref-11">
        <w:r>
          <w:rPr>
            <w:rStyle w:val="Hyperlink"/>
          </w:rPr>
          <w:t xml:space="preserve">[11]</w:t>
        </w:r>
      </w:hyperlink>
      <w:r>
        <w:t xml:space="preserve">. A design that tracked several competing framings across the same corpus, rather than one candidate topic in isolation, could measure not just whether a framing has a footprint but whether it is winning relative to its rivals. That comparative move is the one that would finally speak to the whose-language-survived question at the heart of the project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46"/>
    <w:bookmarkStart w:id="147" w:name="closing"/>
    <w:p>
      <w:pPr>
        <w:pStyle w:val="Heading2"/>
        <w:spacing w:line="480" w:lineRule="auto"/>
      </w:pPr>
      <w:r>
        <w:t xml:space="preserve">8.5 Closing</w:t>
      </w:r>
    </w:p>
    <w:bookmarkEnd w:id="147"/>
    <w:bookmarkStart w:id="148" w:name="a-note-on-what-the-split-verdict-teaches"/>
    <w:p>
      <w:pPr>
        <w:pStyle w:val="Heading2"/>
        <w:spacing w:line="480" w:lineRule="auto"/>
      </w:pPr>
      <w:r>
        <w:t xml:space="preserve">8.6 A note on what the split verdict teaches</w:t>
      </w:r>
    </w:p>
    <w:p>
      <w:pPr>
        <w:pStyle w:val="FirstParagraph"/>
        <w:spacing w:line="480" w:lineRule="auto"/>
      </w:pPr>
      <w:r>
        <w:t xml:space="preserve">The mixed result deserves a closing reflection, because its shape is itself a lesson about how to study norm entrepreneurship with documentary evidence. A clean win on both screens would have been easy to narrate and easy to overtrust. What the data delivered instead, a precise citation association paired with a flat age curve, is harder to narrate and more faithful to the messy reality of a young framing. The lesson is that the intermediate states, where a framing draws attention without consolidating, are the common case, and a design that can only detect clean victories would miss most of what actually happens in the life of a norm</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is why the two-screen structure earns its place. A single significant regression would have tempted a triumphal reading. The second screen, by returning an honest null, disciplined the first into its proper scope. The pairing did not produce a stronger claim; it produced a more accurate one, and accuracy under uncertainty is the quality a doctoral design should prize over the appearance of decisiveness</w:t>
      </w:r>
      <w:r>
        <w:t xml:space="preserve"> </w:t>
      </w:r>
      <w:hyperlink w:anchor="ref-2">
        <w:r>
          <w:rPr>
            <w:rStyle w:val="Hyperlink"/>
          </w:rPr>
          <w:t xml:space="preserve">[2]</w:t>
        </w:r>
      </w:hyperlink>
      <w:r>
        <w:t xml:space="preserve"> </w:t>
      </w:r>
      <w:hyperlink w:anchor="ref-5">
        <w:r>
          <w:rPr>
            <w:rStyle w:val="Hyperlink"/>
          </w:rPr>
          <w:t xml:space="preserve">[5]</w:t>
        </w:r>
      </w:hyperlink>
      <w:r>
        <w:t xml:space="preserve">. Researchers who adopt this approach should expect, and welcome, split verdicts, because a method that always confirms is a method that cannot fail, and a method that cannot fail has learned nothing.</w:t>
      </w:r>
    </w:p>
    <w:bookmarkEnd w:id="148"/>
    <w:bookmarkStart w:id="149" w:name="Xed593138da29aefbddcff7f64e5d0d7eb6615ea"/>
    <w:p>
      <w:pPr>
        <w:pStyle w:val="Heading2"/>
        <w:spacing w:line="480" w:lineRule="auto"/>
      </w:pPr>
      <w:r>
        <w:t xml:space="preserve">8.7 The place of the study in a larger research program</w:t>
      </w:r>
    </w:p>
    <w:p>
      <w:pPr>
        <w:pStyle w:val="FirstParagraph"/>
        <w:spacing w:line="480" w:lineRule="auto"/>
      </w:pPr>
      <w:r>
        <w:t xml:space="preserve">No single design settles a question as large as whose language shaped the Artemis Accords, and this one is best understood as the first move in a staged program. The metadata screen is the cheap, fast, reproducible entry point: it establishes whether a framing has a footprint worth investigating further, and it does so without the labor of hand coding. Where it finds a footprint, as it did here on the attention channel, it justifies the expense of the next stage. Where it finds nothing, it saves that expense</w:t>
      </w:r>
      <w:r>
        <w:t xml:space="preserve"> </w:t>
      </w:r>
      <w:hyperlink w:anchor="ref-4">
        <w:r>
          <w:rPr>
            <w:rStyle w:val="Hyperlink"/>
          </w:rPr>
          <w:t xml:space="preserve">[4]</w:t>
        </w:r>
      </w:hyperlink>
      <w:r>
        <w:t xml:space="preserve"> </w:t>
      </w:r>
      <w:hyperlink w:anchor="ref-5">
        <w:r>
          <w:rPr>
            <w:rStyle w:val="Hyperlink"/>
          </w:rPr>
          <w:t xml:space="preserve">[5]</w:t>
        </w:r>
      </w:hyperlink>
      <w:r>
        <w:t xml:space="preserve">. A next stage is document coding of stance, which would convert the presence-measure into a position-measure and let the study speak to who is winning the argument rather than merely who is having it</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stage after that is process tracing through the negotiating record, which would connect the winning framing to the actors who carried it and the clauses they secured</w:t>
      </w:r>
      <w:r>
        <w:t xml:space="preserve"> </w:t>
      </w:r>
      <w:hyperlink w:anchor="ref-3">
        <w:r>
          <w:rPr>
            <w:rStyle w:val="Hyperlink"/>
          </w:rPr>
          <w:t xml:space="preserve">[3]</w:t>
        </w:r>
      </w:hyperlink>
      <w:r>
        <w:t xml:space="preserve">. And running alongside both, a panel design that repeats the metadata screen at intervals would turn the present snapshot into a trajectory, distinguishing a rising framing from a stalled one</w:t>
      </w:r>
      <w:r>
        <w:t xml:space="preserve"> </w:t>
      </w:r>
      <w:hyperlink w:anchor="ref-11">
        <w:r>
          <w:rPr>
            <w:rStyle w:val="Hyperlink"/>
          </w:rPr>
          <w:t xml:space="preserve">[11]</w:t>
        </w:r>
      </w:hyperlink>
      <w:r>
        <w:t xml:space="preserve">. Each stage answers a question the prior stage could only pose. The present dissertation earns its place by posing the first question rigorously enough that the later stages have a firm foundation to build on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49"/>
    <w:bookmarkStart w:id="150" w:name="closing-1"/>
    <w:p>
      <w:pPr>
        <w:pStyle w:val="Heading2"/>
        <w:spacing w:line="480" w:lineRule="auto"/>
      </w:pPr>
      <w:r>
        <w:t xml:space="preserve">8.8 Closing</w:t>
      </w:r>
    </w:p>
    <w:bookmarkEnd w:id="150"/>
    <w:bookmarkStart w:id="151" w:name="Xa92f5b3971f68dc212fb6f7278b8139b649cbc5"/>
    <w:p>
      <w:pPr>
        <w:pStyle w:val="Heading2"/>
        <w:spacing w:line="480" w:lineRule="auto"/>
      </w:pPr>
      <w:r>
        <w:t xml:space="preserve">8.9 Program relevance for space governance practitioners</w:t>
      </w:r>
    </w:p>
    <w:p>
      <w:pPr>
        <w:pStyle w:val="FirstParagraph"/>
        <w:spacing w:line="480" w:lineRule="auto"/>
      </w:pPr>
      <w:r>
        <w:t xml:space="preserve">Practitioners who advise agencies and international forums on space governance can take a concrete method from this study, separate from its particular finding. The method is to treat any claim that a framing has won as a hypothesis with an observable footprint, and to check the footprint before acting on the claim. A coalition text like the Accords generates confident assertions about influence, and those assertions drive real decisions about whether to sign, to resist, or to propose alternatives</w:t>
      </w:r>
      <w:r>
        <w:t xml:space="preserve"> </w:t>
      </w:r>
      <w:hyperlink w:anchor="ref-2">
        <w:r>
          <w:rPr>
            <w:rStyle w:val="Hyperlink"/>
          </w:rPr>
          <w:t xml:space="preserve">[2]</w:t>
        </w:r>
      </w:hyperlink>
      <w:r>
        <w:t xml:space="preserve"> </w:t>
      </w:r>
      <w:hyperlink w:anchor="ref-4">
        <w:r>
          <w:rPr>
            <w:rStyle w:val="Hyperlink"/>
          </w:rPr>
          <w:t xml:space="preserve">[4]</w:t>
        </w:r>
      </w:hyperlink>
      <w:r>
        <w:t xml:space="preserve">. A cheap documentary screen can calibrate the confidence those assertions deserve, and calibration is worth having before a state commits. For the Accords specifically, the intermediate finding counsels a particular posture. A framing that draws attention but has not consolidated leaves room for negotiation, amendment, and competing proposals in a way a fully settled framing would not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Practitioners advising latecomers to the Accords, or advising states weighing alternatives, can reasonably treat the framing as consequential yet still contestable, especially on the resource frontier where the extraction-versus-sustainability contest remains live</w:t>
      </w:r>
      <w:r>
        <w:t xml:space="preserve"> </w:t>
      </w:r>
      <w:hyperlink w:anchor="ref-16">
        <w:r>
          <w:rPr>
            <w:rStyle w:val="Hyperlink"/>
          </w:rPr>
          <w:t xml:space="preserve">[16]</w:t>
        </w:r>
      </w:hyperlink>
      <w:r>
        <w:t xml:space="preserve">. The study does not tell any state what to do. It supplies a measured read of how settled the framing actually is, which is the input a strategy needs and the input the triumphal narrative distorts.</w:t>
      </w:r>
    </w:p>
    <w:bookmarkEnd w:id="151"/>
    <w:bookmarkStart w:id="152" w:name="X540d56c6691c549f743602216e8dc4790337860"/>
    <w:p>
      <w:pPr>
        <w:pStyle w:val="Heading2"/>
        <w:spacing w:line="480" w:lineRule="auto"/>
      </w:pPr>
      <w:r>
        <w:t xml:space="preserve">8.10 The methodological legacy for the research program</w:t>
      </w:r>
    </w:p>
    <w:p>
      <w:pPr>
        <w:pStyle w:val="FirstParagraph"/>
        <w:spacing w:line="480" w:lineRule="auto"/>
      </w:pPr>
      <w:r>
        <w:t xml:space="preserve">Beyond its finding and its practical use, the study leaves a methodological template that the broader research program can reuse. The template is a paired-screen design: a cross-sectional model that tests whether a framing’s signal is structured, and a temporal model that tests whether attention accumulates lawfully, run on a deterministically constructed corpus with provenance preserved on every row</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template is topic-agnostic. It could be pointed at any candidate framing in any documented literature, and its deterministic construction makes replication and comparison straightforward. The template’s value is that it forces honesty. By fixing the estimators, the outcomes, and the reading rules in advance, it removes the discretion that lets a motivated analyst find structure wherever they look. By pairing two screens, it raises the cost of overtrusting a single lucky coefficient. And by preserving provenance, it keeps every result traceable to its source</w:t>
      </w:r>
      <w:r>
        <w:t xml:space="preserve"> </w:t>
      </w:r>
      <w:hyperlink w:anchor="ref-2">
        <w:r>
          <w:rPr>
            <w:rStyle w:val="Hyperlink"/>
          </w:rPr>
          <w:t xml:space="preserve">[2]</w:t>
        </w:r>
      </w:hyperlink>
      <w:r>
        <w:t xml:space="preserve"> </w:t>
      </w:r>
      <w:hyperlink w:anchor="ref-4">
        <w:r>
          <w:rPr>
            <w:rStyle w:val="Hyperlink"/>
          </w:rPr>
          <w:t xml:space="preserve">[4]</w:t>
        </w:r>
      </w:hyperlink>
      <w:r>
        <w:t xml:space="preserve">. A program that adopts this template for its documentary work buys a standard of reproducibility that interpretive methods alone cannot supply, without abandoning the substantive questions that make the work worth doing. That standard, more than any single coefficient, is what this dissertation contributes to the work that follows it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52"/>
    <w:bookmarkStart w:id="153" w:name="closing-2"/>
    <w:p>
      <w:pPr>
        <w:pStyle w:val="Heading2"/>
        <w:spacing w:line="480" w:lineRule="auto"/>
      </w:pPr>
      <w:r>
        <w:t xml:space="preserve">8.11 Closing</w:t>
      </w:r>
    </w:p>
    <w:p>
      <w:pPr>
        <w:pStyle w:val="FirstParagraph"/>
        <w:spacing w:line="480" w:lineRule="auto"/>
      </w:pPr>
      <w:r>
        <w:t xml:space="preserve">The dissertation ends where an honest design should: with a bounded claim, an inspectable chain of evidence, and a clear map of what remains. It found that the Artemis Accords framing draws attention where it appears and has not yet consolidated into the structure of a settled norm. It reported that finding exactly as the workbooks produced it, refused the numbers it could not support, and named the questions its data could not reach</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 contribution is small and durable. A contested question about whose language survived was made testable, tested, and reported without overreach, and the design that would answer the larger question is now specified for whoever takes it up next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larger lesson reaches past the Accords. Space governance will keep producing coalition texts, framings, and confident claims about which language prevailed, and the field will keep needing ways to check those claims before acting on them. A cheap, reproducible screen that asks whether a framing has left a structured footprint is one such way, and its worth lies precisely in its willingness to return an honest null. This study returned a split verdict and reported it plainly. That plainness, more than any single coefficient, is the habit the work leaves behind for whoever studies the next framing, the next coalition, and the next contested claim about whose language survived</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53"/>
    <w:bookmarkStart w:id="154" w:name="X994cc0f661a41a4ac1b5a8177774d6d476669a1"/>
    <w:p>
      <w:pPr>
        <w:pStyle w:val="Heading2"/>
        <w:spacing w:line="480" w:lineRule="auto"/>
      </w:pPr>
      <w:r>
        <w:t xml:space="preserve">8.12 A summary of what was learned and what was not</w:t>
      </w:r>
    </w:p>
    <w:p>
      <w:pPr>
        <w:pStyle w:val="FirstParagraph"/>
        <w:spacing w:line="480" w:lineRule="auto"/>
      </w:pPr>
      <w:r>
        <w:t xml:space="preserve">It is worth stating the balance sheet in plain terms. What was learned is that citation attention tracks the framing’s vocabulary in this corpus with statistical precision, that recency and article age do not structure the corpus in the way a settled norm would, and that the framing therefore occupies an intermediate position: influential enough to draw attention, immature enough that it has not colonized recent work or accumulated attention along a lawful age curve</w:t>
      </w:r>
      <w:r>
        <w:t xml:space="preserve"> </w:t>
      </w:r>
      <w:hyperlink w:anchor="ref-1">
        <w:r>
          <w:rPr>
            <w:rStyle w:val="Hyperlink"/>
          </w:rPr>
          <w:t xml:space="preserve">[1]</w:t>
        </w:r>
      </w:hyperlink>
      <w:r>
        <w:t xml:space="preserve"> </w:t>
      </w:r>
      <w:hyperlink w:anchor="ref-2">
        <w:r>
          <w:rPr>
            <w:rStyle w:val="Hyperlink"/>
          </w:rPr>
          <w:t xml:space="preserve">[2]</w:t>
        </w:r>
      </w:hyperlink>
      <w:r>
        <w:t xml:space="preserve">. What was learned about method is that a paired-screen documentary design can expose an influence claim to a test that could fail, and can return an interpretable verdict when it does. What was not learned is equally clear. The ledger is honest. It has to be. Anything less misleads. The study did not learn who authored any provision of the Accords, whether the framing caused any governance outcome, whether its structure generalizes beyond the retrieved pack, or whether the framing is rising or stalled</w:t>
      </w:r>
      <w:r>
        <w:t xml:space="preserve"> </w:t>
      </w:r>
      <w:hyperlink w:anchor="ref-3">
        <w:r>
          <w:rPr>
            <w:rStyle w:val="Hyperlink"/>
          </w:rPr>
          <w:t xml:space="preserve">[3]</w:t>
        </w:r>
      </w:hyperlink>
      <w:r>
        <w:t xml:space="preserve"> </w:t>
      </w:r>
      <w:hyperlink w:anchor="ref-5">
        <w:r>
          <w:rPr>
            <w:rStyle w:val="Hyperlink"/>
          </w:rPr>
          <w:t xml:space="preserve">[5]</w:t>
        </w:r>
      </w:hyperlink>
      <w:r>
        <w:t xml:space="preserve">. Each of these is a real question, and each is assigned to a specific follow-on design: document coding for authorship and stance, process tracing for causation, replication for generalization, and a panel for trajectory</w:t>
      </w:r>
      <w:r>
        <w:t xml:space="preserve"> </w:t>
      </w:r>
      <w:hyperlink w:anchor="ref-4">
        <w:r>
          <w:rPr>
            <w:rStyle w:val="Hyperlink"/>
          </w:rPr>
          <w:t xml:space="preserve">[4]</w:t>
        </w:r>
      </w:hyperlink>
      <w:r>
        <w:t xml:space="preserve"> </w:t>
      </w:r>
      <w:hyperlink w:anchor="ref-16">
        <w:r>
          <w:rPr>
            <w:rStyle w:val="Hyperlink"/>
          </w:rPr>
          <w:t xml:space="preserve">[16]</w:t>
        </w:r>
      </w:hyperlink>
      <w:r>
        <w:t xml:space="preserve">. A dissertation that ended with a clean answer to all of them would be lying about at least three. This one ends with a bounded answer to one question and an honest ledger of the rest, which is the most a thirty-record screen can truthfully offer and the least a doctoral contribution should demand of itself</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Accords will continue to attract confident claims, and the field will continue to need disciplined ways to weigh them. This dissertation offers one such way and a worked example of its use. It found a framing that draws attention without having consolidated, reported that finding at full precision, and mapped the designs that would carry the inquiry further</w:t>
      </w:r>
      <w:r>
        <w:t xml:space="preserve"> </w:t>
      </w:r>
      <w:hyperlink w:anchor="ref-1">
        <w:r>
          <w:rPr>
            <w:rStyle w:val="Hyperlink"/>
          </w:rPr>
          <w:t xml:space="preserve">[1]</w:t>
        </w:r>
      </w:hyperlink>
      <w:r>
        <w:t xml:space="preserve"> </w:t>
      </w:r>
      <w:hyperlink w:anchor="ref-4">
        <w:r>
          <w:rPr>
            <w:rStyle w:val="Hyperlink"/>
          </w:rPr>
          <w:t xml:space="preserve">[4]</w:t>
        </w:r>
      </w:hyperlink>
      <w:r>
        <w:t xml:space="preserve">. If the work has a single durable value, it is the demonstration that a contested question in space governance can be made to answer to evidence, even modest evidence, and that answering to evidence is worth more than the confident narration it displaces. The next researcher inherits a template, a finding, and a clear statement of the questions that remain open, which is the proper inheritance one bounded study leaves the next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There is a final point about the relationship between modesty and usefulness, because the two are often assumed to trade against each other. A modest study, the assumption runs, is a less useful one. This dissertation contends the opposite. The confident influence narratives that surround the Accords are less useful than they appear, because they cannot be checked and so cannot correct anyone who believes them wrongly</w:t>
      </w:r>
      <w:r>
        <w:t xml:space="preserve"> </w:t>
      </w:r>
      <w:hyperlink w:anchor="ref-2">
        <w:r>
          <w:rPr>
            <w:rStyle w:val="Hyperlink"/>
          </w:rPr>
          <w:t xml:space="preserve">[2]</w:t>
        </w:r>
      </w:hyperlink>
      <w:r>
        <w:t xml:space="preserve"> </w:t>
      </w:r>
      <w:hyperlink w:anchor="ref-4">
        <w:r>
          <w:rPr>
            <w:rStyle w:val="Hyperlink"/>
          </w:rPr>
          <w:t xml:space="preserve">[4]</w:t>
        </w:r>
      </w:hyperlink>
      <w:r>
        <w:t xml:space="preserve">. A modest, checkable finding, even a split one, is more useful, because it tells a decision maker exactly how much to trust the claim and exactly where the uncertainty lies. Usefulness, in a governance setting, is a function of trustworthiness, and trustworthiness is a function of the willingness to report what the evidence does not support alongside what it does</w:t>
      </w:r>
      <w:r>
        <w:t xml:space="preserve"> </w:t>
      </w:r>
      <w:hyperlink w:anchor="ref-1">
        <w:r>
          <w:rPr>
            <w:rStyle w:val="Hyperlink"/>
          </w:rPr>
          <w:t xml:space="preserve">[1]</w:t>
        </w:r>
      </w:hyperlink>
      <w:r>
        <w:t xml:space="preserve"> </w:t>
      </w:r>
      <w:hyperlink w:anchor="ref-6">
        <w:r>
          <w:rPr>
            <w:rStyle w:val="Hyperlink"/>
          </w:rPr>
          <w:t xml:space="preserve">[6]</w:t>
        </w:r>
      </w:hyperlink>
      <w:r>
        <w:t xml:space="preserve">. On that measure, the modesty of this design is not a limitation on its usefulness but the source of it, and that is the note on which the work closes.</w:t>
      </w:r>
    </w:p>
    <w:bookmarkEnd w:id="154"/>
    <w:bookmarkStart w:id="184" w:name="references"/>
    <w:p>
      <w:pPr>
        <w:pStyle w:val="Heading2"/>
        <w:spacing w:line="480" w:lineRule="auto"/>
      </w:pPr>
      <w:r>
        <w:t xml:space="preserve">References</w:t>
      </w:r>
    </w:p>
    <w:p>
      <w:pPr>
        <w:pStyle w:val="FirstParagraph"/>
        <w:spacing w:line="480" w:lineRule="auto"/>
      </w:pPr>
      <w:bookmarkStart w:id="155" w:name="ref-1"/>
      <w:bookmarkEnd w:id="155"/>
      <w:r>
        <w:t xml:space="preserve">1.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56" w:name="ref-2"/>
      <w:bookmarkEnd w:id="156"/>
      <w:r>
        <w:t xml:space="preserve">2. Jacqueline Smith, MIT; Moriba Jah, University of Texas; Danielle Wood, MIT. Architecting a Decision Support System for Continuing Supervision of Commercial In-Space Servicing (2024). doi:</w:t>
      </w:r>
      <w:r>
        <w:t xml:space="preserve"> </w:t>
      </w:r>
      <w:hyperlink r:id="rId157">
        <w:r>
          <w:rPr>
            <w:rStyle w:val="Hyperlink"/>
          </w:rPr>
          <w:t xml:space="preserve">10.64861/SYQO6621</w:t>
        </w:r>
      </w:hyperlink>
    </w:p>
    <w:p>
      <w:pPr>
        <w:pStyle w:val="BodyText"/>
        <w:spacing w:line="480" w:lineRule="auto"/>
        <w:ind w:firstLine="720"/>
      </w:pPr>
      <w:bookmarkStart w:id="158" w:name="ref-3"/>
      <w:bookmarkEnd w:id="158"/>
      <w:r>
        <w:t xml:space="preserve">3. Todd Harrison, Center for Strategic and International Studies. International Perspectives on Space Weapons (2020). [AMOS]</w:t>
      </w:r>
    </w:p>
    <w:p>
      <w:pPr>
        <w:pStyle w:val="BodyText"/>
        <w:spacing w:line="480" w:lineRule="auto"/>
        <w:ind w:firstLine="720"/>
      </w:pPr>
      <w:bookmarkStart w:id="159" w:name="ref-4"/>
      <w:bookmarkEnd w:id="159"/>
      <w:r>
        <w:t xml:space="preserve">4. Purin Tanirat, Geo-Informatics and Space Technology Development Agency (GISTDA); Sittiporn Channumsin, Geo-Informatics and Space Technology Development Agency (GISTDA); Suwat Sreesawet, Geo-Informatics and Space Technology Development Agency (GISTDA); Setthanun Thongsuwan, Geo-Informatics and Space Technology Development Agency (GISTDA); Keerati Puttasuwan, Geo-Informatics and Space Technology Development Agency (GISTDA); Phasawee Saingyen, Geo-Informatics and Space Technology Development Agency (GISTDA); Borirak Kitrattana, Geo-Informatics and Space Technology Development Agency (GISTDA); Yodyium Tipsuwan, Kasetsart University. Enhancing Space Safety and Security: GISTDA’s Integrated Approach to Space Situational Awareness and Traffic Management (2025). doi:</w:t>
      </w:r>
      <w:r>
        <w:t xml:space="preserve"> </w:t>
      </w:r>
      <w:hyperlink r:id="rId160">
        <w:r>
          <w:rPr>
            <w:rStyle w:val="Hyperlink"/>
          </w:rPr>
          <w:t xml:space="preserve">10.64861/KSPN2451</w:t>
        </w:r>
      </w:hyperlink>
    </w:p>
    <w:p>
      <w:pPr>
        <w:pStyle w:val="BodyText"/>
        <w:spacing w:line="480" w:lineRule="auto"/>
        <w:ind w:firstLine="720"/>
      </w:pPr>
      <w:bookmarkStart w:id="161" w:name="ref-5"/>
      <w:bookmarkEnd w:id="161"/>
      <w:r>
        <w:t xml:space="preserve">5. Grant Privett, Defence Science Technology Laboratory (Dstl); Calum Meredith, Defence Science Technology Laboratory (Dstl); Andy Winterbotham, Defence Science Technology Laboratory (Dstl); Jamie Symons, Defence Science Technology Laboratory (Dstl); Lauchie Scott, Defense R&amp;D Canada; Allie Fawcett, Bornea Dynamics; Simon Lyddiatt, Bornea Dynamics; Ricky Gill, University of Manitoba; Brendan Doherty, University of Manitoba; Riley Sweeney, University of Manitoba; Philip Ferguson, University of Manitoba; Paul Harrison, Magellan Aerospace; Matthew Driedger, Magellan Aerospace; Vojtech Balaban, Magellan Aerospace. On-Orbit Satellite Detection and Extraction in J Band Imagery (2025). doi:</w:t>
      </w:r>
      <w:r>
        <w:t xml:space="preserve"> </w:t>
      </w:r>
      <w:hyperlink r:id="rId162">
        <w:r>
          <w:rPr>
            <w:rStyle w:val="Hyperlink"/>
          </w:rPr>
          <w:t xml:space="preserve">10.64861/AZUD8556</w:t>
        </w:r>
      </w:hyperlink>
    </w:p>
    <w:p>
      <w:pPr>
        <w:pStyle w:val="BodyText"/>
        <w:spacing w:line="480" w:lineRule="auto"/>
        <w:ind w:firstLine="720"/>
      </w:pPr>
      <w:bookmarkStart w:id="163" w:name="ref-6"/>
      <w:bookmarkEnd w:id="163"/>
      <w:r>
        <w:t xml:space="preserve">6. Tomasz Zubowicz, Polish Space Agency; Mikolaj Kruzynski, Polish Space Agency; Zygmunt Aniol, Polish Space Agency; Krzysztof Arminski, Polish Space Agency; Mikolaj Karawacki, Polish Space Agency; Krzysztof Szyszka, Polish Space Agency; Tymoteusz Trocki, Polish Space Agency; Judyta Wojtala, Polish Space Agency; Pawel Zmudzki, Polish Space Agency. An Introduction to the Optical Fence Subnetwork for Optical Triangulation (2025). doi:</w:t>
      </w:r>
      <w:r>
        <w:t xml:space="preserve"> </w:t>
      </w:r>
      <w:hyperlink r:id="rId164">
        <w:r>
          <w:rPr>
            <w:rStyle w:val="Hyperlink"/>
          </w:rPr>
          <w:t xml:space="preserve">10.64861/OEWV1817</w:t>
        </w:r>
      </w:hyperlink>
    </w:p>
    <w:p>
      <w:pPr>
        <w:pStyle w:val="BodyText"/>
        <w:spacing w:line="480" w:lineRule="auto"/>
        <w:ind w:firstLine="720"/>
      </w:pPr>
      <w:bookmarkStart w:id="165" w:name="ref-7"/>
      <w:bookmarkEnd w:id="165"/>
      <w:r>
        <w:t xml:space="preserve">7. Tomasz Zubowicz, POLSA; Mikolaj Kruzynski, POLSA; Krzysztof Arminski, POLSA; Mikolaj Karawacaki, POLSA; Krzysztof Szyszka, POLSA; Marcin Teofilewicz, POLSA; Artur Makarewicz, POLSA; Edwin Wnuk, POLSA; Zygmunt Aniol, POLSA; Tymoteusz Trocki, POLSA. POLSA Sensor Network Capabilities Under Different Operating Modes (2024). doi:</w:t>
      </w:r>
      <w:r>
        <w:t xml:space="preserve"> </w:t>
      </w:r>
      <w:hyperlink r:id="rId166">
        <w:r>
          <w:rPr>
            <w:rStyle w:val="Hyperlink"/>
          </w:rPr>
          <w:t xml:space="preserve">10.64861/SFBT8061</w:t>
        </w:r>
      </w:hyperlink>
    </w:p>
    <w:p>
      <w:pPr>
        <w:pStyle w:val="BodyText"/>
        <w:spacing w:line="480" w:lineRule="auto"/>
        <w:ind w:firstLine="720"/>
      </w:pPr>
      <w:bookmarkStart w:id="167" w:name="ref-8"/>
      <w:bookmarkEnd w:id="167"/>
      <w:r>
        <w:t xml:space="preserve">8. Maciej Konacki, Nicolaus Copernicus Astronomical Center, Polish Academy of Sciences; Adrian Malacz, Polish Space Agency; Arkadiusz Chimicz, Polish Space Agency; Pawe? Lejba, Space Research Center, Polish Academy of Sciences, Borowiec Astrogeodynamic Observatory; Piotr Sybilski, Sybilla Technologies; Rafa? Paw?aszek, Sybilla Technologies; Stanis?aw Koz?owski, Cillium Engineering; Tomasz Suchodolski, Space Research Center, Polish Academy of Sciences, Borowiec Astrogeodynamic Observatory; Krzysztof Koz?owski, Institute of Automation and Robotics; Agnieszka Sybilska, Baltic Institute of Technology; Beata Rogowska, Nicolaus Copernicus Astronomical Center, Polish Academy of Sciences; Dariusz Pazderski, Institute of Automation and Robotics; Micha? ?o?nowski, 6Roads Ltd; Andy Shearer, National University of Ireland Galway; Agnieszka S?owikowska, Centre for Astronomy, Faculty of Physics, Astronomy and Informatics, Nicolaus Copernicus; Maciej Pilichowski, Sybilla Technologies; Marek Malawski, Polish Space Agency; Marcin G?dek, 6Roads Ltd. Optical, Laser and Processing Capabilities of the New Polish Space Situational Awareness Centre (2019). [AMOS]</w:t>
      </w:r>
    </w:p>
    <w:p>
      <w:pPr>
        <w:pStyle w:val="BodyText"/>
        <w:spacing w:line="480" w:lineRule="auto"/>
        <w:ind w:firstLine="720"/>
      </w:pPr>
      <w:bookmarkStart w:id="168" w:name="ref-9"/>
      <w:bookmarkEnd w:id="168"/>
      <w:r>
        <w:t xml:space="preserve">9. Anish Dey; Jithin Jagadanandan. Balancing commercialization and sustainability in outer space: Addressing new challenges (2025). doi:</w:t>
      </w:r>
      <w:r>
        <w:t xml:space="preserve"> </w:t>
      </w:r>
      <w:hyperlink r:id="rId169">
        <w:r>
          <w:rPr>
            <w:rStyle w:val="Hyperlink"/>
          </w:rPr>
          <w:t xml:space="preserve">10.1016/j.actaastro.2025.02.010</w:t>
        </w:r>
      </w:hyperlink>
    </w:p>
    <w:p>
      <w:pPr>
        <w:pStyle w:val="BodyText"/>
        <w:spacing w:line="480" w:lineRule="auto"/>
        <w:ind w:firstLine="720"/>
      </w:pPr>
      <w:bookmarkStart w:id="170" w:name="ref-10"/>
      <w:bookmarkEnd w:id="170"/>
      <w:r>
        <w:t xml:space="preserve">10. Anna Hurova; M. Becker; Nicolas Bécu. Gamification in space law: A strategy to navigate the growing landscape (2025). doi:</w:t>
      </w:r>
      <w:r>
        <w:t xml:space="preserve"> </w:t>
      </w:r>
      <w:hyperlink r:id="rId171">
        <w:r>
          <w:rPr>
            <w:rStyle w:val="Hyperlink"/>
          </w:rPr>
          <w:t xml:space="preserve">10.1016/j.actaastro.2025.01.054</w:t>
        </w:r>
      </w:hyperlink>
    </w:p>
    <w:p>
      <w:pPr>
        <w:pStyle w:val="BodyText"/>
        <w:spacing w:line="480" w:lineRule="auto"/>
        <w:ind w:firstLine="720"/>
      </w:pPr>
      <w:bookmarkStart w:id="172" w:name="ref-11"/>
      <w:bookmarkEnd w:id="172"/>
      <w:r>
        <w:t xml:space="preserve">11.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73">
        <w:r>
          <w:rPr>
            <w:rStyle w:val="Hyperlink"/>
          </w:rPr>
          <w:t xml:space="preserve">10.1016/j.actaastro.2025.04.063</w:t>
        </w:r>
      </w:hyperlink>
    </w:p>
    <w:p>
      <w:pPr>
        <w:pStyle w:val="BodyText"/>
        <w:spacing w:line="480" w:lineRule="auto"/>
        <w:ind w:firstLine="720"/>
      </w:pPr>
      <w:bookmarkStart w:id="174" w:name="ref-12"/>
      <w:bookmarkEnd w:id="174"/>
      <w:r>
        <w:t xml:space="preserve">12. Angel David Arcia Gil; Daniel Renwick; Chantal Cappelletti; Paul Blunt. Methodology for optimizing a Constellation of a Lunar Global Navigation System with a multi-objective optimization algorithm (2023). doi:</w:t>
      </w:r>
      <w:r>
        <w:t xml:space="preserve"> </w:t>
      </w:r>
      <w:hyperlink r:id="rId175">
        <w:r>
          <w:rPr>
            <w:rStyle w:val="Hyperlink"/>
          </w:rPr>
          <w:t xml:space="preserve">10.1016/j.actaastro.2023.01.003</w:t>
        </w:r>
      </w:hyperlink>
    </w:p>
    <w:p>
      <w:pPr>
        <w:pStyle w:val="BodyText"/>
        <w:spacing w:line="480" w:lineRule="auto"/>
        <w:ind w:firstLine="720"/>
      </w:pPr>
      <w:bookmarkStart w:id="176" w:name="ref-13"/>
      <w:bookmarkEnd w:id="176"/>
      <w:r>
        <w:t xml:space="preserve">13. Manu H. Nair; Mini C. Rai; Sarah Reade; Ori Bloch; Sam Adlen; Martin Soltau; D. Homfray. In-orbit assembly of high-value modular infrastructures: Holistic analysis and mission concepts (2025). doi:</w:t>
      </w:r>
      <w:r>
        <w:t xml:space="preserve"> </w:t>
      </w:r>
      <w:hyperlink r:id="rId177">
        <w:r>
          <w:rPr>
            <w:rStyle w:val="Hyperlink"/>
          </w:rPr>
          <w:t xml:space="preserve">10.1016/j.actaastro.2025.09.070</w:t>
        </w:r>
      </w:hyperlink>
    </w:p>
    <w:p>
      <w:pPr>
        <w:pStyle w:val="BodyText"/>
        <w:spacing w:line="480" w:lineRule="auto"/>
        <w:ind w:firstLine="720"/>
      </w:pPr>
      <w:bookmarkStart w:id="178" w:name="ref-14"/>
      <w:bookmarkEnd w:id="178"/>
      <w:r>
        <w:t xml:space="preserve">14. Anne-Marlene Rüede; Marc-André Chavy-Macdonald; Jean‐Paul Kneib; Jeffrey Huang. Towards a pattern language for complex-mode mission concept generation (2022). doi:</w:t>
      </w:r>
      <w:r>
        <w:t xml:space="preserve"> </w:t>
      </w:r>
      <w:hyperlink r:id="rId179">
        <w:r>
          <w:rPr>
            <w:rStyle w:val="Hyperlink"/>
          </w:rPr>
          <w:t xml:space="preserve">10.1016/j.actaastro.2022.11.005</w:t>
        </w:r>
      </w:hyperlink>
    </w:p>
    <w:p>
      <w:pPr>
        <w:pStyle w:val="BodyText"/>
        <w:spacing w:line="480" w:lineRule="auto"/>
        <w:ind w:firstLine="720"/>
      </w:pPr>
      <w:bookmarkStart w:id="180" w:name="ref-15"/>
      <w:bookmarkEnd w:id="180"/>
      <w:r>
        <w:t xml:space="preserve">15. Erik Geslin. Incorporating an exopsychological biocentric contact-willingness factor into the Drake Equation (2026). doi:</w:t>
      </w:r>
      <w:r>
        <w:t xml:space="preserve"> </w:t>
      </w:r>
      <w:hyperlink r:id="rId181">
        <w:r>
          <w:rPr>
            <w:rStyle w:val="Hyperlink"/>
          </w:rPr>
          <w:t xml:space="preserve">10.1016/j.actaastro.2026.03.030</w:t>
        </w:r>
      </w:hyperlink>
    </w:p>
    <w:p>
      <w:pPr>
        <w:pStyle w:val="BodyText"/>
        <w:spacing w:line="480" w:lineRule="auto"/>
        <w:ind w:firstLine="720"/>
      </w:pPr>
      <w:bookmarkStart w:id="182" w:name="ref-16"/>
      <w:bookmarkEnd w:id="182"/>
      <w:r>
        <w:t xml:space="preserve">16. Ben McKeown; Andrew G. Dempster; Serkan Saydam; Jeff Coulton. Placing lunar resources research in the context of mining feasibility studies (2025). doi:</w:t>
      </w:r>
      <w:r>
        <w:t xml:space="preserve"> </w:t>
      </w:r>
      <w:hyperlink r:id="rId183">
        <w:r>
          <w:rPr>
            <w:rStyle w:val="Hyperlink"/>
          </w:rPr>
          <w:t xml:space="preserve">10.1016/j.actaastro.2025.04.041</w:t>
        </w:r>
      </w:hyperlink>
    </w:p>
    <w:bookmarkEnd w:id="184"/>
    <w:bookmarkEnd w:id="185"/>
    <w:bookmarkStart w:id="20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3" w:name="X7588e0ac537182e9e6183e55e929d9a1cc0ddcb"/>
    <w:p>
      <w:pPr>
        <w:pStyle w:val="Heading2"/>
        <w:spacing w:line="480" w:lineRule="auto"/>
      </w:pPr>
      <w:r>
        <w:t xml:space="preserve">A.1 Signal Intensity in Norm Entrepreneurship and the Drafting of the Artemis Accords Whose Language Su: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1.764</w:t>
            </w:r>
          </w:p>
        </w:tc>
        <w:tc>
          <w:tcPr>
            <w:tcW w:w="0" w:type="auto"/>
          </w:tcPr>
          <w:p>
            <w:pPr>
              <w:spacing w:line="240" w:lineRule="auto" w:before="0" w:after="0"/>
              <w:pStyle w:val="Compact"/>
            </w:pPr>
            <w:r>
              <w:rPr>
                <w:sz w:val="20"/>
                <w:szCs w:val="20"/>
              </w:rPr>
              <w:t xml:space="preserve">1.0364</w:t>
            </w:r>
          </w:p>
        </w:tc>
        <w:tc>
          <w:tcPr>
            <w:tcW w:w="0" w:type="auto"/>
          </w:tcPr>
          <w:p>
            <w:pPr>
              <w:spacing w:line="240" w:lineRule="auto" w:before="0" w:after="0"/>
              <w:pStyle w:val="Compact"/>
            </w:pPr>
            <w:r>
              <w:rPr>
                <w:sz w:val="20"/>
                <w:szCs w:val="20"/>
              </w:rPr>
              <w:t xml:space="preserve">1.702</w:t>
            </w:r>
          </w:p>
        </w:tc>
        <w:tc>
          <w:tcPr>
            <w:tcW w:w="0" w:type="auto"/>
          </w:tcPr>
          <w:p>
            <w:pPr>
              <w:spacing w:line="240" w:lineRule="auto" w:before="0" w:after="0"/>
              <w:pStyle w:val="Compact"/>
            </w:pPr>
            <w:r>
              <w:rPr>
                <w:sz w:val="20"/>
                <w:szCs w:val="20"/>
              </w:rPr>
              <w:t xml:space="preserve">0.0888</w:t>
            </w:r>
          </w:p>
        </w:tc>
        <w:tc>
          <w:tcPr>
            <w:tcW w:w="0" w:type="auto"/>
          </w:tcPr>
          <w:p>
            <w:pPr>
              <w:spacing w:line="240" w:lineRule="auto" w:before="0" w:after="0"/>
              <w:pStyle w:val="Compact"/>
            </w:pPr>
            <w:r>
              <w:rPr>
                <w:sz w:val="20"/>
                <w:szCs w:val="20"/>
              </w:rPr>
              <w:t xml:space="preserve">[-0.2674, 3.7953]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-0.0687</w:t>
            </w:r>
          </w:p>
        </w:tc>
        <w:tc>
          <w:tcPr>
            <w:tcW w:w="0" w:type="auto"/>
          </w:tcPr>
          <w:p>
            <w:pPr>
              <w:spacing w:line="240" w:lineRule="auto" w:before="0" w:after="0"/>
              <w:pStyle w:val="Compact"/>
            </w:pPr>
            <w:r>
              <w:rPr>
                <w:sz w:val="20"/>
                <w:szCs w:val="20"/>
              </w:rPr>
              <w:t xml:space="preserve">0.1807</w:t>
            </w:r>
          </w:p>
        </w:tc>
        <w:tc>
          <w:tcPr>
            <w:tcW w:w="0" w:type="auto"/>
          </w:tcPr>
          <w:p>
            <w:pPr>
              <w:spacing w:line="240" w:lineRule="auto" w:before="0" w:after="0"/>
              <w:pStyle w:val="Compact"/>
            </w:pPr>
            <w:r>
              <w:rPr>
                <w:sz w:val="20"/>
                <w:szCs w:val="20"/>
              </w:rPr>
              <w:t xml:space="preserve">-0.3801</w:t>
            </w:r>
          </w:p>
        </w:tc>
        <w:tc>
          <w:tcPr>
            <w:tcW w:w="0" w:type="auto"/>
          </w:tcPr>
          <w:p>
            <w:pPr>
              <w:spacing w:line="240" w:lineRule="auto" w:before="0" w:after="0"/>
              <w:pStyle w:val="Compact"/>
            </w:pPr>
            <w:r>
              <w:rPr>
                <w:sz w:val="20"/>
                <w:szCs w:val="20"/>
              </w:rPr>
              <w:t xml:space="preserve">0.7039</w:t>
            </w:r>
          </w:p>
        </w:tc>
        <w:tc>
          <w:tcPr>
            <w:tcW w:w="0" w:type="auto"/>
          </w:tcPr>
          <w:p>
            <w:pPr>
              <w:spacing w:line="240" w:lineRule="auto" w:before="0" w:after="0"/>
              <w:pStyle w:val="Compact"/>
            </w:pPr>
            <w:r>
              <w:rPr>
                <w:sz w:val="20"/>
                <w:szCs w:val="20"/>
              </w:rPr>
              <w:t xml:space="preserve">[-0.4228, 0.2855]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2.4067</w:t>
            </w:r>
          </w:p>
        </w:tc>
        <w:tc>
          <w:tcPr>
            <w:tcW w:w="0" w:type="auto"/>
          </w:tcPr>
          <w:p>
            <w:pPr>
              <w:spacing w:line="240" w:lineRule="auto" w:before="0" w:after="0"/>
              <w:pStyle w:val="Compact"/>
            </w:pPr>
            <w:r>
              <w:rPr>
                <w:sz w:val="20"/>
                <w:szCs w:val="20"/>
              </w:rPr>
              <w:t xml:space="preserve">0.0161</w:t>
            </w:r>
          </w:p>
        </w:tc>
        <w:tc>
          <w:tcPr>
            <w:tcW w:w="0" w:type="auto"/>
          </w:tcPr>
          <w:p>
            <w:pPr>
              <w:spacing w:line="240" w:lineRule="auto" w:before="0" w:after="0"/>
              <w:pStyle w:val="Compact"/>
            </w:pPr>
            <w:r>
              <w:rPr>
                <w:sz w:val="20"/>
                <w:szCs w:val="20"/>
              </w:rPr>
              <w:t xml:space="preserve">[0.0226, 0.2208]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0.9842</w:t>
            </w:r>
          </w:p>
        </w:tc>
        <w:tc>
          <w:tcPr>
            <w:tcW w:w="0" w:type="auto"/>
          </w:tcPr>
          <w:p>
            <w:pPr>
              <w:spacing w:line="240" w:lineRule="auto" w:before="0" w:after="0"/>
              <w:pStyle w:val="Compact"/>
            </w:pPr>
            <w:r>
              <w:rPr>
                <w:sz w:val="20"/>
                <w:szCs w:val="20"/>
              </w:rPr>
              <w:t xml:space="preserve">0.6564</w:t>
            </w:r>
          </w:p>
        </w:tc>
        <w:tc>
          <w:tcPr>
            <w:tcW w:w="0" w:type="auto"/>
          </w:tcPr>
          <w:p>
            <w:pPr>
              <w:spacing w:line="240" w:lineRule="auto" w:before="0" w:after="0"/>
              <w:pStyle w:val="Compact"/>
            </w:pPr>
            <w:r>
              <w:rPr>
                <w:sz w:val="20"/>
                <w:szCs w:val="20"/>
              </w:rPr>
              <w:t xml:space="preserve">1.4995</w:t>
            </w:r>
          </w:p>
        </w:tc>
        <w:tc>
          <w:tcPr>
            <w:tcW w:w="0" w:type="auto"/>
          </w:tcPr>
          <w:p>
            <w:pPr>
              <w:spacing w:line="240" w:lineRule="auto" w:before="0" w:after="0"/>
              <w:pStyle w:val="Compact"/>
            </w:pPr>
            <w:r>
              <w:rPr>
                <w:sz w:val="20"/>
                <w:szCs w:val="20"/>
              </w:rPr>
              <w:t xml:space="preserve">0.1338</w:t>
            </w:r>
          </w:p>
        </w:tc>
        <w:tc>
          <w:tcPr>
            <w:tcW w:w="0" w:type="auto"/>
          </w:tcPr>
          <w:p>
            <w:pPr>
              <w:spacing w:line="240" w:lineRule="auto" w:before="0" w:after="0"/>
              <w:pStyle w:val="Compact"/>
            </w:pPr>
            <w:r>
              <w:rPr>
                <w:sz w:val="20"/>
                <w:szCs w:val="20"/>
              </w:rPr>
              <w:t xml:space="preserve">[-0.3023, 2.2708]</w:t>
            </w:r>
          </w:p>
        </w:tc>
      </w:tr>
    </w:tbl>
    <w:p>
      <w:pPr>
        <w:pStyle w:val="BodyText"/>
        <w:spacing w:line="480" w:lineRule="auto"/>
        <w:ind w:firstLine="720"/>
      </w:pPr>
      <w:r>
        <w:t xml:space="preserve">Fit: N = 30 R2 = 0.232 R2_adj = 0.1433 F = 4.3197 F_p = 0.0134</w:t>
      </w:r>
    </w:p>
    <w:bookmarkEnd w:id="186"/>
    <w:bookmarkStart w:id="19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8" name="Picture"/>
            <a:graphic>
              <a:graphicData uri="http://schemas.openxmlformats.org/drawingml/2006/picture">
                <pic:pic>
                  <pic:nvPicPr>
                    <pic:cNvPr descr="D:/Claude_Code/brain/collegium/candidates/dissertations/INTL_GOVERNANCE_08/research_papers/p1/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0"/>
    <w:bookmarkStart w:id="19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10.64861/OEWV1817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10.64861/SFBT8061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10.1016/j.actaastro.2023.01.003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191"/>
    <w:bookmarkStart w:id="19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2"/>
    <w:bookmarkEnd w:id="193"/>
    <w:bookmarkStart w:id="201" w:name="X46dd016c4c67c96ae5331c3d2c46573fdeffcf6"/>
    <w:p>
      <w:pPr>
        <w:pStyle w:val="Heading2"/>
        <w:spacing w:line="480" w:lineRule="auto"/>
      </w:pPr>
      <w:r>
        <w:t xml:space="preserve">A.2 Attention Accumulation in Norm Entrepreneurship and the Drafting of the Artemis Accords Whose Language Su: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0.7199</w:t>
            </w:r>
          </w:p>
        </w:tc>
        <w:tc>
          <w:tcPr>
            <w:tcW w:w="0" w:type="auto"/>
          </w:tcPr>
          <w:p>
            <w:pPr>
              <w:spacing w:line="240" w:lineRule="auto" w:before="0" w:after="0"/>
              <w:pStyle w:val="Compact"/>
            </w:pPr>
            <w:r>
              <w:rPr>
                <w:sz w:val="20"/>
                <w:szCs w:val="20"/>
              </w:rPr>
              <w:t xml:space="preserve">0.294</w:t>
            </w:r>
          </w:p>
        </w:tc>
        <w:tc>
          <w:tcPr>
            <w:tcW w:w="0" w:type="auto"/>
          </w:tcPr>
          <w:p>
            <w:pPr>
              <w:spacing w:line="240" w:lineRule="auto" w:before="0" w:after="0"/>
              <w:pStyle w:val="Compact"/>
            </w:pPr>
            <w:r>
              <w:rPr>
                <w:sz w:val="20"/>
                <w:szCs w:val="20"/>
              </w:rPr>
              <w:t xml:space="preserve">2.4486</w:t>
            </w:r>
          </w:p>
        </w:tc>
        <w:tc>
          <w:tcPr>
            <w:tcW w:w="0" w:type="auto"/>
          </w:tcPr>
          <w:p>
            <w:pPr>
              <w:spacing w:line="240" w:lineRule="auto" w:before="0" w:after="0"/>
              <w:pStyle w:val="Compact"/>
            </w:pPr>
            <w:r>
              <w:rPr>
                <w:sz w:val="20"/>
                <w:szCs w:val="20"/>
              </w:rPr>
              <w:t xml:space="preserve">0.0143</w:t>
            </w:r>
          </w:p>
        </w:tc>
        <w:tc>
          <w:tcPr>
            <w:tcW w:w="0" w:type="auto"/>
          </w:tcPr>
          <w:p>
            <w:pPr>
              <w:spacing w:line="240" w:lineRule="auto" w:before="0" w:after="0"/>
              <w:pStyle w:val="Compact"/>
            </w:pPr>
            <w:r>
              <w:rPr>
                <w:sz w:val="20"/>
                <w:szCs w:val="20"/>
              </w:rPr>
              <w:t xml:space="preserve">[0.1437, 1.2961]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-0.1323</w:t>
            </w:r>
          </w:p>
        </w:tc>
        <w:tc>
          <w:tcPr>
            <w:tcW w:w="0" w:type="auto"/>
          </w:tcPr>
          <w:p>
            <w:pPr>
              <w:spacing w:line="240" w:lineRule="auto" w:before="0" w:after="0"/>
              <w:pStyle w:val="Compact"/>
            </w:pPr>
            <w:r>
              <w:rPr>
                <w:sz w:val="20"/>
                <w:szCs w:val="20"/>
              </w:rPr>
              <w:t xml:space="preserve">0.2001</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0.5083</w:t>
            </w:r>
          </w:p>
        </w:tc>
        <w:tc>
          <w:tcPr>
            <w:tcW w:w="0" w:type="auto"/>
          </w:tcPr>
          <w:p>
            <w:pPr>
              <w:spacing w:line="240" w:lineRule="auto" w:before="0" w:after="0"/>
              <w:pStyle w:val="Compact"/>
            </w:pPr>
            <w:r>
              <w:rPr>
                <w:sz w:val="20"/>
                <w:szCs w:val="20"/>
              </w:rPr>
              <w:t xml:space="preserve">[-0.5245, 0.2598]</w:t>
            </w:r>
          </w:p>
        </w:tc>
      </w:tr>
    </w:tbl>
    <w:p>
      <w:pPr>
        <w:pStyle w:val="BodyText"/>
        <w:spacing w:line="480" w:lineRule="auto"/>
        <w:ind w:firstLine="720"/>
      </w:pPr>
      <w:r>
        <w:t xml:space="preserve">Fit: N = 30 R2 = 0.0068 elasticity_b = -0.1323 progress_ratio_2^b = 0.9123</w:t>
      </w:r>
    </w:p>
    <w:bookmarkEnd w:id="194"/>
    <w:bookmarkStart w:id="19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6" name="Picture"/>
            <a:graphic>
              <a:graphicData uri="http://schemas.openxmlformats.org/drawingml/2006/picture">
                <pic:pic>
                  <pic:nvPicPr>
                    <pic:cNvPr descr="D:/Claude_Code/brain/collegium/candidates/dissertations/INTL_GOVERNANCE_08/research_papers/p2/paper_fig1.png" id="197" name="Picture"/>
                    <pic:cNvPicPr>
                      <a:picLocks noChangeArrowheads="1" noChangeAspect="1"/>
                    </pic:cNvPicPr>
                  </pic:nvPicPr>
                  <pic:blipFill>
                    <a:blip r:embed="rId19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8"/>
    <w:bookmarkStart w:id="19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10.64861/OEWV1817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10.64861/SFBT8061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10.1016/j.actaastro.2023.01.003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199"/>
    <w:bookmarkStart w:id="20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0"/>
    <w:bookmarkEnd w:id="201"/>
    <w:bookmarkEnd w:id="20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7" Type="http://schemas.openxmlformats.org/officeDocument/2006/relationships/image" Target="media/rId187.png"/><Relationship Id="rId195" Type="http://schemas.openxmlformats.org/officeDocument/2006/relationships/image" Target="media/rId195.png"/><Relationship Id="rId179" Type="http://schemas.openxmlformats.org/officeDocument/2006/relationships/hyperlink" Target="https://doi.org/10.1016/j.actaastro.2022.11.005" TargetMode="External"/><Relationship Id="rId175" Type="http://schemas.openxmlformats.org/officeDocument/2006/relationships/hyperlink" Target="https://doi.org/10.1016/j.actaastro.2023.01.003" TargetMode="External"/><Relationship Id="rId171" Type="http://schemas.openxmlformats.org/officeDocument/2006/relationships/hyperlink" Target="https://doi.org/10.1016/j.actaastro.2025.01.054" TargetMode="External"/><Relationship Id="rId169" Type="http://schemas.openxmlformats.org/officeDocument/2006/relationships/hyperlink" Target="https://doi.org/10.1016/j.actaastro.2025.02.010" TargetMode="External"/><Relationship Id="rId183" Type="http://schemas.openxmlformats.org/officeDocument/2006/relationships/hyperlink" Target="https://doi.org/10.1016/j.actaastro.2025.04.041" TargetMode="External"/><Relationship Id="rId173" Type="http://schemas.openxmlformats.org/officeDocument/2006/relationships/hyperlink" Target="https://doi.org/10.1016/j.actaastro.2025.04.063" TargetMode="External"/><Relationship Id="rId177" Type="http://schemas.openxmlformats.org/officeDocument/2006/relationships/hyperlink" Target="https://doi.org/10.1016/j.actaastro.2025.09.070" TargetMode="External"/><Relationship Id="rId181" Type="http://schemas.openxmlformats.org/officeDocument/2006/relationships/hyperlink" Target="https://doi.org/10.1016/j.actaastro.2026.03.030" TargetMode="External"/><Relationship Id="rId162" Type="http://schemas.openxmlformats.org/officeDocument/2006/relationships/hyperlink" Target="https://doi.org/10.64861/AZUD8556" TargetMode="External"/><Relationship Id="rId160" Type="http://schemas.openxmlformats.org/officeDocument/2006/relationships/hyperlink" Target="https://doi.org/10.64861/KSPN2451" TargetMode="External"/><Relationship Id="rId164" Type="http://schemas.openxmlformats.org/officeDocument/2006/relationships/hyperlink" Target="https://doi.org/10.64861/OEWV1817" TargetMode="External"/><Relationship Id="rId166" Type="http://schemas.openxmlformats.org/officeDocument/2006/relationships/hyperlink" Target="https://doi.org/10.64861/SFBT8061" TargetMode="External"/><Relationship Id="rId157" Type="http://schemas.openxmlformats.org/officeDocument/2006/relationships/hyperlink" Target="https://doi.org/10.64861/SYQO6621" TargetMode="External"/></Relationships>
</file>

<file path=word/_rels/footnotes.xml.rels><?xml version='1.0' encoding='UTF-8' standalone='yes'?>
<Relationships xmlns="http://schemas.openxmlformats.org/package/2006/relationships"><Relationship Id="rId179" Type="http://schemas.openxmlformats.org/officeDocument/2006/relationships/hyperlink" Target="https://doi.org/10.1016/j.actaastro.2022.11.005" TargetMode="External"/><Relationship Id="rId175" Type="http://schemas.openxmlformats.org/officeDocument/2006/relationships/hyperlink" Target="https://doi.org/10.1016/j.actaastro.2023.01.003" TargetMode="External"/><Relationship Id="rId171" Type="http://schemas.openxmlformats.org/officeDocument/2006/relationships/hyperlink" Target="https://doi.org/10.1016/j.actaastro.2025.01.054" TargetMode="External"/><Relationship Id="rId169" Type="http://schemas.openxmlformats.org/officeDocument/2006/relationships/hyperlink" Target="https://doi.org/10.1016/j.actaastro.2025.02.010" TargetMode="External"/><Relationship Id="rId183" Type="http://schemas.openxmlformats.org/officeDocument/2006/relationships/hyperlink" Target="https://doi.org/10.1016/j.actaastro.2025.04.041" TargetMode="External"/><Relationship Id="rId173" Type="http://schemas.openxmlformats.org/officeDocument/2006/relationships/hyperlink" Target="https://doi.org/10.1016/j.actaastro.2025.04.063" TargetMode="External"/><Relationship Id="rId177" Type="http://schemas.openxmlformats.org/officeDocument/2006/relationships/hyperlink" Target="https://doi.org/10.1016/j.actaastro.2025.09.070" TargetMode="External"/><Relationship Id="rId181" Type="http://schemas.openxmlformats.org/officeDocument/2006/relationships/hyperlink" Target="https://doi.org/10.1016/j.actaastro.2026.03.030" TargetMode="External"/><Relationship Id="rId162" Type="http://schemas.openxmlformats.org/officeDocument/2006/relationships/hyperlink" Target="https://doi.org/10.64861/AZUD8556" TargetMode="External"/><Relationship Id="rId160" Type="http://schemas.openxmlformats.org/officeDocument/2006/relationships/hyperlink" Target="https://doi.org/10.64861/KSPN2451" TargetMode="External"/><Relationship Id="rId164" Type="http://schemas.openxmlformats.org/officeDocument/2006/relationships/hyperlink" Target="https://doi.org/10.64861/OEWV1817" TargetMode="External"/><Relationship Id="rId166" Type="http://schemas.openxmlformats.org/officeDocument/2006/relationships/hyperlink" Target="https://doi.org/10.64861/SFBT8061" TargetMode="External"/><Relationship Id="rId157" Type="http://schemas.openxmlformats.org/officeDocument/2006/relationships/hyperlink" Target="https://doi.org/10.64861/SYQO66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 Entrepreneurship and the Drafting of the Artemis Accords: Whose Language Su</dc:title>
  <dc:creator>Amara Rahman (1B-IGV-208)</dc:creator>
  <cp:keywords/>
  <dcterms:created xsi:type="dcterms:W3CDTF">2026-07-04T11:10:34Z</dcterms:created>
  <dcterms:modified xsi:type="dcterms:W3CDTF">2026-07-04T11:10:34Z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