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a50c48d3c1da5b8d84d9f23db09d4fe563f1fa0"/>
    <w:p>
      <w:pPr>
        <w:pStyle w:val="Heading1"/>
      </w:pPr>
      <w:r>
        <w:t xml:space="preserve">Attention Accumulation in Weaponized Interdependence in the Launch and Component Supply Chain Does Chokep: A Learning-Curve Analysis of Citation Growth by Article Age</w:t>
      </w:r>
    </w:p>
    <w:bookmarkStart w:id="61" w:name="introduction"/>
    <w:p>
      <w:pPr>
        <w:pStyle w:val="Heading2"/>
      </w:pPr>
      <w:r>
        <w:t xml:space="preserve">1. Introduction</w:t>
      </w:r>
    </w:p>
    <w:p>
      <w:pPr>
        <w:pStyle w:val="FirstParagraph"/>
      </w:pPr>
      <w:r>
        <w:t xml:space="preserve">This paper asks whether citation attention in the local source environment scales meaningfully with article age. The broader dissertation is about chokepoint control and governance leverage. Before ranking sources by prestige or maturity, it is useful to know whether the visible corpus behaves as though older records accumulate systematically more attention.</w:t>
      </w:r>
    </w:p>
    <w:p>
      <w:pPr>
        <w:pStyle w:val="BodyText"/>
      </w:pPr>
      <w:r>
        <w:t xml:space="preserve">The same thirty retrieved records used in Paper 1 are analyzed here with a log-log learning-curve specification. The purpose is diagnostic. It maps the attention structure of the candidate’s source environment, not the causal effect of supply-chain dependence on governance outcomes</w:t>
      </w:r>
      <w:r>
        <w:t xml:space="preserve"> </w:t>
      </w:r>
      <w:hyperlink w:anchor="ref-1">
        <m:oMathPara>
          <m:oMathParaPr>
            <m:jc m:val="center"/>
          </m:oMathParaPr>
          <m:oMath>
            <m:r>
              <m:t>1</m:t>
            </m:r>
          </m:oMath>
        </m:oMathPara>
      </w:hyperlink>
      <w:r>
        <w:t xml:space="preserve">,</w:t>
      </w:r>
      <w:r>
        <w:t xml:space="preserve"> </w:t>
      </w:r>
      <w:hyperlink w:anchor="ref-8">
        <m:oMathPara>
          <m:oMathParaPr>
            <m:jc m:val="center"/>
          </m:oMathParaPr>
          <m:oMath>
            <m:r>
              <m:t>8</m:t>
            </m:r>
          </m:oMath>
        </m:oMathPara>
      </w:hyperlink>
      <w:r>
        <w:t xml:space="preserve">,</w:t>
      </w:r>
      <w:r>
        <w:t xml:space="preserve"> </w:t>
      </w:r>
      <w:hyperlink w:anchor="ref-9">
        <m:oMathPara>
          <m:oMathParaPr>
            <m:jc m:val="center"/>
          </m:oMathParaPr>
          <m:oMath>
            <m:r>
              <m:t>9</m:t>
            </m:r>
          </m:oMath>
        </m:oMathPara>
      </w:hyperlink>
      <w:r>
        <w:t xml:space="preserve">.</w:t>
      </w:r>
    </w:p>
    <w:bookmarkEnd w:id="61"/>
    <w:bookmarkStart w:id="62" w:name="data-and-method"/>
    <w:p>
      <w:pPr>
        <w:pStyle w:val="Heading2"/>
      </w:pPr>
      <w:r>
        <w:t xml:space="preserve">2. Data and Method</w:t>
      </w:r>
    </w:p>
    <w:p>
      <w:pPr>
        <w:pStyle w:val="FirstParagraph"/>
      </w:pPr>
      <w:r>
        <w:t xml:space="preserve">Article age is defined as 2026 minus publication year plus one. Citation count plus one is used so that the log transform remains defined for uncited observations. The coefficient on log age is interpreted as an elasticity, and the associated progress ratio translates the estimate into the expected proportional change associated with a doubling of age.</w:t>
      </w:r>
    </w:p>
    <w:bookmarkEnd w:id="62"/>
    <w:bookmarkStart w:id="63" w:name="results"/>
    <w:p>
      <w:pPr>
        <w:pStyle w:val="Heading2"/>
      </w:pPr>
      <w:r>
        <w:t xml:space="preserve">3. Results</w:t>
      </w:r>
    </w:p>
    <w:p>
      <w:pPr>
        <w:pStyle w:val="FirstParagraph"/>
      </w:pPr>
      <w:r>
        <w:t xml:space="preserve">The fitted model uses thirty observations. The estimated elasticity is -0.01589 with robust standard error 0.3765 and p-value 0.9663. Model</w:t>
      </w:r>
      <w:r>
        <w:t xml:space="preserve"> </w:t>
      </w:r>
      <m:oMath>
        <m:sSup>
          <m:e>
            <m:r>
              <m:t>R</m:t>
            </m:r>
          </m:e>
          <m:sup>
            <m:r>
              <m:t>2</m:t>
            </m:r>
          </m:sup>
        </m:sSup>
      </m:oMath>
      <w:r>
        <w:t xml:space="preserve"> </w:t>
      </w:r>
      <w:r>
        <w:t xml:space="preserve">is effectively zero at 0.00005. The implied progress ratio is 0.9890. Substantively, the paper finds no meaningful age-attention relationship in this corpus.</w:t>
      </w:r>
    </w:p>
    <w:p>
      <w:pPr>
        <w:pStyle w:val="BodyText"/>
      </w:pPr>
      <w:r>
        <w:t xml:space="preserve">That null matters. It means the visible citation structure of the local source set is not being driven by age in a stable or useful way. Older records are not systematically more attended, and newer records are not systematically less attended once the log-log relation is estimated on this sample.</w:t>
      </w:r>
    </w:p>
    <w:bookmarkEnd w:id="63"/>
    <w:bookmarkStart w:id="64" w:name="interpretation"/>
    <w:p>
      <w:pPr>
        <w:pStyle w:val="Heading2"/>
      </w:pPr>
      <w:r>
        <w:t xml:space="preserve">4. Interpretation</w:t>
      </w:r>
    </w:p>
    <w:p>
      <w:pPr>
        <w:pStyle w:val="FirstParagraph"/>
      </w:pPr>
      <w:r>
        <w:t xml:space="preserve">The dissertation should therefore not rely on article age as a sorting heuristic for conceptual centrality. The corpus mixes operational AMOS material, industrial-policy Acta work, and contested-environment studies in a way that appears largely orthogonal to age. Some recent items are already salient because the underlying industrial and governance questions are moving quickly. Some older items remain lightly attended despite conceptual relevance.</w:t>
      </w:r>
    </w:p>
    <w:p>
      <w:pPr>
        <w:pStyle w:val="BodyText"/>
      </w:pPr>
      <w:r>
        <w:t xml:space="preserve">That pattern strengthens the argument for manual curation. The relevant literature for weaponized interdependence in space is not a simple maturity ladder. It is a mixed environment where topic fit, operational relevance, and industrial specificity matter more than age alone.</w:t>
      </w:r>
    </w:p>
    <w:bookmarkEnd w:id="64"/>
    <w:bookmarkStart w:id="65" w:name="discussion"/>
    <w:p>
      <w:pPr>
        <w:pStyle w:val="Heading2"/>
      </w:pPr>
      <w:r>
        <w:t xml:space="preserve">5. Discussion</w:t>
      </w:r>
    </w:p>
    <w:p>
      <w:pPr>
        <w:pStyle w:val="FirstParagraph"/>
      </w:pPr>
      <w:r>
        <w:t xml:space="preserve">The learning-curve result should not be overread. It is a property of a small retrieval-based corpus and of local index citation counts. Still, it performs an important disciplining role. It warns the larger dissertation not to treat older sources as inherently foundational in an empirical sense. For this candidate, age carries almost no explanatory content in the visible attention structure.</w:t>
      </w:r>
    </w:p>
    <w:bookmarkEnd w:id="65"/>
    <w:bookmarkStart w:id="81" w:name="references"/>
    <w:p>
      <w:pPr>
        <w:pStyle w:val="Heading2"/>
      </w:pPr>
      <w:r>
        <w:t xml:space="preserve">References</w:t>
      </w:r>
    </w:p>
    <w:p>
      <w:pPr>
        <w:pStyle w:val="FirstParagraph"/>
      </w:pPr>
      <w:bookmarkStart w:id="66" w:name="ref-1"/>
      <w:bookmarkEnd w:id="66"/>
      <w:r>
        <w:t xml:space="preserve">1. H. Reed, N. Tsamis, and N. Dailey,</w:t>
      </w:r>
      <w:r>
        <w:t xml:space="preserve"> </w:t>
      </w:r>
      <w:r>
        <w:t xml:space="preserve">“Space Sustainability and Traffic Management Requires Trusted Space Stakeholder Coordination,”</w:t>
      </w:r>
      <w:r>
        <w:t xml:space="preserve"> </w:t>
      </w:r>
      <w:r>
        <w:t xml:space="preserve">AMOS, 2023, doi:</w:t>
      </w:r>
      <w:r>
        <w:t xml:space="preserve"> </w:t>
      </w:r>
      <w:hyperlink r:id="rId67">
        <w:r>
          <w:rPr>
            <w:rStyle w:val="Hyperlink"/>
          </w:rPr>
          <w:t xml:space="preserve">10.64861/MVHC2799</w:t>
        </w:r>
      </w:hyperlink>
      <w:r>
        <w:t xml:space="preserve"> </w:t>
      </w:r>
      <w:bookmarkStart w:id="68" w:name="ref-2"/>
      <w:bookmarkEnd w:id="68"/>
      <w:r>
        <w:t xml:space="preserve">2. C. Harris, M. Rodriguez, V. Wright, J. Kadan, and J. Fletcher,</w:t>
      </w:r>
      <w:r>
        <w:t xml:space="preserve"> </w:t>
      </w:r>
      <w:r>
        <w:t xml:space="preserve">“Decisive Mission Analysis Capability: A Physics-Based Testing and Evaluation Framework for Space Domain Awareness,”</w:t>
      </w:r>
      <w:r>
        <w:t xml:space="preserve"> </w:t>
      </w:r>
      <w:r>
        <w:t xml:space="preserve">AMOS, 2025, doi:</w:t>
      </w:r>
      <w:r>
        <w:t xml:space="preserve"> </w:t>
      </w:r>
      <w:hyperlink r:id="rId69">
        <w:r>
          <w:rPr>
            <w:rStyle w:val="Hyperlink"/>
          </w:rPr>
          <w:t xml:space="preserve">10.64861/CKQN3841</w:t>
        </w:r>
      </w:hyperlink>
      <w:r>
        <w:t xml:space="preserve"> </w:t>
      </w:r>
      <w:bookmarkStart w:id="70" w:name="ref-3"/>
      <w:bookmarkEnd w:id="70"/>
      <w:r>
        <w:t xml:space="preserve">3. Y. Latif, S. Bagchi, L. M. Pratti, H. Reed, R. Stilwell, and G. Furlich,</w:t>
      </w:r>
      <w:r>
        <w:t xml:space="preserve"> </w:t>
      </w:r>
      <w:r>
        <w:t xml:space="preserve">“Towards an AI-enabled Space Battle Management System on Space Protocol’s Quantum Resilient Blockchain,”</w:t>
      </w:r>
      <w:r>
        <w:t xml:space="preserve"> </w:t>
      </w:r>
      <w:r>
        <w:t xml:space="preserve">AMOS, 2025, doi:</w:t>
      </w:r>
      <w:r>
        <w:t xml:space="preserve"> </w:t>
      </w:r>
      <w:hyperlink r:id="rId71">
        <w:r>
          <w:rPr>
            <w:rStyle w:val="Hyperlink"/>
          </w:rPr>
          <w:t xml:space="preserve">10.64861/CEPU7718</w:t>
        </w:r>
      </w:hyperlink>
      <w:r>
        <w:t xml:space="preserve"> </w:t>
      </w:r>
      <w:bookmarkStart w:id="72" w:name="ref-4"/>
      <w:bookmarkEnd w:id="72"/>
      <w:r>
        <w:t xml:space="preserve">4. R. Carden, D. Burchett, and H. Reed,</w:t>
      </w:r>
      <w:r>
        <w:t xml:space="preserve"> </w:t>
      </w:r>
      <w:r>
        <w:t xml:space="preserve">“SNARE (Sensor Network Autonomous Resilient Extensible): Decentralized Sensor Tasking Improves SDA Tactical Relevance,”</w:t>
      </w:r>
      <w:r>
        <w:t xml:space="preserve"> </w:t>
      </w:r>
      <w:r>
        <w:t xml:space="preserve">AMOS, 2021.</w:t>
      </w:r>
      <w:r>
        <w:t xml:space="preserve"> </w:t>
      </w:r>
      <w:bookmarkStart w:id="73" w:name="ref-5"/>
      <w:bookmarkEnd w:id="73"/>
      <w:r>
        <w:t xml:space="preserve">5. K. Shahady,</w:t>
      </w:r>
      <w:r>
        <w:t xml:space="preserve"> </w:t>
      </w:r>
      <w:r>
        <w:t xml:space="preserve">“The Future Risk of Space Debris and Contested Environments Increases the Intrinsic and Actual Cost of GEO Slots,”</w:t>
      </w:r>
      <w:r>
        <w:t xml:space="preserve"> </w:t>
      </w:r>
      <w:r>
        <w:t xml:space="preserve">AMOS, 2023, doi:</w:t>
      </w:r>
      <w:r>
        <w:t xml:space="preserve"> </w:t>
      </w:r>
      <w:hyperlink r:id="rId74">
        <w:r>
          <w:rPr>
            <w:rStyle w:val="Hyperlink"/>
          </w:rPr>
          <w:t xml:space="preserve">10.64861/DYBG6563</w:t>
        </w:r>
      </w:hyperlink>
      <w:r>
        <w:t xml:space="preserve"> </w:t>
      </w:r>
      <w:bookmarkStart w:id="75" w:name="ref-6"/>
      <w:bookmarkEnd w:id="75"/>
      <w:r>
        <w:t xml:space="preserve">6. G. Denis, D. Alary, X. Pasco, N. Pisot, D. Texier, and S. Toulza,</w:t>
      </w:r>
      <w:r>
        <w:t xml:space="preserve"> </w:t>
      </w:r>
      <w:r>
        <w:t xml:space="preserve">“From new space to big space: How commercial space dream is becoming a reality,”</w:t>
      </w:r>
      <w:r>
        <w:t xml:space="preserve"> </w:t>
      </w:r>
      <w:r>
        <w:t xml:space="preserve">Acta Astronautica, 2019, doi:</w:t>
      </w:r>
      <w:r>
        <w:t xml:space="preserve"> </w:t>
      </w:r>
      <w:hyperlink r:id="rId76">
        <w:r>
          <w:rPr>
            <w:rStyle w:val="Hyperlink"/>
          </w:rPr>
          <w:t xml:space="preserve">10.1016/j.actaastro.2019.08.031</w:t>
        </w:r>
      </w:hyperlink>
      <w:r>
        <w:t xml:space="preserve"> </w:t>
      </w:r>
      <w:bookmarkStart w:id="77" w:name="ref-7"/>
      <w:bookmarkEnd w:id="77"/>
      <w:r>
        <w:t xml:space="preserve">7. A. Paravano, B. Rosseau, G. Locatelli, M. Weinzierl, and P. Trucco,</w:t>
      </w:r>
      <w:r>
        <w:t xml:space="preserve"> </w:t>
      </w:r>
      <w:r>
        <w:t xml:space="preserve">“Toward the LEO economy: A value assessment of commercial space stations for space and non-space users,”</w:t>
      </w:r>
      <w:r>
        <w:t xml:space="preserve"> </w:t>
      </w:r>
      <w:r>
        <w:t xml:space="preserve">Acta Astronautica, 2024, doi:</w:t>
      </w:r>
      <w:r>
        <w:t xml:space="preserve"> </w:t>
      </w:r>
      <w:hyperlink r:id="rId78">
        <w:r>
          <w:rPr>
            <w:rStyle w:val="Hyperlink"/>
          </w:rPr>
          <w:t xml:space="preserve">10.1016/j.actaastro.2024.11.060</w:t>
        </w:r>
      </w:hyperlink>
      <w:r>
        <w:t xml:space="preserve"> </w:t>
      </w:r>
      <w:bookmarkStart w:id="79" w:name="ref-8"/>
      <w:bookmarkEnd w:id="79"/>
      <w:r>
        <w:t xml:space="preserve">8. F. Abdulhamid, B. P. Sullivan, and S. Terzi,</w:t>
      </w:r>
      <w:r>
        <w:t xml:space="preserve"> </w:t>
      </w:r>
      <w:r>
        <w:t xml:space="preserve">“Factory in space: A review of material and manufacturing technologies,”</w:t>
      </w:r>
      <w:r>
        <w:t xml:space="preserve"> </w:t>
      </w:r>
      <w:r>
        <w:t xml:space="preserve">Acta Astronautica, 2025, doi:</w:t>
      </w:r>
      <w:r>
        <w:t xml:space="preserve"> </w:t>
      </w:r>
      <w:hyperlink r:id="rId80">
        <w:r>
          <w:rPr>
            <w:rStyle w:val="Hyperlink"/>
          </w:rPr>
          <w:t xml:space="preserve">10.1016/j.actaastro.2025.01.007</w:t>
        </w:r>
      </w:hyperlink>
    </w:p>
    <w:bookmarkEnd w:id="81"/>
    <w:bookmarkStart w:id="82"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2"/>
    <w:bookmarkStart w:id="86"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0.8839</w:t>
            </w:r>
          </w:p>
        </w:tc>
        <w:tc>
          <w:tcPr>
            <w:tcW w:w="0" w:type="auto"/>
          </w:tcPr>
          <w:p>
            <w:pPr>
              <w:spacing w:line="240" w:lineRule="auto" w:before="0" w:after="0"/>
              <w:pStyle w:val="Compact"/>
            </w:pPr>
            <w:r>
              <w:rPr>
                <w:sz w:val="20"/>
                <w:szCs w:val="20"/>
              </w:rPr>
              <w:t xml:space="preserve">0.4822</w:t>
            </w:r>
          </w:p>
        </w:tc>
        <w:tc>
          <w:tcPr>
            <w:tcW w:w="0" w:type="auto"/>
          </w:tcPr>
          <w:p>
            <w:pPr>
              <w:spacing w:line="240" w:lineRule="auto" w:before="0" w:after="0"/>
              <w:pStyle w:val="Compact"/>
            </w:pPr>
            <w:r>
              <w:rPr>
                <w:sz w:val="20"/>
                <w:szCs w:val="20"/>
              </w:rPr>
              <w:t xml:space="preserve">1.833</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[-0.0612, 1.8291]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0.3765</w:t>
            </w:r>
          </w:p>
        </w:tc>
        <w:tc>
          <w:tcPr>
            <w:tcW w:w="0" w:type="auto"/>
          </w:tcPr>
          <w:p>
            <w:pPr>
              <w:spacing w:line="240" w:lineRule="auto" w:before="0" w:after="0"/>
              <w:pStyle w:val="Compact"/>
            </w:pPr>
            <w:r>
              <w:rPr>
                <w:sz w:val="20"/>
                <w:szCs w:val="20"/>
              </w:rPr>
              <w:t xml:space="preserve">-0.0422</w:t>
            </w:r>
          </w:p>
        </w:tc>
        <w:tc>
          <w:tcPr>
            <w:tcW w:w="0" w:type="auto"/>
          </w:tcPr>
          <w:p>
            <w:pPr>
              <w:spacing w:line="240" w:lineRule="auto" w:before="0" w:after="0"/>
              <w:pStyle w:val="Compact"/>
            </w:pPr>
            <w:r>
              <w:rPr>
                <w:sz w:val="20"/>
                <w:szCs w:val="20"/>
              </w:rPr>
              <w:t xml:space="preserve">0.9663</w:t>
            </w:r>
          </w:p>
        </w:tc>
        <w:tc>
          <w:tcPr>
            <w:tcW w:w="0" w:type="auto"/>
          </w:tcPr>
          <w:p>
            <w:pPr>
              <w:spacing w:line="240" w:lineRule="auto" w:before="0" w:after="0"/>
              <w:pStyle w:val="Compact"/>
            </w:pPr>
            <w:r>
              <w:rPr>
                <w:sz w:val="20"/>
                <w:szCs w:val="20"/>
              </w:rPr>
              <w:t xml:space="preserve">[-0.7538, 0.722]</w:t>
            </w:r>
          </w:p>
        </w:tc>
      </w:tr>
    </w:tbl>
    <w:p>
      <w:pPr>
        <w:pStyle w:val="BodyText"/>
      </w:pPr>
      <w:r>
        <w:t xml:space="preserve">Fit: N = 30 R2 = 4.951e-05 elasticity_b = -0.0159 progress_ratio_2^b = 0.989</w:t>
      </w:r>
    </w:p>
    <w:p>
      <w:pPr>
        <w:pStyle w:val="CaptionedFigure"/>
      </w:pPr>
      <w:r>
        <w:drawing>
          <wp:inline>
            <wp:extent cx="5669280" cy="3657600"/>
            <wp:effectExtent b="0" l="0" r="0" t="0"/>
            <wp:docPr descr="Figure 1. Citation accumulation against article age in the retrieved topic literature." title="" id="84" name="Picture"/>
            <a:graphic>
              <a:graphicData uri="http://schemas.openxmlformats.org/drawingml/2006/picture">
                <pic:pic>
                  <pic:nvPicPr>
                    <pic:cNvPr descr="D:\Claude_Code\brain\collegium\candidates\dissertations\INTL_GOVERNANCE_06\research_papers\p2\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https://amostech.space/year/2017/satellite-articulation-characterization-from-an-image-trajectory-matrix-using-optimization/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https://amostech.space/year/2015/from-dye-laser-factory-to-portable-semiconductor-laser-four-generations-of-sodium-guide-star-lasers-for-adaptive-optics-in-astronomy-and-space-situational-awareness/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10.64861/COAK4355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10.1016/j.actaastro.2026.03.057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10.1016/j.actaastro.2026.01.040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10.1016/j.actaastro.2023.06.035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 Sawik, �Space mission risk, sustainability and supply chain: Review, multi-ob</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0.8839</w:t>
            </w:r>
          </w:p>
        </w:tc>
        <w:tc>
          <w:tcPr>
            <w:tcW w:w="0" w:type="auto"/>
          </w:tcPr>
          <w:p>
            <w:pPr>
              <w:spacing w:line="240" w:lineRule="auto" w:before="0" w:after="0"/>
              <w:pStyle w:val="Compact"/>
            </w:pPr>
            <w:r>
              <w:rPr>
                <w:sz w:val="20"/>
                <w:szCs w:val="20"/>
              </w:rPr>
              <w:t xml:space="preserve">0.4822</w:t>
            </w:r>
          </w:p>
        </w:tc>
        <w:tc>
          <w:tcPr>
            <w:tcW w:w="0" w:type="auto"/>
          </w:tcPr>
          <w:p>
            <w:pPr>
              <w:spacing w:line="240" w:lineRule="auto" w:before="0" w:after="0"/>
              <w:pStyle w:val="Compact"/>
            </w:pPr>
            <w:r>
              <w:rPr>
                <w:sz w:val="20"/>
                <w:szCs w:val="20"/>
              </w:rPr>
              <w:t xml:space="preserve">1.833</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[-0.0612, 1.8291]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0.3765</w:t>
            </w:r>
          </w:p>
        </w:tc>
        <w:tc>
          <w:tcPr>
            <w:tcW w:w="0" w:type="auto"/>
          </w:tcPr>
          <w:p>
            <w:pPr>
              <w:spacing w:line="240" w:lineRule="auto" w:before="0" w:after="0"/>
              <w:pStyle w:val="Compact"/>
            </w:pPr>
            <w:r>
              <w:rPr>
                <w:sz w:val="20"/>
                <w:szCs w:val="20"/>
              </w:rPr>
              <w:t xml:space="preserve">-0.0422</w:t>
            </w:r>
          </w:p>
        </w:tc>
        <w:tc>
          <w:tcPr>
            <w:tcW w:w="0" w:type="auto"/>
          </w:tcPr>
          <w:p>
            <w:pPr>
              <w:spacing w:line="240" w:lineRule="auto" w:before="0" w:after="0"/>
              <w:pStyle w:val="Compact"/>
            </w:pPr>
            <w:r>
              <w:rPr>
                <w:sz w:val="20"/>
                <w:szCs w:val="20"/>
              </w:rPr>
              <w:t xml:space="preserve">0.9663</w:t>
            </w:r>
          </w:p>
        </w:tc>
        <w:tc>
          <w:tcPr>
            <w:tcW w:w="0" w:type="auto"/>
          </w:tcPr>
          <w:p>
            <w:pPr>
              <w:spacing w:line="240" w:lineRule="auto" w:before="0" w:after="0"/>
              <w:pStyle w:val="Compact"/>
            </w:pPr>
            <w:r>
              <w:rPr>
                <w:sz w:val="20"/>
                <w:szCs w:val="20"/>
              </w:rPr>
              <w:t xml:space="preserve">[-0.7538, 0.722]</w:t>
            </w:r>
          </w:p>
        </w:tc>
      </w:tr>
    </w:tbl>
    <w:p>
      <w:pPr>
        <w:pStyle w:val="BodyText"/>
      </w:pPr>
      <w:r>
        <w:t xml:space="preserve">Fit: N = 30 R2 = 4.951e-05 elasticity_b = -0.0159 progress_ratio_2^b = 0.989</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6" Target="https://doi.org/10.1016/j.actaastro.2019.08.031" TargetMode="External" /><Relationship Type="http://schemas.openxmlformats.org/officeDocument/2006/relationships/hyperlink" Id="rId78" Target="https://doi.org/10.1016/j.actaastro.2024.11.060" TargetMode="External" /><Relationship Type="http://schemas.openxmlformats.org/officeDocument/2006/relationships/hyperlink" Id="rId80" Target="https://doi.org/10.1016/j.actaastro.2025.01.007" TargetMode="External" /><Relationship Type="http://schemas.openxmlformats.org/officeDocument/2006/relationships/hyperlink" Id="rId71" Target="https://doi.org/10.64861/CEPU7718" TargetMode="External" /><Relationship Type="http://schemas.openxmlformats.org/officeDocument/2006/relationships/hyperlink" Id="rId69" Target="https://doi.org/10.64861/CKQN3841" TargetMode="External" /><Relationship Type="http://schemas.openxmlformats.org/officeDocument/2006/relationships/hyperlink" Id="rId74" Target="https://doi.org/10.64861/DYBG6563" TargetMode="External" /><Relationship Type="http://schemas.openxmlformats.org/officeDocument/2006/relationships/hyperlink" Id="rId67" Target="https://doi.org/10.64861/MVHC2799"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19.08.031" TargetMode="External" /><Relationship Type="http://schemas.openxmlformats.org/officeDocument/2006/relationships/hyperlink" Id="rId78" Target="https://doi.org/10.1016/j.actaastro.2024.11.060" TargetMode="External" /><Relationship Type="http://schemas.openxmlformats.org/officeDocument/2006/relationships/hyperlink" Id="rId80" Target="https://doi.org/10.1016/j.actaastro.2025.01.007" TargetMode="External" /><Relationship Type="http://schemas.openxmlformats.org/officeDocument/2006/relationships/hyperlink" Id="rId71" Target="https://doi.org/10.64861/CEPU7718" TargetMode="External" /><Relationship Type="http://schemas.openxmlformats.org/officeDocument/2006/relationships/hyperlink" Id="rId69" Target="https://doi.org/10.64861/CKQN3841" TargetMode="External" /><Relationship Type="http://schemas.openxmlformats.org/officeDocument/2006/relationships/hyperlink" Id="rId74" Target="https://doi.org/10.64861/DYBG6563" TargetMode="External" /><Relationship Type="http://schemas.openxmlformats.org/officeDocument/2006/relationships/hyperlink" Id="rId67" Target="https://doi.org/10.64861/MVHC279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2026-06-28T19:43:07Z</dcterms:created>
  <dcterms:modified xsi:type="dcterms:W3CDTF">2026-06-28T19:43:07Z</dcterms:modified>
</cp:coreProperties>
</file>

<file path=docProps/custom.xml><?xml version="1.0" encoding="utf-8"?>
<Properties xmlns="http://schemas.openxmlformats.org/officeDocument/2006/custom-properties" xmlns:vt="http://schemas.openxmlformats.org/officeDocument/2006/docPropsVTypes"/>
</file>