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WEAPONIZED INTERDEPENDENCE IN THE LAUNCH AND COMPONENT SUPPLY CHAIN: DOES CHOKEPOINT CONTROL TRANSLATE INTO GOVERNANCE LEVERAGE?</w:t>
      </w:r>
    </w:p>
    <w:p>
      <w:pPr>
        <w:jc w:val="center"/>
      </w:pPr>
    </w:p>
    <w:p>
      <w:pPr>
        <w:jc w:val="center"/>
      </w:pPr>
      <w:r>
        <w:rPr>
          <w:rFonts w:ascii="Times New Roman" w:hAnsi="Times New Roman"/>
          <w:sz w:val="24"/>
        </w:rPr>
        <w:t>by</w:t>
      </w:r>
    </w:p>
    <w:p>
      <w:pPr>
        <w:jc w:val="center"/>
      </w:pPr>
      <w:r>
        <w:rPr>
          <w:rFonts w:ascii="Times New Roman" w:hAnsi="Times New Roman"/>
          <w:b/>
          <w:sz w:val="28"/>
        </w:rPr>
        <w:t>Ramona Costa</w:t>
      </w:r>
    </w:p>
    <w:p>
      <w:pPr>
        <w:jc w:val="center"/>
      </w:pPr>
      <w:r>
        <w:rPr>
          <w:rFonts w:ascii="Times New Roman" w:hAnsi="Times New Roman"/>
          <w:sz w:val="24"/>
        </w:rPr>
        <w:t>1B-IGV-163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p>
      <w:pPr>
        <w:pStyle w:val="FirstParagraph"/>
        <w:spacing w:line="480" w:lineRule="auto"/>
      </w:pPr>
      <w:r>
        <w:t xml:space="preserve">Launch is a chokepoint. So are components. So are the operational data streams on which a modern constellation depends, along with a few specialized manufacturing pathways that no rival can quickly reproduce. When those nodes are concentrated in a small number of hands, the ordinary language of markets, that is, efficient exchange between willing partners, stops describing what is actually happening. Something closer to leverage begins. This dissertation asks whether that leverage is real and measurable, or whether it is an intuition that dissolves once it is stated precisely enough to be wrong. The question is narrow on purpose. Weaponized interdependence, as a broad idea, has been applied to financial messaging, undersea cables, semiconductor fabrication, and cloud infrastructure. The space domain has mostly been treated as an adjacent example rather than a tested case. The motivating theory here is the same, but the object is specific: control over chokepoint nodes in the space launch and component supply chain, and whether that control translates into governance leverage that can be seen in licensing conditions, supplier-access terms, and subsequent policy alignment in venues such as COPUOS and ITU coordination</w:t>
      </w:r>
      <w:r>
        <w:t xml:space="preserve"> </w:t>
      </w:r>
      <w:hyperlink w:anchor="ref-1">
        <w:r>
          <w:rPr>
            <w:rStyle w:val="Hyperlink"/>
          </w:rPr>
          <w:t xml:space="preserve">[1]</w:t>
        </w:r>
      </w:hyperlink>
      <w:r>
        <w:t xml:space="preserve"> </w:t>
      </w:r>
      <w:hyperlink w:anchor="ref-8">
        <w:r>
          <w:rPr>
            <w:rStyle w:val="Hyperlink"/>
          </w:rPr>
          <w:t xml:space="preserve">[8]</w:t>
        </w:r>
      </w:hyperlink>
      <w:r>
        <w:t xml:space="preserve">. The move that matters is from industrial topology to governance outcome. A map of who is concentrated where is not yet a claim about power. The claim about power is the contribution.</w:t>
      </w:r>
    </w:p>
    <w:bookmarkStart w:id="61" w:name="the-problem-and-why-it-now-matters"/>
    <w:p>
      <w:pPr>
        <w:pStyle w:val="Heading2"/>
        <w:spacing w:line="480" w:lineRule="auto"/>
      </w:pPr>
      <w:r>
        <w:t xml:space="preserve">1.1 The problem and why it now matters</w:t>
      </w:r>
    </w:p>
    <w:p>
      <w:pPr>
        <w:pStyle w:val="FirstParagraph"/>
        <w:spacing w:line="480" w:lineRule="auto"/>
      </w:pPr>
      <w:r>
        <w:t xml:space="preserve">Space supply chains have crossed a threshold. Launch access, advanced manufacturing, and mission-critical component chains are no longer contained inside industrial policy, where they could be treated as questions of cost and schedule. They now shape who can field a constellation at all, who can meet the coordination expectations that traffic management is beginning to impose, and who arrives at multilateral rulemaking with the confidence that comes from not being dependent on a rival</w:t>
      </w:r>
      <w:r>
        <w:t xml:space="preserve"> </w:t>
      </w:r>
      <w:hyperlink w:anchor="ref-1">
        <w:r>
          <w:rPr>
            <w:rStyle w:val="Hyperlink"/>
          </w:rPr>
          <w:t xml:space="preserve">[1]</w:t>
        </w:r>
      </w:hyperlink>
      <w:r>
        <w:t xml:space="preserve"> </w:t>
      </w:r>
      <w:hyperlink w:anchor="ref-7">
        <w:r>
          <w:rPr>
            <w:rStyle w:val="Hyperlink"/>
          </w:rPr>
          <w:t xml:space="preserve">[7]</w:t>
        </w:r>
      </w:hyperlink>
      <w:r>
        <w:t xml:space="preserve">. Denis and coauthors describe the underlying shift plainly, from a new-space phase of experimentation toward a big-space phase of industrialized, capital-intensive commercial reality</w:t>
      </w:r>
      <w:r>
        <w:t xml:space="preserve"> </w:t>
      </w:r>
      <w:hyperlink w:anchor="ref-8">
        <w:r>
          <w:rPr>
            <w:rStyle w:val="Hyperlink"/>
          </w:rPr>
          <w:t xml:space="preserve">[8]</w:t>
        </w:r>
      </w:hyperlink>
      <w:r>
        <w:t xml:space="preserve">. That industrialization is precisely what creates chokepoints. Additive manufacturing, modular in-orbit assembly, commercial stations, and factory-in-space concepts each add layers to the component and service ecosystem, and each layer is a candidate node of concentration</w:t>
      </w:r>
      <w:r>
        <w:t xml:space="preserve"> </w:t>
      </w:r>
      <w:hyperlink w:anchor="ref-9">
        <w:r>
          <w:rPr>
            <w:rStyle w:val="Hyperlink"/>
          </w:rPr>
          <w:t xml:space="preserve">[9]</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Here is the practical worry. The controller need never coerce. When dependencies are uneven, it may never have to act openly at all. Conditional access, a slow licensing queue, a component allocation that arrives late, a flexibility extended to one customer and withheld from another: any of these can shift a dependent actor’s policy posture without a single explicit demand. If that mechanism operates, then some multilateral alignments we currently read as the product of persuasion are instead shaped upstream, by industrial structure, before the diplomacy ever begins. That would change how one reads a governance venue. It would mean the room was arranged before anyone spoke.</w:t>
      </w:r>
    </w:p>
    <w:p>
      <w:pPr>
        <w:pStyle w:val="BodyText"/>
        <w:spacing w:line="480" w:lineRule="auto"/>
        <w:ind w:firstLine="720"/>
      </w:pPr>
      <w:r>
        <w:t xml:space="preserve">The stakes are not only analytical. Programs that plan around assured access, and states that plan around regulatory autonomy, are implicitly betting on the answer to this question. If chokepoint control does convert to leverage, then supply-chain diversification is not merely an efficiency hedge; it is a sovereignty investment. If it does not, then the fear of dependence is overpriced, and resources spent on redundant capacity could be spent elsewhere. Either way, the honest posture is to state the claim so sharply that the data can reject it.</w:t>
      </w:r>
    </w:p>
    <w:bookmarkEnd w:id="61"/>
    <w:bookmarkStart w:id="62" w:name="the-one-falsifiable-contribution"/>
    <w:p>
      <w:pPr>
        <w:pStyle w:val="Heading2"/>
        <w:spacing w:line="480" w:lineRule="auto"/>
      </w:pPr>
      <w:r>
        <w:t xml:space="preserve">1.2 The one falsifiable contribution</w:t>
      </w:r>
    </w:p>
    <w:p>
      <w:pPr>
        <w:pStyle w:val="FirstParagraph"/>
        <w:spacing w:line="480" w:lineRule="auto"/>
      </w:pPr>
      <w:r>
        <w:t xml:space="preserve">This dissertation defends a single proposition. Let (Choke_{it}) denote the measured chokepoint exposure of state or firm (i) at time (t), constructed from launch-capacity concentration, component-supplier centrality, and dependence ratios in selected space-relevant categories. Let (Align_{it}) denote a governance-alignment score built from licensing-condition asymmetry, public policy positioning, and multilateral posture over the following period. The null holds that, after conditioning on baseline strategic alignment, market size, and time effects, variation in chokepoint exposure does not predict a subsequent increase in alignment with the controlling actor. The alternative holds that higher exposure predicts a subsequent increase in that alignment. One proposition, one sign, one way to be wrong. I want to be candid about scope. The full mixed-method test of this proposition remains at the design stage. What has been completed, and what this manuscript reports as real empirical work, are two narrower source-audit studies. They do not estimate the leverage effect. They discipline the literature environment on which the larger project will rest, by asking what features of the retrieved corpus predict topic-signal intensity, and whether citation attention in that corpus scales with article age</w:t>
      </w:r>
      <w:r>
        <w:t xml:space="preserve"> </w:t>
      </w:r>
      <w:hyperlink w:anchor="ref-8">
        <w:r>
          <w:rPr>
            <w:rStyle w:val="Hyperlink"/>
          </w:rPr>
          <w:t xml:space="preserve">[8]</w:t>
        </w:r>
      </w:hyperlink>
      <w:r>
        <w:t xml:space="preserve"> </w:t>
      </w:r>
      <w:hyperlink w:anchor="ref-14">
        <w:r>
          <w:rPr>
            <w:rStyle w:val="Hyperlink"/>
          </w:rPr>
          <w:t xml:space="preserve">[14]</w:t>
        </w:r>
      </w:hyperlink>
      <w:r>
        <w:t xml:space="preserve">. Those two studies are the empirical spine of Chapter 6, and their numbers are reported there exactly as estimated. Treating a source audit as if it proved the governance mechanism would be a category error, and the dissertation is built to avoid it.</w:t>
      </w:r>
    </w:p>
    <w:bookmarkEnd w:id="62"/>
    <w:bookmarkStart w:id="63" w:name="what-this-dissertation-is-not"/>
    <w:p>
      <w:pPr>
        <w:pStyle w:val="Heading2"/>
        <w:spacing w:line="480" w:lineRule="auto"/>
      </w:pPr>
      <w:r>
        <w:t xml:space="preserve">1.3 What this dissertation is not</w:t>
      </w:r>
    </w:p>
    <w:p>
      <w:pPr>
        <w:pStyle w:val="FirstParagraph"/>
        <w:spacing w:line="480" w:lineRule="auto"/>
      </w:pPr>
      <w:r>
        <w:t xml:space="preserve">It is worth marking the boundaries early, because weaponized interdependence invites overclaiming.</w:t>
      </w:r>
    </w:p>
    <w:p>
      <w:pPr>
        <w:pStyle w:val="BodyText"/>
        <w:spacing w:line="480" w:lineRule="auto"/>
        <w:ind w:firstLine="720"/>
      </w:pPr>
      <w:r>
        <w:t xml:space="preserve">This is not a general theory of space power. It does not argue that industrial concentration always produces political subordination; monopoly and leverage are distinct, and the whole point of a falsifiable design is to let them come apart in the data. It is also not another concentration map. Industrial-topology studies already document that launch cadence and several component categories are concentrated</w:t>
      </w:r>
      <w:r>
        <w:t xml:space="preserve"> </w:t>
      </w:r>
      <w:hyperlink w:anchor="ref-9">
        <w:r>
          <w:rPr>
            <w:rStyle w:val="Hyperlink"/>
          </w:rPr>
          <w:t xml:space="preserve">[9]</w:t>
        </w:r>
      </w:hyperlink>
      <w:r>
        <w:t xml:space="preserve"> </w:t>
      </w:r>
      <w:hyperlink w:anchor="ref-13">
        <w:r>
          <w:rPr>
            <w:rStyle w:val="Hyperlink"/>
          </w:rPr>
          <w:t xml:space="preserve">[13]</w:t>
        </w:r>
      </w:hyperlink>
      <w:r>
        <w:t xml:space="preserve">. Documenting concentration is a premise here, not a finding. The finding, if there is one, concerns whether concentration predicts governance behavior downstream. Neither is this a claim about intent. The mechanism does not require that any actor consciously weaponizes a dependency. It requires only that dependent actors, anticipating the cost of disrupted access, adjust their posture in the controller’s direction. Intent may be present, but the design does not need it, and cannot cleanly observe it. That restraint is deliberate. A test that can only confirm the theory when actors admit to coercion is not much of a test.</w:t>
      </w:r>
    </w:p>
    <w:bookmarkEnd w:id="63"/>
    <w:bookmarkStart w:id="64" w:name="approach-in-brief"/>
    <w:p>
      <w:pPr>
        <w:pStyle w:val="Heading2"/>
        <w:spacing w:line="480" w:lineRule="auto"/>
      </w:pPr>
      <w:r>
        <w:t xml:space="preserve">1.4 Approach in brief</w:t>
      </w:r>
    </w:p>
    <w:p>
      <w:pPr>
        <w:pStyle w:val="FirstParagraph"/>
        <w:spacing w:line="480" w:lineRule="auto"/>
      </w:pPr>
      <w:r>
        <w:t xml:space="preserve">The planned core design is mixed-method, and Chapter 4 develops it in full.</w:t>
      </w:r>
    </w:p>
    <w:p>
      <w:pPr>
        <w:pStyle w:val="BodyText"/>
        <w:spacing w:line="480" w:lineRule="auto"/>
        <w:ind w:firstLine="720"/>
      </w:pPr>
      <w:r>
        <w:t xml:space="preserve">Quantitatively, it assembles a panel of state or firm exposure to launch and component chokepoints and tests whether higher lagged exposure predicts later governance alignment, using a fixed-effects specification with year effects and robustness checks across alternative alignment measures. Network construction draws concentration and centrality metrics from trade, launch, and disclosure records</w:t>
      </w:r>
      <w:r>
        <w:t xml:space="preserve"> </w:t>
      </w:r>
      <w:hyperlink w:anchor="ref-8">
        <w:r>
          <w:rPr>
            <w:rStyle w:val="Hyperlink"/>
          </w:rPr>
          <w:t xml:space="preserve">[8]</w:t>
        </w:r>
      </w:hyperlink>
      <w:r>
        <w:t xml:space="preserve"> </w:t>
      </w:r>
      <w:hyperlink w:anchor="ref-13">
        <w:r>
          <w:rPr>
            <w:rStyle w:val="Hyperlink"/>
          </w:rPr>
          <w:t xml:space="preserve">[13]</w:t>
        </w:r>
      </w:hyperlink>
      <w:r>
        <w:t xml:space="preserve">. Qualitatively, one export-control or supply-denial episode is process-traced to check whether the mechanism is plausible in sequence and not only in correlation. Identification rests on temporal ordering, exposure measured before outcome, and on bounding the obvious rivals: preexisting alliance structure, market-access incentives, and general geopolitical affinity. The two completed papers sit inside this larger frame as method discipline. Paper 1 fits an ordinary least squares model of topic-signal score on recency, citation count, and venue family across thirty retrieved records</w:t>
      </w:r>
      <w:r>
        <w:t xml:space="preserve"> </w:t>
      </w:r>
      <w:hyperlink w:anchor="ref-1">
        <w:r>
          <w:rPr>
            <w:rStyle w:val="Hyperlink"/>
          </w:rPr>
          <w:t xml:space="preserve">[1]</w:t>
        </w:r>
      </w:hyperlink>
      <w:r>
        <w:t xml:space="preserve"> </w:t>
      </w:r>
      <w:hyperlink w:anchor="ref-8">
        <w:r>
          <w:rPr>
            <w:rStyle w:val="Hyperlink"/>
          </w:rPr>
          <w:t xml:space="preserve">[8]</w:t>
        </w:r>
      </w:hyperlink>
      <w:r>
        <w:t xml:space="preserve"> </w:t>
      </w:r>
      <w:hyperlink w:anchor="ref-14">
        <w:r>
          <w:rPr>
            <w:rStyle w:val="Hyperlink"/>
          </w:rPr>
          <w:t xml:space="preserve">[14]</w:t>
        </w:r>
      </w:hyperlink>
      <w:r>
        <w:t xml:space="preserve">. Paper 2 fits a log-log learning-curve model of citation accumulation against article age on the same records. Their role is to tell the dissertation how its own evidence base is sorted before that base is treated as neutral background. A project about hidden structure in supply chains ought to begin by checking for hidden structure in its own sources.</w:t>
      </w:r>
    </w:p>
    <w:bookmarkEnd w:id="64"/>
    <w:bookmarkStart w:id="65" w:name="roadmap"/>
    <w:p>
      <w:pPr>
        <w:pStyle w:val="Heading2"/>
        <w:spacing w:line="480" w:lineRule="auto"/>
      </w:pPr>
      <w:r>
        <w:t xml:space="preserve">1.5 Roadmap</w:t>
      </w:r>
    </w:p>
    <w:p>
      <w:pPr>
        <w:pStyle w:val="FirstParagraph"/>
        <w:spacing w:line="480" w:lineRule="auto"/>
      </w:pPr>
      <w:r>
        <w:t xml:space="preserve">The manuscript proceeds in eight chapters. This introduction has fixed the problem, the single falsifiable proposition, and the boundaries of the claim. Chapter 2 situates the argument against three underjoined literatures: trusted coordination and governance architecture in space operations</w:t>
      </w:r>
      <w:r>
        <w:t xml:space="preserve"> </w:t>
      </w:r>
      <w:hyperlink w:anchor="ref-1">
        <w:r>
          <w:rPr>
            <w:rStyle w:val="Hyperlink"/>
          </w:rPr>
          <w:t xml:space="preserve">[1]</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 industrial expansion and manufacturing pathways in commercial space</w:t>
      </w:r>
      <w:r>
        <w:t xml:space="preserve"> </w:t>
      </w:r>
      <w:hyperlink w:anchor="ref-8">
        <w:r>
          <w:rPr>
            <w:rStyle w:val="Hyperlink"/>
          </w:rPr>
          <w:t xml:space="preserve">[8]</w:t>
        </w:r>
      </w:hyperlink>
      <w:r>
        <w:t xml:space="preserve"> </w:t>
      </w:r>
      <w:hyperlink w:anchor="ref-9">
        <w:r>
          <w:rPr>
            <w:rStyle w:val="Hyperlink"/>
          </w:rPr>
          <w:t xml:space="preserve">[9]</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and contested environments and leverage</w:t>
      </w:r>
      <w:r>
        <w:t xml:space="preserve"> </w:t>
      </w:r>
      <w:hyperlink w:anchor="ref-6">
        <w:r>
          <w:rPr>
            <w:rStyle w:val="Hyperlink"/>
          </w:rPr>
          <w:t xml:space="preserve">[6]</w:t>
        </w:r>
      </w:hyperlink>
      <w:r>
        <w:t xml:space="preserve">. The gap it names is specific. These bodies of work explain why chokepoints may emerge and why coordination is hard, but none tests whether chokepoint control is converted into rule-shaping leverage. Chapter 3 states the theory and the testable predictions, moving from the general logic of weaponized interdependence to the two hypotheses defined above. Chapter 4 develops methodology and identification, including the estimators actually used in the completed papers and the reasons temporal ordering and observable dependency structure can support a disciplined, disconfirmable design. Chapter 5 describes the data and measurement, both the five planned data layers of the dissertation core and the thirty-record local corpus behind the completed papers. Chapter 6 reports results, and reproduces the two estimators exactly: the ordinary least squares coefficients, standard errors, and p-values from Paper 1, and the learning-curve elasticity and near-zero fit from Paper 2. Chapter 7 turns to discussion and limitations, and is honest about what a source audit can and cannot license. Chapter 8 draws the conclusions, the governance and program relevance, and the future work needed to move from a disciplined source base to a defended causal claim.</w:t>
      </w:r>
    </w:p>
    <w:bookmarkEnd w:id="65"/>
    <w:bookmarkStart w:id="66" w:name="a-terms-of-art-fixed-early"/>
    <w:p>
      <w:pPr>
        <w:pStyle w:val="Heading2"/>
        <w:spacing w:line="480" w:lineRule="auto"/>
      </w:pPr>
      <w:r>
        <w:t xml:space="preserve">1.5a Terms of art, fixed early</w:t>
      </w:r>
    </w:p>
    <w:p>
      <w:pPr>
        <w:pStyle w:val="FirstParagraph"/>
        <w:spacing w:line="480" w:lineRule="auto"/>
      </w:pPr>
      <w:r>
        <w:t xml:space="preserve">Because the argument turns on a few words used precisely, it is worth fixing them before the chapters that lean on them. A chokepoint here is a node in the launch or component supply chain through which many actors must route and around which few can easily detour, measured by concentration and centrality rather than asserted</w:t>
      </w:r>
      <w:r>
        <w:t xml:space="preserve"> </w:t>
      </w:r>
      <w:hyperlink w:anchor="ref-8">
        <w:r>
          <w:rPr>
            <w:rStyle w:val="Hyperlink"/>
          </w:rPr>
          <w:t xml:space="preserve">[8]</w:t>
        </w:r>
      </w:hyperlink>
      <w:r>
        <w:t xml:space="preserve"> </w:t>
      </w:r>
      <w:hyperlink w:anchor="ref-13">
        <w:r>
          <w:rPr>
            <w:rStyle w:val="Hyperlink"/>
          </w:rPr>
          <w:t xml:space="preserve">[13]</w:t>
        </w:r>
      </w:hyperlink>
      <w:r>
        <w:t xml:space="preserve">. Chokepoint control is centrality or dominance in launch-cadence capacity, in selected high-value components, or in operational supply dependencies. Governance leverage is observable asymmetry in licensing or supplier-access conditions together with subsequent policy alignment in venues such as COPUOS and ITU coordination, and adjacent public governance positions</w:t>
      </w:r>
      <w:r>
        <w:t xml:space="preserve"> </w:t>
      </w:r>
      <w:hyperlink w:anchor="ref-1">
        <w:r>
          <w:rPr>
            <w:rStyle w:val="Hyperlink"/>
          </w:rPr>
          <w:t xml:space="preserve">[1]</w:t>
        </w:r>
      </w:hyperlink>
      <w:r>
        <w:t xml:space="preserve"> </w:t>
      </w:r>
      <w:hyperlink w:anchor="ref-6">
        <w:r>
          <w:rPr>
            <w:rStyle w:val="Hyperlink"/>
          </w:rPr>
          <w:t xml:space="preserve">[6]</w:t>
        </w:r>
      </w:hyperlink>
      <w:r>
        <w:t xml:space="preserve">. Alignment is not agreement in the abstract; it is a coded, traceable movement in an actor’s stance toward the controller’s preferred rule. Two distinctions ride on these definitions. Dependence is not leverage: an actor can depend heavily and face no leverage where substitutes are cheap. Concentration is not control: a market can be concentrated without any single actor being able to condition access. Keeping these apart is what lets the dissertation avoid the easy slide from an industrial map to a political conclusion, and it is why the definitions are stated here rather than assumed. Each later chapter uses these terms in exactly this sense, and where a claim would require a looser sense, the manuscript flags that the claim belongs to intuition rather than to the tested proposition</w:t>
      </w:r>
      <w:r>
        <w:t xml:space="preserve"> </w:t>
      </w:r>
      <w:hyperlink w:anchor="ref-8">
        <w:r>
          <w:rPr>
            <w:rStyle w:val="Hyperlink"/>
          </w:rPr>
          <w:t xml:space="preserve">[8]</w:t>
        </w:r>
      </w:hyperlink>
      <w:r>
        <w:t xml:space="preserve">.</w:t>
      </w:r>
    </w:p>
    <w:bookmarkEnd w:id="66"/>
    <w:bookmarkStart w:id="67" w:name="why-the-space-domain-is-a-hard-case"/>
    <w:p>
      <w:pPr>
        <w:pStyle w:val="Heading2"/>
        <w:spacing w:line="480" w:lineRule="auto"/>
      </w:pPr>
      <w:r>
        <w:t xml:space="preserve">1.6 Why the space domain is a hard case</w:t>
      </w:r>
    </w:p>
    <w:p>
      <w:pPr>
        <w:pStyle w:val="FirstParagraph"/>
        <w:spacing w:line="480" w:lineRule="auto"/>
      </w:pPr>
      <w:r>
        <w:t xml:space="preserve">Weaponized interdependence has its cleanest illustrations in domains with obvious single points of control: one financial messaging network, one dominant foundry, one submarine cable landing. Space is messier, and that messiness is worth confronting at the outset because it shapes how strong any finding here can be. Launch is concentrated but not monopolized; several providers exist, and new entrants appear, so the chokepoint is real yet contested. Components are specialized but not always unique; qualification is slow, but alternatives are sometimes technically feasible even when they are commercially inconvenient</w:t>
      </w:r>
      <w:r>
        <w:t xml:space="preserve"> </w:t>
      </w:r>
      <w:hyperlink w:anchor="ref-8">
        <w:r>
          <w:rPr>
            <w:rStyle w:val="Hyperlink"/>
          </w:rPr>
          <w:t xml:space="preserve">[8]</w:t>
        </w:r>
      </w:hyperlink>
      <w:r>
        <w:t xml:space="preserve"> </w:t>
      </w:r>
      <w:hyperlink w:anchor="ref-9">
        <w:r>
          <w:rPr>
            <w:rStyle w:val="Hyperlink"/>
          </w:rPr>
          <w:t xml:space="preserve">[9]</w:t>
        </w:r>
      </w:hyperlink>
      <w:r>
        <w:t xml:space="preserve">. Operational data dependencies are growing, but the coordination literature shows the field actively engineering resilience against exactly the kind of single-node failure that a chokepoint implies</w:t>
      </w:r>
      <w:r>
        <w:t xml:space="preserve"> </w:t>
      </w:r>
      <w:hyperlink w:anchor="ref-5">
        <w:r>
          <w:rPr>
            <w:rStyle w:val="Hyperlink"/>
          </w:rPr>
          <w:t xml:space="preserve">[5]</w:t>
        </w:r>
      </w:hyperlink>
      <w:r>
        <w:t xml:space="preserve"> </w:t>
      </w:r>
      <w:hyperlink w:anchor="ref-7">
        <w:r>
          <w:rPr>
            <w:rStyle w:val="Hyperlink"/>
          </w:rPr>
          <w:t xml:space="preserve">[7]</w:t>
        </w:r>
      </w:hyperlink>
      <w:r>
        <w:t xml:space="preserve">. That combination makes space a hard case for the theory, and a hard case is analytically valuable. If chokepoint control predicts governance alignment even in a domain where dependence is partial, switching is merely slow rather than impossible, and actors are consciously building redundancy, then the mechanism is robust. If it fails here, the failure is informative but less damning, because the domain gave the mechanism a demanding test. Either way, the space setting is not a convenient illustration chosen to flatter the theory. It is a setting where the theory has to work against real countervailing forces to show up in the data at all</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67"/>
    <w:bookmarkStart w:id="68" w:name="X7cfcdca8cfa6d3e0a6dcc644c64c8af6889031e"/>
    <w:p>
      <w:pPr>
        <w:pStyle w:val="Heading2"/>
        <w:spacing w:line="480" w:lineRule="auto"/>
      </w:pPr>
      <w:r>
        <w:t xml:space="preserve">1.6a The two audiences and what each needs from the claim</w:t>
      </w:r>
    </w:p>
    <w:p>
      <w:pPr>
        <w:pStyle w:val="FirstParagraph"/>
        <w:spacing w:line="480" w:lineRule="auto"/>
      </w:pPr>
      <w:r>
        <w:t xml:space="preserve">This dissertation is written for two audiences at once, and the single falsifiable proposition is the device that serves both. Governance analysts, working in and around venues such as COPUOS and ITU coordination, need to know whether the alignments they observe were shaped upstream by industrial structure, because that changes how they read a negotiation</w:t>
      </w:r>
      <w:r>
        <w:t xml:space="preserve"> </w:t>
      </w:r>
      <w:hyperlink w:anchor="ref-1">
        <w:r>
          <w:rPr>
            <w:rStyle w:val="Hyperlink"/>
          </w:rPr>
          <w:t xml:space="preserve">[1]</w:t>
        </w:r>
      </w:hyperlink>
      <w:r>
        <w:t xml:space="preserve"> </w:t>
      </w:r>
      <w:hyperlink w:anchor="ref-6">
        <w:r>
          <w:rPr>
            <w:rStyle w:val="Hyperlink"/>
          </w:rPr>
          <w:t xml:space="preserve">[6]</w:t>
        </w:r>
      </w:hyperlink>
      <w:r>
        <w:t xml:space="preserve">. Program planners, working in and around launch access and component qualification, need to know whether dependence carries a strategic cost beyond price and schedule, because that changes how they size diversification</w:t>
      </w:r>
      <w:r>
        <w:t xml:space="preserve"> </w:t>
      </w:r>
      <w:hyperlink w:anchor="ref-8">
        <w:r>
          <w:rPr>
            <w:rStyle w:val="Hyperlink"/>
          </w:rPr>
          <w:t xml:space="preserve">[8]</w:t>
        </w:r>
      </w:hyperlink>
      <w:r>
        <w:t xml:space="preserve"> </w:t>
      </w:r>
      <w:hyperlink w:anchor="ref-13">
        <w:r>
          <w:rPr>
            <w:rStyle w:val="Hyperlink"/>
          </w:rPr>
          <w:t xml:space="preserve">[13]</w:t>
        </w:r>
      </w:hyperlink>
      <w:r>
        <w:t xml:space="preserve">. A diffuse claim that dependence matters helps neither. A signed coefficient on lagged exposure helps both, because it converts a shared anxiety into a quantity each audience can act on. Serving two audiences with one proposition also imposes a constraint the manuscript honors throughout. The claim cannot be stated in the private vocabulary of either community; it must be stated in terms both can check, which is why exposure and alignment are defined from open, source-traced records rather than from privileged industrial knowledge or diplomatic read-outs</w:t>
      </w:r>
      <w:r>
        <w:t xml:space="preserve"> </w:t>
      </w:r>
      <w:hyperlink w:anchor="ref-1">
        <w:r>
          <w:rPr>
            <w:rStyle w:val="Hyperlink"/>
          </w:rPr>
          <w:t xml:space="preserve">[1]</w:t>
        </w:r>
      </w:hyperlink>
      <w:r>
        <w:t xml:space="preserve"> </w:t>
      </w:r>
      <w:hyperlink w:anchor="ref-8">
        <w:r>
          <w:rPr>
            <w:rStyle w:val="Hyperlink"/>
          </w:rPr>
          <w:t xml:space="preserve">[8]</w:t>
        </w:r>
      </w:hyperlink>
      <w:r>
        <w:t xml:space="preserve">. That openness is a cost, since it excludes some information each community holds informally, but it is the price of a claim that either community could confirm or reject without taking the other on faith. A falsifiable proposition addressed to two audiences must be legible to both, and legibility to both is what the open-record definitions buy.</w:t>
      </w:r>
    </w:p>
    <w:bookmarkEnd w:id="68"/>
    <w:bookmarkStart w:id="69" w:name="Xa2b43592de73f5f34997186991499bbc866c638"/>
    <w:p>
      <w:pPr>
        <w:pStyle w:val="Heading2"/>
        <w:spacing w:line="480" w:lineRule="auto"/>
      </w:pPr>
      <w:r>
        <w:t xml:space="preserve">1.7 The evidentiary posture of this manuscript</w:t>
      </w:r>
    </w:p>
    <w:p>
      <w:pPr>
        <w:pStyle w:val="FirstParagraph"/>
        <w:spacing w:line="480" w:lineRule="auto"/>
      </w:pPr>
      <w:r>
        <w:t xml:space="preserve">One further framing commitment governs everything that follows. This manuscript treats every number as a workbook result and every substantive claim as conditional on the sources available to the candidate. Where a coefficient is reported, it is reported exactly as estimated, with its standard error and p-value, and it is not rounded toward a more convenient story. Where a claim exceeds what the completed data can bear, the manuscript says so and marks the claim as belonging to the planned design rather than to the completed work. This posture is not modesty for its own sake. It is the only way a design-stage dissertation can be honest about the gap between what it has shown and what it hopes to show. The posture also disciplines the reader. A dissertation that blurred the line between its source audits and its causal ambition would invite the reader to credit the audits with proving the mechanism, which they do not. By keeping the two levels visibly separate throughout, the manuscript asks to be judged on what it actually delivers: two reproducible diagnostic findings, one sharpened falsifiable proposition, and a fully specified plan for the causal test that would resolve it</w:t>
      </w:r>
      <w:r>
        <w:t xml:space="preserve"> </w:t>
      </w:r>
      <w:hyperlink w:anchor="ref-1">
        <w:r>
          <w:rPr>
            <w:rStyle w:val="Hyperlink"/>
          </w:rPr>
          <w:t xml:space="preserve">[1]</w:t>
        </w:r>
      </w:hyperlink>
      <w:r>
        <w:t xml:space="preserve"> </w:t>
      </w:r>
      <w:hyperlink w:anchor="ref-8">
        <w:r>
          <w:rPr>
            <w:rStyle w:val="Hyperlink"/>
          </w:rPr>
          <w:t xml:space="preserve">[8]</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There is a cost to this restraint, and naming it completes the framing. A reader hoping for a headline answer to whether chokepoint control buys governance leverage will not find it here, because the data that would answer it are not yet assembled</w:t>
      </w:r>
      <w:r>
        <w:t xml:space="preserve"> </w:t>
      </w:r>
      <w:hyperlink w:anchor="ref-6">
        <w:r>
          <w:rPr>
            <w:rStyle w:val="Hyperlink"/>
          </w:rPr>
          <w:t xml:space="preserve">[6]</w:t>
        </w:r>
      </w:hyperlink>
      <w:r>
        <w:t xml:space="preserve">. What the reader finds instead is the groundwork: a claim stated so it can fail, an evidence base examined before it is trusted, and a design laid out so it can be evaluated in advance of its results. That groundwork is less satisfying than a verdict and more useful than a premature one, and choosing it over a confident overclaim is the first and most consequential methodological decision the dissertation makes</w:t>
      </w:r>
      <w:r>
        <w:t xml:space="preserve"> </w:t>
      </w:r>
      <w:hyperlink w:anchor="ref-8">
        <w:r>
          <w:rPr>
            <w:rStyle w:val="Hyperlink"/>
          </w:rPr>
          <w:t xml:space="preserve">[8]</w:t>
        </w:r>
      </w:hyperlink>
      <w:r>
        <w:t xml:space="preserve">. The chapters that follow honor that decision at every step, keeping the completed and the planned visibly apart so that the reader always knows which is which</w:t>
      </w:r>
      <w:r>
        <w:t xml:space="preserve"> </w:t>
      </w:r>
      <w:hyperlink w:anchor="ref-1">
        <w:r>
          <w:rPr>
            <w:rStyle w:val="Hyperlink"/>
          </w:rPr>
          <w:t xml:space="preserve">[1]</w:t>
        </w:r>
      </w:hyperlink>
      <w:r>
        <w:t xml:space="preserve"> </w:t>
      </w:r>
      <w:hyperlink w:anchor="ref-14">
        <w:r>
          <w:rPr>
            <w:rStyle w:val="Hyperlink"/>
          </w:rPr>
          <w:t xml:space="preserve">[14]</w:t>
        </w:r>
      </w:hyperlink>
      <w:r>
        <w:t xml:space="preserve">. A dissertation that respects that boundary earns the right to make its one large claim later, and forfeits nothing by declining to make it early</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p>
      <w:pPr>
        <w:pStyle w:val="BodyText"/>
        <w:spacing w:line="480" w:lineRule="auto"/>
        <w:ind w:firstLine="720"/>
      </w:pPr>
      <w:r>
        <w:t xml:space="preserve">A last framing note. The value of a single falsifiable proposition is that it can fail cleanly. If chokepoint control does not predict later governance leverage in the space domain, the weaponized-interdependence mechanism is not supported in this application, and that negative result is itself informative for anyone allocating scarce diversification effort. The chapters that follow are organized to make that failure possible, which is the only way to make a success mean anything.</w:t>
      </w:r>
    </w:p>
    <w:bookmarkEnd w:id="69"/>
    <w:bookmarkEnd w:id="70"/>
    <w:bookmarkStart w:id="81" w:name="chapter-2.-literature"/>
    <w:p>
      <w:pPr>
        <w:pStyle w:val="Heading1"/>
        <w:spacing w:line="480" w:lineRule="auto"/>
      </w:pPr>
      <w:r>
        <w:t xml:space="preserve">Chapter 2. Literature</w:t>
      </w:r>
    </w:p>
    <w:p>
      <w:pPr>
        <w:pStyle w:val="FirstParagraph"/>
        <w:spacing w:line="480" w:lineRule="auto"/>
      </w:pPr>
      <w:r>
        <w:t xml:space="preserve">Three bodies of work bear directly on this dissertation. None answers the question it poses. That is the point of the chapter. I read the coordination literature, the industrialization literature, and the contested-environment literature not as three isolated conversations but as three fragments of one unfinished argument. Each supplies a necessary piece. Together they still leave the load-bearing claim untested: that concentrated control over launch or component dependencies is converted into governance leverage.</w:t>
      </w:r>
    </w:p>
    <w:bookmarkStart w:id="71" w:name="Xdb91559e1ace9af9628e1afe341e58ed6be264a"/>
    <w:p>
      <w:pPr>
        <w:pStyle w:val="Heading2"/>
        <w:spacing w:line="480" w:lineRule="auto"/>
      </w:pPr>
      <w:r>
        <w:t xml:space="preserve">2.1 Weaponized interdependence as the organizing frame</w:t>
      </w:r>
    </w:p>
    <w:p>
      <w:pPr>
        <w:pStyle w:val="FirstParagraph"/>
        <w:spacing w:line="480" w:lineRule="auto"/>
      </w:pPr>
      <w:r>
        <w:t xml:space="preserve">Begin with the frame the dissertation borrows. The concept is simple to state. Weaponized interdependence describes how asymmetric network structure lets a central actor extract information or coerce behavior through nodes others cannot route around. The idea traveled first through finance and communications, and it has since been applied to any infrastructure where a few nodes carry disproportionate traffic. Space has been invoked as an example more often than it has been tested as a case. The gap is not conceptual poverty; the concept is rich. The gap is empirical. Applying weaponized interdependence to space means naming the chokepoints, measuring exposure to them, and then checking whether exposure predicts a governance response. The literatures reviewed below each hold part of that chain, and the reason to read them together is that no single one closes it. A second organizing thread runs alongside the network frame. Several records in the assembled corpus treat orbital resources through the lens of economic statecraft and the tragedy of the commons, framing debris and orbital crowding as negative externalities that governance has not yet priced. One synthesis draws on Weinzierl’s three-part economic framework for the space economy, reading orbital crowding as a classic commons problem that lacks effective governance traction. Another reads Norris and Baldwin on economic statecraft, extrapolating state-controlled commercial actors and financial instruments into the space economy as a new frontier for strategic positioning. These framings matter because they connect the industrial substrate to state behavior, which is exactly the connection the dissertation must test rather than assume.</w:t>
      </w:r>
    </w:p>
    <w:bookmarkEnd w:id="71"/>
    <w:bookmarkStart w:id="72" w:name="Xddb43ff0b1a2b12175e854d5ed92e64893171d8"/>
    <w:p>
      <w:pPr>
        <w:pStyle w:val="Heading2"/>
        <w:spacing w:line="480" w:lineRule="auto"/>
      </w:pPr>
      <w:r>
        <w:t xml:space="preserve">2.2 Trusted coordination and governance architecture</w:t>
      </w:r>
    </w:p>
    <w:p>
      <w:pPr>
        <w:pStyle w:val="FirstParagraph"/>
        <w:spacing w:line="480" w:lineRule="auto"/>
      </w:pPr>
      <w:r>
        <w:t xml:space="preserve">The first empirical literature concerns how coordination actually gets built in space operations, and it is more developed than outsiders often assume.</w:t>
      </w:r>
    </w:p>
    <w:p>
      <w:pPr>
        <w:pStyle w:val="BodyText"/>
        <w:spacing w:line="480" w:lineRule="auto"/>
        <w:ind w:firstLine="720"/>
      </w:pPr>
      <w:r>
        <w:t xml:space="preserve">Reed, Tsamis, and Dailey argue that sustainability and traffic management require trusted stakeholder coordination, not merely shared data but shared confidence in how that data is handled</w:t>
      </w:r>
      <w:r>
        <w:t xml:space="preserve"> </w:t>
      </w:r>
      <w:hyperlink w:anchor="ref-1">
        <w:r>
          <w:rPr>
            <w:rStyle w:val="Hyperlink"/>
          </w:rPr>
          <w:t xml:space="preserve">[1]</w:t>
        </w:r>
      </w:hyperlink>
      <w:r>
        <w:t xml:space="preserve">. This is a governance-capacity argument. It says the ability to coordinate is itself a resource, unevenly distributed, and constructed rather than given. Below the policy layer, an operational-architecture literature shows coordination being engineered directly into systems.</w:t>
      </w:r>
    </w:p>
    <w:p>
      <w:pPr>
        <w:pStyle w:val="BodyText"/>
        <w:spacing w:line="480" w:lineRule="auto"/>
        <w:ind w:firstLine="720"/>
      </w:pPr>
      <w:r>
        <w:t xml:space="preserve">SNARE and related decentralized sensor-tasking work demonstrate that resilience and tactical relevance can be designed into distributed architectures, so that no single node’s failure collapses the picture</w:t>
      </w:r>
      <w:r>
        <w:t xml:space="preserve"> </w:t>
      </w:r>
      <w:hyperlink w:anchor="ref-5">
        <w:r>
          <w:rPr>
            <w:rStyle w:val="Hyperlink"/>
          </w:rPr>
          <w:t xml:space="preserve">[5]</w:t>
        </w:r>
      </w:hyperlink>
      <w:r>
        <w:t xml:space="preserve">.</w:t>
      </w:r>
    </w:p>
    <w:p>
      <w:pPr>
        <w:pStyle w:val="BodyText"/>
        <w:spacing w:line="480" w:lineRule="auto"/>
        <w:ind w:firstLine="720"/>
      </w:pPr>
      <w:r>
        <w:t xml:space="preserve">The federated protect-and-defend battle-management studies push further, treating civilian launches as live exercises for evaluating coordination across many participants and organizations</w:t>
      </w:r>
      <w:r>
        <w:t xml:space="preserve"> </w:t>
      </w:r>
      <w:hyperlink w:anchor="ref-7">
        <w:r>
          <w:rPr>
            <w:rStyle w:val="Hyperlink"/>
          </w:rPr>
          <w:t xml:space="preserve">[7]</w:t>
        </w:r>
      </w:hyperlink>
      <w:r>
        <w:t xml:space="preserve">. Physics-based mission-analysis frameworks add a testing-and-evaluation discipline to that coordination, insisting that claims about domain awareness be checked against a rigorous baseline rather than asserted</w:t>
      </w:r>
      <w:r>
        <w:t xml:space="preserve"> </w:t>
      </w:r>
      <w:hyperlink w:anchor="ref-2">
        <w:r>
          <w:rPr>
            <w:rStyle w:val="Hyperlink"/>
          </w:rPr>
          <w:t xml:space="preserve">[2]</w:t>
        </w:r>
      </w:hyperlink>
      <w:r>
        <w:t xml:space="preserve">. A parallel strand explores blockchain and proof-of-stake validation of tracking data messages, and quantum-resilient battle-management concepts, as ways to make shared operational data trustworthy under adversarial conditions</w:t>
      </w:r>
      <w:r>
        <w:t xml:space="preserve"> </w:t>
      </w:r>
      <w:hyperlink w:anchor="ref-3">
        <w:r>
          <w:rPr>
            <w:rStyle w:val="Hyperlink"/>
          </w:rPr>
          <w:t xml:space="preserve">[3]</w:t>
        </w:r>
      </w:hyperlink>
      <w:r>
        <w:t xml:space="preserve"> </w:t>
      </w:r>
      <w:hyperlink w:anchor="ref-4">
        <w:r>
          <w:rPr>
            <w:rStyle w:val="Hyperlink"/>
          </w:rPr>
          <w:t xml:space="preserve">[4]</w:t>
        </w:r>
      </w:hyperlink>
      <w:r>
        <w:t xml:space="preserve">. Read together, this literature establishes something important for the dissertation and stops short of something else. It establishes that governance in space rests on coordination capacity, and that coordination capacity is contested, federated, and engineered. What it does not do is ask how industrial dependencies condition that capacity. It treats trust and resilience as problems of protocol and architecture, not as problems downstream of who controls the launch slot or the component. The dissertation’s contribution is to connect the industrial substrate to the coordination outcome that this literature otherwise treats as self-standing.</w:t>
      </w:r>
    </w:p>
    <w:bookmarkEnd w:id="72"/>
    <w:bookmarkStart w:id="73" w:name="X2295eee1c97d2bd051d1ca5c911c0e6196c70e3"/>
    <w:p>
      <w:pPr>
        <w:pStyle w:val="Heading2"/>
        <w:spacing w:line="480" w:lineRule="auto"/>
      </w:pPr>
      <w:r>
        <w:t xml:space="preserve">2.3 Industrial expansion and manufacturing pathways</w:t>
      </w:r>
    </w:p>
    <w:p>
      <w:pPr>
        <w:pStyle w:val="FirstParagraph"/>
        <w:spacing w:line="480" w:lineRule="auto"/>
      </w:pPr>
      <w:r>
        <w:t xml:space="preserve">The second literature explains why chokepoints exist in the first place. Denis and coauthors chart the transition from new space to big space, describing an industrialized commercial reality with deeper capital requirements and more complex supply relationships than the experimental era that preceded it</w:t>
      </w:r>
      <w:r>
        <w:t xml:space="preserve"> </w:t>
      </w:r>
      <w:hyperlink w:anchor="ref-8">
        <w:r>
          <w:rPr>
            <w:rStyle w:val="Hyperlink"/>
          </w:rPr>
          <w:t xml:space="preserve">[8]</w:t>
        </w:r>
      </w:hyperlink>
      <w:r>
        <w:t xml:space="preserve">. That transition is the precondition for concentration. As activity industrializes, some capabilities become scarce, specialized, and hard to substitute quickly.</w:t>
      </w:r>
    </w:p>
    <w:p>
      <w:pPr>
        <w:pStyle w:val="BodyText"/>
        <w:spacing w:line="480" w:lineRule="auto"/>
        <w:ind w:firstLine="720"/>
      </w:pPr>
      <w:r>
        <w:t xml:space="preserve">The specific pathways make the point concrete. Additive manufacturing is moving from prototype curiosity toward serious use in spacecraft components, which concentrates capability in whoever masters the process and holds the qualified supply base</w:t>
      </w:r>
      <w:r>
        <w:t xml:space="preserve"> </w:t>
      </w:r>
      <w:hyperlink w:anchor="ref-9">
        <w:r>
          <w:rPr>
            <w:rStyle w:val="Hyperlink"/>
          </w:rPr>
          <w:t xml:space="preserve">[9]</w:t>
        </w:r>
      </w:hyperlink>
      <w:r>
        <w:t xml:space="preserve">. In-orbit assembly of high-value modular infrastructures introduces mission architectures that depend on a narrow set of assembly-capable providers</w:t>
      </w:r>
      <w:r>
        <w:t xml:space="preserve"> </w:t>
      </w:r>
      <w:hyperlink w:anchor="ref-12">
        <w:r>
          <w:rPr>
            <w:rStyle w:val="Hyperlink"/>
          </w:rPr>
          <w:t xml:space="preserve">[12]</w:t>
        </w:r>
      </w:hyperlink>
      <w:r>
        <w:t xml:space="preserve">. Commercial space stations are assessed as value propositions for both space and non-space users, which extends dependence into new customer classes who did not previously rely on orbital infrastructure at all</w:t>
      </w:r>
      <w:r>
        <w:t xml:space="preserve"> </w:t>
      </w:r>
      <w:hyperlink w:anchor="ref-13">
        <w:r>
          <w:rPr>
            <w:rStyle w:val="Hyperlink"/>
          </w:rPr>
          <w:t xml:space="preserve">[13]</w:t>
        </w:r>
      </w:hyperlink>
      <w:r>
        <w:t xml:space="preserve">. Factory-in-space reviews survey the material and manufacturing technologies that would move production off Earth, each of which is a potential future chokepoint</w:t>
      </w:r>
      <w:r>
        <w:t xml:space="preserve"> </w:t>
      </w:r>
      <w:hyperlink w:anchor="ref-14">
        <w:r>
          <w:rPr>
            <w:rStyle w:val="Hyperlink"/>
          </w:rPr>
          <w:t xml:space="preserve">[14]</w:t>
        </w:r>
      </w:hyperlink>
      <w:r>
        <w:t xml:space="preserve">. Product-service strategy work in Earth Observation examines the micro-foundations of how firms decide what to build versus what to offer as a service, which shapes where dependence accumulates in the value chain</w:t>
      </w:r>
      <w:r>
        <w:t xml:space="preserve"> </w:t>
      </w:r>
      <w:hyperlink w:anchor="ref-15">
        <w:r>
          <w:rPr>
            <w:rStyle w:val="Hyperlink"/>
          </w:rPr>
          <w:t xml:space="preserve">[15]</w:t>
        </w:r>
      </w:hyperlink>
      <w:r>
        <w:t xml:space="preserve">. Even nanosatellite platform innovation, such as high-power flat hexagonal designs, illustrates how component-level choices propagate into supply concentration</w:t>
      </w:r>
      <w:r>
        <w:t xml:space="preserve"> </w:t>
      </w:r>
      <w:hyperlink w:anchor="ref-11">
        <w:r>
          <w:rPr>
            <w:rStyle w:val="Hyperlink"/>
          </w:rPr>
          <w:t xml:space="preserve">[11]</w:t>
        </w:r>
      </w:hyperlink>
      <w:r>
        <w:t xml:space="preserve">. This literature is indispensable and incomplete in a mirror-image way to the first.</w:t>
      </w:r>
    </w:p>
    <w:p>
      <w:pPr>
        <w:pStyle w:val="BodyText"/>
        <w:spacing w:line="480" w:lineRule="auto"/>
        <w:ind w:firstLine="720"/>
      </w:pPr>
      <w:r>
        <w:t xml:space="preserve">It explains, in careful engineering and economic detail, why chokepoints may emerge and where. It does not estimate whether control of those chokepoints predicts governance concessions. It describes the topology. It does not test the leverage.</w:t>
      </w:r>
    </w:p>
    <w:bookmarkEnd w:id="73"/>
    <w:bookmarkStart w:id="74" w:name="X09123e47b8afa651c2a351eae5164e0998fb0cb"/>
    <w:p>
      <w:pPr>
        <w:pStyle w:val="Heading2"/>
        <w:spacing w:line="480" w:lineRule="auto"/>
      </w:pPr>
      <w:r>
        <w:t xml:space="preserve">2.4 Contested environments and the cost of leverage</w:t>
      </w:r>
    </w:p>
    <w:p>
      <w:pPr>
        <w:pStyle w:val="FirstParagraph"/>
        <w:spacing w:line="480" w:lineRule="auto"/>
      </w:pPr>
      <w:r>
        <w:t xml:space="preserve">A third, smaller literature sits closest to the dissertation’s question without quite arriving at it. Shahady links contested environments and debris risk to the cost structure of valuable orbital positions, arguing that scarcity and risk together raise both the intrinsic and the actual cost of GEO slots</w:t>
      </w:r>
      <w:r>
        <w:t xml:space="preserve"> </w:t>
      </w:r>
      <w:hyperlink w:anchor="ref-6">
        <w:r>
          <w:rPr>
            <w:rStyle w:val="Hyperlink"/>
          </w:rPr>
          <w:t xml:space="preserve">[6]</w:t>
        </w:r>
      </w:hyperlink>
      <w:r>
        <w:t xml:space="preserve">. That is a leverage-adjacent claim. It says that control over scarce, contested positions carries real value, and that value is the raw material of bargaining power. The battle-management and blockchain-adjacent studies reflect the same competitive environment from the operational side, where the assumption of contestation is built into the architecture rather than argued for</w:t>
      </w:r>
      <w:r>
        <w:t xml:space="preserve"> </w:t>
      </w:r>
      <w:hyperlink w:anchor="ref-3">
        <w:r>
          <w:rPr>
            <w:rStyle w:val="Hyperlink"/>
          </w:rPr>
          <w:t xml:space="preserve">[3]</w:t>
        </w:r>
      </w:hyperlink>
      <w:r>
        <w:t xml:space="preserve"> </w:t>
      </w:r>
      <w:hyperlink w:anchor="ref-7">
        <w:r>
          <w:rPr>
            <w:rStyle w:val="Hyperlink"/>
          </w:rPr>
          <w:t xml:space="preserve">[7]</w:t>
        </w:r>
      </w:hyperlink>
      <w:r>
        <w:t xml:space="preserve">. What none of these contributions does is take the final step. They establish that positions and capabilities are valuable and contested. They do not ask whether an actor who controls those positions or capabilities converts that control into governance alignment by others. The dissertation’s central question is precisely that unasked one.</w:t>
      </w:r>
    </w:p>
    <w:bookmarkEnd w:id="74"/>
    <w:bookmarkStart w:id="75" w:name="the-gap-stated-exactly"/>
    <w:p>
      <w:pPr>
        <w:pStyle w:val="Heading2"/>
        <w:spacing w:line="480" w:lineRule="auto"/>
      </w:pPr>
      <w:r>
        <w:t xml:space="preserve">2.5 The gap, stated exactly</w:t>
      </w:r>
    </w:p>
    <w:p>
      <w:pPr>
        <w:pStyle w:val="FirstParagraph"/>
        <w:spacing w:line="480" w:lineRule="auto"/>
      </w:pPr>
      <w:r>
        <w:t xml:space="preserve">Put the three literatures side by side and the gap is sharp. Coordination scholarship shows governance depends on capacity but does not connect capacity to industrial dependence</w:t>
      </w:r>
      <w:r>
        <w:t xml:space="preserve"> </w:t>
      </w:r>
      <w:hyperlink w:anchor="ref-1">
        <w:r>
          <w:rPr>
            <w:rStyle w:val="Hyperlink"/>
          </w:rPr>
          <w:t xml:space="preserve">[1]</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 Industrialization scholarship shows chokepoints emerge but does not test their governance consequences</w:t>
      </w:r>
      <w:r>
        <w:t xml:space="preserve"> </w:t>
      </w:r>
      <w:hyperlink w:anchor="ref-8">
        <w:r>
          <w:rPr>
            <w:rStyle w:val="Hyperlink"/>
          </w:rPr>
          <w:t xml:space="preserve">[8]</w:t>
        </w:r>
      </w:hyperlink>
      <w:r>
        <w:t xml:space="preserve"> </w:t>
      </w:r>
      <w:hyperlink w:anchor="ref-9">
        <w:r>
          <w:rPr>
            <w:rStyle w:val="Hyperlink"/>
          </w:rPr>
          <w:t xml:space="preserve">[9]</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Contested-environment scholarship shows scarce positions are valuable but does not ask whether that value is cashed out as rule-shaping leverage</w:t>
      </w:r>
      <w:r>
        <w:t xml:space="preserve"> </w:t>
      </w:r>
      <w:hyperlink w:anchor="ref-6">
        <w:r>
          <w:rPr>
            <w:rStyle w:val="Hyperlink"/>
          </w:rPr>
          <w:t xml:space="preserve">[6]</w:t>
        </w:r>
      </w:hyperlink>
      <w:r>
        <w:t xml:space="preserve">. Supply-chain mapping and space-governance analysis remain, in the prospectus’s phrase, underjoined. The dissertation proposes the join and the test.</w:t>
      </w:r>
    </w:p>
    <w:bookmarkEnd w:id="75"/>
    <w:bookmarkStart w:id="76" w:name="the-corpus-as-its-own-object-of-study"/>
    <w:p>
      <w:pPr>
        <w:pStyle w:val="Heading2"/>
        <w:spacing w:line="480" w:lineRule="auto"/>
      </w:pPr>
      <w:r>
        <w:t xml:space="preserve">2.6 The corpus as its own object of study</w:t>
      </w:r>
    </w:p>
    <w:p>
      <w:pPr>
        <w:pStyle w:val="FirstParagraph"/>
        <w:spacing w:line="480" w:lineRule="auto"/>
      </w:pPr>
      <w:r>
        <w:t xml:space="preserve">There is a methodological turn that distinguishes this project, and it belongs in the literature review because it is about how the literature itself is read. Before treating the retrieved corpus as neutral background, the two completed papers audit it. They ask whether the visible source environment is sorted in systematic ways, because a corpus that quietly favors certain venues or citation profiles would bias any narrative built on top of it</w:t>
      </w:r>
      <w:r>
        <w:t xml:space="preserve"> </w:t>
      </w:r>
      <w:hyperlink w:anchor="ref-8">
        <w:r>
          <w:rPr>
            <w:rStyle w:val="Hyperlink"/>
          </w:rPr>
          <w:t xml:space="preserve">[8]</w:t>
        </w:r>
      </w:hyperlink>
      <w:r>
        <w:t xml:space="preserve"> </w:t>
      </w:r>
      <w:hyperlink w:anchor="ref-14">
        <w:r>
          <w:rPr>
            <w:rStyle w:val="Hyperlink"/>
          </w:rPr>
          <w:t xml:space="preserve">[14]</w:t>
        </w:r>
      </w:hyperlink>
      <w:r>
        <w:t xml:space="preserve">. Paper 1 finds that citation attention and venue family structure the topic signal in the retrieved set, so the source base is not random noise. Paper 2 finds that article age carries almost no explanatory content for citation accumulation in the same set, which warns against treating older sources as inherently foundational. These are findings about the reading environment, and they justify the mixed, manually curated strategy the dissertation adopts rather than a naive maturity-ladder or prestige heuristic. Reading the corpus this way changes the standing of the review itself. A literature review is usually a survey. Here it is also a diagnostic. The claim that these three literatures are underjoined is not only an interpretive judgment; it is consistent with what the source audit shows about how attention is distributed, which is unevenly and not by age. That consistency gives the gap-claim a firmer footing than an impressionistic survey alone would provide, and it sets up the theory in the next chapter, which specifies the mechanism these literatures collectively imply but none has tested</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76"/>
    <w:bookmarkStart w:id="77" w:name="X1396d39d8617506e4a577de64e24a4d0f222e04"/>
    <w:p>
      <w:pPr>
        <w:pStyle w:val="Heading2"/>
        <w:spacing w:line="480" w:lineRule="auto"/>
      </w:pPr>
      <w:r>
        <w:t xml:space="preserve">2.6a Positioning against the broader weaponized-interdependence scholarship</w:t>
      </w:r>
    </w:p>
    <w:p>
      <w:pPr>
        <w:pStyle w:val="FirstParagraph"/>
        <w:spacing w:line="480" w:lineRule="auto"/>
      </w:pPr>
      <w:r>
        <w:t xml:space="preserve">The space literatures surveyed above sit inside a larger scholarly conversation that the review should acknowledge even where that conversation is not represented in the local corpus. Weaponized interdependence as a research program has generated careful case work on financial infrastructure, telecommunications, and production networks, and it has developed a vocabulary of panopticon and chokepoint effects that this dissertation borrows</w:t>
      </w:r>
      <w:r>
        <w:t xml:space="preserve"> </w:t>
      </w:r>
      <w:hyperlink w:anchor="ref-1">
        <w:r>
          <w:rPr>
            <w:rStyle w:val="Hyperlink"/>
          </w:rPr>
          <w:t xml:space="preserve">[1]</w:t>
        </w:r>
      </w:hyperlink>
      <w:r>
        <w:t xml:space="preserve"> </w:t>
      </w:r>
      <w:hyperlink w:anchor="ref-8">
        <w:r>
          <w:rPr>
            <w:rStyle w:val="Hyperlink"/>
          </w:rPr>
          <w:t xml:space="preserve">[8]</w:t>
        </w:r>
      </w:hyperlink>
      <w:r>
        <w:t xml:space="preserve">. What distinguishes the space application is the combination of partial concentration and slow substitution rather than the absolute single-node control that some of the canonical cases feature. Launch and component chains are concentrated enough to matter and contested enough to resist, which places the space case in an intermediate zone that the broader program has theorized but less often measured. That positioning carries a methodological obligation. Where a domain has cleaner single points of control, a case study can plausibly infer leverage from the structure alone. Where control is partial, as in space, inference from structure to leverage is weaker, and the burden shifts toward measured exposure and temporally ordered outcomes</w:t>
      </w:r>
      <w:r>
        <w:t xml:space="preserve"> </w:t>
      </w:r>
      <w:hyperlink w:anchor="ref-8">
        <w:r>
          <w:rPr>
            <w:rStyle w:val="Hyperlink"/>
          </w:rPr>
          <w:t xml:space="preserve">[8]</w:t>
        </w:r>
      </w:hyperlink>
      <w:r>
        <w:t xml:space="preserve"> </w:t>
      </w:r>
      <w:hyperlink w:anchor="ref-13">
        <w:r>
          <w:rPr>
            <w:rStyle w:val="Hyperlink"/>
          </w:rPr>
          <w:t xml:space="preserve">[13]</w:t>
        </w:r>
      </w:hyperlink>
      <w:r>
        <w:t xml:space="preserve">. The review therefore reads the space literatures not as a self-contained field but as the domain-specific inputs to a test that the wider weaponized-interdependence program would recognize, and it inherits from that program the standard that a leverage claim must be shown, not assumed from topology. The industrial-transformation and contested-environment work supplies the topology; the wider program supplies the reminder that topology is a premise and leverage is the finding to be earned</w:t>
      </w:r>
      <w:r>
        <w:t xml:space="preserve"> </w:t>
      </w:r>
      <w:hyperlink w:anchor="ref-6">
        <w:r>
          <w:rPr>
            <w:rStyle w:val="Hyperlink"/>
          </w:rPr>
          <w:t xml:space="preserve">[6]</w:t>
        </w:r>
      </w:hyperlink>
      <w:r>
        <w:t xml:space="preserve">.</w:t>
      </w:r>
    </w:p>
    <w:bookmarkEnd w:id="77"/>
    <w:bookmarkStart w:id="78" w:name="Xd9368d66c688c92f44d1ed3cb1e39ddd006367c"/>
    <w:p>
      <w:pPr>
        <w:pStyle w:val="Heading2"/>
        <w:spacing w:line="480" w:lineRule="auto"/>
      </w:pPr>
      <w:r>
        <w:t xml:space="preserve">2.6b The economic-statecraft thread in the corpus</w:t>
      </w:r>
    </w:p>
    <w:p>
      <w:pPr>
        <w:pStyle w:val="FirstParagraph"/>
        <w:spacing w:line="480" w:lineRule="auto"/>
      </w:pPr>
      <w:r>
        <w:t xml:space="preserve">The Space Economy records in the assembled corpus add a fourth, thinner thread that connects the industrial substrate to explicit state strategy, and it belongs in the review because it names the actor the mechanism requires. One synthesis reads Norris and Baldwin on economic statecraft, tracing how states use state-controlled commercial actors, financial instruments, and sovereign wealth funds to advance strategic objectives, and extrapolates that pattern to the space economy as a new frontier for positioning</w:t>
      </w:r>
      <w:r>
        <w:t xml:space="preserve"> </w:t>
      </w:r>
      <w:hyperlink w:anchor="ref-8">
        <w:r>
          <w:rPr>
            <w:rStyle w:val="Hyperlink"/>
          </w:rPr>
          <w:t xml:space="preserve">[8]</w:t>
        </w:r>
      </w:hyperlink>
      <w:r>
        <w:t xml:space="preserve">. Another applies circular-economy and commons framing to orbital sustainability, presenting agent-based simulation in which carrying capacity collapses under the tragedy of the commons absent effective governance. These are not empirical tests of the dissertation’s hypothesis, and the review does not treat them as proof, but they supply the conceptual bridge between concentration and coercive intent that the operational and industrial literatures leave implicit. The value of this thread is that it makes the controller’s preference, the third condition the theory requires, a documented possibility rather than a bare assumption</w:t>
      </w:r>
      <w:r>
        <w:t xml:space="preserve"> </w:t>
      </w:r>
      <w:hyperlink w:anchor="ref-1">
        <w:r>
          <w:rPr>
            <w:rStyle w:val="Hyperlink"/>
          </w:rPr>
          <w:t xml:space="preserve">[1]</w:t>
        </w:r>
      </w:hyperlink>
      <w:r>
        <w:t xml:space="preserve"> </w:t>
      </w:r>
      <w:hyperlink w:anchor="ref-6">
        <w:r>
          <w:rPr>
            <w:rStyle w:val="Hyperlink"/>
          </w:rPr>
          <w:t xml:space="preserve">[6]</w:t>
        </w:r>
      </w:hyperlink>
      <w:r>
        <w:t xml:space="preserve">. If states already treat commercial actors and financial instruments as arms of strategy in adjacent domains, then the supposition that a space chokepoint controller might have governance preferences is grounded in observed behavior elsewhere, not merely posited. The review therefore reads the economic-statecraft records as motivation for taking the mechanism seriously, while holding firmly that motivation is not evidence, and that the signed test remains to be run</w:t>
      </w:r>
      <w:r>
        <w:t xml:space="preserve"> </w:t>
      </w:r>
      <w:hyperlink w:anchor="ref-8">
        <w:r>
          <w:rPr>
            <w:rStyle w:val="Hyperlink"/>
          </w:rPr>
          <w:t xml:space="preserve">[8]</w:t>
        </w:r>
      </w:hyperlink>
      <w:r>
        <w:t xml:space="preserve">.</w:t>
      </w:r>
    </w:p>
    <w:bookmarkEnd w:id="78"/>
    <w:bookmarkStart w:id="79" w:name="X421a756f36a081ad59bdf00cb0c36288d5ba737"/>
    <w:p>
      <w:pPr>
        <w:pStyle w:val="Heading2"/>
        <w:spacing w:line="480" w:lineRule="auto"/>
      </w:pPr>
      <w:r>
        <w:t xml:space="preserve">2.7 How the three literatures could be joined</w:t>
      </w:r>
    </w:p>
    <w:p>
      <w:pPr>
        <w:pStyle w:val="FirstParagraph"/>
        <w:spacing w:line="480" w:lineRule="auto"/>
      </w:pPr>
      <w:r>
        <w:t xml:space="preserve">Naming a gap is easy. Showing how it would be closed is harder, and the review owes the reader that sketch. The join runs through a single measurable quantity: the dependency map that the industrialization literature describes qualitatively but does not quantify</w:t>
      </w:r>
      <w:r>
        <w:t xml:space="preserve"> </w:t>
      </w:r>
      <w:hyperlink w:anchor="ref-8">
        <w:r>
          <w:rPr>
            <w:rStyle w:val="Hyperlink"/>
          </w:rPr>
          <w:t xml:space="preserve">[8]</w:t>
        </w:r>
      </w:hyperlink>
      <w:r>
        <w:t xml:space="preserve"> </w:t>
      </w:r>
      <w:hyperlink w:anchor="ref-9">
        <w:r>
          <w:rPr>
            <w:rStyle w:val="Hyperlink"/>
          </w:rPr>
          <w:t xml:space="preserve">[9]</w:t>
        </w:r>
      </w:hyperlink>
      <w:r>
        <w:t xml:space="preserve">. If that map were rendered as concentration and centrality measures, it could be laid alongside the coordination outcomes the first literature studies and the leverage-relevant positions the third literature prices</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coordination literature already treats trust as a variable that can be higher or lower; the contested-environment literature already treats orbital positions as more or less costly. What neither does is regress a coordination or alignment outcome on a measured dependency. The dissertation’s mechanism is precisely that regression, and the review’s function is to show that each literature supplies one axis of it while none supplies the pairing. Consider a concrete illustration. The federated battle-management studies describe many organizations coordinating across a launch event, and they treat the willingness to coordinate as something to be engineered</w:t>
      </w:r>
      <w:r>
        <w:t xml:space="preserve"> </w:t>
      </w:r>
      <w:hyperlink w:anchor="ref-7">
        <w:r>
          <w:rPr>
            <w:rStyle w:val="Hyperlink"/>
          </w:rPr>
          <w:t xml:space="preserve">[7]</w:t>
        </w:r>
      </w:hyperlink>
      <w:r>
        <w:t xml:space="preserve">. Suppose that willingness were instead partly a function of who controls the launch and component supply on which the participants depend. The operational literature would then be studying an outcome whose upstream driver sits in the industrialization literature, and the two would be describing one system from opposite ends. That is the sense in which the literatures are fragments of an unfinished argument rather than separate conversations. The dissertation’s contribution is to write the connecting equation the fragments imply</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79"/>
    <w:bookmarkStart w:id="80" w:name="X6e41257f0db28d1511f8bdbb6eb077330aeaea6"/>
    <w:p>
      <w:pPr>
        <w:pStyle w:val="Heading2"/>
        <w:spacing w:line="480" w:lineRule="auto"/>
      </w:pPr>
      <w:r>
        <w:t xml:space="preserve">2.8 What the review does not claim from the literature</w:t>
      </w:r>
    </w:p>
    <w:p>
      <w:pPr>
        <w:pStyle w:val="FirstParagraph"/>
        <w:spacing w:line="480" w:lineRule="auto"/>
      </w:pPr>
      <w:r>
        <w:t xml:space="preserve">A careful review states its own limits. Nothing in the surveyed work establishes the dissertation’s hypothesis, and the review does not pretend otherwise. The coordination studies do not show that dependence drives alignment; they show that coordination is hard and constructed</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industrialization studies do not show that concentration produces leverage; they show that concentration is emerging</w:t>
      </w:r>
      <w:r>
        <w:t xml:space="preserve"> </w:t>
      </w:r>
      <w:hyperlink w:anchor="ref-9">
        <w:r>
          <w:rPr>
            <w:rStyle w:val="Hyperlink"/>
          </w:rPr>
          <w:t xml:space="preserve">[9]</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The contested-environment studies do not show that valuable positions are cashed out politically; they show that the positions are valuable</w:t>
      </w:r>
      <w:r>
        <w:t xml:space="preserve"> </w:t>
      </w:r>
      <w:hyperlink w:anchor="ref-6">
        <w:r>
          <w:rPr>
            <w:rStyle w:val="Hyperlink"/>
          </w:rPr>
          <w:t xml:space="preserve">[6]</w:t>
        </w:r>
      </w:hyperlink>
      <w:r>
        <w:t xml:space="preserve">. The dissertation therefore cannot lean on any single prior finding as evidence for H1. What it can do is inherit the concepts, the vocabulary, and the measured components from these literatures, and assemble them into a test that none of them ran. There is also a citation-practice point the review should record, because the completed source audits bear on it. Because attention in this corpus concentrates in a few heavily cited journal articles while much operational conference material reports zero citations, a review that weighted sources by citation count alone would systematically underweight the AMOS-family work that Paper 1 shows carries strong topic signal</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7">
        <w:r>
          <w:rPr>
            <w:rStyle w:val="Hyperlink"/>
          </w:rPr>
          <w:t xml:space="preserve">[7]</w:t>
        </w:r>
      </w:hyperlink>
      <w:r>
        <w:t xml:space="preserve">. The review has therefore weighted by topical relevance rather than by citation prestige, a choice the source audit justifies rather than one made on taste. That methodological transparency is part of what distinguishes this review from a conventional survey, and it connects the reading strategy directly to the diagnostic findings reported later</w:t>
      </w:r>
      <w:r>
        <w:t xml:space="preserve"> </w:t>
      </w:r>
      <w:hyperlink w:anchor="ref-8">
        <w:r>
          <w:rPr>
            <w:rStyle w:val="Hyperlink"/>
          </w:rPr>
          <w:t xml:space="preserve">[8]</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Read as a whole, the review makes one structural argument and leaves one question open. The structural argument is that three developed literatures and one thinner statecraft thread each supply a component of the leverage mechanism while none assembles them into a test</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The open question is the dissertation’s own: whether, once assembled, the components describe a real effect or a plausible-sounding one that the data dissolve. Chapter 3 takes up that question by specifying the mechanism precisely enough to be wrong, which is the step the reviewed literatures collectively imply but decline to take. The review’s job was to show that the pieces exist and that the assembly does not, and both halves of that showing are what license the theoretical move the next chapter makes</w:t>
      </w:r>
      <w:r>
        <w:t xml:space="preserve"> </w:t>
      </w:r>
      <w:hyperlink w:anchor="ref-14">
        <w:r>
          <w:rPr>
            <w:rStyle w:val="Hyperlink"/>
          </w:rPr>
          <w:t xml:space="preserve">[14]</w:t>
        </w:r>
      </w:hyperlink>
      <w:r>
        <w:t xml:space="preserve">. That an entire mechanism can be assembled from components no single literature has joined is itself a finding about the state of the field, and it is the finding the theory chapter now converts into a testable prediction</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80"/>
    <w:bookmarkEnd w:id="81"/>
    <w:bookmarkStart w:id="94" w:name="chapter-3.-theory-and-hypotheses"/>
    <w:p>
      <w:pPr>
        <w:pStyle w:val="Heading1"/>
        <w:spacing w:line="480" w:lineRule="auto"/>
      </w:pPr>
      <w:r>
        <w:t xml:space="preserve">Chapter 3. Theory and Hypotheses</w:t>
      </w:r>
    </w:p>
    <w:p>
      <w:pPr>
        <w:pStyle w:val="FirstParagraph"/>
        <w:spacing w:line="480" w:lineRule="auto"/>
      </w:pPr>
      <w:r>
        <w:t xml:space="preserve">A theory earns its keep by making a prediction that could be false.</w:t>
      </w:r>
    </w:p>
    <w:p>
      <w:pPr>
        <w:pStyle w:val="BodyText"/>
        <w:spacing w:line="480" w:lineRule="auto"/>
        <w:ind w:firstLine="720"/>
      </w:pPr>
      <w:r>
        <w:t xml:space="preserve">Anything less is decoration. This chapter builds the mechanism that connects chokepoint control to governance leverage, and then states two hypotheses that put the mechanism at risk. The logic is drawn from weaponized interdependence, but the argument here is more specific than the general frame, because a general frame does not predict; only a specified mechanism does.</w:t>
      </w:r>
    </w:p>
    <w:bookmarkStart w:id="82" w:name="from-dependence-to-leverage"/>
    <w:p>
      <w:pPr>
        <w:pStyle w:val="Heading2"/>
        <w:spacing w:line="480" w:lineRule="auto"/>
      </w:pPr>
      <w:r>
        <w:t xml:space="preserve">3.1 From dependence to leverage</w:t>
      </w:r>
    </w:p>
    <w:p>
      <w:pPr>
        <w:pStyle w:val="FirstParagraph"/>
        <w:spacing w:line="480" w:lineRule="auto"/>
      </w:pPr>
      <w:r>
        <w:t xml:space="preserve">Start with a definition that does real work. Dependence is not leverage. The two words are cousins, not twins, and the whole argument turns on keeping them apart. A firm may depend heavily on a supplier and yet face no leverage, if substitutes are abundant, switching is cheap, or the supplier has no interest in the firm’s political behavior. Leverage arises only when three conditions coincide. The dependence must be concentrated, so that few alternatives exist. The dependent actor must find switching slow or costly, so that the threat of disruption is credible. And the controlling actor must have a preference over the dependent actor’s behavior, so that there is something to extract. Where all three hold, the controller need not act. The mere structure of the relationship shifts the dependent actor’s calculus. Space supply chains satisfy the first two conditions more often than most infrastructures.</w:t>
      </w:r>
    </w:p>
    <w:p>
      <w:pPr>
        <w:pStyle w:val="BodyText"/>
        <w:spacing w:line="480" w:lineRule="auto"/>
        <w:ind w:firstLine="720"/>
      </w:pPr>
      <w:r>
        <w:t xml:space="preserve">Launch cadence is concentrated in a small set of providers, and qualification cycles make substitution slow</w:t>
      </w:r>
      <w:r>
        <w:t xml:space="preserve"> </w:t>
      </w:r>
      <w:hyperlink w:anchor="ref-8">
        <w:r>
          <w:rPr>
            <w:rStyle w:val="Hyperlink"/>
          </w:rPr>
          <w:t xml:space="preserve">[8]</w:t>
        </w:r>
      </w:hyperlink>
      <w:r>
        <w:t xml:space="preserve">.</w:t>
      </w:r>
    </w:p>
    <w:p>
      <w:pPr>
        <w:pStyle w:val="BodyText"/>
        <w:spacing w:line="480" w:lineRule="auto"/>
        <w:ind w:firstLine="720"/>
      </w:pPr>
      <w:r>
        <w:t xml:space="preserve">Advanced components, additive-manufactured parts, and assembly-capable services concentrate capability in whoever holds the qualified base, and re-qualifying an alternative supplier can take years</w:t>
      </w:r>
      <w:r>
        <w:t xml:space="preserve"> </w:t>
      </w:r>
      <w:hyperlink w:anchor="ref-9">
        <w:r>
          <w:rPr>
            <w:rStyle w:val="Hyperlink"/>
          </w:rPr>
          <w:t xml:space="preserve">[9]</w:t>
        </w:r>
      </w:hyperlink>
      <w:r>
        <w:t xml:space="preserve"> </w:t>
      </w:r>
      <w:hyperlink w:anchor="ref-12">
        <w:r>
          <w:rPr>
            <w:rStyle w:val="Hyperlink"/>
          </w:rPr>
          <w:t xml:space="preserve">[12]</w:t>
        </w:r>
      </w:hyperlink>
      <w:r>
        <w:t xml:space="preserve"> </w:t>
      </w:r>
      <w:hyperlink w:anchor="ref-14">
        <w:r>
          <w:rPr>
            <w:rStyle w:val="Hyperlink"/>
          </w:rPr>
          <w:t xml:space="preserve">[14]</w:t>
        </w:r>
      </w:hyperlink>
      <w:r>
        <w:t xml:space="preserve">. The third condition, a preference over behavior, is where the space case becomes genuinely political. Governance venues such as COPUOS and ITU coordination produce rules that advantage some architectures over others, so a controller with a stake in those rules has exactly the preference the mechanism requires</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82"/>
    <w:bookmarkStart w:id="83" w:name="the-mechanism-step-by-step"/>
    <w:p>
      <w:pPr>
        <w:pStyle w:val="Heading2"/>
        <w:spacing w:line="480" w:lineRule="auto"/>
      </w:pPr>
      <w:r>
        <w:t xml:space="preserve">3.2 The mechanism, step by step</w:t>
      </w:r>
    </w:p>
    <w:p>
      <w:pPr>
        <w:pStyle w:val="FirstParagraph"/>
        <w:spacing w:line="480" w:lineRule="auto"/>
      </w:pPr>
      <w:r>
        <w:t xml:space="preserve">The mechanism runs in four steps, and naming them makes the theory testable.</w:t>
      </w:r>
    </w:p>
    <w:p>
      <w:pPr>
        <w:pStyle w:val="BodyText"/>
        <w:spacing w:line="480" w:lineRule="auto"/>
        <w:ind w:firstLine="720"/>
      </w:pPr>
      <w:r>
        <w:t xml:space="preserve">First, industrial structure produces an uneven dependency map: some actors sit at chokepoints, others depend on them. Second, dependent actors form expectations about the cost of disrupted access, and those expectations are shaped by the credibility of the threat rather than by any actual disruption. Third, when a governance question arises on which the controller has a preference, the dependent actor weighs the value of its preferred position against the expected cost of friction in supply. Fourth, at the margin, some dependent actors move their governance posture toward the controller, not because they were persuaded, but because the structure made resistance expensive. The elegance and the danger of this mechanism is that it predicts alignment without visible coercion. That is what makes it hard to test and worth testing. If the mechanism operated only through open threats, we could simply catalogue the threats. Because it operates through anticipated cost, the observable trace is a correlation between prior exposure and subsequent alignment, conditional on the alternatives. The theory therefore commits to a temporal claim: exposure precedes alignment. A contemporaneous correlation would be consistent with too many other stories, including reverse causation, so the temporal structure is not decoration; it is the identifying content of the theory.</w:t>
      </w:r>
    </w:p>
    <w:bookmarkEnd w:id="83"/>
    <w:bookmarkStart w:id="84" w:name="Xb1f2cdbdee1fd4fc7ee9a9eb6d5422b35cb95d9"/>
    <w:p>
      <w:pPr>
        <w:pStyle w:val="Heading2"/>
        <w:spacing w:line="480" w:lineRule="auto"/>
      </w:pPr>
      <w:r>
        <w:t xml:space="preserve">3.3 Distinguishing the mechanism from its rivals</w:t>
      </w:r>
    </w:p>
    <w:p>
      <w:pPr>
        <w:pStyle w:val="FirstParagraph"/>
        <w:spacing w:line="480" w:lineRule="auto"/>
      </w:pPr>
      <w:r>
        <w:t xml:space="preserve">A good mechanism names its rivals and says how it differs. Three rival explanations could generate the same surface pattern of alignment, and the theory must be built to separate from them. The first rival is alliance structure. States align with partners for security and diplomatic reasons that have nothing to do with supply dependence. If alliance and supply concentration coincide, alignment might reflect the alliance, not the chokepoint. The theory answers by conditioning on baseline strategic alignment, so the prediction concerns the change in alignment attributable to exposure, above and beyond preexisting affinity. The second rival is market-access incentive. A dependent actor might align with a controller to gain commercial access, an ordinary exchange rather than leverage. This rival is subtle because it can look like the mechanism. The distinction is that leverage operates through the threat of losing access one already has, while market-access incentive operates through the prospect of gaining access one does not. Case selection and the direction of the dependency help separate them, which is why the qualitative process trace targets a denial or export-control episode, where the loss channel is visible</w:t>
      </w:r>
      <w:r>
        <w:t xml:space="preserve"> </w:t>
      </w:r>
      <w:hyperlink w:anchor="ref-8">
        <w:r>
          <w:rPr>
            <w:rStyle w:val="Hyperlink"/>
          </w:rPr>
          <w:t xml:space="preserve">[8]</w:t>
        </w:r>
      </w:hyperlink>
      <w:r>
        <w:t xml:space="preserve">.</w:t>
      </w:r>
    </w:p>
    <w:p>
      <w:pPr>
        <w:pStyle w:val="BodyText"/>
        <w:spacing w:line="480" w:lineRule="auto"/>
        <w:ind w:firstLine="720"/>
      </w:pPr>
      <w:r>
        <w:t xml:space="preserve">The third rival is general geopolitical affinity: a slow drift toward a rising power for reasons of ideology, prestige, or bandwagoning. The theory bounds this by requiring that the alignment shift track exposure specifically, not a global trend, and by using time effects to absorb common movement across all actors in a period.</w:t>
      </w:r>
    </w:p>
    <w:bookmarkEnd w:id="84"/>
    <w:bookmarkStart w:id="85" w:name="the-observable-constructs"/>
    <w:p>
      <w:pPr>
        <w:pStyle w:val="Heading2"/>
        <w:spacing w:line="480" w:lineRule="auto"/>
      </w:pPr>
      <w:r>
        <w:t xml:space="preserve">3.4 The observable constructs</w:t>
      </w:r>
    </w:p>
    <w:p>
      <w:pPr>
        <w:pStyle w:val="FirstParagraph"/>
        <w:spacing w:line="480" w:lineRule="auto"/>
      </w:pPr>
      <w:r>
        <w:t xml:space="preserve">The theory must connect to measurement, or it stays a story. Chokepoint exposure, (Choke_{it}), is the concentration-weighted dependence of actor (i) at time (t) on launch capacity, high-value components, and operational supply, built from trade concentration, launch-manifest data, and corporate disclosure</w:t>
      </w:r>
      <w:r>
        <w:t xml:space="preserve"> </w:t>
      </w:r>
      <w:hyperlink w:anchor="ref-8">
        <w:r>
          <w:rPr>
            <w:rStyle w:val="Hyperlink"/>
          </w:rPr>
          <w:t xml:space="preserve">[8]</w:t>
        </w:r>
      </w:hyperlink>
      <w:r>
        <w:t xml:space="preserve"> </w:t>
      </w:r>
      <w:hyperlink w:anchor="ref-13">
        <w:r>
          <w:rPr>
            <w:rStyle w:val="Hyperlink"/>
          </w:rPr>
          <w:t xml:space="preserve">[13]</w:t>
        </w:r>
      </w:hyperlink>
      <w:r>
        <w:t xml:space="preserve">. Governance alignment, (Align_{it}), is the observable asymmetry in licensing or supplier-access conditions plus subsequent policy positioning and multilateral posture over the following period</w:t>
      </w:r>
      <w:r>
        <w:t xml:space="preserve"> </w:t>
      </w:r>
      <w:hyperlink w:anchor="ref-1">
        <w:r>
          <w:rPr>
            <w:rStyle w:val="Hyperlink"/>
          </w:rPr>
          <w:t xml:space="preserve">[1]</w:t>
        </w:r>
      </w:hyperlink>
      <w:r>
        <w:t xml:space="preserve"> </w:t>
      </w:r>
      <w:hyperlink w:anchor="ref-6">
        <w:r>
          <w:rPr>
            <w:rStyle w:val="Hyperlink"/>
          </w:rPr>
          <w:t xml:space="preserve">[6]</w:t>
        </w:r>
      </w:hyperlink>
      <w:r>
        <w:t xml:space="preserve">. Both constructs are multidimensional, and Chapter 5 details their construction. The theory’s demand on measurement is modest but firm: exposure must be measured before alignment, and both must come from open, source-traced records.</w:t>
      </w:r>
    </w:p>
    <w:bookmarkEnd w:id="85"/>
    <w:bookmarkStart w:id="86" w:name="the-hypotheses"/>
    <w:p>
      <w:pPr>
        <w:pStyle w:val="Heading2"/>
        <w:spacing w:line="480" w:lineRule="auto"/>
      </w:pPr>
      <w:r>
        <w:t xml:space="preserve">3.5 The hypotheses</w:t>
      </w:r>
    </w:p>
    <w:p>
      <w:pPr>
        <w:pStyle w:val="FirstParagraph"/>
        <w:spacing w:line="480" w:lineRule="auto"/>
      </w:pPr>
      <w:r>
        <w:t xml:space="preserve">The mechanism yields two hypotheses, and they exhaust the possibilities for the sign of one coefficient. The null, H0, holds that after conditioning on baseline strategic alignment, market size, and time effects, variation in chokepoint exposure does not predict a subsequent increase in governance alignment with the controlling actor. The coefficient on lagged exposure is non-positive. Under H0, whatever alignment we observe is explained by alliance, market access, affinity, or noise, and the chokepoint adds nothing. The alternative, H1, holds that under the same conditioning set, higher chokepoint exposure predicts a subsequent increase in governance alignment with the controlling actor. The coefficient on lagged exposure is positive. Under H1, industrial structure shapes governance outcomes upstream of persuasion, and the weaponized-interdependence mechanism is supported in this space-domain application. One proposition, one sign. If the coefficient is non-positive once the rivals are bounded, the mechanism is not supported here, and the dissertation reports that rather than reaching for an auxiliary story to rescue it.</w:t>
      </w:r>
    </w:p>
    <w:bookmarkEnd w:id="86"/>
    <w:bookmarkStart w:id="87" w:name="Xdeffb4926c7d252c8bea2dde9f1b2585351b945"/>
    <w:p>
      <w:pPr>
        <w:pStyle w:val="Heading2"/>
        <w:spacing w:line="480" w:lineRule="auto"/>
      </w:pPr>
      <w:r>
        <w:t xml:space="preserve">3.6 Auxiliary predictions from the completed papers</w:t>
      </w:r>
    </w:p>
    <w:p>
      <w:pPr>
        <w:pStyle w:val="FirstParagraph"/>
        <w:spacing w:line="480" w:lineRule="auto"/>
      </w:pPr>
      <w:r>
        <w:t xml:space="preserve">The two completed source-audit papers do not test H1. They test smaller, adjacent predictions about the evidence environment, and stating those predictions here keeps the theory honest about what the current data can and cannot bear. Paper 1 predicts that topic-signal intensity in the retrieved corpus is not random but is structured by observable features, specifically citation attention and venue family, with recency plausibly contributing</w:t>
      </w:r>
      <w:r>
        <w:t xml:space="preserve"> </w:t>
      </w:r>
      <w:hyperlink w:anchor="ref-1">
        <w:r>
          <w:rPr>
            <w:rStyle w:val="Hyperlink"/>
          </w:rPr>
          <w:t xml:space="preserve">[1]</w:t>
        </w:r>
      </w:hyperlink>
      <w:r>
        <w:t xml:space="preserve"> </w:t>
      </w:r>
      <w:hyperlink w:anchor="ref-8">
        <w:r>
          <w:rPr>
            <w:rStyle w:val="Hyperlink"/>
          </w:rPr>
          <w:t xml:space="preserve">[8]</w:t>
        </w:r>
      </w:hyperlink>
      <w:r>
        <w:t xml:space="preserve"> </w:t>
      </w:r>
      <w:hyperlink w:anchor="ref-14">
        <w:r>
          <w:rPr>
            <w:rStyle w:val="Hyperlink"/>
          </w:rPr>
          <w:t xml:space="preserve">[14]</w:t>
        </w:r>
      </w:hyperlink>
      <w:r>
        <w:t xml:space="preserve">. That prediction, if confirmed, tells the dissertation its source base is sorted and must be read with that sorting in mind. Paper 2 predicts either that citation accumulation follows an age-based attention curve, or that it does not; the learning-curve specification lets the data decide. If age carries little content, the dissertation should not treat older sources as automatically foundational, and should curate by topic fit instead. These auxiliary predictions matter for the main theory in one specific way. The main mechanism relies on reading a governance and industrial literature accurately, and a biased or mis-weighted source base would corrupt that reading. By testing the structure of the corpus before building on it, the completed papers protect the later causal design from an avoidable measurement pathology</w:t>
      </w:r>
      <w:r>
        <w:t xml:space="preserve"> </w:t>
      </w:r>
      <w:hyperlink w:anchor="ref-8">
        <w:r>
          <w:rPr>
            <w:rStyle w:val="Hyperlink"/>
          </w:rPr>
          <w:t xml:space="preserve">[8]</w:t>
        </w:r>
      </w:hyperlink>
      <w:r>
        <w:t xml:space="preserve"> </w:t>
      </w:r>
      <w:hyperlink w:anchor="ref-14">
        <w:r>
          <w:rPr>
            <w:rStyle w:val="Hyperlink"/>
          </w:rPr>
          <w:t xml:space="preserve">[14]</w:t>
        </w:r>
      </w:hyperlink>
      <w:r>
        <w:t xml:space="preserve">. The theory of leverage and the audit of sources are therefore not two projects but one, connected by the requirement that the evidence base be understood before it is trusted.</w:t>
      </w:r>
    </w:p>
    <w:p>
      <w:pPr>
        <w:pStyle w:val="BodyText"/>
        <w:spacing w:line="480" w:lineRule="auto"/>
        <w:ind w:firstLine="720"/>
      </w:pPr>
      <w:r>
        <w:t xml:space="preserve">The nesting of claims is worth stating plainly, because it governs how the theory should be read. At the center sits one signed coefficient, positive under H1 and non-positive under H0</w:t>
      </w:r>
      <w:r>
        <w:t xml:space="preserve"> </w:t>
      </w:r>
      <w:hyperlink w:anchor="ref-8">
        <w:r>
          <w:rPr>
            <w:rStyle w:val="Hyperlink"/>
          </w:rPr>
          <w:t xml:space="preserve">[8]</w:t>
        </w:r>
      </w:hyperlink>
      <w:r>
        <w:t xml:space="preserve">. Around it sit the comparative statics, the nonlinearity in concentration, and the anticipation feature, each a conditional prediction that the mechanism should satisfy if it operates. And beside the whole structure sit the two auxiliary source-audit predictions, which do not test the mechanism but protect the reading of the evidence on which the mechanism will be tested</w:t>
      </w:r>
      <w:r>
        <w:t xml:space="preserve"> </w:t>
      </w:r>
      <w:hyperlink w:anchor="ref-1">
        <w:r>
          <w:rPr>
            <w:rStyle w:val="Hyperlink"/>
          </w:rPr>
          <w:t xml:space="preserve">[1]</w:t>
        </w:r>
      </w:hyperlink>
      <w:r>
        <w:t xml:space="preserve"> </w:t>
      </w:r>
      <w:hyperlink w:anchor="ref-14">
        <w:r>
          <w:rPr>
            <w:rStyle w:val="Hyperlink"/>
          </w:rPr>
          <w:t xml:space="preserve">[14]</w:t>
        </w:r>
      </w:hyperlink>
      <w:r>
        <w:t xml:space="preserve">. A theory organized this way is harder to satisfy than a bare correlation, because it exposes several independent surfaces on which the data can contradict it, and that added exposure is exactly what a falsifiable claim should seek.</w:t>
      </w:r>
    </w:p>
    <w:bookmarkEnd w:id="87"/>
    <w:bookmarkStart w:id="88" w:name="scope-conditions"/>
    <w:p>
      <w:pPr>
        <w:pStyle w:val="Heading2"/>
        <w:spacing w:line="480" w:lineRule="auto"/>
      </w:pPr>
      <w:r>
        <w:t xml:space="preserve">3.7 Scope conditions</w:t>
      </w:r>
    </w:p>
    <w:p>
      <w:pPr>
        <w:pStyle w:val="FirstParagraph"/>
        <w:spacing w:line="480" w:lineRule="auto"/>
      </w:pPr>
      <w:r>
        <w:t xml:space="preserve">Finally, the theory is bounded by scope conditions, and naming them prevents overreach. The mechanism is expected to operate where dependence is concentrated, switching is slow, and the controller has a governance preference. It is not expected where substitutes are abundant, where dependence is symmetric, or where no rule at stake advantages the controller. In those regions the prediction is precisely H0, so the theory does not merely predict where leverage appears; it predicts where it should be absent. A theory that expects the same outcome everywhere explains nothing. This one expects leverage in the concentrated, slow-switching, preference-laden corner of the space supply chain, and expects its absence elsewhere, which is the shape of a claim that can be checked</w:t>
      </w:r>
      <w:r>
        <w:t xml:space="preserve"> </w:t>
      </w:r>
      <w:hyperlink w:anchor="ref-6">
        <w:r>
          <w:rPr>
            <w:rStyle w:val="Hyperlink"/>
          </w:rPr>
          <w:t xml:space="preserve">[6]</w:t>
        </w:r>
      </w:hyperlink>
      <w:r>
        <w:t xml:space="preserve"> </w:t>
      </w:r>
      <w:hyperlink w:anchor="ref-8">
        <w:r>
          <w:rPr>
            <w:rStyle w:val="Hyperlink"/>
          </w:rPr>
          <w:t xml:space="preserve">[8]</w:t>
        </w:r>
      </w:hyperlink>
      <w:r>
        <w:t xml:space="preserve"> </w:t>
      </w:r>
      <w:hyperlink w:anchor="ref-13">
        <w:r>
          <w:rPr>
            <w:rStyle w:val="Hyperlink"/>
          </w:rPr>
          <w:t xml:space="preserve">[13]</w:t>
        </w:r>
      </w:hyperlink>
      <w:r>
        <w:t xml:space="preserve">.</w:t>
      </w:r>
    </w:p>
    <w:bookmarkEnd w:id="88"/>
    <w:bookmarkStart w:id="89" w:name="X7e28aff388569203e0c027b08e5cd24eadb0beb"/>
    <w:p>
      <w:pPr>
        <w:pStyle w:val="Heading2"/>
        <w:spacing w:line="480" w:lineRule="auto"/>
      </w:pPr>
      <w:r>
        <w:t xml:space="preserve">3.7a Two failure modes the theory must survive</w:t>
      </w:r>
    </w:p>
    <w:p>
      <w:pPr>
        <w:pStyle w:val="FirstParagraph"/>
        <w:spacing w:line="480" w:lineRule="auto"/>
      </w:pPr>
      <w:r>
        <w:t xml:space="preserve">A mechanism is only as good as the failure modes it anticipates, and two deserve explicit treatment before the comparative statics. The first is the substitution escape. If a dependent actor can re-source a component or a launch slot faster than the controller expects, the anticipated cost of disruption collapses and the predicted alignment never forms</w:t>
      </w:r>
      <w:r>
        <w:t xml:space="preserve"> </w:t>
      </w:r>
      <w:hyperlink w:anchor="ref-9">
        <w:r>
          <w:rPr>
            <w:rStyle w:val="Hyperlink"/>
          </w:rPr>
          <w:t xml:space="preserve">[9]</w:t>
        </w:r>
      </w:hyperlink>
      <w:r>
        <w:t xml:space="preserve"> </w:t>
      </w:r>
      <w:hyperlink w:anchor="ref-14">
        <w:r>
          <w:rPr>
            <w:rStyle w:val="Hyperlink"/>
          </w:rPr>
          <w:t xml:space="preserve">[14]</w:t>
        </w:r>
      </w:hyperlink>
      <w:r>
        <w:t xml:space="preserve">. The theory does not treat this as a nuisance to be assumed away; it treats switching speed as a genuine variable that can nullify leverage. Where substitution is fast, the theory predicts H0, and it would be falsified only if alignment appeared even where substitution was easy, which is a pattern the design can look for. The second failure mode is preference absence. Leverage requires that the controller care about the dependent actor’s governance behavior; without that preference there is nothing to extract, and concentration produces no alignment</w:t>
      </w:r>
      <w:r>
        <w:t xml:space="preserve"> </w:t>
      </w:r>
      <w:hyperlink w:anchor="ref-1">
        <w:r>
          <w:rPr>
            <w:rStyle w:val="Hyperlink"/>
          </w:rPr>
          <w:t xml:space="preserve">[1]</w:t>
        </w:r>
      </w:hyperlink>
      <w:r>
        <w:t xml:space="preserve"> </w:t>
      </w:r>
      <w:hyperlink w:anchor="ref-6">
        <w:r>
          <w:rPr>
            <w:rStyle w:val="Hyperlink"/>
          </w:rPr>
          <w:t xml:space="preserve">[6]</w:t>
        </w:r>
      </w:hyperlink>
      <w:r>
        <w:t xml:space="preserve">. This matters because much industrial concentration is commercially rather than politically motivated, and a controller indifferent to governance outcomes will not convert dominance into rule-shaping pressure. The theory therefore predicts that alignment tracks exposure only where a governance question at stake advantages the controller, and predicts no relationship where the controller is politically indifferent. Building the test around these two failure modes is what keeps the mechanism from being unfalsifiable, because each names a concrete condition under which the effect should vanish</w:t>
      </w:r>
      <w:r>
        <w:t xml:space="preserve"> </w:t>
      </w:r>
      <w:hyperlink w:anchor="ref-8">
        <w:r>
          <w:rPr>
            <w:rStyle w:val="Hyperlink"/>
          </w:rPr>
          <w:t xml:space="preserve">[8]</w:t>
        </w:r>
      </w:hyperlink>
      <w:r>
        <w:t xml:space="preserve">.</w:t>
      </w:r>
    </w:p>
    <w:bookmarkEnd w:id="89"/>
    <w:bookmarkStart w:id="90" w:name="comparative-statics-of-the-mechanism"/>
    <w:p>
      <w:pPr>
        <w:pStyle w:val="Heading2"/>
        <w:spacing w:line="480" w:lineRule="auto"/>
      </w:pPr>
      <w:r>
        <w:t xml:space="preserve">3.8 Comparative statics of the mechanism</w:t>
      </w:r>
    </w:p>
    <w:p>
      <w:pPr>
        <w:pStyle w:val="FirstParagraph"/>
        <w:spacing w:line="480" w:lineRule="auto"/>
      </w:pPr>
      <w:r>
        <w:t xml:space="preserve">A mechanism is more useful when it says not only whether an effect appears but how it should change as conditions change. Three comparative statics follow from the theory. As concentration rises, holding switching cost and controller preference fixed, the predicted alignment response should strengthen, because the dependent actor has fewer alternatives to fall back on</w:t>
      </w:r>
      <w:r>
        <w:t xml:space="preserve"> </w:t>
      </w:r>
      <w:hyperlink w:anchor="ref-8">
        <w:r>
          <w:rPr>
            <w:rStyle w:val="Hyperlink"/>
          </w:rPr>
          <w:t xml:space="preserve">[8]</w:t>
        </w:r>
      </w:hyperlink>
      <w:r>
        <w:t xml:space="preserve">. As switching cost falls, the response should weaken, because the threat of disrupted access loses credibility once the dependent actor can re-source quickly</w:t>
      </w:r>
      <w:r>
        <w:t xml:space="preserve"> </w:t>
      </w:r>
      <w:hyperlink w:anchor="ref-9">
        <w:r>
          <w:rPr>
            <w:rStyle w:val="Hyperlink"/>
          </w:rPr>
          <w:t xml:space="preserve">[9]</w:t>
        </w:r>
      </w:hyperlink>
      <w:r>
        <w:t xml:space="preserve"> </w:t>
      </w:r>
      <w:hyperlink w:anchor="ref-14">
        <w:r>
          <w:rPr>
            <w:rStyle w:val="Hyperlink"/>
          </w:rPr>
          <w:t xml:space="preserve">[14]</w:t>
        </w:r>
      </w:hyperlink>
      <w:r>
        <w:t xml:space="preserve">. And as the controller’s stake in a given governance question rises, the response should sharpen on that question specifically, because the controller now has more reason to let the structural pressure do its work</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These comparative statics are testable in principle and they discipline the empirical design. If the data showed alignment rising with exposure but not varying with switching cost or controller preference, the pattern would fit some rival story better than the leverage mechanism, because the mechanism specifically predicts that all three margins move the outcome. The theory thus commits to more than a sign on one coefficient; it commits to a shape across conditions. That richer commitment is what separates a mechanism from a mere correlation, and it gives the eventual analysis several independent ways to disconfirm the account</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90"/>
    <w:bookmarkStart w:id="91" w:name="X9379de0c1b2aba7b1b3055fb72587160dc26d4c"/>
    <w:p>
      <w:pPr>
        <w:pStyle w:val="Heading2"/>
        <w:spacing w:line="480" w:lineRule="auto"/>
      </w:pPr>
      <w:r>
        <w:t xml:space="preserve">3.8a Why the effect should be nonlinear in concentration</w:t>
      </w:r>
    </w:p>
    <w:p>
      <w:pPr>
        <w:pStyle w:val="FirstParagraph"/>
        <w:spacing w:line="480" w:lineRule="auto"/>
      </w:pPr>
      <w:r>
        <w:t xml:space="preserve">The comparative statics above treat concentration as pushing alignment in one direction, but the theory implies something sharper about the shape of that push. Leverage should be roughly flat at low concentration, where abundant alternatives keep the dependent actor’s options open, and should rise steeply once concentration crosses the point at which credible substitutes disappear</w:t>
      </w:r>
      <w:r>
        <w:t xml:space="preserve"> </w:t>
      </w:r>
      <w:hyperlink w:anchor="ref-8">
        <w:r>
          <w:rPr>
            <w:rStyle w:val="Hyperlink"/>
          </w:rPr>
          <w:t xml:space="preserve">[8]</w:t>
        </w:r>
      </w:hyperlink>
      <w:r>
        <w:t xml:space="preserve"> </w:t>
      </w:r>
      <w:hyperlink w:anchor="ref-9">
        <w:r>
          <w:rPr>
            <w:rStyle w:val="Hyperlink"/>
          </w:rPr>
          <w:t xml:space="preserve">[9]</w:t>
        </w:r>
      </w:hyperlink>
      <w:r>
        <w:t xml:space="preserve">. Below that threshold, adding concentration changes little, because a dependent actor with several suppliers is not meaningfully constrained by any one of them. Above it, small increases in concentration remove the last alternatives and convert a manageable dependence into a binding one, and the alignment response should accelerate. This nonlinearity has a design consequence worth previewing. A linear specification could understate the mechanism by averaging a flat low-concentration region against a steep high-concentration region, so the eventual analysis should allow the exposure effect to bend, through thresholds or interaction with a substitutability measure</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The theory thus predicts not only that the coefficient on exposure is positive under H1 but that its marginal effect strengthens as alternatives vanish, which is a further, more demanding prediction the data can check. A mechanism that specified only a sign would be easier to satisfy; one that specifies a curvature offers concentration another way to fail the theory, and that additional risk is what makes a confirmation more persuasive</w:t>
      </w:r>
      <w:r>
        <w:t xml:space="preserve"> </w:t>
      </w:r>
      <w:hyperlink w:anchor="ref-8">
        <w:r>
          <w:rPr>
            <w:rStyle w:val="Hyperlink"/>
          </w:rPr>
          <w:t xml:space="preserve">[8]</w:t>
        </w:r>
      </w:hyperlink>
      <w:r>
        <w:t xml:space="preserve">.</w:t>
      </w:r>
    </w:p>
    <w:bookmarkEnd w:id="91"/>
    <w:bookmarkStart w:id="92" w:name="the-role-of-anticipation"/>
    <w:p>
      <w:pPr>
        <w:pStyle w:val="Heading2"/>
        <w:spacing w:line="480" w:lineRule="auto"/>
      </w:pPr>
      <w:r>
        <w:t xml:space="preserve">3.9 The role of anticipation</w:t>
      </w:r>
    </w:p>
    <w:p>
      <w:pPr>
        <w:pStyle w:val="FirstParagraph"/>
        <w:spacing w:line="480" w:lineRule="auto"/>
      </w:pPr>
      <w:r>
        <w:t xml:space="preserve">The subtlest feature of the theory is that the causal work is done by anticipation, not by action. A dependent actor need never experience a disruption to be moved by the possibility of one. This has a sharp empirical consequence: the observable trace of the strongest cases may be the quietest, because a controller who never has to act leaves no record of acting. Where leverage works perfectly, it is invisible in event data and shows up only as alignment that tracks structure. This is why the design leans on structural exposure measured before the outcome rather than on catalogued coercive events, and why the process trace targets a rare visible episode precisely to illuminate the more common invisible ones</w:t>
      </w:r>
      <w:r>
        <w:t xml:space="preserve"> </w:t>
      </w:r>
      <w:hyperlink w:anchor="ref-8">
        <w:r>
          <w:rPr>
            <w:rStyle w:val="Hyperlink"/>
          </w:rPr>
          <w:t xml:space="preserve">[8]</w:t>
        </w:r>
      </w:hyperlink>
      <w:r>
        <w:t xml:space="preserve">. Anticipation also explains why the mechanism can coexist with cordial relations. Nothing in the theory requires hostility. A dependent actor and a controller may be partners, may exchange warmly, and the alignment may still be structurally conditioned rather than freely chosen. That is uncomfortable for an analyst who wants leverage to look like coercion, but it is faithful to how structural power operates. The theory therefore predicts alignment even absent any observable pressure, which is exactly the prediction that makes it hard to test and exactly the reason the design privileges temporal ordering and bounded rivals over a search for smoking-gun demands</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92"/>
    <w:bookmarkStart w:id="93" w:name="from-mechanism-to-estimable-claim"/>
    <w:p>
      <w:pPr>
        <w:pStyle w:val="Heading2"/>
        <w:spacing w:line="480" w:lineRule="auto"/>
      </w:pPr>
      <w:r>
        <w:t xml:space="preserve">3.10 From mechanism to estimable claim</w:t>
      </w:r>
    </w:p>
    <w:p>
      <w:pPr>
        <w:pStyle w:val="FirstParagraph"/>
        <w:spacing w:line="480" w:lineRule="auto"/>
      </w:pPr>
      <w:r>
        <w:t xml:space="preserve">The chapter closes by tying the mechanism to the estimable object of Chapter 4. The four-step mechanism, the three comparative statics, and the anticipation feature all reduce, for the baseline test, to one claim: the coefficient on lagged chokepoint exposure in a fixed-effects model of governance alignment is positive under H1 and non-positive under H0</w:t>
      </w:r>
      <w:r>
        <w:t xml:space="preserve"> </w:t>
      </w:r>
      <w:hyperlink w:anchor="ref-8">
        <w:r>
          <w:rPr>
            <w:rStyle w:val="Hyperlink"/>
          </w:rPr>
          <w:t xml:space="preserve">[8]</w:t>
        </w:r>
      </w:hyperlink>
      <w:r>
        <w:t xml:space="preserve">. Everything richer in the theory becomes a robustness prediction layered on top of that baseline: interactions with switching cost, interactions with controller preference, and a process trace that should reveal anticipation in sequence. The theory is thus organized as a nested set of claims, with one signed coefficient at the center and a widening ring of conditional predictions around it, each of which offers the mechanism another chance to fail</w:t>
      </w:r>
      <w:r>
        <w:t xml:space="preserve"> </w:t>
      </w:r>
      <w:hyperlink w:anchor="ref-6">
        <w:r>
          <w:rPr>
            <w:rStyle w:val="Hyperlink"/>
          </w:rPr>
          <w:t xml:space="preserve">[6]</w:t>
        </w:r>
      </w:hyperlink>
      <w:r>
        <w:t xml:space="preserve"> </w:t>
      </w:r>
      <w:hyperlink w:anchor="ref-8">
        <w:r>
          <w:rPr>
            <w:rStyle w:val="Hyperlink"/>
          </w:rPr>
          <w:t xml:space="preserve">[8]</w:t>
        </w:r>
      </w:hyperlink>
      <w:r>
        <w:t xml:space="preserve"> </w:t>
      </w:r>
      <w:hyperlink w:anchor="ref-13">
        <w:r>
          <w:rPr>
            <w:rStyle w:val="Hyperlink"/>
          </w:rPr>
          <w:t xml:space="preserve">[13]</w:t>
        </w:r>
      </w:hyperlink>
      <w:r>
        <w:t xml:space="preserve">.</w:t>
      </w:r>
    </w:p>
    <w:bookmarkEnd w:id="93"/>
    <w:bookmarkEnd w:id="94"/>
    <w:bookmarkStart w:id="108" w:name="X940caaf6d3ac92c12a69529db0381ad3e868d7e"/>
    <w:p>
      <w:pPr>
        <w:pStyle w:val="Heading1"/>
        <w:spacing w:line="480" w:lineRule="auto"/>
      </w:pPr>
      <w:r>
        <w:t xml:space="preserve">Chapter 4. Methodology and Identification</w:t>
      </w:r>
    </w:p>
    <w:p>
      <w:pPr>
        <w:pStyle w:val="FirstParagraph"/>
        <w:spacing w:line="480" w:lineRule="auto"/>
      </w:pPr>
      <w:r>
        <w:t xml:space="preserve">Identification is the whole game. Data alone proves nothing. A dissertation can assemble impressive numbers and still learn nothing if it cannot say why its estimate reflects the mechanism rather than something else. This chapter does two things. It sets out the estimators actually used in the two completed papers, because those are the numbers this manuscript reports. And it develops the identification strategy for the dissertation’s planned causal design, because that strategy is what will eventually put H1 at risk.</w:t>
      </w:r>
    </w:p>
    <w:bookmarkStart w:id="95" w:name="two-levels-of-inference"/>
    <w:p>
      <w:pPr>
        <w:pStyle w:val="Heading2"/>
        <w:spacing w:line="480" w:lineRule="auto"/>
      </w:pPr>
      <w:r>
        <w:t xml:space="preserve">4.1 Two levels of inference</w:t>
      </w:r>
    </w:p>
    <w:p>
      <w:pPr>
        <w:pStyle w:val="FirstParagraph"/>
        <w:spacing w:line="480" w:lineRule="auto"/>
      </w:pPr>
      <w:r>
        <w:t xml:space="preserve">Keep two levels separate. Blur them and the argument collapses. The completed papers make diagnostic inferences about the structure of a retrieved corpus. The planned dissertation core makes a causal inference about whether chokepoint exposure predicts governance alignment. The estimators differ, the identifying assumptions differ, and the strength of the claims differs. The completed papers are honest, checkable, and modest. The planned core is ambitious and remains at the design stage. Conflating the two would let the modesty of the source audit borrow unearned credibility for the causal claim, or let the ambition of the causal claim overstate what the source audit shows. The chapter is organized to prevent both.</w:t>
      </w:r>
    </w:p>
    <w:bookmarkEnd w:id="95"/>
    <w:bookmarkStart w:id="96" w:name="X5d72b89f70012a21b57d006e7ed38ea96861533"/>
    <w:p>
      <w:pPr>
        <w:pStyle w:val="Heading2"/>
        <w:spacing w:line="480" w:lineRule="auto"/>
      </w:pPr>
      <w:r>
        <w:t xml:space="preserve">4.2 Paper 1: the ordinary least squares source audit</w:t>
      </w:r>
    </w:p>
    <w:p>
      <w:pPr>
        <w:pStyle w:val="FirstParagraph"/>
        <w:spacing w:line="480" w:lineRule="auto"/>
      </w:pPr>
      <w:r>
        <w:t xml:space="preserve">The first completed paper regresses a topic-signal score on three observable features of each retrieved record, using ordinary least squares with robust HC1 standard errors.</w:t>
      </w:r>
    </w:p>
    <w:p>
      <w:pPr>
        <w:pStyle w:val="BodyText"/>
        <w:spacing w:line="480" w:lineRule="auto"/>
        <w:ind w:firstLine="720"/>
      </w:pPr>
      <w:r>
        <w:t xml:space="preserve">The specification is</w:t>
      </w:r>
    </w:p>
    <w:p>
      <w:pPr>
        <w:pStyle w:val="BodyText"/>
        <w:spacing w:line="480" w:lineRule="auto"/>
        <w:ind w:firstLine="720"/>
      </w:pPr>
      <w:r>
        <w:t xml:space="preserve">[</w:t>
      </w:r>
      <w:r>
        <w:t xml:space="preserve"> </w:t>
      </w:r>
      <w:r>
        <w:t xml:space="preserve">_i =</w:t>
      </w:r>
      <w:r>
        <w:t xml:space="preserve"> </w:t>
      </w:r>
      <w:r>
        <w:t xml:space="preserve">+</w:t>
      </w:r>
      <w:r>
        <w:t xml:space="preserve"> </w:t>
      </w:r>
      <w:r>
        <w:t xml:space="preserve">_1</w:t>
      </w:r>
      <w:r>
        <w:t xml:space="preserve"> </w:t>
      </w:r>
      <w:r>
        <w:t xml:space="preserve">_i +</w:t>
      </w:r>
      <w:r>
        <w:t xml:space="preserve"> </w:t>
      </w:r>
      <w:r>
        <w:t xml:space="preserve">_2</w:t>
      </w:r>
      <w:r>
        <w:t xml:space="preserve"> </w:t>
      </w:r>
      <w:r>
        <w:t xml:space="preserve">_i +</w:t>
      </w:r>
      <w:r>
        <w:t xml:space="preserve"> </w:t>
      </w:r>
      <w:r>
        <w:t xml:space="preserve">_3</w:t>
      </w:r>
      <w:r>
        <w:t xml:space="preserve"> </w:t>
      </w:r>
      <w:r>
        <w:t xml:space="preserve">_i +</w:t>
      </w:r>
      <w:r>
        <w:t xml:space="preserve"> </w:t>
      </w:r>
      <w:r>
        <w:t xml:space="preserve">_i.</w:t>
      </w:r>
      <w:r>
        <w:t xml:space="preserve"> </w:t>
      </w:r>
      <w:r>
        <w:t xml:space="preserve">] The dependent variable is a deterministic count of candidate-theme term hits across each source’s title, snippet, keyword field, and author metadata, so it measures topical salience rather than quality.</w:t>
      </w:r>
    </w:p>
    <w:p>
      <w:pPr>
        <w:pStyle w:val="BodyText"/>
        <w:spacing w:line="480" w:lineRule="auto"/>
        <w:ind w:firstLine="720"/>
      </w:pPr>
      <w:r>
        <w:t xml:space="preserve">Recency index is the publication year minus the minimum year in the sample plus one. Citation count is parsed from the local brain index, set to zero where none was reported. Venue score is an ordinal family code, AMOS coded one, Acta Astronautica coded two, and Space Economy coded three</w:t>
      </w:r>
      <w:r>
        <w:t xml:space="preserve"> </w:t>
      </w:r>
      <w:hyperlink w:anchor="ref-1">
        <w:r>
          <w:rPr>
            <w:rStyle w:val="Hyperlink"/>
          </w:rPr>
          <w:t xml:space="preserve">[1]</w:t>
        </w:r>
      </w:hyperlink>
      <w:r>
        <w:t xml:space="preserve"> </w:t>
      </w:r>
      <w:hyperlink w:anchor="ref-8">
        <w:r>
          <w:rPr>
            <w:rStyle w:val="Hyperlink"/>
          </w:rPr>
          <w:t xml:space="preserve">[8]</w:t>
        </w:r>
      </w:hyperlink>
      <w:r>
        <w:t xml:space="preserve"> </w:t>
      </w:r>
      <w:hyperlink w:anchor="ref-14">
        <w:r>
          <w:rPr>
            <w:rStyle w:val="Hyperlink"/>
          </w:rPr>
          <w:t xml:space="preserve">[14]</w:t>
        </w:r>
      </w:hyperlink>
      <w:r>
        <w:t xml:space="preserve">. Why ordinary least squares here. The question is descriptive: which visible features co-move with topic signal in the corpus the dissertation actually retrieved? Ordinary least squares gives an interpretable partial association for each feature, holding the others fixed, and robust standard errors guard against the heteroskedasticity a small, mixed sample is likely to show. The paper is explicit that these results are diagnostic, not causal, because the sample is retrieval-based rather than a population draw. The estimator identifies how the available literature is organized, which is precisely the claim the paper makes and no more.</w:t>
      </w:r>
    </w:p>
    <w:bookmarkEnd w:id="96"/>
    <w:bookmarkStart w:id="97" w:name="paper-2-the-learning-curve-specification"/>
    <w:p>
      <w:pPr>
        <w:pStyle w:val="Heading2"/>
        <w:spacing w:line="480" w:lineRule="auto"/>
      </w:pPr>
      <w:r>
        <w:t xml:space="preserve">4.3 Paper 2: the learning-curve specification</w:t>
      </w:r>
    </w:p>
    <w:p>
      <w:pPr>
        <w:pStyle w:val="FirstParagraph"/>
        <w:spacing w:line="480" w:lineRule="auto"/>
      </w:pPr>
      <w:r>
        <w:t xml:space="preserve">The second completed paper asks whether citation attention scales with article age, using a log-log learning-curve model:</w:t>
      </w:r>
    </w:p>
    <w:p>
      <w:pPr>
        <w:pStyle w:val="BodyText"/>
        <w:spacing w:line="480" w:lineRule="auto"/>
        <w:ind w:firstLine="720"/>
      </w:pPr>
      <w:r>
        <w:t xml:space="preserve">[</w:t>
      </w:r>
      <w:r>
        <w:t xml:space="preserve"> </w:t>
      </w:r>
      <w:r>
        <w:t xml:space="preserve">(</w:t>
      </w:r>
      <w:r>
        <w:t xml:space="preserve">_i) =</w:t>
      </w:r>
      <w:r>
        <w:t xml:space="preserve"> </w:t>
      </w:r>
      <w:r>
        <w:t xml:space="preserve">+</w:t>
      </w:r>
      <w:r>
        <w:t xml:space="preserve"> </w:t>
      </w:r>
      <w:r>
        <w:t xml:space="preserve">_1</w:t>
      </w:r>
      <w:r>
        <w:t xml:space="preserve"> </w:t>
      </w:r>
      <w:r>
        <w:t xml:space="preserve">(</w:t>
      </w:r>
      <w:r>
        <w:t xml:space="preserve">_i) +</w:t>
      </w:r>
      <w:r>
        <w:t xml:space="preserve"> </w:t>
      </w:r>
      <w:r>
        <w:t xml:space="preserve">_i.</w:t>
      </w:r>
      <w:r>
        <w:t xml:space="preserve"> </w:t>
      </w:r>
      <w:r>
        <w:t xml:space="preserve">] Age index is 2026 minus publication year plus one.</w:t>
      </w:r>
    </w:p>
    <w:p>
      <w:pPr>
        <w:pStyle w:val="BodyText"/>
        <w:spacing w:line="480" w:lineRule="auto"/>
        <w:ind w:firstLine="720"/>
      </w:pPr>
      <w:r>
        <w:t xml:space="preserve">Citation count plus one keeps the log defined for uncited records. The coefficient on log age is an elasticity, and the implied progress ratio translates it into the proportional change in attention associated with a doubling of age. A learning-curve form is the natural choice because the substantive question is about accumulation, whether older records systematically gather more attention, and the log-log form expresses that accumulation as a constant elasticity that the data can confirm or reject</w:t>
      </w:r>
      <w:r>
        <w:t xml:space="preserve"> </w:t>
      </w:r>
      <w:hyperlink w:anchor="ref-8">
        <w:r>
          <w:rPr>
            <w:rStyle w:val="Hyperlink"/>
          </w:rPr>
          <w:t xml:space="preserve">[8]</w:t>
        </w:r>
      </w:hyperlink>
      <w:r>
        <w:t xml:space="preserve"> </w:t>
      </w:r>
      <w:hyperlink w:anchor="ref-14">
        <w:r>
          <w:rPr>
            <w:rStyle w:val="Hyperlink"/>
          </w:rPr>
          <w:t xml:space="preserve">[14]</w:t>
        </w:r>
      </w:hyperlink>
      <w:r>
        <w:t xml:space="preserve">. The identifying content of Paper 2 is thin by design, and that thinness is the point. The paper does not claim that age causes citation. It asks only whether, in this corpus, age and attention move together in a stable way. If the elasticity is near zero with a large p-value, the honest conclusion is that age is not a useful sorting variable here, and the dissertation should not lean on it. The learning curve is a lens for detecting structure, and it is equally informative when it detects none.</w:t>
      </w:r>
    </w:p>
    <w:bookmarkEnd w:id="97"/>
    <w:bookmarkStart w:id="98" w:name="X8303bab3b62a8d0042fd7ba2ed39c4e6cbba066"/>
    <w:p>
      <w:pPr>
        <w:pStyle w:val="Heading2"/>
        <w:spacing w:line="480" w:lineRule="auto"/>
      </w:pPr>
      <w:r>
        <w:t xml:space="preserve">4.4 Why the source audits identify what they claim</w:t>
      </w:r>
    </w:p>
    <w:p>
      <w:pPr>
        <w:pStyle w:val="FirstParagraph"/>
        <w:spacing w:line="480" w:lineRule="auto"/>
      </w:pPr>
      <w:r>
        <w:t xml:space="preserve">Each completed paper identifies a descriptive fact about the corpus under weak assumptions.</w:t>
      </w:r>
    </w:p>
    <w:p>
      <w:pPr>
        <w:pStyle w:val="BodyText"/>
        <w:spacing w:line="480" w:lineRule="auto"/>
        <w:ind w:firstLine="720"/>
      </w:pPr>
      <w:r>
        <w:t xml:space="preserve">For Paper 1, the assumption is only that the coded features are measured without systematic error correlated with the residual, which is plausible because the features are mechanical: a year, a parsed citation count, an ordinal venue code</w:t>
      </w:r>
      <w:r>
        <w:t xml:space="preserve"> </w:t>
      </w:r>
      <w:hyperlink w:anchor="ref-1">
        <w:r>
          <w:rPr>
            <w:rStyle w:val="Hyperlink"/>
          </w:rPr>
          <w:t xml:space="preserve">[1]</w:t>
        </w:r>
      </w:hyperlink>
      <w:r>
        <w:t xml:space="preserve">.</w:t>
      </w:r>
    </w:p>
    <w:p>
      <w:pPr>
        <w:pStyle w:val="BodyText"/>
        <w:spacing w:line="480" w:lineRule="auto"/>
        <w:ind w:firstLine="720"/>
      </w:pPr>
      <w:r>
        <w:t xml:space="preserve">For Paper 2, the assumption is that age and the citation-plus-one transform are measured consistently across records, which again is mechanical. Neither paper needs an exogeneity story about treatment assignment, because neither estimates a treatment effect. This is why the source audits are credible even though they are small. They ask questions that a thirty-record corpus can actually answer.</w:t>
      </w:r>
    </w:p>
    <w:bookmarkEnd w:id="98"/>
    <w:bookmarkStart w:id="99" w:name="the-planned-causal-design"/>
    <w:p>
      <w:pPr>
        <w:pStyle w:val="Heading2"/>
        <w:spacing w:line="480" w:lineRule="auto"/>
      </w:pPr>
      <w:r>
        <w:t xml:space="preserve">4.5 The planned causal design</w:t>
      </w:r>
    </w:p>
    <w:p>
      <w:pPr>
        <w:pStyle w:val="FirstParagraph"/>
        <w:spacing w:line="480" w:lineRule="auto"/>
      </w:pPr>
      <w:r>
        <w:t xml:space="preserve">The dissertation core requires a different and stronger apparatus. The baseline estimator is a fixed-effects panel model of governance alignment on lagged chokepoint exposure:</w:t>
      </w:r>
    </w:p>
    <w:p>
      <w:pPr>
        <w:pStyle w:val="BodyText"/>
        <w:spacing w:line="480" w:lineRule="auto"/>
        <w:ind w:firstLine="720"/>
      </w:pPr>
      <w:r>
        <w:t xml:space="preserve">[</w:t>
      </w:r>
      <w:r>
        <w:t xml:space="preserve"> </w:t>
      </w:r>
      <w:r>
        <w:t xml:space="preserve">Align_{it} =</w:t>
      </w:r>
      <w:r>
        <w:t xml:space="preserve"> </w:t>
      </w:r>
      <w:r>
        <w:rPr>
          <w:i/>
          <w:iCs/>
        </w:rPr>
        <w:t xml:space="preserve">i +</w:t>
      </w:r>
      <w:r>
        <w:rPr>
          <w:i/>
          <w:iCs/>
        </w:rPr>
        <w:t xml:space="preserve"> </w:t>
      </w:r>
      <w:r>
        <w:rPr>
          <w:i/>
          <w:i/>
          <w:iCs/>
          <w:iCs/>
        </w:rPr>
        <w:t xml:space="preserve">t +</w:t>
      </w:r>
      <w:r>
        <w:rPr>
          <w:i/>
          <w:i/>
          <w:iCs/>
          <w:iCs/>
        </w:rPr>
        <w:t xml:space="preserve"> </w:t>
      </w:r>
      <w:r>
        <w:rPr>
          <w:i/>
          <w:i/>
          <w:iCs/>
          <w:iCs/>
        </w:rPr>
        <w:t xml:space="preserve">, Choke</w:t>
      </w:r>
      <w:r>
        <w:rPr>
          <w:i/>
          <w:iCs/>
        </w:rPr>
        <w:t xml:space="preserve">{i,t-1} +</w:t>
      </w:r>
      <w:r>
        <w:rPr>
          <w:i/>
          <w:iCs/>
        </w:rPr>
        <w:t xml:space="preserve"> </w:t>
      </w:r>
      <w:r>
        <w:t xml:space="preserve">{it}</w:t>
      </w:r>
      <w:r>
        <w:t xml:space="preserve"> </w:t>
      </w:r>
      <w:r>
        <w:t xml:space="preserve">+ u_{it},</w:t>
      </w:r>
      <w:r>
        <w:t xml:space="preserve"> </w:t>
      </w:r>
      <w:r>
        <w:t xml:space="preserve">]</w:t>
      </w:r>
    </w:p>
    <w:p>
      <w:pPr>
        <w:pStyle w:val="BodyText"/>
        <w:spacing w:line="480" w:lineRule="auto"/>
        <w:ind w:firstLine="720"/>
      </w:pPr>
      <w:r>
        <w:t xml:space="preserve">where (</w:t>
      </w:r>
      <w:r>
        <w:rPr>
          <w:i/>
          <w:iCs/>
        </w:rPr>
        <w:t xml:space="preserve">i) absorbs time-invariant actor characteristics, (</w:t>
      </w:r>
      <w:r>
        <w:rPr>
          <w:i/>
          <w:i/>
          <w:iCs/>
          <w:iCs/>
        </w:rPr>
        <w:t xml:space="preserve">t) absorbs common shocks in each period, (Choke</w:t>
      </w:r>
      <w:r>
        <w:rPr>
          <w:i/>
          <w:iCs/>
        </w:rPr>
        <w:t xml:space="preserve">{i,t-1}) is exposure lagged so it precedes the outcome, and (</w:t>
      </w:r>
      <w:r>
        <w:t xml:space="preserve">{it}) holds baseline strategic alignment and market size. The coefficient of interest is (</w:t>
      </w:r>
      <w:r>
        <w:t xml:space="preserve">). Under H0 it is non-positive; under H1 it is positive. Identification rests on three pillars. Temporal ordering comes first: exposure is measured before alignment, so the arrow of time is on the side of the mechanism and against pure reverse causation. Actor fixed effects come second: any fixed trait that makes an actor both dependent and aligned, such as a durable alliance posture, is differenced away, so (</w:t>
      </w:r>
      <w:r>
        <w:t xml:space="preserve">) reflects within-actor change. Time effects come third: any period-wide drift, such as a general geopolitical tide, is absorbed, so (</w:t>
      </w:r>
      <w:r>
        <w:t xml:space="preserve">) does not pick up a trend common to everyone</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99"/>
    <w:bookmarkStart w:id="100" w:name="the-threats-the-design-must-survive"/>
    <w:p>
      <w:pPr>
        <w:pStyle w:val="Heading2"/>
        <w:spacing w:line="480" w:lineRule="auto"/>
      </w:pPr>
      <w:r>
        <w:t xml:space="preserve">4.6 The threats the design must survive</w:t>
      </w:r>
    </w:p>
    <w:p>
      <w:pPr>
        <w:pStyle w:val="FirstParagraph"/>
        <w:spacing w:line="480" w:lineRule="auto"/>
      </w:pPr>
      <w:r>
        <w:t xml:space="preserve">No panel model buys identification outright, and the honest move is to name what could still break it. Reverse causality is the sharpest threat, because favorable governance alignment might attract favorable supply access rather than follow from exposure. Lagging exposure helps, but does not fully settle it, so the design pairs the panel with a process trace of one denial or export-control episode, where the sequence of dependence then pressure then alignment can be observed directly rather than inferred from correlation</w:t>
      </w:r>
      <w:r>
        <w:t xml:space="preserve"> </w:t>
      </w:r>
      <w:hyperlink w:anchor="ref-8">
        <w:r>
          <w:rPr>
            <w:rStyle w:val="Hyperlink"/>
          </w:rPr>
          <w:t xml:space="preserve">[8]</w:t>
        </w:r>
      </w:hyperlink>
      <w:r>
        <w:t xml:space="preserve">. Confounding by alliance structure is the second threat, handled by the baseline-alignment control and by fixed effects, but only to the extent alliances are stable; a shifting alliance that co-moves with exposure would remain a worry, and case selection must avoid such episodes. Construct validity is the third threat, because chokepoint control is multidimensional and a coarse trade-concentration proxy could overstate it; the design triangulates trade data against firm disclosures to bound this</w:t>
      </w:r>
      <w:r>
        <w:t xml:space="preserve"> </w:t>
      </w:r>
      <w:hyperlink w:anchor="ref-13">
        <w:r>
          <w:rPr>
            <w:rStyle w:val="Hyperlink"/>
          </w:rPr>
          <w:t xml:space="preserve">[13]</w:t>
        </w:r>
      </w:hyperlink>
      <w:r>
        <w:t xml:space="preserve">. Selection on observability is the fourth, since leverage may operate informally and leave incomplete public traces, which biases toward finding no effect and therefore makes any positive (</w:t>
      </w:r>
      <w:r>
        <w:t xml:space="preserve">) conservative.</w:t>
      </w:r>
    </w:p>
    <w:bookmarkEnd w:id="100"/>
    <w:bookmarkStart w:id="101" w:name="robustness-and-disconfirmation"/>
    <w:p>
      <w:pPr>
        <w:pStyle w:val="Heading2"/>
        <w:spacing w:line="480" w:lineRule="auto"/>
      </w:pPr>
      <w:r>
        <w:t xml:space="preserve">4.7 Robustness and disconfirmation</w:t>
      </w:r>
    </w:p>
    <w:p>
      <w:pPr>
        <w:pStyle w:val="FirstParagraph"/>
        <w:spacing w:line="480" w:lineRule="auto"/>
      </w:pPr>
      <w:r>
        <w:t xml:space="preserve">A design should say in advance how it could lose. Several checks are built in. Alternative alignment measures, coded from licensing asymmetry, from public positioning, and from multilateral posture separately, test whether the result depends on one coding choice. Alternative exposure windows test whether the lag structure drives the sign. Placebo periods, before a plausible chokepoint formed, should show no effect if the mechanism is real. And the process trace can disconfirm the mechanism qualitatively even where the panel is suggestive, if the sequence turns out to run the wrong way. The design is arranged so that a non-positive (</w:t>
      </w:r>
      <w:r>
        <w:t xml:space="preserve">), a null process trace, or a result that collapses under alternative coding would each count as evidence against H1</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01"/>
    <w:bookmarkStart w:id="102" w:name="X3ea59f548c260156b78fff55c1e0a3070041606"/>
    <w:p>
      <w:pPr>
        <w:pStyle w:val="Heading2"/>
        <w:spacing w:line="480" w:lineRule="auto"/>
      </w:pPr>
      <w:r>
        <w:t xml:space="preserve">4.8 Why this is enough, and why it is not laboratory proof</w:t>
      </w:r>
    </w:p>
    <w:p>
      <w:pPr>
        <w:pStyle w:val="FirstParagraph"/>
        <w:spacing w:line="480" w:lineRule="auto"/>
      </w:pPr>
      <w:r>
        <w:t xml:space="preserve">The dissertation does not claim laboratory conditions, and pretending otherwise would be the wrong kind of confidence. Observational governance data cannot randomize exposure. What the design claims is disconfirmability under stated assumptions: a temporally ordered, fixed-effects, time-controlled estimate, triangulated with a process trace and stress-tested against alternative codings, that can fail to support the mechanism. That is the standard a policy-relevant causal claim in this domain can realistically meet, and it is the standard against which Chapter 6 reports what has actually been estimated so far, which is the two source audits, not the causal core</w:t>
      </w:r>
      <w:r>
        <w:t xml:space="preserve"> </w:t>
      </w:r>
      <w:hyperlink w:anchor="ref-1">
        <w:r>
          <w:rPr>
            <w:rStyle w:val="Hyperlink"/>
          </w:rPr>
          <w:t xml:space="preserve">[1]</w:t>
        </w:r>
      </w:hyperlink>
      <w:r>
        <w:t xml:space="preserve"> </w:t>
      </w:r>
      <w:hyperlink w:anchor="ref-8">
        <w:r>
          <w:rPr>
            <w:rStyle w:val="Hyperlink"/>
          </w:rPr>
          <w:t xml:space="preserve">[8]</w:t>
        </w:r>
      </w:hyperlink>
      <w:r>
        <w:t xml:space="preserve"> </w:t>
      </w:r>
      <w:hyperlink w:anchor="ref-14">
        <w:r>
          <w:rPr>
            <w:rStyle w:val="Hyperlink"/>
          </w:rPr>
          <w:t xml:space="preserve">[14]</w:t>
        </w:r>
      </w:hyperlink>
      <w:r>
        <w:t xml:space="preserve">.</w:t>
      </w:r>
    </w:p>
    <w:bookmarkEnd w:id="102"/>
    <w:bookmarkStart w:id="103" w:name="Xf39cbd002fdf06a5ddd61e5d58e4b5bafbe9be1"/>
    <w:p>
      <w:pPr>
        <w:pStyle w:val="Heading2"/>
        <w:spacing w:line="480" w:lineRule="auto"/>
      </w:pPr>
      <w:r>
        <w:t xml:space="preserve">4.8a Estimator choice as a function of the question</w:t>
      </w:r>
    </w:p>
    <w:p>
      <w:pPr>
        <w:pStyle w:val="FirstParagraph"/>
        <w:spacing w:line="480" w:lineRule="auto"/>
      </w:pPr>
      <w:r>
        <w:t xml:space="preserve">Each completed paper pairs a question shape with an estimator shape, and making that pairing explicit clarifies why the methods differ. Paper 1 asks a multivariate descriptive question, which of several observable features co-move with topic signal, and ordinary least squares is the natural estimator because it returns an interpretable partial slope for each feature holding the others fixed</w:t>
      </w:r>
      <w:r>
        <w:t xml:space="preserve"> </w:t>
      </w:r>
      <w:hyperlink w:anchor="ref-1">
        <w:r>
          <w:rPr>
            <w:rStyle w:val="Hyperlink"/>
          </w:rPr>
          <w:t xml:space="preserve">[1]</w:t>
        </w:r>
      </w:hyperlink>
      <w:r>
        <w:t xml:space="preserve"> </w:t>
      </w:r>
      <w:hyperlink w:anchor="ref-8">
        <w:r>
          <w:rPr>
            <w:rStyle w:val="Hyperlink"/>
          </w:rPr>
          <w:t xml:space="preserve">[8]</w:t>
        </w:r>
      </w:hyperlink>
      <w:r>
        <w:t xml:space="preserve">. Paper 2 asks a univariate accumulation question, whether attention scales with age, and a log-log learning curve is the natural estimator because its single coefficient is a constant elasticity that expresses accumulation directly</w:t>
      </w:r>
      <w:r>
        <w:t xml:space="preserve"> </w:t>
      </w:r>
      <w:hyperlink w:anchor="ref-8">
        <w:r>
          <w:rPr>
            <w:rStyle w:val="Hyperlink"/>
          </w:rPr>
          <w:t xml:space="preserve">[8]</w:t>
        </w:r>
      </w:hyperlink>
      <w:r>
        <w:t xml:space="preserve"> </w:t>
      </w:r>
      <w:hyperlink w:anchor="ref-14">
        <w:r>
          <w:rPr>
            <w:rStyle w:val="Hyperlink"/>
          </w:rPr>
          <w:t xml:space="preserve">[14]</w:t>
        </w:r>
      </w:hyperlink>
      <w:r>
        <w:t xml:space="preserve">. Neither choice is arbitrary. Each is the simplest specification that answers the exact question posed, and neither reaches for complexity the question does not need. The planned causal core requires the fixed-effects panel not because panels are fashionable but because the causal question demands within-actor comparison over time. Only a within-actor estimator can absorb the stable traits, such as durable alliance posture, that would otherwise confound a cross-sectional comparison</w:t>
      </w:r>
      <w:r>
        <w:t xml:space="preserve"> </w:t>
      </w:r>
      <w:hyperlink w:anchor="ref-1">
        <w:r>
          <w:rPr>
            <w:rStyle w:val="Hyperlink"/>
          </w:rPr>
          <w:t xml:space="preserve">[1]</w:t>
        </w:r>
      </w:hyperlink>
      <w:r>
        <w:t xml:space="preserve"> </w:t>
      </w:r>
      <w:hyperlink w:anchor="ref-6">
        <w:r>
          <w:rPr>
            <w:rStyle w:val="Hyperlink"/>
          </w:rPr>
          <w:t xml:space="preserve">[6]</w:t>
        </w:r>
      </w:hyperlink>
      <w:r>
        <w:t xml:space="preserve">. Matching estimator to question in this way is a recurring discipline across the three studies: descriptive questions get descriptive estimators reported as diagnostics, and the causal question gets a within-actor estimator reported, when the data exist, as a bounded causal claim. The methodology chapter’s organizing principle is that the estimator should be the smallest tool that can answer the question at the strength the question deserves, and no larger</w:t>
      </w:r>
      <w:r>
        <w:t xml:space="preserve"> </w:t>
      </w:r>
      <w:hyperlink w:anchor="ref-8">
        <w:r>
          <w:rPr>
            <w:rStyle w:val="Hyperlink"/>
          </w:rPr>
          <w:t xml:space="preserve">[8]</w:t>
        </w:r>
      </w:hyperlink>
      <w:r>
        <w:t xml:space="preserve">.</w:t>
      </w:r>
    </w:p>
    <w:bookmarkEnd w:id="103"/>
    <w:bookmarkStart w:id="104" w:name="X7ece1d24d0b78d8691f7a1707f54c57af852f62"/>
    <w:p>
      <w:pPr>
        <w:pStyle w:val="Heading2"/>
        <w:spacing w:line="480" w:lineRule="auto"/>
      </w:pPr>
      <w:r>
        <w:t xml:space="preserve">4.9 Inference under small samples and robust standard errors</w:t>
      </w:r>
    </w:p>
    <w:p>
      <w:pPr>
        <w:pStyle w:val="FirstParagraph"/>
        <w:spacing w:line="480" w:lineRule="auto"/>
      </w:pPr>
      <w:r>
        <w:t xml:space="preserve">Both completed papers rest on thirty observations, and the inference machinery has to respect that. Paper 1 uses HC1 robust standard errors rather than classical ones, a choice that matters because a small, mixed corpus is almost certain to be heteroskedastic: journal articles with large citation counts and conference records with none do not share a common error variance</w:t>
      </w:r>
      <w:r>
        <w:t xml:space="preserve"> </w:t>
      </w:r>
      <w:hyperlink w:anchor="ref-1">
        <w:r>
          <w:rPr>
            <w:rStyle w:val="Hyperlink"/>
          </w:rPr>
          <w:t xml:space="preserve">[1]</w:t>
        </w:r>
      </w:hyperlink>
      <w:r>
        <w:t xml:space="preserve"> </w:t>
      </w:r>
      <w:hyperlink w:anchor="ref-8">
        <w:r>
          <w:rPr>
            <w:rStyle w:val="Hyperlink"/>
          </w:rPr>
          <w:t xml:space="preserve">[8]</w:t>
        </w:r>
      </w:hyperlink>
      <w:r>
        <w:t xml:space="preserve">. HC1 inflates the classical variance estimate by a finite-sample correction, which is the conservative move in a sample this size. The alternative, assuming homoskedastic errors, would understate uncertainty on exactly the predictors whose variance is largest, and would risk reporting spurious precision on the citation coefficient. The robust choice guards against that. Paper 2’s inference deserves parallel care. Its learning-curve elasticity is estimated on the same thirty records with a robust standard error, and the resulting p-value is large, which is the honest reflection of a small sample containing enormous citation skew: one record at 170 citations, most at zero</w:t>
      </w:r>
      <w:r>
        <w:t xml:space="preserve"> </w:t>
      </w:r>
      <w:hyperlink w:anchor="ref-8">
        <w:r>
          <w:rPr>
            <w:rStyle w:val="Hyperlink"/>
          </w:rPr>
          <w:t xml:space="preserve">[8]</w:t>
        </w:r>
      </w:hyperlink>
      <w:r>
        <w:t xml:space="preserve">. In such a sample a single point can dominate a slope, and the wide standard error correctly signals that the age-attention relationship cannot be pinned down. The methodology here is not to chase significance through transformation-shopping. It is to fit the pre-specified log-log form, report the elasticity with its robust uncertainty, and let a null be a null. Reporting a confidently near-zero coefficient with an appropriately large p-value is the correct outcome of correct inference, not a shortfall.</w:t>
      </w:r>
    </w:p>
    <w:bookmarkEnd w:id="104"/>
    <w:bookmarkStart w:id="105" w:name="X2a72f4aee115574012793766528c5ef2603b902"/>
    <w:p>
      <w:pPr>
        <w:pStyle w:val="Heading2"/>
        <w:spacing w:line="480" w:lineRule="auto"/>
      </w:pPr>
      <w:r>
        <w:t xml:space="preserve">4.9a Reading the F-test and the R-squared honestly</w:t>
      </w:r>
    </w:p>
    <w:p>
      <w:pPr>
        <w:pStyle w:val="FirstParagraph"/>
        <w:spacing w:line="480" w:lineRule="auto"/>
      </w:pPr>
      <w:r>
        <w:t xml:space="preserve">Two overall-fit statistics from Paper 1 deserve a methodological gloss so that Chapter 6 can be read correctly. The F-test p-value of 0.000037 tests the joint null that all three slopes are zero, and rejecting it means the predictors together carry real explanatory content, not that any single one is decisive</w:t>
      </w:r>
      <w:r>
        <w:t xml:space="preserve"> </w:t>
      </w:r>
      <w:hyperlink w:anchor="ref-1">
        <w:r>
          <w:rPr>
            <w:rStyle w:val="Hyperlink"/>
          </w:rPr>
          <w:t xml:space="preserve">[1]</w:t>
        </w:r>
      </w:hyperlink>
      <w:r>
        <w:t xml:space="preserve"> </w:t>
      </w:r>
      <w:hyperlink w:anchor="ref-8">
        <w:r>
          <w:rPr>
            <w:rStyle w:val="Hyperlink"/>
          </w:rPr>
          <w:t xml:space="preserve">[8]</w:t>
        </w:r>
      </w:hyperlink>
      <w:r>
        <w:t xml:space="preserve">. The R² of 0.3313 says the three features jointly account for about a third of the variance in topic signal, which for a small, mixed, retrieval-based sample is substantial structure rather than a modest fit. The methodological point is to read these two statistics as claims about the corpus, not about the world: they establish that the retrieved source environment is organized, and they say nothing about whether chokepoint control drives governance alignment. There is a matching discipline for Paper 2. Its R² of 0.00005 is not a defective fit to be improved; it is the substantive finding, namely that age explains essentially none of the variation in logged attention</w:t>
      </w:r>
      <w:r>
        <w:t xml:space="preserve"> </w:t>
      </w:r>
      <w:hyperlink w:anchor="ref-8">
        <w:r>
          <w:rPr>
            <w:rStyle w:val="Hyperlink"/>
          </w:rPr>
          <w:t xml:space="preserve">[8]</w:t>
        </w:r>
      </w:hyperlink>
      <w:r>
        <w:t xml:space="preserve"> </w:t>
      </w:r>
      <w:hyperlink w:anchor="ref-14">
        <w:r>
          <w:rPr>
            <w:rStyle w:val="Hyperlink"/>
          </w:rPr>
          <w:t xml:space="preserve">[14]</w:t>
        </w:r>
      </w:hyperlink>
      <w:r>
        <w:t xml:space="preserve">. A researcher tempted to raise that R² by adding predictors would be answering a different question than the one Paper 2 asks, which is univariate by design. Reporting a near-zero R² alongside a near-zero elasticity and a p-value of 0.9663 is the correct presentation of a genuine null, and the methodology chapter flags in advance that Chapter 6 will present it exactly that way, without dressing the null as a shortfall or reaching for a specification that would manufacture apparent structure where the data show none</w:t>
      </w:r>
      <w:r>
        <w:t xml:space="preserve"> </w:t>
      </w:r>
      <w:hyperlink w:anchor="ref-8">
        <w:r>
          <w:rPr>
            <w:rStyle w:val="Hyperlink"/>
          </w:rPr>
          <w:t xml:space="preserve">[8]</w:t>
        </w:r>
      </w:hyperlink>
      <w:r>
        <w:t xml:space="preserve">.</w:t>
      </w:r>
    </w:p>
    <w:bookmarkEnd w:id="105"/>
    <w:bookmarkStart w:id="106" w:name="Xba6630c351eea580aeae0d79c07f3f63f60c94d"/>
    <w:p>
      <w:pPr>
        <w:pStyle w:val="Heading2"/>
        <w:spacing w:line="480" w:lineRule="auto"/>
      </w:pPr>
      <w:r>
        <w:t xml:space="preserve">4.10 Why not a richer model on the completed data</w:t>
      </w:r>
    </w:p>
    <w:p>
      <w:pPr>
        <w:pStyle w:val="FirstParagraph"/>
        <w:spacing w:line="480" w:lineRule="auto"/>
      </w:pPr>
      <w:r>
        <w:t xml:space="preserve">A reader might ask why the completed papers do not fit something more elaborate, given the interest in the underlying governance question. The answer is that model complexity must match sample size and question. With thirty observations and three mechanical predictors, Paper 1 is already near the sensible ceiling of parameters; adding interactions or higher-order terms would overfit and produce estimates that would not replicate</w:t>
      </w:r>
      <w:r>
        <w:t xml:space="preserve"> </w:t>
      </w:r>
      <w:hyperlink w:anchor="ref-1">
        <w:r>
          <w:rPr>
            <w:rStyle w:val="Hyperlink"/>
          </w:rPr>
          <w:t xml:space="preserve">[1]</w:t>
        </w:r>
      </w:hyperlink>
      <w:r>
        <w:t xml:space="preserve"> </w:t>
      </w:r>
      <w:hyperlink w:anchor="ref-14">
        <w:r>
          <w:rPr>
            <w:rStyle w:val="Hyperlink"/>
          </w:rPr>
          <w:t xml:space="preserve">[14]</w:t>
        </w:r>
      </w:hyperlink>
      <w:r>
        <w:t xml:space="preserve">. Paper 2’s single-predictor learning curve is deliberately minimal because the question, whether age organizes attention, is one-dimensional. Neither paper attempts to estimate the governance mechanism because neither dataset contains the exposure or alignment variables that mechanism requires. Fitting a leverage regression on a source corpus would be estimating a relationship the data cannot represent, which is a more serious error than modesty. This restraint is itself a methodological position. A design-stage dissertation is under pressure to show causal results before the causal data exist, and the disciplined response is to run only the analyses the available data can support and to report them exactly</w:t>
      </w:r>
      <w:r>
        <w:t xml:space="preserve"> </w:t>
      </w:r>
      <w:hyperlink w:anchor="ref-8">
        <w:r>
          <w:rPr>
            <w:rStyle w:val="Hyperlink"/>
          </w:rPr>
          <w:t xml:space="preserve">[8]</w:t>
        </w:r>
      </w:hyperlink>
      <w:r>
        <w:t xml:space="preserve">. The source audits are those analyses. They identify descriptive facts about the corpus under weak, mechanical assumptions, and they stop precisely where the data stop. The richer fixed-effects panel waits for the five data layers of Chapter 5, and Chapter 6 is careful to report only what has been fit, not what is planned</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106"/>
    <w:bookmarkStart w:id="107" w:name="reproducibility-as-an-identification-aid"/>
    <w:p>
      <w:pPr>
        <w:pStyle w:val="Heading2"/>
        <w:spacing w:line="480" w:lineRule="auto"/>
      </w:pPr>
      <w:r>
        <w:t xml:space="preserve">4.11 Reproducibility as an identification aid</w:t>
      </w:r>
    </w:p>
    <w:p>
      <w:pPr>
        <w:pStyle w:val="FirstParagraph"/>
        <w:spacing w:line="480" w:lineRule="auto"/>
      </w:pPr>
      <w:r>
        <w:t xml:space="preserve">A final methodological point ties identification to transparency. Because every observation in the completed papers is source-traced to a DOI or retrieval URL, and because every variable is a mechanical transform of stored fields, the source audits are reproducible to the digit</w:t>
      </w:r>
      <w:r>
        <w:t xml:space="preserve"> </w:t>
      </w:r>
      <w:hyperlink w:anchor="ref-1">
        <w:r>
          <w:rPr>
            <w:rStyle w:val="Hyperlink"/>
          </w:rPr>
          <w:t xml:space="preserve">[1]</w:t>
        </w:r>
      </w:hyperlink>
      <w:r>
        <w:t xml:space="preserve"> </w:t>
      </w:r>
      <w:hyperlink w:anchor="ref-8">
        <w:r>
          <w:rPr>
            <w:rStyle w:val="Hyperlink"/>
          </w:rPr>
          <w:t xml:space="preserve">[8]</w:t>
        </w:r>
      </w:hyperlink>
      <w:r>
        <w:t xml:space="preserve"> </w:t>
      </w:r>
      <w:hyperlink w:anchor="ref-14">
        <w:r>
          <w:rPr>
            <w:rStyle w:val="Hyperlink"/>
          </w:rPr>
          <w:t xml:space="preserve">[14]</w:t>
        </w:r>
      </w:hyperlink>
      <w:r>
        <w:t xml:space="preserve">. That reproducibility is not merely good hygiene; it is part of what makes the descriptive inferences credible, because a reader can recompute the signal score, the recency index, the age index, and the citation-plus-one transform and recover the same coefficients. The planned causal design inherits the same commitment: all coding rules for exposure and alignment are to be published, so the mapping from industrial structure to governance outcome is auditable. In an observational design that cannot randomize, transparency of construction is one of the few defenses against the suspicion that the analyst built the result into the coding, and the dissertation adopts it as a standing discipline</w:t>
      </w:r>
      <w:r>
        <w:t xml:space="preserve"> </w:t>
      </w:r>
      <w:hyperlink w:anchor="ref-13">
        <w:r>
          <w:rPr>
            <w:rStyle w:val="Hyperlink"/>
          </w:rPr>
          <w:t xml:space="preserve">[13]</w:t>
        </w:r>
      </w:hyperlink>
      <w:r>
        <w:t xml:space="preserve">. The methodology chapter therefore ends on a claim it can keep: the completed source audits are reproducible to the digit, and the planned causal design is specified in enough detail that a reader can judge its identification before a single governance outcome is coded</w:t>
      </w:r>
      <w:r>
        <w:t xml:space="preserve"> </w:t>
      </w:r>
      <w:hyperlink w:anchor="ref-1">
        <w:r>
          <w:rPr>
            <w:rStyle w:val="Hyperlink"/>
          </w:rPr>
          <w:t xml:space="preserve">[1]</w:t>
        </w:r>
      </w:hyperlink>
      <w:r>
        <w:t xml:space="preserve"> </w:t>
      </w:r>
      <w:hyperlink w:anchor="ref-8">
        <w:r>
          <w:rPr>
            <w:rStyle w:val="Hyperlink"/>
          </w:rPr>
          <w:t xml:space="preserve">[8]</w:t>
        </w:r>
      </w:hyperlink>
      <w:r>
        <w:t xml:space="preserve">. That is the correct division of labor for a design-stage project, delivering finished diagnostics now and a fully specified causal test for later, and the chapters that follow report each at exactly its own strength</w:t>
      </w:r>
      <w:r>
        <w:t xml:space="preserve"> </w:t>
      </w:r>
      <w:hyperlink w:anchor="ref-6">
        <w:r>
          <w:rPr>
            <w:rStyle w:val="Hyperlink"/>
          </w:rPr>
          <w:t xml:space="preserve">[6]</w:t>
        </w:r>
      </w:hyperlink>
      <w:r>
        <w:t xml:space="preserve"> </w:t>
      </w:r>
      <w:hyperlink w:anchor="ref-14">
        <w:r>
          <w:rPr>
            <w:rStyle w:val="Hyperlink"/>
          </w:rPr>
          <w:t xml:space="preserve">[14]</w:t>
        </w:r>
      </w:hyperlink>
      <w:r>
        <w:t xml:space="preserve">.</w:t>
      </w:r>
    </w:p>
    <w:bookmarkEnd w:id="107"/>
    <w:bookmarkEnd w:id="108"/>
    <w:bookmarkStart w:id="121" w:name="chapter-5.-data-and-measurement"/>
    <w:p>
      <w:pPr>
        <w:pStyle w:val="Heading1"/>
        <w:spacing w:line="480" w:lineRule="auto"/>
      </w:pPr>
      <w:r>
        <w:t xml:space="preserve">Chapter 5. Data and Measurement</w:t>
      </w:r>
    </w:p>
    <w:p>
      <w:pPr>
        <w:pStyle w:val="FirstParagraph"/>
        <w:spacing w:line="480" w:lineRule="auto"/>
      </w:pPr>
      <w:r>
        <w:t xml:space="preserve">Data sets the ceiling. It determines what a design can honestly claim, and no amount of analysis lifts a conclusion above the evidence beneath it. This chapter describes two data environments. The first is the thirty-record local corpus that the two completed papers actually analyze, described in enough detail that every number in Chapter 6 can be traced back to a row. The second is the five-layer data plan for the dissertation core, described so that the eventual causal test can be evaluated against the sources it intends to use. I keep them separate, because the completed work rests only on the first.</w:t>
      </w:r>
    </w:p>
    <w:bookmarkStart w:id="109" w:name="the-completed-paper-corpus"/>
    <w:p>
      <w:pPr>
        <w:pStyle w:val="Heading2"/>
        <w:spacing w:line="480" w:lineRule="auto"/>
      </w:pPr>
      <w:r>
        <w:t xml:space="preserve">5.1 The completed-paper corpus</w:t>
      </w:r>
    </w:p>
    <w:p>
      <w:pPr>
        <w:pStyle w:val="FirstParagraph"/>
        <w:spacing w:line="480" w:lineRule="auto"/>
      </w:pPr>
      <w:r>
        <w:t xml:space="preserve">The corpus is small and fixed. It is a single set of thirty retrieved records drawn from local AMOS and Acta collections, with a few Space Economy entries. Each row carries a document identifier, a publication year, and source-traced provenance in a source column that points to a DOI or a retrieval URL. The records span 2015 through 2026, so the corpus is genuinely mixed in age rather than clustered in one window. Twelve records are AMOS-family sources coded venue one, twelve are Acta Astronautica sources coded venue two, and six are Space Economy sources coded venue three. That composition is deliberate: the audit needs venue variation to estimate a venue effect at all</w:t>
      </w:r>
      <w:r>
        <w:t xml:space="preserve"> </w:t>
      </w:r>
      <w:hyperlink w:anchor="ref-1">
        <w:r>
          <w:rPr>
            <w:rStyle w:val="Hyperlink"/>
          </w:rPr>
          <w:t xml:space="preserve">[1]</w:t>
        </w:r>
      </w:hyperlink>
      <w:r>
        <w:t xml:space="preserve"> </w:t>
      </w:r>
      <w:hyperlink w:anchor="ref-8">
        <w:r>
          <w:rPr>
            <w:rStyle w:val="Hyperlink"/>
          </w:rPr>
          <w:t xml:space="preserve">[8]</w:t>
        </w:r>
      </w:hyperlink>
      <w:r>
        <w:t xml:space="preserve"> </w:t>
      </w:r>
      <w:hyperlink w:anchor="ref-14">
        <w:r>
          <w:rPr>
            <w:rStyle w:val="Hyperlink"/>
          </w:rPr>
          <w:t xml:space="preserve">[14]</w:t>
        </w:r>
      </w:hyperlink>
      <w:r>
        <w:t xml:space="preserve">. Provenance is not decorative. The source column ties each row to a specific retrieved item, from the trusted-coordination AMOS paper at doi 10.64861/MVHC2799</w:t>
      </w:r>
      <w:r>
        <w:t xml:space="preserve"> </w:t>
      </w:r>
      <w:hyperlink w:anchor="ref-1">
        <w:r>
          <w:rPr>
            <w:rStyle w:val="Hyperlink"/>
          </w:rPr>
          <w:t xml:space="preserve">[1]</w:t>
        </w:r>
      </w:hyperlink>
      <w:r>
        <w:t xml:space="preserve">, through the new-space to big-space Acta article at doi 10.1016/j.actaastro.2019.08.031</w:t>
      </w:r>
      <w:r>
        <w:t xml:space="preserve"> </w:t>
      </w:r>
      <w:hyperlink w:anchor="ref-8">
        <w:r>
          <w:rPr>
            <w:rStyle w:val="Hyperlink"/>
          </w:rPr>
          <w:t xml:space="preserve">[8]</w:t>
        </w:r>
      </w:hyperlink>
      <w:r>
        <w:t xml:space="preserve">, to the factory-in-space review at doi 10.1016/j.actaastro.2025.01.007</w:t>
      </w:r>
      <w:r>
        <w:t xml:space="preserve"> </w:t>
      </w:r>
      <w:hyperlink w:anchor="ref-14">
        <w:r>
          <w:rPr>
            <w:rStyle w:val="Hyperlink"/>
          </w:rPr>
          <w:t xml:space="preserve">[14]</w:t>
        </w:r>
      </w:hyperlink>
      <w:r>
        <w:t xml:space="preserve">. Because every observation is anchored to a real record, the source audits are reproducible in the strict sense: a reader can retrieve the same items and recompute the same features. That reproducibility is the corpus’s main virtue, and it is what makes a thirty-record dataset worth taking seriously for a diagnostic purpose.</w:t>
      </w:r>
    </w:p>
    <w:bookmarkEnd w:id="109"/>
    <w:bookmarkStart w:id="110" w:name="constructing-the-signal-score"/>
    <w:p>
      <w:pPr>
        <w:pStyle w:val="Heading2"/>
        <w:spacing w:line="480" w:lineRule="auto"/>
      </w:pPr>
      <w:r>
        <w:t xml:space="preserve">5.2 Constructing the signal score</w:t>
      </w:r>
    </w:p>
    <w:p>
      <w:pPr>
        <w:pStyle w:val="FirstParagraph"/>
        <w:spacing w:line="480" w:lineRule="auto"/>
      </w:pPr>
      <w:r>
        <w:t xml:space="preserve">The dependent variable in Paper 1 is a topic-signal score, and its construction is fully mechanical, which matters for credibility.</w:t>
      </w:r>
    </w:p>
    <w:p>
      <w:pPr>
        <w:pStyle w:val="BodyText"/>
        <w:spacing w:line="480" w:lineRule="auto"/>
        <w:ind w:firstLine="720"/>
      </w:pPr>
      <w:r>
        <w:t xml:space="preserve">For each record the pipeline counts candidate-theme term hits across four fields: the source title, the retrieval snippet, the keyword field, and adjacent author metadata. The row-level count of theme hits feeds a deterministic composite, so no human judgment enters the coding and the score is exactly reproducible from the stored fields. In the data, theme hits range from zero to three, and the resulting signal score ranges from one to nine across the thirty records. The distribution is informative on its own. Records with three theme hits, such as the trusted-coordination paper and several industrial-transformation Acta articles, carry signal scores of eight or nine</w:t>
      </w:r>
      <w:r>
        <w:t xml:space="preserve"> </w:t>
      </w:r>
      <w:hyperlink w:anchor="ref-1">
        <w:r>
          <w:rPr>
            <w:rStyle w:val="Hyperlink"/>
          </w:rPr>
          <w:t xml:space="preserve">[1]</w:t>
        </w:r>
      </w:hyperlink>
      <w:r>
        <w:t xml:space="preserve"> </w:t>
      </w:r>
      <w:hyperlink w:anchor="ref-8">
        <w:r>
          <w:rPr>
            <w:rStyle w:val="Hyperlink"/>
          </w:rPr>
          <w:t xml:space="preserve">[8]</w:t>
        </w:r>
      </w:hyperlink>
      <w:r>
        <w:t xml:space="preserve"> </w:t>
      </w:r>
      <w:hyperlink w:anchor="ref-14">
        <w:r>
          <w:rPr>
            <w:rStyle w:val="Hyperlink"/>
          </w:rPr>
          <w:t xml:space="preserve">[14]</w:t>
        </w:r>
      </w:hyperlink>
      <w:r>
        <w:t xml:space="preserve">. Records with zero theme hits, such as a 2020 space-weapons AMOS entry and a circular-economy roadmap, carry the floor value of one. This spread is what the audit is built to explain, and it is wide enough that the regression has something to fit rather than a degenerate constant.</w:t>
      </w:r>
    </w:p>
    <w:bookmarkEnd w:id="110"/>
    <w:bookmarkStart w:id="111" w:name="constructing-the-predictors"/>
    <w:p>
      <w:pPr>
        <w:pStyle w:val="Heading2"/>
        <w:spacing w:line="480" w:lineRule="auto"/>
      </w:pPr>
      <w:r>
        <w:t xml:space="preserve">5.3 Constructing the predictors</w:t>
      </w:r>
    </w:p>
    <w:p>
      <w:pPr>
        <w:pStyle w:val="FirstParagraph"/>
        <w:spacing w:line="480" w:lineRule="auto"/>
      </w:pPr>
      <w:r>
        <w:t xml:space="preserve">Three predictors enter Paper 1, each defined without discretion. Recency index is publication year minus the sample-minimum year plus one, so the 2015 record scores one and the 2026 records score twelve. Citation count is parsed directly from the local brain index and set to zero when the index reported none, which is common for the AMOS-family records where the index carried no citation field. Venue score is the ordinal family code already described, running one through three</w:t>
      </w:r>
      <w:r>
        <w:t xml:space="preserve"> </w:t>
      </w:r>
      <w:hyperlink w:anchor="ref-1">
        <w:r>
          <w:rPr>
            <w:rStyle w:val="Hyperlink"/>
          </w:rPr>
          <w:t xml:space="preserve">[1]</w:t>
        </w:r>
      </w:hyperlink>
      <w:r>
        <w:t xml:space="preserve"> </w:t>
      </w:r>
      <w:hyperlink w:anchor="ref-8">
        <w:r>
          <w:rPr>
            <w:rStyle w:val="Hyperlink"/>
          </w:rPr>
          <w:t xml:space="preserve">[8]</w:t>
        </w:r>
      </w:hyperlink>
      <w:r>
        <w:t xml:space="preserve"> </w:t>
      </w:r>
      <w:hyperlink w:anchor="ref-14">
        <w:r>
          <w:rPr>
            <w:rStyle w:val="Hyperlink"/>
          </w:rPr>
          <w:t xml:space="preserve">[14]</w:t>
        </w:r>
      </w:hyperlink>
      <w:r>
        <w:t xml:space="preserve">. The citation field deserves a note because it drives one of the strongest results. Citation counts in the corpus are highly skewed. Most AMOS-family records report zero, while a handful of Acta articles carry substantial counts, including one 2019 article at 170 and a 2023 article at 93. That skew is not an artifact to be smoothed away; it is a real feature of how attention concentrates in this literature, and Paper 2 examines it directly through the age lens.</w:t>
      </w:r>
    </w:p>
    <w:bookmarkEnd w:id="111"/>
    <w:bookmarkStart w:id="112" w:name="X160ee95b38f3f94eb8197968afbe3321c334697"/>
    <w:p>
      <w:pPr>
        <w:pStyle w:val="Heading2"/>
        <w:spacing w:line="480" w:lineRule="auto"/>
      </w:pPr>
      <w:r>
        <w:t xml:space="preserve">5.4 Constructing the age and attention variables</w:t>
      </w:r>
    </w:p>
    <w:p>
      <w:pPr>
        <w:pStyle w:val="FirstParagraph"/>
        <w:spacing w:line="480" w:lineRule="auto"/>
      </w:pPr>
      <w:r>
        <w:t xml:space="preserve">Paper 2 uses two variables built from the same rows. Age index is 2026 minus publication year plus one, so a 2026 record scores one and the 2015 record scores twelve. Citation count plus one is the reported citation count incremented by one, which keeps the logarithm defined for the many uncited records. Both transforms are arithmetic, so like the signal score they are reproducible to the digit from the stored year and citation fields</w:t>
      </w:r>
      <w:r>
        <w:t xml:space="preserve"> </w:t>
      </w:r>
      <w:hyperlink w:anchor="ref-8">
        <w:r>
          <w:rPr>
            <w:rStyle w:val="Hyperlink"/>
          </w:rPr>
          <w:t xml:space="preserve">[8]</w:t>
        </w:r>
      </w:hyperlink>
      <w:r>
        <w:t xml:space="preserve"> </w:t>
      </w:r>
      <w:hyperlink w:anchor="ref-14">
        <w:r>
          <w:rPr>
            <w:rStyle w:val="Hyperlink"/>
          </w:rPr>
          <w:t xml:space="preserve">[14]</w:t>
        </w:r>
      </w:hyperlink>
      <w:r>
        <w:t xml:space="preserve">. Pairing the two variables previews the finding. The record with the highest citation-plus-one value, 171, has an age index of eight, while several records with age index seven or ten sit at the citation-plus-one floor of one. High and low attention appear at similar ages, and similar attention appears at very different ages. The learning-curve estimator in Chapter 6 formalizes what this eyeball pattern already suggests.</w:t>
      </w:r>
    </w:p>
    <w:bookmarkEnd w:id="112"/>
    <w:bookmarkStart w:id="113" w:name="the-five-planned-data-layers"/>
    <w:p>
      <w:pPr>
        <w:pStyle w:val="Heading2"/>
        <w:spacing w:line="480" w:lineRule="auto"/>
      </w:pPr>
      <w:r>
        <w:t xml:space="preserve">5.5 The five planned data layers</w:t>
      </w:r>
    </w:p>
    <w:p>
      <w:pPr>
        <w:pStyle w:val="FirstParagraph"/>
        <w:spacing w:line="480" w:lineRule="auto"/>
      </w:pPr>
      <w:r>
        <w:t xml:space="preserve">The dissertation core requires far more than a thirty-record audit, and the plan assembles five real, open data layers.</w:t>
      </w:r>
    </w:p>
    <w:p>
      <w:pPr>
        <w:pStyle w:val="BodyText"/>
        <w:spacing w:line="480" w:lineRule="auto"/>
        <w:ind w:firstLine="720"/>
      </w:pPr>
      <w:r>
        <w:t xml:space="preserve">First, trade and component dependence, from UN Comtrade and related public trade records, to identify concentrated space-relevant component categories and bilateral dependence patterns. Second, launch-capacity concentration, from public launch manifests and provider records, to measure cadence concentration and access dependence</w:t>
      </w:r>
      <w:r>
        <w:t xml:space="preserve"> </w:t>
      </w:r>
      <w:hyperlink w:anchor="ref-8">
        <w:r>
          <w:rPr>
            <w:rStyle w:val="Hyperlink"/>
          </w:rPr>
          <w:t xml:space="preserve">[8]</w:t>
        </w:r>
      </w:hyperlink>
      <w:r>
        <w:t xml:space="preserve">. Third, corporate and supplier disclosures, from SEC filings and public supplier statements, to validate concentration claims in high-leverage categories</w:t>
      </w:r>
      <w:r>
        <w:t xml:space="preserve"> </w:t>
      </w:r>
      <w:hyperlink w:anchor="ref-13">
        <w:r>
          <w:rPr>
            <w:rStyle w:val="Hyperlink"/>
          </w:rPr>
          <w:t xml:space="preserve">[13]</w:t>
        </w:r>
      </w:hyperlink>
      <w:r>
        <w:t xml:space="preserve">. Fourth, governance-outcome measures, coded from licensing asymmetries, public policy positions, and multilateral posture wherever traceable in open records</w:t>
      </w:r>
      <w:r>
        <w:t xml:space="preserve"> </w:t>
      </w:r>
      <w:hyperlink w:anchor="ref-1">
        <w:r>
          <w:rPr>
            <w:rStyle w:val="Hyperlink"/>
          </w:rPr>
          <w:t xml:space="preserve">[1]</w:t>
        </w:r>
      </w:hyperlink>
      <w:r>
        <w:t xml:space="preserve"> </w:t>
      </w:r>
      <w:hyperlink w:anchor="ref-6">
        <w:r>
          <w:rPr>
            <w:rStyle w:val="Hyperlink"/>
          </w:rPr>
          <w:t xml:space="preserve">[6]</w:t>
        </w:r>
      </w:hyperlink>
      <w:r>
        <w:t xml:space="preserve">. Fifth, the local literature corpus already described, which underpins the two completed papers. The through-line across all five layers is transparency of coding. Every coding rule for exposure and for alignment is to be published, so the mapping from industrial structure to governance outcome is auditable rather than opaque. The dissertation stakes its identification on visible dependency structure and temporal ordering, not on privileged case knowledge, and that stake is only honored if the coding is open</w:t>
      </w:r>
      <w:r>
        <w:t xml:space="preserve"> </w:t>
      </w:r>
      <w:hyperlink w:anchor="ref-8">
        <w:r>
          <w:rPr>
            <w:rStyle w:val="Hyperlink"/>
          </w:rPr>
          <w:t xml:space="preserve">[8]</w:t>
        </w:r>
      </w:hyperlink>
      <w:r>
        <w:t xml:space="preserve"> </w:t>
      </w:r>
      <w:hyperlink w:anchor="ref-13">
        <w:r>
          <w:rPr>
            <w:rStyle w:val="Hyperlink"/>
          </w:rPr>
          <w:t xml:space="preserve">[13]</w:t>
        </w:r>
      </w:hyperlink>
      <w:r>
        <w:t xml:space="preserve">.</w:t>
      </w:r>
    </w:p>
    <w:bookmarkEnd w:id="113"/>
    <w:bookmarkStart w:id="114" w:name="X088a80c8c04398dbb068c6da0807b1b4ca7812f"/>
    <w:p>
      <w:pPr>
        <w:pStyle w:val="Heading2"/>
        <w:spacing w:line="480" w:lineRule="auto"/>
      </w:pPr>
      <w:r>
        <w:t xml:space="preserve">5.6 Measurement limits and how they are bounded</w:t>
      </w:r>
    </w:p>
    <w:p>
      <w:pPr>
        <w:pStyle w:val="FirstParagraph"/>
        <w:spacing w:line="480" w:lineRule="auto"/>
      </w:pPr>
      <w:r>
        <w:t xml:space="preserve">Measurement is where a design most often fails quietly, so the limits deserve explicit statement. Chokepoint control is multidimensional, and a coarse trade-concentration measure could overstate it; the plan triangulates trade concentration against firm disclosures to bound that risk</w:t>
      </w:r>
      <w:r>
        <w:t xml:space="preserve"> </w:t>
      </w:r>
      <w:hyperlink w:anchor="ref-13">
        <w:r>
          <w:rPr>
            <w:rStyle w:val="Hyperlink"/>
          </w:rPr>
          <w:t xml:space="preserve">[13]</w:t>
        </w:r>
      </w:hyperlink>
      <w:r>
        <w:t xml:space="preserve">. Some component categories may be too broad to capture true strategic dependence, so the dataset prioritizes categories with clear space relevance and cross-checks them against disclosures</w:t>
      </w:r>
      <w:r>
        <w:t xml:space="preserve"> </w:t>
      </w:r>
      <w:hyperlink w:anchor="ref-14">
        <w:r>
          <w:rPr>
            <w:rStyle w:val="Hyperlink"/>
          </w:rPr>
          <w:t xml:space="preserve">[14]</w:t>
        </w:r>
      </w:hyperlink>
      <w:r>
        <w:t xml:space="preserve">. Governance leverage may operate informally and leave incomplete public traces, which biases the eventual estimate toward zero and makes any positive finding conservative. These are not reasons to abandon measurement; they are reasons to state confidence carefully and to prefer triangulated constructs over single-source proxies.</w:t>
      </w:r>
    </w:p>
    <w:bookmarkEnd w:id="114"/>
    <w:bookmarkStart w:id="115" w:name="Xb7a75670c91b9c1c1c5a4d98aead9249cd138eb"/>
    <w:p>
      <w:pPr>
        <w:pStyle w:val="Heading2"/>
        <w:spacing w:line="480" w:lineRule="auto"/>
      </w:pPr>
      <w:r>
        <w:t xml:space="preserve">5.7 What the completed data can and cannot support</w:t>
      </w:r>
    </w:p>
    <w:p>
      <w:pPr>
        <w:pStyle w:val="FirstParagraph"/>
        <w:spacing w:line="480" w:lineRule="auto"/>
      </w:pPr>
      <w:r>
        <w:t xml:space="preserve">The chapter closes by drawing the line the rest of the manuscript respects. The completed corpus can support two claims: that the retrieved source environment is structured by observable features, and that article age does not organize attention within it</w:t>
      </w:r>
      <w:r>
        <w:t xml:space="preserve"> </w:t>
      </w:r>
      <w:hyperlink w:anchor="ref-8">
        <w:r>
          <w:rPr>
            <w:rStyle w:val="Hyperlink"/>
          </w:rPr>
          <w:t xml:space="preserve">[8]</w:t>
        </w:r>
      </w:hyperlink>
      <w:r>
        <w:t xml:space="preserve"> </w:t>
      </w:r>
      <w:hyperlink w:anchor="ref-14">
        <w:r>
          <w:rPr>
            <w:rStyle w:val="Hyperlink"/>
          </w:rPr>
          <w:t xml:space="preserve">[14]</w:t>
        </w:r>
      </w:hyperlink>
      <w:r>
        <w:t xml:space="preserve">. It cannot support any claim about whether chokepoint exposure predicts governance alignment, because it contains no exposure variable and no alignment variable. The five planned layers are what would support that claim, and they are not yet assembled. Chapter 6 therefore reports the two source-audit estimators exactly and interprets them as source diagnostics, keeping the causal proposition where it belongs, in the design stage, until the exposure and alignment layers exist to test it</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115"/>
    <w:bookmarkStart w:id="116" w:name="Xed8e58946a6624672f86a56464a1f5c63ba3a4d"/>
    <w:p>
      <w:pPr>
        <w:pStyle w:val="Heading2"/>
        <w:spacing w:line="480" w:lineRule="auto"/>
      </w:pPr>
      <w:r>
        <w:t xml:space="preserve">5.7a Provenance and the source column as an audit trail</w:t>
      </w:r>
    </w:p>
    <w:p>
      <w:pPr>
        <w:pStyle w:val="FirstParagraph"/>
        <w:spacing w:line="480" w:lineRule="auto"/>
      </w:pPr>
      <w:r>
        <w:t xml:space="preserve">The source column is the backbone of the corpus’s credibility, and it deserves a fuller account than a passing mention. Each of the thirty rows carries an explicit pointer: a DOI for the journal and conference records, a retrieval URL for several AMOS entries indexed by web address, and a descriptive synthesis string for the Space Economy items whose provenance is a summary rather than a single document</w:t>
      </w:r>
      <w:r>
        <w:t xml:space="preserve"> </w:t>
      </w:r>
      <w:hyperlink w:anchor="ref-1">
        <w:r>
          <w:rPr>
            <w:rStyle w:val="Hyperlink"/>
          </w:rPr>
          <w:t xml:space="preserve">[1]</w:t>
        </w:r>
      </w:hyperlink>
      <w:r>
        <w:t xml:space="preserve"> </w:t>
      </w:r>
      <w:hyperlink w:anchor="ref-8">
        <w:r>
          <w:rPr>
            <w:rStyle w:val="Hyperlink"/>
          </w:rPr>
          <w:t xml:space="preserve">[8]</w:t>
        </w:r>
      </w:hyperlink>
      <w:r>
        <w:t xml:space="preserve">. This heterogeneity is honest rather than tidy. It reflects how a real cross-disciplinary retrieval actually looks, mixing formally indexed journal articles with conference proceedings and with economic-statecraft syntheses that summarize several underlying works at once. Rather than force these into a uniform schema and lose information, the corpus preserves each pointer in the form the source actually took. The audit trail this creates is what allows the two papers to claim strict reproducibility. A reader who follows the DOI at row one reaches the trusted-coordination paper; the DOI at row thirteen reaches the new-space to big-space article with its 170 citations; the DOI at row nineteen reaches the factory-in-space review</w:t>
      </w:r>
      <w:r>
        <w:t xml:space="preserve"> </w:t>
      </w:r>
      <w:hyperlink w:anchor="ref-1">
        <w:r>
          <w:rPr>
            <w:rStyle w:val="Hyperlink"/>
          </w:rPr>
          <w:t xml:space="preserve">[1]</w:t>
        </w:r>
      </w:hyperlink>
      <w:r>
        <w:t xml:space="preserve"> </w:t>
      </w:r>
      <w:hyperlink w:anchor="ref-8">
        <w:r>
          <w:rPr>
            <w:rStyle w:val="Hyperlink"/>
          </w:rPr>
          <w:t xml:space="preserve">[8]</w:t>
        </w:r>
      </w:hyperlink>
      <w:r>
        <w:t xml:space="preserve"> </w:t>
      </w:r>
      <w:hyperlink w:anchor="ref-14">
        <w:r>
          <w:rPr>
            <w:rStyle w:val="Hyperlink"/>
          </w:rPr>
          <w:t xml:space="preserve">[14]</w:t>
        </w:r>
      </w:hyperlink>
      <w:r>
        <w:t xml:space="preserve">. Because the feature-construction rules are mechanical and the pointers are explicit, the entire coding can be regenerated from the sources, and any error in a signal score or an age index can be traced to a specific row and field. For a diagnostic study that stakes its value on transparency rather than on sample size, this traceability is not a nicety; it is the main line of defense against the charge that the coding was arranged to produce the result.</w:t>
      </w:r>
    </w:p>
    <w:bookmarkEnd w:id="116"/>
    <w:bookmarkStart w:id="117" w:name="Xcb6a76d41f1a55b24239a384357a7fd833d4ed8"/>
    <w:p>
      <w:pPr>
        <w:pStyle w:val="Heading2"/>
        <w:spacing w:line="480" w:lineRule="auto"/>
      </w:pPr>
      <w:r>
        <w:t xml:space="preserve">5.8 Composition of the corpus by venue and theme</w:t>
      </w:r>
    </w:p>
    <w:p>
      <w:pPr>
        <w:pStyle w:val="FirstParagraph"/>
        <w:spacing w:line="480" w:lineRule="auto"/>
      </w:pPr>
      <w:r>
        <w:t xml:space="preserve">It is worth characterizing the corpus more fully, because its composition shapes what the audits can find. The twelve AMOS-family records span operational and governance-adjacent work: trusted-coordination policy, decentralized sensor tasking, federated battle management, blockchain and proof-of-stake validation of tracking messages, and contested-environment cost analysis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Their theme-hit counts run from zero, for a general space-weapons entry, to three, for the trusted-coordination paper. The twelve Acta records span the industrialization pathways: new-space to big-space transition, additive manufacturing, in-orbit assembly, commercial stations, factory-in-space, and product-service strategy</w:t>
      </w:r>
      <w:r>
        <w:t xml:space="preserve"> </w:t>
      </w:r>
      <w:hyperlink w:anchor="ref-8">
        <w:r>
          <w:rPr>
            <w:rStyle w:val="Hyperlink"/>
          </w:rPr>
          <w:t xml:space="preserve">[8]</w:t>
        </w:r>
      </w:hyperlink>
      <w:r>
        <w:t xml:space="preserve"> </w:t>
      </w:r>
      <w:hyperlink w:anchor="ref-9">
        <w:r>
          <w:rPr>
            <w:rStyle w:val="Hyperlink"/>
          </w:rPr>
          <w:t xml:space="preserve">[9]</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Their theme-hit counts are generally higher, clustering at three, which reflects how directly the industrial-transformation vocabulary matches the candidate framing. The six Space Economy records supply the economic-statecraft and commons framings, with theme hits from zero to one and provenance given as descriptive synthesis text rather than a DOI. This composition has a direct bearing on the venue coefficient reported in Chapter 6. Because AMOS records are coded venue one and carry strong signal despite reporting no citations, while Space Economy records are coded venue three and carry weak signal, the ordinal venue variable will correlate negatively with signal even before any regression is run</w:t>
      </w:r>
      <w:r>
        <w:t xml:space="preserve"> </w:t>
      </w:r>
      <w:hyperlink w:anchor="ref-1">
        <w:r>
          <w:rPr>
            <w:rStyle w:val="Hyperlink"/>
          </w:rPr>
          <w:t xml:space="preserve">[1]</w:t>
        </w:r>
      </w:hyperlink>
      <w:r>
        <w:t xml:space="preserve"> </w:t>
      </w:r>
      <w:hyperlink w:anchor="ref-14">
        <w:r>
          <w:rPr>
            <w:rStyle w:val="Hyperlink"/>
          </w:rPr>
          <w:t xml:space="preserve">[14]</w:t>
        </w:r>
      </w:hyperlink>
      <w:r>
        <w:t xml:space="preserve">. The audit does not manufacture this pattern; it measures a pattern that the corpus composition already contains. Understanding that composition is therefore essential to reading the venue result as a description of the retrieved environment rather than as a universal claim about conference versus journal quality.</w:t>
      </w:r>
    </w:p>
    <w:bookmarkEnd w:id="117"/>
    <w:bookmarkStart w:id="118" w:name="a-the-temporal-spread-and-why-it-matters"/>
    <w:p>
      <w:pPr>
        <w:pStyle w:val="Heading2"/>
        <w:spacing w:line="480" w:lineRule="auto"/>
      </w:pPr>
      <w:r>
        <w:t xml:space="preserve">5.8a The temporal spread and why it matters</w:t>
      </w:r>
    </w:p>
    <w:p>
      <w:pPr>
        <w:pStyle w:val="FirstParagraph"/>
        <w:spacing w:line="480" w:lineRule="auto"/>
      </w:pPr>
      <w:r>
        <w:t xml:space="preserve">The corpus spans eleven publication years, from a 2015 adaptive-optics laser record to several 2026 industrial-transformation articles, and that spread is a deliberate property rather than an accident of retrieval</w:t>
      </w:r>
      <w:r>
        <w:t xml:space="preserve"> </w:t>
      </w:r>
      <w:hyperlink w:anchor="ref-8">
        <w:r>
          <w:rPr>
            <w:rStyle w:val="Hyperlink"/>
          </w:rPr>
          <w:t xml:space="preserve">[8]</w:t>
        </w:r>
      </w:hyperlink>
      <w:r>
        <w:t xml:space="preserve"> </w:t>
      </w:r>
      <w:hyperlink w:anchor="ref-14">
        <w:r>
          <w:rPr>
            <w:rStyle w:val="Hyperlink"/>
          </w:rPr>
          <w:t xml:space="preserve">[14]</w:t>
        </w:r>
      </w:hyperlink>
      <w:r>
        <w:t xml:space="preserve">. A source audit that asks whether age organizes attention needs genuine variation in age, and a corpus clustered in two or three recent years could not answer the question at all. The recency index therefore runs its full range from one to twelve, and the age index mirrors it, so both Paper 1’s recency term and Paper 2’s learning curve have real leverage to work with. Without this spread the recency coefficient would be uninformative and the learning-curve null would be untestable. The spread also guards against a subtle bias. If the corpus were dominated by a single vintage, any venue or citation pattern could be an artifact of that vintage rather than a stable feature of the literature</w:t>
      </w:r>
      <w:r>
        <w:t xml:space="preserve"> </w:t>
      </w:r>
      <w:hyperlink w:anchor="ref-1">
        <w:r>
          <w:rPr>
            <w:rStyle w:val="Hyperlink"/>
          </w:rPr>
          <w:t xml:space="preserve">[1]</w:t>
        </w:r>
      </w:hyperlink>
      <w:r>
        <w:t xml:space="preserve">. Because the AMOS-family and Acta records each span multiple years, and because the Space Economy records cluster in one year but form a minority, the venue and citation effects estimated in Chapter 6 are not confounded with a single publication wave. The composition was assembled so that the three sorting features under examination, recency, citation attention, and venue, could each vary independently enough for the regression to separate them, which is a precondition for reading the coefficients as distinct associations rather than as one collinear bundle</w:t>
      </w:r>
      <w:r>
        <w:t xml:space="preserve"> </w:t>
      </w:r>
      <w:hyperlink w:anchor="ref-8">
        <w:r>
          <w:rPr>
            <w:rStyle w:val="Hyperlink"/>
          </w:rPr>
          <w:t xml:space="preserve">[8]</w:t>
        </w:r>
      </w:hyperlink>
      <w:r>
        <w:t xml:space="preserve"> </w:t>
      </w:r>
      <w:hyperlink w:anchor="ref-14">
        <w:r>
          <w:rPr>
            <w:rStyle w:val="Hyperlink"/>
          </w:rPr>
          <w:t xml:space="preserve">[14]</w:t>
        </w:r>
      </w:hyperlink>
      <w:r>
        <w:t xml:space="preserve">.</w:t>
      </w:r>
    </w:p>
    <w:bookmarkEnd w:id="118"/>
    <w:bookmarkStart w:id="119" w:name="handling-the-citation-skew"/>
    <w:p>
      <w:pPr>
        <w:pStyle w:val="Heading2"/>
        <w:spacing w:line="480" w:lineRule="auto"/>
      </w:pPr>
      <w:r>
        <w:t xml:space="preserve">5.9 Handling the citation skew</w:t>
      </w:r>
    </w:p>
    <w:p>
      <w:pPr>
        <w:pStyle w:val="FirstParagraph"/>
        <w:spacing w:line="480" w:lineRule="auto"/>
      </w:pPr>
      <w:r>
        <w:t xml:space="preserve">The citation field is the most consequential and the most fragile variable in the corpus, and its handling deserves explicit description. Reported citation counts come from the local brain index, which populated a citation field for most Acta records and left it empty for AMOS-family records, coded here as zero</w:t>
      </w:r>
      <w:r>
        <w:t xml:space="preserve"> </w:t>
      </w:r>
      <w:hyperlink w:anchor="ref-8">
        <w:r>
          <w:rPr>
            <w:rStyle w:val="Hyperlink"/>
          </w:rPr>
          <w:t xml:space="preserve">[8]</w:t>
        </w:r>
      </w:hyperlink>
      <w:r>
        <w:t xml:space="preserve">. The distribution is extreme: a single 2019 Acta article reports 170 citations, a 2023 article reports 93, several report between one and twenty, and the entire AMOS block reports zero. For Paper 1 the raw count enters linearly, so the high-citation Acta records exert strong leverage on the citation coefficient. For Paper 2 the count is incremented by one and logged, which compresses the skew but still leaves the 170-citation record as an influential point at its age index of eight. Two defensible choices were made and are recorded for transparency. Missing citation fields were coded zero rather than dropped, which retains the full thirty records and treats absence of a reported count as absence of recorded attention, consistent with how the index behaves for conference material</w:t>
      </w:r>
      <w:r>
        <w:t xml:space="preserve"> </w:t>
      </w:r>
      <w:hyperlink w:anchor="ref-1">
        <w:r>
          <w:rPr>
            <w:rStyle w:val="Hyperlink"/>
          </w:rPr>
          <w:t xml:space="preserve">[1]</w:t>
        </w:r>
      </w:hyperlink>
      <w:r>
        <w:t xml:space="preserve">. And no winsorizing or trimming was applied, so the influential high-citation records remain in the sample; trimming them would have hidden exactly the attention concentration that Paper 2 is designed to examine. These choices are conservative in the sense that they neither inflate signal for uncited records nor suppress the skew that the learning-curve analysis is meant to characterize</w:t>
      </w:r>
      <w:r>
        <w:t xml:space="preserve"> </w:t>
      </w:r>
      <w:hyperlink w:anchor="ref-8">
        <w:r>
          <w:rPr>
            <w:rStyle w:val="Hyperlink"/>
          </w:rPr>
          <w:t xml:space="preserve">[8]</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A reader should hold both choices in mind when reading Chapter 6. Coding missing citations as zero means the citation coefficient in Paper 1 is estimated against a mass of true zeros and a thin tail of large counts, so its precision comes partly from the wide spread of the predictor</w:t>
      </w:r>
      <w:r>
        <w:t xml:space="preserve"> </w:t>
      </w:r>
      <w:hyperlink w:anchor="ref-8">
        <w:r>
          <w:rPr>
            <w:rStyle w:val="Hyperlink"/>
          </w:rPr>
          <w:t xml:space="preserve">[8]</w:t>
        </w:r>
      </w:hyperlink>
      <w:r>
        <w:t xml:space="preserve">. Retaining the high-citation records untrimmed means Paper 2’s learning curve confronts the full skew, which is why its null is a statement about the corpus as it actually is rather than about a smoothed version of it. Both decisions favor fidelity to the real retrieval over statistical convenience, and both are recorded here so that the coefficients can be read against the data-handling that produced them</w:t>
      </w:r>
      <w:r>
        <w:t xml:space="preserve"> </w:t>
      </w:r>
      <w:hyperlink w:anchor="ref-14">
        <w:r>
          <w:rPr>
            <w:rStyle w:val="Hyperlink"/>
          </w:rPr>
          <w:t xml:space="preserve">[14]</w:t>
        </w:r>
      </w:hyperlink>
      <w:r>
        <w:t xml:space="preserve">.</w:t>
      </w:r>
    </w:p>
    <w:bookmarkEnd w:id="119"/>
    <w:bookmarkStart w:id="120" w:name="X6c07e5783a35eddd7e0f813c0430579b0690d2c"/>
    <w:p>
      <w:pPr>
        <w:pStyle w:val="Heading2"/>
        <w:spacing w:line="480" w:lineRule="auto"/>
      </w:pPr>
      <w:r>
        <w:t xml:space="preserve">5.10 Measurement validity of the signal construct</w:t>
      </w:r>
    </w:p>
    <w:p>
      <w:pPr>
        <w:pStyle w:val="FirstParagraph"/>
        <w:spacing w:line="480" w:lineRule="auto"/>
      </w:pPr>
      <w:r>
        <w:t xml:space="preserve">Because the signal score anchors Paper 1, its validity as a construct deserves scrutiny beyond its mechanical reproducibility. The score has face validity for topical salience: records whose titles and keywords use candidate-theme vocabulary score higher, which is what a salience measure should do</w:t>
      </w:r>
      <w:r>
        <w:t xml:space="preserve"> </w:t>
      </w:r>
      <w:hyperlink w:anchor="ref-1">
        <w:r>
          <w:rPr>
            <w:rStyle w:val="Hyperlink"/>
          </w:rPr>
          <w:t xml:space="preserve">[1]</w:t>
        </w:r>
      </w:hyperlink>
      <w:r>
        <w:t xml:space="preserve"> </w:t>
      </w:r>
      <w:hyperlink w:anchor="ref-8">
        <w:r>
          <w:rPr>
            <w:rStyle w:val="Hyperlink"/>
          </w:rPr>
          <w:t xml:space="preserve">[8]</w:t>
        </w:r>
      </w:hyperlink>
      <w:r>
        <w:t xml:space="preserve">. It has limited construct validity for theoretical importance, because a record can be salient in vocabulary without being central in argument, and the manuscript does not claim otherwise. The score is best understood as a measure of surface topical match, useful for detecting how the retrieved environment is sorted and not for ranking conceptual contribution. Chapter 6 interprets it strictly in that limited sense, and Chapter 7 returns to the gap between surface salience and deep importance as a named limitation. Stating the construct’s reach here, before any result is reported, is part of keeping the later interpretation disciplined</w:t>
      </w:r>
      <w:r>
        <w:t xml:space="preserve"> </w:t>
      </w:r>
      <w:hyperlink w:anchor="ref-14">
        <w:r>
          <w:rPr>
            <w:rStyle w:val="Hyperlink"/>
          </w:rPr>
          <w:t xml:space="preserve">[14]</w:t>
        </w:r>
      </w:hyperlink>
      <w:r>
        <w:t xml:space="preserve">. The data chapter thus hands Chapter 6 a clear mandate: report the two audit estimators exactly, read them as descriptions of a structured but surface-level source environment, and carry no claim about chokepoint leverage that the thirty-record corpus cannot support</w:t>
      </w:r>
      <w:r>
        <w:t xml:space="preserve"> </w:t>
      </w:r>
      <w:hyperlink w:anchor="ref-1">
        <w:r>
          <w:rPr>
            <w:rStyle w:val="Hyperlink"/>
          </w:rPr>
          <w:t xml:space="preserve">[1]</w:t>
        </w:r>
      </w:hyperlink>
      <w:r>
        <w:t xml:space="preserve"> </w:t>
      </w:r>
      <w:hyperlink w:anchor="ref-8">
        <w:r>
          <w:rPr>
            <w:rStyle w:val="Hyperlink"/>
          </w:rPr>
          <w:t xml:space="preserve">[8]</w:t>
        </w:r>
      </w:hyperlink>
      <w:r>
        <w:t xml:space="preserve">. Every variable that enters the next chapter’s regressions has been defined here from a stored field and tied to a source-traced row, so the coefficients that follow can be checked against the data that produced them rather than taken on trust</w:t>
      </w:r>
      <w:r>
        <w:t xml:space="preserve"> </w:t>
      </w:r>
      <w:hyperlink w:anchor="ref-14">
        <w:r>
          <w:rPr>
            <w:rStyle w:val="Hyperlink"/>
          </w:rPr>
          <w:t xml:space="preserve">[14]</w:t>
        </w:r>
      </w:hyperlink>
      <w:r>
        <w:t xml:space="preserve">.</w:t>
      </w:r>
    </w:p>
    <w:bookmarkEnd w:id="120"/>
    <w:bookmarkEnd w:id="121"/>
    <w:bookmarkStart w:id="132" w:name="chapter-6.-results"/>
    <w:p>
      <w:pPr>
        <w:pStyle w:val="Heading1"/>
        <w:spacing w:line="480" w:lineRule="auto"/>
      </w:pPr>
      <w:r>
        <w:t xml:space="preserve">Chapter 6. Results</w:t>
      </w:r>
    </w:p>
    <w:p>
      <w:pPr>
        <w:pStyle w:val="FirstParagraph"/>
        <w:spacing w:line="480" w:lineRule="auto"/>
      </w:pPr>
      <w:r>
        <w:t xml:space="preserve">This chapter reports what has actually been estimated. No more, no less. Two completed papers each fit one model to the thirty-record corpus described in Chapter 5, and the numbers below are reproduced exactly as the workbooks produced them. I report the coefficients, the standard errors, the p-values, the model fit, and the sample size, and then I interpret the signs and magnitudes without inflating them. Neither model tests the governance-leverage proposition. Both discipline the source base on which that proposition will later rest.</w:t>
      </w:r>
    </w:p>
    <w:bookmarkStart w:id="122" w:name="Xe61c78365c02d87875951c0366394786c43fe7f"/>
    <w:p>
      <w:pPr>
        <w:pStyle w:val="Heading2"/>
        <w:spacing w:line="480" w:lineRule="auto"/>
      </w:pPr>
      <w:r>
        <w:t xml:space="preserve">6.1 Paper 1: signal intensity by recency, citation attention, and venue</w:t>
      </w:r>
    </w:p>
    <w:p>
      <w:pPr>
        <w:pStyle w:val="FirstParagraph"/>
        <w:spacing w:line="480" w:lineRule="auto"/>
      </w:pPr>
      <w:r>
        <w:t xml:space="preserve">The first model is an ordinary least squares regression of the topic-signal score on three predictors, estimated with robust HC1 standard errors on thirty observations.</w:t>
      </w:r>
    </w:p>
    <w:p>
      <w:pPr>
        <w:pStyle w:val="BodyText"/>
        <w:spacing w:line="480" w:lineRule="auto"/>
        <w:ind w:firstLine="720"/>
      </w:pPr>
      <w:r>
        <w:t xml:space="preserve">The fitted specification is</w:t>
      </w:r>
    </w:p>
    <w:p>
      <w:pPr>
        <w:pStyle w:val="BodyText"/>
        <w:spacing w:line="480" w:lineRule="auto"/>
        <w:ind w:firstLine="720"/>
      </w:pPr>
      <w:r>
        <w:t xml:space="preserve">[</w:t>
      </w:r>
      <w:r>
        <w:t xml:space="preserve"> </w:t>
      </w:r>
      <w:r>
        <w:t xml:space="preserve">_i =</w:t>
      </w:r>
      <w:r>
        <w:t xml:space="preserve"> </w:t>
      </w:r>
      <w:r>
        <w:t xml:space="preserve">+</w:t>
      </w:r>
      <w:r>
        <w:t xml:space="preserve"> </w:t>
      </w:r>
      <w:r>
        <w:t xml:space="preserve">_1</w:t>
      </w:r>
      <w:r>
        <w:t xml:space="preserve"> </w:t>
      </w:r>
      <w:r>
        <w:t xml:space="preserve">_i +</w:t>
      </w:r>
      <w:r>
        <w:t xml:space="preserve"> </w:t>
      </w:r>
      <w:r>
        <w:t xml:space="preserve">_2</w:t>
      </w:r>
      <w:r>
        <w:t xml:space="preserve"> </w:t>
      </w:r>
      <w:r>
        <w:t xml:space="preserve">_i +</w:t>
      </w:r>
      <w:r>
        <w:t xml:space="preserve"> </w:t>
      </w:r>
      <w:r>
        <w:t xml:space="preserve">_3</w:t>
      </w:r>
      <w:r>
        <w:t xml:space="preserve"> </w:t>
      </w:r>
      <w:r>
        <w:t xml:space="preserve">_i +</w:t>
      </w:r>
      <w:r>
        <w:t xml:space="preserve"> </w:t>
      </w:r>
      <w:r>
        <w:t xml:space="preserve">_i.</w:t>
      </w:r>
      <w:r>
        <w:t xml:space="preserve"> </w:t>
      </w:r>
      <w:r>
        <w:t xml:space="preserve">] The model uses thirty observations and yields an (R^2) of 0.3313, with an F-test p-value of 0.000037.</w:t>
      </w:r>
    </w:p>
    <w:p>
      <w:pPr>
        <w:pStyle w:val="BodyText"/>
        <w:spacing w:line="480" w:lineRule="auto"/>
        <w:ind w:firstLine="720"/>
      </w:pPr>
      <w:r>
        <w:t xml:space="preserve">The regression as a whole is therefore highly significant, and it accounts for about a third of the variance in topic-signal intensity across the retrieved records. For a small, mixed, retrieval-based sample, explaining a third of the variance with three mechanical features is a substantial degree of structure, and it is the first result the dissertation needs: the source environment is not random noise</w:t>
      </w:r>
      <w:r>
        <w:t xml:space="preserve"> </w:t>
      </w:r>
      <w:hyperlink w:anchor="ref-1">
        <w:r>
          <w:rPr>
            <w:rStyle w:val="Hyperlink"/>
          </w:rPr>
          <w:t xml:space="preserve">[1]</w:t>
        </w:r>
      </w:hyperlink>
      <w:r>
        <w:t xml:space="preserve"> </w:t>
      </w:r>
      <w:hyperlink w:anchor="ref-8">
        <w:r>
          <w:rPr>
            <w:rStyle w:val="Hyperlink"/>
          </w:rPr>
          <w:t xml:space="preserve">[8]</w:t>
        </w:r>
      </w:hyperlink>
      <w:r>
        <w:t xml:space="preserve"> </w:t>
      </w:r>
      <w:hyperlink w:anchor="ref-14">
        <w:r>
          <w:rPr>
            <w:rStyle w:val="Hyperlink"/>
          </w:rPr>
          <w:t xml:space="preserve">[14]</w:t>
        </w:r>
      </w:hyperlink>
      <w:r>
        <w:t xml:space="preserve">. Take the coefficients one at a time. Recency index is positive but not conventionally precise, with a coefficient of 0.2720 and a p-value of 0.1652. The point estimate says that more recent records tend to carry somewhat higher topic signal, on the order of a quarter of a signal point per unit of the recency index, but the standard error is wide enough that the estimate cannot anchor a firm claim. Recency helps directionally and no more. Citation count is positive and statistically strong. Here the estimate is precise. The coefficient is 0.02321, the robust standard error is 0.00503, and the p-value is 0.0000039. Each additional reported citation is associated with about 0.023 more signal points, and although that per-citation increment is small, the citation counts in this corpus range up to 170, so the cumulative association across the attention distribution is large. This is the sharpest result in Paper 1. Citation-attended records are more likely to carry stronger topic signal, and the precision leaves little doubt about the sign.</w:t>
      </w:r>
    </w:p>
    <w:p>
      <w:pPr>
        <w:pStyle w:val="BodyText"/>
        <w:spacing w:line="480" w:lineRule="auto"/>
        <w:ind w:firstLine="720"/>
      </w:pPr>
      <w:r>
        <w:t xml:space="preserve">Venue score is negative and statistically meaningful. The sign surprises. The coefficient is -1.3622, the robust standard error is 0.5768, and the p-value is 0.0182. Because venue is coded AMOS one, Acta two, Space Economy three, the negative sign means that lower-coded venue families, especially AMOS material in this pipeline, carry more concentrated relevance to the weaponized-interdependence framing than the higher-coded families. Moving up one venue-family step is associated with roughly 1.36 fewer signal points, holding recency and citation attention fixed. That is a large effect relative to a signal score that runs from one to nine.</w:t>
      </w:r>
    </w:p>
    <w:bookmarkEnd w:id="122"/>
    <w:bookmarkStart w:id="123" w:name="X6760df5ba43136e7346b30ad6b4758b276ac214"/>
    <w:p>
      <w:pPr>
        <w:pStyle w:val="Heading2"/>
        <w:spacing w:line="480" w:lineRule="auto"/>
      </w:pPr>
      <w:r>
        <w:t xml:space="preserve">6.2 Interpreting the signs and magnitudes in Paper 1</w:t>
      </w:r>
    </w:p>
    <w:p>
      <w:pPr>
        <w:pStyle w:val="FirstParagraph"/>
        <w:spacing w:line="480" w:lineRule="auto"/>
      </w:pPr>
      <w:r>
        <w:t xml:space="preserve">Read together, the three coefficients tell a coherent story about the reading environment.</w:t>
      </w:r>
    </w:p>
    <w:p>
      <w:pPr>
        <w:pStyle w:val="BodyText"/>
        <w:spacing w:line="480" w:lineRule="auto"/>
        <w:ind w:firstLine="720"/>
      </w:pPr>
      <w:r>
        <w:t xml:space="preserve">Two features sort the corpus. Citation attention pulls signal up, and higher venue coding pulls it down, while recency contributes in the expected direction without statistical confidence. Substantively, the corpus rewards two things: citation-attended records are more likely to carry stronger topic signal, and lower-coded venue families carry more concentrated relevance to the candidate framing than higher-coded families</w:t>
      </w:r>
      <w:r>
        <w:t xml:space="preserve"> </w:t>
      </w:r>
      <w:hyperlink w:anchor="ref-1">
        <w:r>
          <w:rPr>
            <w:rStyle w:val="Hyperlink"/>
          </w:rPr>
          <w:t xml:space="preserve">[1]</w:t>
        </w:r>
      </w:hyperlink>
      <w:r>
        <w:t xml:space="preserve"> </w:t>
      </w:r>
      <w:hyperlink w:anchor="ref-8">
        <w:r>
          <w:rPr>
            <w:rStyle w:val="Hyperlink"/>
          </w:rPr>
          <w:t xml:space="preserve">[8]</w:t>
        </w:r>
      </w:hyperlink>
      <w:r>
        <w:t xml:space="preserve">. The venue result is worth dwelling on because it cuts against a naive prior.</w:t>
      </w:r>
    </w:p>
    <w:p>
      <w:pPr>
        <w:pStyle w:val="BodyText"/>
        <w:spacing w:line="480" w:lineRule="auto"/>
        <w:ind w:firstLine="720"/>
      </w:pPr>
      <w:r>
        <w:t xml:space="preserve">One might expect the formal journal literature, Acta Astronautica coded two, to dominate topical relevance. Instead, the AMOS-derived operational and governance-adjacent work supplies some of the clearest signal even when more formal journal material is present</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7">
        <w:r>
          <w:rPr>
            <w:rStyle w:val="Hyperlink"/>
          </w:rPr>
          <w:t xml:space="preserve">[7]</w:t>
        </w:r>
      </w:hyperlink>
      <w:r>
        <w:t xml:space="preserve">. The practical implication for the dissertation is a mixed reading strategy. Conference-derived operational material and industrial-policy journal material both belong in the later design, because publication venue alone does not determine conceptual usefulness, yet citation-attended records remain disproportionately central to the industrial-governance mechanism and cannot be ignored. A caution accompanies the interpretation. The signal score is built from retrieval text features, so it partly reflects index design and language choices rather than a deep measure of theoretical importance. The R² of 0.3313 should be read as evidence that the environment is structured, not as a claim that a third of conceptual value is captured. The estimator does exactly the job it was built for: it shows that citation count and venue family are the most visible sorting features of the corpus</w:t>
      </w:r>
      <w:r>
        <w:t xml:space="preserve"> </w:t>
      </w:r>
      <w:hyperlink w:anchor="ref-8">
        <w:r>
          <w:rPr>
            <w:rStyle w:val="Hyperlink"/>
          </w:rPr>
          <w:t xml:space="preserve">[8]</w:t>
        </w:r>
      </w:hyperlink>
      <w:r>
        <w:t xml:space="preserve"> </w:t>
      </w:r>
      <w:hyperlink w:anchor="ref-14">
        <w:r>
          <w:rPr>
            <w:rStyle w:val="Hyperlink"/>
          </w:rPr>
          <w:t xml:space="preserve">[14]</w:t>
        </w:r>
      </w:hyperlink>
      <w:r>
        <w:t xml:space="preserve">.</w:t>
      </w:r>
    </w:p>
    <w:bookmarkEnd w:id="123"/>
    <w:bookmarkStart w:id="124" w:name="X16ac774384953cd05f6cd411fe33e071f5bf997"/>
    <w:p>
      <w:pPr>
        <w:pStyle w:val="Heading2"/>
        <w:spacing w:line="480" w:lineRule="auto"/>
      </w:pPr>
      <w:r>
        <w:t xml:space="preserve">6.3 Paper 2: attention accumulation by article age</w:t>
      </w:r>
    </w:p>
    <w:p>
      <w:pPr>
        <w:pStyle w:val="FirstParagraph"/>
        <w:spacing w:line="480" w:lineRule="auto"/>
      </w:pPr>
      <w:r>
        <w:t xml:space="preserve">The second model asks whether citation attention scales with article age, using a log-log learning-curve specification on the same thirty records:</w:t>
      </w:r>
    </w:p>
    <w:p>
      <w:pPr>
        <w:pStyle w:val="BodyText"/>
        <w:spacing w:line="480" w:lineRule="auto"/>
        <w:ind w:firstLine="720"/>
      </w:pPr>
      <w:r>
        <w:t xml:space="preserve">[</w:t>
      </w:r>
      <w:r>
        <w:t xml:space="preserve"> </w:t>
      </w:r>
      <w:r>
        <w:t xml:space="preserve">(</w:t>
      </w:r>
      <w:r>
        <w:t xml:space="preserve">_i) =</w:t>
      </w:r>
      <w:r>
        <w:t xml:space="preserve"> </w:t>
      </w:r>
      <w:r>
        <w:t xml:space="preserve">+</w:t>
      </w:r>
      <w:r>
        <w:t xml:space="preserve"> </w:t>
      </w:r>
      <w:r>
        <w:t xml:space="preserve">_1</w:t>
      </w:r>
      <w:r>
        <w:t xml:space="preserve"> </w:t>
      </w:r>
      <w:r>
        <w:t xml:space="preserve">(</w:t>
      </w:r>
      <w:r>
        <w:t xml:space="preserve">_i) +</w:t>
      </w:r>
      <w:r>
        <w:t xml:space="preserve"> </w:t>
      </w:r>
      <w:r>
        <w:t xml:space="preserve">_i.</w:t>
      </w:r>
      <w:r>
        <w:t xml:space="preserve"> </w:t>
      </w:r>
      <w:r>
        <w:t xml:space="preserve">]</w:t>
      </w:r>
    </w:p>
    <w:p>
      <w:pPr>
        <w:pStyle w:val="BodyText"/>
        <w:spacing w:line="480" w:lineRule="auto"/>
        <w:ind w:firstLine="720"/>
      </w:pPr>
      <w:r>
        <w:t xml:space="preserve">The model uses thirty observations. The estimated elasticity is -0.01589, with a robust standard error of 0.3765 and a p-value of 0.9663. The model (R^2) is effectively zero at 0.00005, and the implied progress ratio is 0.9890. In plain terms, the paper finds no meaningful age-attention relationship in this corpus. The elasticity is indistinguishable from zero, the fit is essentially nil, and the progress ratio sits within a hair of one, meaning a doubling of age is associated with almost no change in attention. That null is the result, and it is a real result rather than a failure. It means the visible citation structure of the local source set is not being driven by age in a stable or useful way. Older records are not systematically more attended, and newer records are not systematically less attended, once the log-log relation is estimated on this sample</w:t>
      </w:r>
      <w:r>
        <w:t xml:space="preserve"> </w:t>
      </w:r>
      <w:hyperlink w:anchor="ref-8">
        <w:r>
          <w:rPr>
            <w:rStyle w:val="Hyperlink"/>
          </w:rPr>
          <w:t xml:space="preserve">[8]</w:t>
        </w:r>
      </w:hyperlink>
      <w:r>
        <w:t xml:space="preserve"> </w:t>
      </w:r>
      <w:hyperlink w:anchor="ref-14">
        <w:r>
          <w:rPr>
            <w:rStyle w:val="Hyperlink"/>
          </w:rPr>
          <w:t xml:space="preserve">[14]</w:t>
        </w:r>
      </w:hyperlink>
      <w:r>
        <w:t xml:space="preserve">. The data in Chapter 5 previewed this: the most-cited record, at citation-plus-one 171, has an age index of eight, while records at age index seven and ten sit at the floor value of one.</w:t>
      </w:r>
    </w:p>
    <w:bookmarkEnd w:id="124"/>
    <w:bookmarkStart w:id="125" w:name="interpreting-the-null-in-paper-2"/>
    <w:p>
      <w:pPr>
        <w:pStyle w:val="Heading2"/>
        <w:spacing w:line="480" w:lineRule="auto"/>
      </w:pPr>
      <w:r>
        <w:t xml:space="preserve">6.4 Interpreting the null in Paper 2</w:t>
      </w:r>
    </w:p>
    <w:p>
      <w:pPr>
        <w:pStyle w:val="FirstParagraph"/>
        <w:spacing w:line="480" w:lineRule="auto"/>
      </w:pPr>
      <w:r>
        <w:t xml:space="preserve">The near-zero elasticity carries a direct methodological lesson. The dissertation should not rely on article age as a sorting heuristic for conceptual centrality. The corpus mixes operational AMOS material, industrial-policy Acta work, and contested-environment studies, and that mixture appears largely orthogonal to age</w:t>
      </w:r>
      <w:r>
        <w:t xml:space="preserve"> </w:t>
      </w:r>
      <w:hyperlink w:anchor="ref-6">
        <w:r>
          <w:rPr>
            <w:rStyle w:val="Hyperlink"/>
          </w:rPr>
          <w:t xml:space="preserve">[6]</w:t>
        </w:r>
      </w:hyperlink>
      <w:r>
        <w:t xml:space="preserve"> </w:t>
      </w:r>
      <w:hyperlink w:anchor="ref-8">
        <w:r>
          <w:rPr>
            <w:rStyle w:val="Hyperlink"/>
          </w:rPr>
          <w:t xml:space="preserve">[8]</w:t>
        </w:r>
      </w:hyperlink>
      <w:r>
        <w:t xml:space="preserve"> </w:t>
      </w:r>
      <w:hyperlink w:anchor="ref-14">
        <w:r>
          <w:rPr>
            <w:rStyle w:val="Hyperlink"/>
          </w:rPr>
          <w:t xml:space="preserve">[14]</w:t>
        </w:r>
      </w:hyperlink>
      <w:r>
        <w:t xml:space="preserve">. Some recent items are already salient because the underlying industrial and governance questions are moving quickly. Some older items remain lightly attended despite conceptual relevance. That pattern strengthens the case for manual curation. The relevant literature for weaponized interdependence in space is not a maturity ladder where older necessarily means more foundational. It is a mixed environment where topic fit, operational relevance, and industrial specificity matter more than age alone. The learning-curve result should not be overread, because it is a property of a small retrieval-based corpus and of local index citation counts, but it performs an important disciplining role. It warns the larger dissertation against treating older sources as inherently foundational in an empirical sense. For this candidate, age carries almost no explanatory content in the visible attention structure</w:t>
      </w:r>
      <w:r>
        <w:t xml:space="preserve"> </w:t>
      </w:r>
      <w:hyperlink w:anchor="ref-8">
        <w:r>
          <w:rPr>
            <w:rStyle w:val="Hyperlink"/>
          </w:rPr>
          <w:t xml:space="preserve">[8]</w:t>
        </w:r>
      </w:hyperlink>
      <w:r>
        <w:t xml:space="preserve">.</w:t>
      </w:r>
    </w:p>
    <w:bookmarkEnd w:id="125"/>
    <w:bookmarkStart w:id="126" w:name="the-two-results-together"/>
    <w:p>
      <w:pPr>
        <w:pStyle w:val="Heading2"/>
        <w:spacing w:line="480" w:lineRule="auto"/>
      </w:pPr>
      <w:r>
        <w:t xml:space="preserve">6.5 The two results together</w:t>
      </w:r>
    </w:p>
    <w:p>
      <w:pPr>
        <w:pStyle w:val="FirstParagraph"/>
        <w:spacing w:line="480" w:lineRule="auto"/>
      </w:pPr>
      <w:r>
        <w:t xml:space="preserve">Placed side by side, the two source audits are consistent and complementary. Paper 1 shows the corpus is structured, and identifies citation attention and venue family as the axes of that structure, with a significant overall fit at F p-value 0.000037 and an R² of 0.3313</w:t>
      </w:r>
      <w:r>
        <w:t xml:space="preserve"> </w:t>
      </w:r>
      <w:hyperlink w:anchor="ref-1">
        <w:r>
          <w:rPr>
            <w:rStyle w:val="Hyperlink"/>
          </w:rPr>
          <w:t xml:space="preserve">[1]</w:t>
        </w:r>
      </w:hyperlink>
      <w:r>
        <w:t xml:space="preserve"> </w:t>
      </w:r>
      <w:hyperlink w:anchor="ref-8">
        <w:r>
          <w:rPr>
            <w:rStyle w:val="Hyperlink"/>
          </w:rPr>
          <w:t xml:space="preserve">[8]</w:t>
        </w:r>
      </w:hyperlink>
      <w:r>
        <w:t xml:space="preserve">. Paper 2 shows that one plausible axis, article age, is not in fact organizing attention, with an elasticity of -0.01589, a p-value of 0.9663, and an R² of 0.00005. Structure exists, but it does not run along the age dimension. The joint reading is what the dissertation carries forward. Because the corpus is sorted by citation attention and venue, a narrative built on it must account for that sorting rather than treat the sources as neutral. And because the corpus is not sorted by age, the dissertation cannot use age as a shortcut for importance and must curate on topic fit and industrial relevance instead. Both estimators, one significant and one null, deliver the same instruction: read this literature deliberately, not by prestige or by vintage</w:t>
      </w:r>
      <w:r>
        <w:t xml:space="preserve"> </w:t>
      </w:r>
      <w:hyperlink w:anchor="ref-8">
        <w:r>
          <w:rPr>
            <w:rStyle w:val="Hyperlink"/>
          </w:rPr>
          <w:t xml:space="preserve">[8]</w:t>
        </w:r>
      </w:hyperlink>
      <w:r>
        <w:t xml:space="preserve"> </w:t>
      </w:r>
      <w:hyperlink w:anchor="ref-14">
        <w:r>
          <w:rPr>
            <w:rStyle w:val="Hyperlink"/>
          </w:rPr>
          <w:t xml:space="preserve">[14]</w:t>
        </w:r>
      </w:hyperlink>
      <w:r>
        <w:t xml:space="preserve">.</w:t>
      </w:r>
    </w:p>
    <w:bookmarkEnd w:id="126"/>
    <w:bookmarkStart w:id="127" w:name="scope-of-these-results"/>
    <w:p>
      <w:pPr>
        <w:pStyle w:val="Heading2"/>
        <w:spacing w:line="480" w:lineRule="auto"/>
      </w:pPr>
      <w:r>
        <w:t xml:space="preserve">6.6 Scope of these results</w:t>
      </w:r>
    </w:p>
    <w:bookmarkEnd w:id="127"/>
    <w:bookmarkStart w:id="128" w:name="X5d89795df8d49e7872fb74056a9dabcbf23a4e2"/>
    <w:p>
      <w:pPr>
        <w:pStyle w:val="Heading2"/>
        <w:spacing w:line="480" w:lineRule="auto"/>
      </w:pPr>
      <w:r>
        <w:t xml:space="preserve">6.6a The recency coefficient in its own right</w:t>
      </w:r>
    </w:p>
    <w:p>
      <w:pPr>
        <w:pStyle w:val="FirstParagraph"/>
        <w:spacing w:line="480" w:lineRule="auto"/>
      </w:pPr>
      <w:r>
        <w:t xml:space="preserve">The recency coefficient is the quietest of Paper 1’s three estimates, and it is worth reading on its own terms rather than dismissing it because it misses significance. The point estimate of 0.2720 says that each step up the recency index is associated with roughly a quarter of a signal point, so a record at the top of the eleven-year range would carry, on this estimate alone, about three more signal points than a record at the bottom</w:t>
      </w:r>
      <w:r>
        <w:t xml:space="preserve"> </w:t>
      </w:r>
      <w:hyperlink w:anchor="ref-8">
        <w:r>
          <w:rPr>
            <w:rStyle w:val="Hyperlink"/>
          </w:rPr>
          <w:t xml:space="preserve">[8]</w:t>
        </w:r>
      </w:hyperlink>
      <w:r>
        <w:t xml:space="preserve"> </w:t>
      </w:r>
      <w:hyperlink w:anchor="ref-14">
        <w:r>
          <w:rPr>
            <w:rStyle w:val="Hyperlink"/>
          </w:rPr>
          <w:t xml:space="preserve">[14]</w:t>
        </w:r>
      </w:hyperlink>
      <w:r>
        <w:t xml:space="preserve">. That is not a trivial direction. The problem is precision: the p-value of 0.1652 means the estimate could plausibly be zero, so the direction is suggestive rather than established, and the manuscript treats it accordingly. The recency result is also informative in combination with Paper 2’s null, and the two are not in tension. Paper 1 finds that more recent records tend, weakly, to carry higher topic signal; Paper 2 finds that age does not organize citation attention</w:t>
      </w:r>
      <w:r>
        <w:t xml:space="preserve"> </w:t>
      </w:r>
      <w:hyperlink w:anchor="ref-8">
        <w:r>
          <w:rPr>
            <w:rStyle w:val="Hyperlink"/>
          </w:rPr>
          <w:t xml:space="preserve">[8]</w:t>
        </w:r>
      </w:hyperlink>
      <w:r>
        <w:t xml:space="preserve">. These are different dependent variables. Topic signal is a vocabulary-salience measure, and recent industrial-transformation work is written in candidate-theme language, so a weak positive recency slope on signal is expected. Citation attention is an accumulation measure, and it does not track age here. Reading the two coefficients together shows that recency touches what a record is about more than how much it has been cited, which is a coherent picture rather than a contradiction, and it reinforces the manuscript’s decision not to lean on either recency or age as a strong sorting variable</w:t>
      </w:r>
      <w:r>
        <w:t xml:space="preserve"> </w:t>
      </w:r>
      <w:hyperlink w:anchor="ref-14">
        <w:r>
          <w:rPr>
            <w:rStyle w:val="Hyperlink"/>
          </w:rPr>
          <w:t xml:space="preserve">[14]</w:t>
        </w:r>
      </w:hyperlink>
      <w:r>
        <w:t xml:space="preserve">.</w:t>
      </w:r>
    </w:p>
    <w:bookmarkEnd w:id="128"/>
    <w:bookmarkStart w:id="129" w:name="Xaf556d7a5dc2e60d46ff62226d61086c02ba1d0"/>
    <w:p>
      <w:pPr>
        <w:pStyle w:val="Heading2"/>
        <w:spacing w:line="480" w:lineRule="auto"/>
      </w:pPr>
      <w:r>
        <w:t xml:space="preserve">6.7 Magnitude of the citation effect across the attention distribution</w:t>
      </w:r>
    </w:p>
    <w:p>
      <w:pPr>
        <w:pStyle w:val="FirstParagraph"/>
        <w:spacing w:line="480" w:lineRule="auto"/>
      </w:pPr>
      <w:r>
        <w:t xml:space="preserve">The citation coefficient of 0.02321 looks small until it is scaled by the range of the predictor, and doing that scaling is essential to reading the result correctly. Because reported citations in the corpus run from zero up to 170, the fitted contribution of citation attention to signal score spans nearly four points at the extreme, from the many zero-citation records to the single 170-citation record</w:t>
      </w:r>
      <w:r>
        <w:t xml:space="preserve"> </w:t>
      </w:r>
      <w:hyperlink w:anchor="ref-8">
        <w:r>
          <w:rPr>
            <w:rStyle w:val="Hyperlink"/>
          </w:rPr>
          <w:t xml:space="preserve">[8]</w:t>
        </w:r>
      </w:hyperlink>
      <w:r>
        <w:t xml:space="preserve">. That span is comparable in size to the entire venue effect and to a large fraction of the nine-point signal range. The per-citation increment is modest by construction, since one additional citation is a marginal change, but the cumulative association across the observed attention distribution is substantial, and it is estimated with a robust standard error of 0.00503 and a p-value of 0.0000039, so the sign and rough magnitude are not in doubt within this sample. Two caveats keep the magnitude honest. First, the relationship is estimated linearly, so the fitted four-point span assumes the per-citation slope holds across the whole range, which the influential high-citation records dominate</w:t>
      </w:r>
      <w:r>
        <w:t xml:space="preserve"> </w:t>
      </w:r>
      <w:hyperlink w:anchor="ref-1">
        <w:r>
          <w:rPr>
            <w:rStyle w:val="Hyperlink"/>
          </w:rPr>
          <w:t xml:space="preserve">[1]</w:t>
        </w:r>
      </w:hyperlink>
      <w:r>
        <w:t xml:space="preserve">. Second, the citation counts themselves come from an uneven index, so the effect describes association with recorded attention, not with some latent true attention. With those caveats the result stands: within this corpus, recorded citation attention is the single most precisely estimated correlate of topic signal, and it points in the direction the audit predicted</w:t>
      </w:r>
      <w:r>
        <w:t xml:space="preserve"> </w:t>
      </w:r>
      <w:hyperlink w:anchor="ref-8">
        <w:r>
          <w:rPr>
            <w:rStyle w:val="Hyperlink"/>
          </w:rPr>
          <w:t xml:space="preserve">[8]</w:t>
        </w:r>
      </w:hyperlink>
      <w:r>
        <w:t xml:space="preserve"> </w:t>
      </w:r>
      <w:hyperlink w:anchor="ref-14">
        <w:r>
          <w:rPr>
            <w:rStyle w:val="Hyperlink"/>
          </w:rPr>
          <w:t xml:space="preserve">[14]</w:t>
        </w:r>
      </w:hyperlink>
      <w:r>
        <w:t xml:space="preserve">.</w:t>
      </w:r>
    </w:p>
    <w:bookmarkEnd w:id="129"/>
    <w:bookmarkStart w:id="130" w:name="X051734954db0160968b9e6d449f78c7b58ca6b6"/>
    <w:p>
      <w:pPr>
        <w:pStyle w:val="Heading2"/>
        <w:spacing w:line="480" w:lineRule="auto"/>
      </w:pPr>
      <w:r>
        <w:t xml:space="preserve">6.8 Reconciling the venue and citation results</w:t>
      </w:r>
    </w:p>
    <w:p>
      <w:pPr>
        <w:pStyle w:val="FirstParagraph"/>
        <w:spacing w:line="480" w:lineRule="auto"/>
      </w:pPr>
      <w:r>
        <w:t xml:space="preserve">At first glance the two significant coefficients might seem to pull against each other. Venue coding is negative, favoring AMOS material, while citation attention is positive, and the most-cited records are Acta articles coded venue two</w:t>
      </w:r>
      <w:r>
        <w:t xml:space="preserve"> </w:t>
      </w:r>
      <w:hyperlink w:anchor="ref-1">
        <w:r>
          <w:rPr>
            <w:rStyle w:val="Hyperlink"/>
          </w:rPr>
          <w:t xml:space="preserve">[1]</w:t>
        </w:r>
      </w:hyperlink>
      <w:r>
        <w:t xml:space="preserve"> </w:t>
      </w:r>
      <w:hyperlink w:anchor="ref-8">
        <w:r>
          <w:rPr>
            <w:rStyle w:val="Hyperlink"/>
          </w:rPr>
          <w:t xml:space="preserve">[8]</w:t>
        </w:r>
      </w:hyperlink>
      <w:r>
        <w:t xml:space="preserve">. There is no contradiction once the coefficients are read as partial associations. Holding citation attention fixed, moving from AMOS to a higher-coded venue is associated with lower signal, which is the venue effect of -1.3622. Holding venue fixed, more citations are associated with higher signal, which is the citation effect of 0.02321. The two operate on different margins. AMOS records tend to carry strong signal with zero recorded citations, so they load the venue effect; a handful of Acta records carry strong signal with high citations, so they load the citation effect. The regression separates these because it estimates each coefficient net of the other, and the R² of 0.3313 reflects the combined structure the two margins jointly capture.</w:t>
      </w:r>
    </w:p>
    <w:p>
      <w:pPr>
        <w:pStyle w:val="BodyText"/>
        <w:spacing w:line="480" w:lineRule="auto"/>
        <w:ind w:firstLine="720"/>
      </w:pPr>
      <w:r>
        <w:t xml:space="preserve">This reconciliation is the substantive heart of Paper 1. The corpus is not organized on a single quality ladder. It is organized on two partly orthogonal axes: an operational-relevance axis on which AMOS material scores well regardless of citation, and an attention axis on which heavily cited journal work scores well regardless of venue</w:t>
      </w:r>
      <w:r>
        <w:t xml:space="preserve"> </w:t>
      </w:r>
      <w:hyperlink w:anchor="ref-1">
        <w:r>
          <w:rPr>
            <w:rStyle w:val="Hyperlink"/>
          </w:rPr>
          <w:t xml:space="preserve">[1]</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A reading strategy that collapsed these axes into one, by trusting either venue prestige or citation count alone, would miss half of what structures the evidence. The dissertation’s mixed-source approach follows directly from recognizing both axes at once.</w:t>
      </w:r>
    </w:p>
    <w:bookmarkEnd w:id="130"/>
    <w:bookmarkStart w:id="131" w:name="X017711213750c908d4bc735778169ea56c40969"/>
    <w:p>
      <w:pPr>
        <w:pStyle w:val="Heading2"/>
        <w:spacing w:line="480" w:lineRule="auto"/>
      </w:pPr>
      <w:r>
        <w:t xml:space="preserve">6.9 The learning-curve null in fuller context</w:t>
      </w:r>
    </w:p>
    <w:p>
      <w:pPr>
        <w:pStyle w:val="FirstParagraph"/>
        <w:spacing w:line="480" w:lineRule="auto"/>
      </w:pPr>
      <w:r>
        <w:t xml:space="preserve">The Paper 2 null is easy to underrate, so it is worth stating its content in full. An elasticity of -0.01589 means that a one percent increase in article age is associated with a 0.016 percent decrease in citation-plus-one, an effect so small it is economically as well as statistically negligible. The robust standard error of 0.3765 dwarfs the point estimate, the p-value of 0.9663 is about as far from significance as a p-value can be, and the R² of 0.00005 says the age variable explains essentially none of the variation in logged attention</w:t>
      </w:r>
      <w:r>
        <w:t xml:space="preserve"> </w:t>
      </w:r>
      <w:hyperlink w:anchor="ref-8">
        <w:r>
          <w:rPr>
            <w:rStyle w:val="Hyperlink"/>
          </w:rPr>
          <w:t xml:space="preserve">[8]</w:t>
        </w:r>
      </w:hyperlink>
      <w:r>
        <w:t xml:space="preserve"> </w:t>
      </w:r>
      <w:hyperlink w:anchor="ref-14">
        <w:r>
          <w:rPr>
            <w:rStyle w:val="Hyperlink"/>
          </w:rPr>
          <w:t xml:space="preserve">[14]</w:t>
        </w:r>
      </w:hyperlink>
      <w:r>
        <w:t xml:space="preserve">. The progress ratio of 0.9890 translates the elasticity into the accumulation frame: doubling an article’s age is associated with attention changing by roughly one percent, which is indistinguishable from no change at all. Placed against the citation skew documented in Chapter 5, the null makes intuitive sense. The 170-citation record is only eight years old, younger than several single-digit-citation records at age index ten or twelve</w:t>
      </w:r>
      <w:r>
        <w:t xml:space="preserve"> </w:t>
      </w:r>
      <w:hyperlink w:anchor="ref-8">
        <w:r>
          <w:rPr>
            <w:rStyle w:val="Hyperlink"/>
          </w:rPr>
          <w:t xml:space="preserve">[8]</w:t>
        </w:r>
      </w:hyperlink>
      <w:r>
        <w:t xml:space="preserve">. Attention in this corpus is driven by what a work is about and where it landed, not by how long it has been available to accumulate citations. That is why the age slope is flat. The null is not a measurement failure; it is a faithful reading of a corpus in which a fast-moving industrial-governance literature makes recent work salient quickly and leaves some older work lightly attended</w:t>
      </w:r>
      <w:r>
        <w:t xml:space="preserve"> </w:t>
      </w:r>
      <w:hyperlink w:anchor="ref-14">
        <w:r>
          <w:rPr>
            <w:rStyle w:val="Hyperlink"/>
          </w:rPr>
          <w:t xml:space="preserve">[14]</w:t>
        </w:r>
      </w:hyperlink>
      <w:r>
        <w:t xml:space="preserve">.</w:t>
      </w:r>
    </w:p>
    <w:p>
      <w:pPr>
        <w:pStyle w:val="BodyText"/>
        <w:spacing w:line="480" w:lineRule="auto"/>
        <w:ind w:firstLine="720"/>
      </w:pPr>
      <w:r>
        <w:t xml:space="preserve">It is worth pausing on the progress-ratio figure of 0.9890, because it is the most interpretable single number in Paper 2. A progress ratio of one would mean age changes nothing; a ratio well below one would mean older articles accumulate substantially more attention. At 0.9890 the corpus sits within roughly one percent of the no-effect benchmark, which is as close to no learning curve as an estimate can practically come</w:t>
      </w:r>
      <w:r>
        <w:t xml:space="preserve"> </w:t>
      </w:r>
      <w:hyperlink w:anchor="ref-8">
        <w:r>
          <w:rPr>
            <w:rStyle w:val="Hyperlink"/>
          </w:rPr>
          <w:t xml:space="preserve">[8]</w:t>
        </w:r>
      </w:hyperlink>
      <w:r>
        <w:t xml:space="preserve">. Reported this way, the result is not merely statistically insignificant; it is substantively flat, and the two facts together, a p-value of 0.9663 and a progress ratio of 0.9890, make the null about as clean as a small-sample learning-curve analysis can deliver</w:t>
      </w:r>
      <w:r>
        <w:t xml:space="preserve"> </w:t>
      </w:r>
      <w:hyperlink w:anchor="ref-14">
        <w:r>
          <w:rPr>
            <w:rStyle w:val="Hyperlink"/>
          </w:rPr>
          <w:t xml:space="preserve">[14]</w:t>
        </w:r>
      </w:hyperlink>
      <w:r>
        <w:t xml:space="preserve">. A closing statement of scope keeps the results chapter honest. Neither model reports anything about chokepoint exposure or governance alignment, because the corpus contains neither variable. The coefficients above describe the structure of a source environment, and that is all they describe. The number that would test H1, the coefficient on lagged chokepoint exposure in the planned fixed-effects panel, has not been estimated, because the exposure and alignment data layers are not yet assembled. What Chapter 6 establishes is narrower and still worth having: the evidence base the dissertation will build on is structured by attention and venue, is not structured by age, and is source-traced record by record so that both findings can be reproduced exactly</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31"/>
    <w:bookmarkEnd w:id="132"/>
    <w:bookmarkStart w:id="144" w:name="chapter-7.-discussion-and-limitations"/>
    <w:p>
      <w:pPr>
        <w:pStyle w:val="Heading1"/>
        <w:spacing w:line="480" w:lineRule="auto"/>
      </w:pPr>
      <w:r>
        <w:t xml:space="preserve">Chapter 7. Discussion and Limitations</w:t>
      </w:r>
    </w:p>
    <w:p>
      <w:pPr>
        <w:pStyle w:val="FirstParagraph"/>
        <w:spacing w:line="480" w:lineRule="auto"/>
      </w:pPr>
      <w:r>
        <w:t xml:space="preserve">What do these results mean? And what can they not mean? This chapter interprets the two source-audit findings for the larger argument, then subjects both the completed work and the planned design to the sharpest threats to validity I can state. The discipline here is to resist letting a clean diagnostic result stand in for the causal claim it merely prepares. The completed papers tell the dissertation how to read its evidence base. They do not tell it whether chokepoint control produces governance leverage.</w:t>
      </w:r>
    </w:p>
    <w:bookmarkStart w:id="133" w:name="X0da8f1e5b8c0f62b6813cf7847f92e5047e4db6"/>
    <w:p>
      <w:pPr>
        <w:pStyle w:val="Heading2"/>
        <w:spacing w:line="480" w:lineRule="auto"/>
      </w:pPr>
      <w:r>
        <w:t xml:space="preserve">7.1 What the source audits actually establish</w:t>
      </w:r>
    </w:p>
    <w:p>
      <w:pPr>
        <w:pStyle w:val="FirstParagraph"/>
        <w:spacing w:line="480" w:lineRule="auto"/>
      </w:pPr>
      <w:r>
        <w:t xml:space="preserve">Two things are now established. Both are easy to overstate, so state them carefully. The retrieved corpus is structured, and the structure runs along citation attention and venue family rather than along article age</w:t>
      </w:r>
      <w:r>
        <w:t xml:space="preserve"> </w:t>
      </w:r>
      <w:hyperlink w:anchor="ref-1">
        <w:r>
          <w:rPr>
            <w:rStyle w:val="Hyperlink"/>
          </w:rPr>
          <w:t xml:space="preserve">[1]</w:t>
        </w:r>
      </w:hyperlink>
      <w:r>
        <w:t xml:space="preserve"> </w:t>
      </w:r>
      <w:hyperlink w:anchor="ref-8">
        <w:r>
          <w:rPr>
            <w:rStyle w:val="Hyperlink"/>
          </w:rPr>
          <w:t xml:space="preserve">[8]</w:t>
        </w:r>
      </w:hyperlink>
      <w:r>
        <w:t xml:space="preserve"> </w:t>
      </w:r>
      <w:hyperlink w:anchor="ref-14">
        <w:r>
          <w:rPr>
            <w:rStyle w:val="Hyperlink"/>
          </w:rPr>
          <w:t xml:space="preserve">[14]</w:t>
        </w:r>
      </w:hyperlink>
      <w:r>
        <w:t xml:space="preserve">. Paper 1’s overall fit, an R² of 0.3313 with an F-test p-value of 0.000037, means roughly a third of the variation in topic signal is organized by three mechanical features, which is a real and reproducible pattern. Paper 2’s near-zero elasticity of -0.01589 with a p-value of 0.9663 means age is not one of those organizing features. The interpretive payoff is a reading strategy, not a substantive claim about space governance.</w:t>
      </w:r>
    </w:p>
    <w:p>
      <w:pPr>
        <w:pStyle w:val="BodyText"/>
        <w:spacing w:line="480" w:lineRule="auto"/>
        <w:ind w:firstLine="720"/>
      </w:pPr>
      <w:r>
        <w:t xml:space="preserve">Because citation-attended records carry stronger topic signal, and because lower-coded venue families such as AMOS supply disproportionate relevance, the dissertation should weight operational conference material alongside formal journal material and should not defer automatically to journal prestige</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p>
      <w:pPr>
        <w:pStyle w:val="BodyText"/>
        <w:spacing w:line="480" w:lineRule="auto"/>
        <w:ind w:firstLine="720"/>
      </w:pPr>
      <w:r>
        <w:t xml:space="preserve">Because age does not sort attention, the dissertation should curate on topic fit and industrial specificity rather than treating older work as foundational by default. These are instructions for building the later design well. They are not evidence that the design’s central hypothesis is true.</w:t>
      </w:r>
    </w:p>
    <w:bookmarkEnd w:id="133"/>
    <w:bookmarkStart w:id="134" w:name="X55bf5c5c0d28e5b1d7478d964684a2759b90d6b"/>
    <w:p>
      <w:pPr>
        <w:pStyle w:val="Heading2"/>
        <w:spacing w:line="480" w:lineRule="auto"/>
      </w:pPr>
      <w:r>
        <w:t xml:space="preserve">7.2 The limits intrinsic to the completed work</w:t>
      </w:r>
    </w:p>
    <w:p>
      <w:pPr>
        <w:pStyle w:val="FirstParagraph"/>
        <w:spacing w:line="480" w:lineRule="auto"/>
      </w:pPr>
      <w:r>
        <w:t xml:space="preserve">Begin with the limits that no amount of careful interpretation can remove.</w:t>
      </w:r>
    </w:p>
    <w:p>
      <w:pPr>
        <w:pStyle w:val="BodyText"/>
        <w:spacing w:line="480" w:lineRule="auto"/>
        <w:ind w:firstLine="720"/>
      </w:pPr>
      <w:r>
        <w:t xml:space="preserve">The signal score is constructed from retrieval text features, so it partly reflects index design and language choices rather than deep theoretical importance</w:t>
      </w:r>
      <w:r>
        <w:t xml:space="preserve"> </w:t>
      </w:r>
      <w:hyperlink w:anchor="ref-8">
        <w:r>
          <w:rPr>
            <w:rStyle w:val="Hyperlink"/>
          </w:rPr>
          <w:t xml:space="preserve">[8]</w:t>
        </w:r>
      </w:hyperlink>
      <w:r>
        <w:t xml:space="preserve">. A record could carry a high signal score because its title happens to use candidate-theme vocabulary, not because it is conceptually central. The audit is honest about this: it measures topical salience in a retrieval sense, and it says so. The sample is thirty records. That is enough for a diagnostic with mechanical predictors, but it is small, and the citation counts come from a local brain index whose coverage is uneven, with most AMOS-family records reporting zero citations. The venue result, strong as it is at a p-value of 0.0182, rests on an ordinal coding of only three families, so it should be read as a coarse contrast between conference and journal material, not as a fine-grained venue ranking</w:t>
      </w:r>
      <w:r>
        <w:t xml:space="preserve"> </w:t>
      </w:r>
      <w:hyperlink w:anchor="ref-1">
        <w:r>
          <w:rPr>
            <w:rStyle w:val="Hyperlink"/>
          </w:rPr>
          <w:t xml:space="preserve">[1]</w:t>
        </w:r>
      </w:hyperlink>
      <w:r>
        <w:t xml:space="preserve"> </w:t>
      </w:r>
      <w:hyperlink w:anchor="ref-14">
        <w:r>
          <w:rPr>
            <w:rStyle w:val="Hyperlink"/>
          </w:rPr>
          <w:t xml:space="preserve">[14]</w:t>
        </w:r>
      </w:hyperlink>
      <w:r>
        <w:t xml:space="preserve">. The learning-curve null likewise reflects a small retrieval-based corpus and could look different in a larger draw. None of these limits invalidates the results. They bound the confidence the results can carry, which is exactly the posture a source audit should adopt.</w:t>
      </w:r>
    </w:p>
    <w:bookmarkEnd w:id="134"/>
    <w:bookmarkStart w:id="135" w:name="Xe35111f51ff2f0197b81ccbd53f003dc627ec5b"/>
    <w:p>
      <w:pPr>
        <w:pStyle w:val="Heading2"/>
        <w:spacing w:line="480" w:lineRule="auto"/>
      </w:pPr>
      <w:r>
        <w:t xml:space="preserve">7.3 Threats to validity in the planned causal design</w:t>
      </w:r>
    </w:p>
    <w:p>
      <w:pPr>
        <w:pStyle w:val="FirstParagraph"/>
        <w:spacing w:line="480" w:lineRule="auto"/>
      </w:pPr>
      <w:r>
        <w:t xml:space="preserve">Turn now to the design that will eventually test H1, because its limitations are more consequential and deserve the harder scrutiny. Four threats stand out, and each is met, imperfectly, by a specific feature of the design. Reverse causality is the first and sharpest. Governance alignment might precede favorable supply access rather than follow from exposure, so that the apparent effect runs backward. Lagging exposure so it precedes the outcome mitigates this, and the process trace of a denial or export-control episode is meant to observe the sequence directly, but neither fully closes the door, and the discussion must concede that observational data cannot randomize the timing of dependence</w:t>
      </w:r>
      <w:r>
        <w:t xml:space="preserve"> </w:t>
      </w:r>
      <w:hyperlink w:anchor="ref-8">
        <w:r>
          <w:rPr>
            <w:rStyle w:val="Hyperlink"/>
          </w:rPr>
          <w:t xml:space="preserve">[8]</w:t>
        </w:r>
      </w:hyperlink>
      <w:r>
        <w:t xml:space="preserve">. Confounding by alliance structure is the second. States align for security and diplomatic reasons unrelated to supply dependence, and if alliance co-moves with exposure the estimate will absorb it. Baseline strategic-alignment controls and actor fixed effects handle the stable component, but a shifting alliance that tracks exposure would remain a confound, which is why case selection must avoid episodes where alliance and dependence move together</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Construct validity is the third. Chokepoint control is multidimensional, and a coarse trade-concentration proxy could overstate it, attributing leverage to categories that are broad rather than strategic</w:t>
      </w:r>
      <w:r>
        <w:t xml:space="preserve"> </w:t>
      </w:r>
      <w:hyperlink w:anchor="ref-13">
        <w:r>
          <w:rPr>
            <w:rStyle w:val="Hyperlink"/>
          </w:rPr>
          <w:t xml:space="preserve">[13]</w:t>
        </w:r>
      </w:hyperlink>
      <w:r>
        <w:t xml:space="preserve">. Triangulating trade concentration against firm disclosures bounds this, and prioritizing categories with clear space relevance reduces it, but the construct will never be measured as cleanly as an experimenter would like</w:t>
      </w:r>
      <w:r>
        <w:t xml:space="preserve"> </w:t>
      </w:r>
      <w:hyperlink w:anchor="ref-14">
        <w:r>
          <w:rPr>
            <w:rStyle w:val="Hyperlink"/>
          </w:rPr>
          <w:t xml:space="preserve">[14]</w:t>
        </w:r>
      </w:hyperlink>
      <w:r>
        <w:t xml:space="preserve">. Selection on observability is the fourth, and it cuts in a helpful direction. Governance leverage may operate informally, through quiet conditionality that leaves no public trace. Where it does, the alignment outcome is undercounted, which biases the estimate toward zero. That means any positive coefficient the design recovers would be conservative, understating rather than overstating the mechanism. The threat is real, but its direction is a small mercy for inference.</w:t>
      </w:r>
    </w:p>
    <w:bookmarkEnd w:id="135"/>
    <w:bookmarkStart w:id="136" w:name="Xd570c8d8209d88bf9f3b55a44bc2edb362496c3"/>
    <w:p>
      <w:pPr>
        <w:pStyle w:val="Heading2"/>
        <w:spacing w:line="480" w:lineRule="auto"/>
      </w:pPr>
      <w:r>
        <w:t xml:space="preserve">7.4 Category-definition risk and the temptation to overfit</w:t>
      </w:r>
    </w:p>
    <w:p>
      <w:pPr>
        <w:pStyle w:val="FirstParagraph"/>
        <w:spacing w:line="480" w:lineRule="auto"/>
      </w:pPr>
      <w:r>
        <w:t xml:space="preserve">A quieter danger deserves its own paragraph. Some trade or component categories may be too broad to capture true strategic dependence, and a design under pressure to find an effect could gerrymander category definitions until a coefficient turns positive. The safeguard is to fix category definitions in advance, prioritize categories with clear space relevance, and triangulate them with firm disclosures before any outcome is examined</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The source audits reinforce this discipline indirectly. Having shown that the evidence base is structured in ways that are not obvious, they make the case that unexamined choices, whether in category definition or in source weighting, can quietly shape conclusions. A design that ignores that lesson risks reading its own construction back as a finding.</w:t>
      </w:r>
    </w:p>
    <w:bookmarkEnd w:id="136"/>
    <w:bookmarkStart w:id="137" w:name="what-the-data-cannot-show"/>
    <w:p>
      <w:pPr>
        <w:pStyle w:val="Heading2"/>
        <w:spacing w:line="480" w:lineRule="auto"/>
      </w:pPr>
      <w:r>
        <w:t xml:space="preserve">7.5 What the data cannot show</w:t>
      </w:r>
    </w:p>
    <w:p>
      <w:pPr>
        <w:pStyle w:val="FirstParagraph"/>
        <w:spacing w:line="480" w:lineRule="auto"/>
      </w:pPr>
      <w:r>
        <w:t xml:space="preserve">State plainly what is out of reach. The completed data cannot show that chokepoint exposure predicts governance alignment, because it contains no exposure variable and no alignment variable</w:t>
      </w:r>
      <w:r>
        <w:t xml:space="preserve"> </w:t>
      </w:r>
      <w:hyperlink w:anchor="ref-1">
        <w:r>
          <w:rPr>
            <w:rStyle w:val="Hyperlink"/>
          </w:rPr>
          <w:t xml:space="preserve">[1]</w:t>
        </w:r>
      </w:hyperlink>
      <w:r>
        <w:t xml:space="preserve"> </w:t>
      </w:r>
      <w:hyperlink w:anchor="ref-6">
        <w:r>
          <w:rPr>
            <w:rStyle w:val="Hyperlink"/>
          </w:rPr>
          <w:t xml:space="preserve">[6]</w:t>
        </w:r>
      </w:hyperlink>
      <w:r>
        <w:t xml:space="preserve">. It cannot speak to the direction, magnitude, or existence of the leverage effect. The planned design, once built, still cannot deliver experimental proof, because governance behavior is not randomizable; it can deliver a disconfirmable estimate under stated assumptions, which is a weaker and more honest thing. And even a supportive estimate would speak to correlation-plus-sequence, bounded against named rivals, not to a mechanism observed in a laboratory. The dissertation’s contribution is a disciplined test that can fail, not a demonstration that cannot.</w:t>
      </w:r>
    </w:p>
    <w:bookmarkEnd w:id="137"/>
    <w:bookmarkStart w:id="138" w:name="implications-despite-the-limits"/>
    <w:p>
      <w:pPr>
        <w:pStyle w:val="Heading2"/>
        <w:spacing w:line="480" w:lineRule="auto"/>
      </w:pPr>
      <w:r>
        <w:t xml:space="preserve">7.6 Implications despite the limits</w:t>
      </w:r>
    </w:p>
    <w:bookmarkEnd w:id="138"/>
    <w:bookmarkStart w:id="139" w:name="Xe68ecac845607c4057888b115903d66bb70dd7c"/>
    <w:p>
      <w:pPr>
        <w:pStyle w:val="Heading2"/>
        <w:spacing w:line="480" w:lineRule="auto"/>
      </w:pPr>
      <w:r>
        <w:t xml:space="preserve">7.6a Alternative readings of the two audit results</w:t>
      </w:r>
    </w:p>
    <w:p>
      <w:pPr>
        <w:pStyle w:val="FirstParagraph"/>
        <w:spacing w:line="480" w:lineRule="auto"/>
      </w:pPr>
      <w:r>
        <w:t xml:space="preserve">Good discussion entertains rival interpretations of its own results before defending its preferred one. Take Paper 1’s venue effect. The preferred reading is that AMOS operational material carries concentrated topical relevance to the candidate framing</w:t>
      </w:r>
      <w:r>
        <w:t xml:space="preserve"> </w:t>
      </w:r>
      <w:hyperlink w:anchor="ref-1">
        <w:r>
          <w:rPr>
            <w:rStyle w:val="Hyperlink"/>
          </w:rPr>
          <w:t xml:space="preserve">[1]</w:t>
        </w:r>
      </w:hyperlink>
      <w:r>
        <w:t xml:space="preserve"> </w:t>
      </w:r>
      <w:hyperlink w:anchor="ref-7">
        <w:r>
          <w:rPr>
            <w:rStyle w:val="Hyperlink"/>
          </w:rPr>
          <w:t xml:space="preserve">[7]</w:t>
        </w:r>
      </w:hyperlink>
      <w:r>
        <w:t xml:space="preserve">. A rival reading is that the venue coding is confounded with the citation field, since AMOS records report zero citations by construction and citation attention enters the same regression</w:t>
      </w:r>
      <w:r>
        <w:t xml:space="preserve"> </w:t>
      </w:r>
      <w:hyperlink w:anchor="ref-8">
        <w:r>
          <w:rPr>
            <w:rStyle w:val="Hyperlink"/>
          </w:rPr>
          <w:t xml:space="preserve">[8]</w:t>
        </w:r>
      </w:hyperlink>
      <w:r>
        <w:t xml:space="preserve">. The regression addresses this by estimating venue net of citation, so the -1.3622 coefficient is the venue association holding citation fixed, but the two variables are not fully independent in this corpus, and a reader should treat the venue effect as robust in sign while acknowledging that its precise magnitude is entangled with the citation distribution. Naming that entanglement is more honest than presenting the coefficient as a clean venue contrast. Now take Paper 2’s null. The preferred reading is that a fast-moving literature makes attention orthogonal to age</w:t>
      </w:r>
      <w:r>
        <w:t xml:space="preserve"> </w:t>
      </w:r>
      <w:hyperlink w:anchor="ref-8">
        <w:r>
          <w:rPr>
            <w:rStyle w:val="Hyperlink"/>
          </w:rPr>
          <w:t xml:space="preserve">[8]</w:t>
        </w:r>
      </w:hyperlink>
      <w:r>
        <w:t xml:space="preserve"> </w:t>
      </w:r>
      <w:hyperlink w:anchor="ref-14">
        <w:r>
          <w:rPr>
            <w:rStyle w:val="Hyperlink"/>
          </w:rPr>
          <w:t xml:space="preserve">[14]</w:t>
        </w:r>
      </w:hyperlink>
      <w:r>
        <w:t xml:space="preserve">. A rival reading is that the null is a small-sample artifact, driven by a single high-citation record whose age happens to sit in the middle of the range, so that no monotone age relation can emerge. Both readings are consistent with an elasticity of -0.01589 and a p-value of 0.9663, and the manuscript cannot fully distinguish them on thirty records. What it can say is that under either reading the practical instruction is the same: do not use age as a maturity proxy in this corpus</w:t>
      </w:r>
      <w:r>
        <w:t xml:space="preserve"> </w:t>
      </w:r>
      <w:hyperlink w:anchor="ref-8">
        <w:r>
          <w:rPr>
            <w:rStyle w:val="Hyperlink"/>
          </w:rPr>
          <w:t xml:space="preserve">[8]</w:t>
        </w:r>
      </w:hyperlink>
      <w:r>
        <w:t xml:space="preserve">. When two rival interpretations converge on the same methodological advice, the advice is safe even where the interpretation is not settled, and the discussion rests on that convergence rather than overclaiming a single mechanism for the null.</w:t>
      </w:r>
    </w:p>
    <w:bookmarkEnd w:id="139"/>
    <w:bookmarkStart w:id="140" w:name="b-the-direction-of-every-major-bias"/>
    <w:p>
      <w:pPr>
        <w:pStyle w:val="Heading2"/>
        <w:spacing w:line="480" w:lineRule="auto"/>
      </w:pPr>
      <w:r>
        <w:t xml:space="preserve">7.6b The direction of every major bias</w:t>
      </w:r>
    </w:p>
    <w:p>
      <w:pPr>
        <w:pStyle w:val="FirstParagraph"/>
        <w:spacing w:line="480" w:lineRule="auto"/>
      </w:pPr>
      <w:r>
        <w:t xml:space="preserve">A useful way to summarize the threats is to ask which way each pushes the eventual estimate, because the direction of a bias determines how a result should be read. Selection on observability biases toward zero, since informal leverage that leaves no trace undercounts alignment and makes any positive coefficient conservative</w:t>
      </w:r>
      <w:r>
        <w:t xml:space="preserve"> </w:t>
      </w:r>
      <w:hyperlink w:anchor="ref-6">
        <w:r>
          <w:rPr>
            <w:rStyle w:val="Hyperlink"/>
          </w:rPr>
          <w:t xml:space="preserve">[6]</w:t>
        </w:r>
      </w:hyperlink>
      <w:r>
        <w:t xml:space="preserve">. Reverse causality could bias in either direction, since alignment attracting access would inflate a positive estimate while access preceding alignment for unrelated reasons would muddy it, which is why temporal ordering and the process trace matter most against this threat</w:t>
      </w:r>
      <w:r>
        <w:t xml:space="preserve"> </w:t>
      </w:r>
      <w:hyperlink w:anchor="ref-8">
        <w:r>
          <w:rPr>
            <w:rStyle w:val="Hyperlink"/>
          </w:rPr>
          <w:t xml:space="preserve">[8]</w:t>
        </w:r>
      </w:hyperlink>
      <w:r>
        <w:t xml:space="preserve">. Confounding by a shifting alliance biases toward a false positive, since an alliance that co-moves with exposure would load onto the exposure coefficient, which is why case selection avoids such episodes. Coarse construct measurement biases toward overstatement, since a broad category could attribute leverage to dependence that is not strategic, which triangulation against firm disclosures is meant to bound</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Laying the directions side by side yields a practical reading rule for the eventual result. A positive coefficient that survives the false-positive threats, alliance co-movement and coarse categories, is credible precisely because the remaining major bias, unobserved informal leverage, runs the other way and would only have weakened it</w:t>
      </w:r>
      <w:r>
        <w:t xml:space="preserve"> </w:t>
      </w:r>
      <w:hyperlink w:anchor="ref-8">
        <w:r>
          <w:rPr>
            <w:rStyle w:val="Hyperlink"/>
          </w:rPr>
          <w:t xml:space="preserve">[8]</w:t>
        </w:r>
      </w:hyperlink>
      <w:r>
        <w:t xml:space="preserve">. A non-positive coefficient, by contrast, is hard to explain away as bias, since the biases that could hide a real effect are the ones the design most directly controls. Knowing the sign of each threat in advance is what lets the manuscript commit now to how it will interpret either outcome, rather than constructing a favorable reading after the fact</w:t>
      </w:r>
      <w:r>
        <w:t xml:space="preserve"> </w:t>
      </w:r>
      <w:hyperlink w:anchor="ref-6">
        <w:r>
          <w:rPr>
            <w:rStyle w:val="Hyperlink"/>
          </w:rPr>
          <w:t xml:space="preserve">[6]</w:t>
        </w:r>
      </w:hyperlink>
      <w:r>
        <w:t xml:space="preserve">.</w:t>
      </w:r>
    </w:p>
    <w:bookmarkEnd w:id="140"/>
    <w:bookmarkStart w:id="141" w:name="X98ee5fd437137493ec3b71364947ff39dcc3e1e"/>
    <w:p>
      <w:pPr>
        <w:pStyle w:val="Heading2"/>
        <w:spacing w:line="480" w:lineRule="auto"/>
      </w:pPr>
      <w:r>
        <w:t xml:space="preserve">7.7 External validity of the source-audit findings</w:t>
      </w:r>
    </w:p>
    <w:p>
      <w:pPr>
        <w:pStyle w:val="FirstParagraph"/>
        <w:spacing w:line="480" w:lineRule="auto"/>
      </w:pPr>
      <w:r>
        <w:t xml:space="preserve">A fair question is how far the two audit results travel beyond the thirty records that produced them. The honest answer is: not very far as point estimates, but usefully far as cautions. The specific coefficients, a venue effect of -1.3622 and a citation effect of 0.02321, are properties of this retrieval and this index, and there is no claim that another corpus would reproduce them numerically</w:t>
      </w:r>
      <w:r>
        <w:t xml:space="preserve"> </w:t>
      </w:r>
      <w:hyperlink w:anchor="ref-1">
        <w:r>
          <w:rPr>
            <w:rStyle w:val="Hyperlink"/>
          </w:rPr>
          <w:t xml:space="preserve">[1]</w:t>
        </w:r>
      </w:hyperlink>
      <w:r>
        <w:t xml:space="preserve"> </w:t>
      </w:r>
      <w:hyperlink w:anchor="ref-8">
        <w:r>
          <w:rPr>
            <w:rStyle w:val="Hyperlink"/>
          </w:rPr>
          <w:t xml:space="preserve">[8]</w:t>
        </w:r>
      </w:hyperlink>
      <w:r>
        <w:t xml:space="preserve">. What plausibly generalizes is the qualitative lesson. Any retrieval-based corpus assembled for a niche cross-disciplinary topic is likely to be sorted by attention and venue in ways an analyst does not choose, and is unlikely to be sorted cleanly by age. A researcher building a literature base for a similar space-governance question would be well served by checking those two things before trusting the base, which is the transferable content of the audits</w:t>
      </w:r>
      <w:r>
        <w:t xml:space="preserve"> </w:t>
      </w:r>
      <w:hyperlink w:anchor="ref-14">
        <w:r>
          <w:rPr>
            <w:rStyle w:val="Hyperlink"/>
          </w:rPr>
          <w:t xml:space="preserve">[14]</w:t>
        </w:r>
      </w:hyperlink>
      <w:r>
        <w:t xml:space="preserve">. The learning-curve null carries a parallel external lesson. Fields moving quickly, where recent work becomes salient before it accumulates citations, will tend to show flat age-attention slopes, so age is a poor maturity proxy in exactly the fast-moving areas where governance questions are most live</w:t>
      </w:r>
      <w:r>
        <w:t xml:space="preserve"> </w:t>
      </w:r>
      <w:hyperlink w:anchor="ref-8">
        <w:r>
          <w:rPr>
            <w:rStyle w:val="Hyperlink"/>
          </w:rPr>
          <w:t xml:space="preserve">[8]</w:t>
        </w:r>
      </w:hyperlink>
      <w:r>
        <w:t xml:space="preserve">. That is a general property of young, active literatures, and it cautions against a habit common in more settled fields, where age and foundational status often do correlate. The audit does not prove this for all literatures. It demonstrates it for one, and flags the mechanism that would produce it elsewhere.</w:t>
      </w:r>
    </w:p>
    <w:bookmarkEnd w:id="141"/>
    <w:bookmarkStart w:id="142" w:name="Xc8e2574a4838567684b3dcf2913c2e04ea9e643"/>
    <w:p>
      <w:pPr>
        <w:pStyle w:val="Heading2"/>
        <w:spacing w:line="480" w:lineRule="auto"/>
      </w:pPr>
      <w:r>
        <w:t xml:space="preserve">7.7a What a supportive result would and would not license</w:t>
      </w:r>
    </w:p>
    <w:p>
      <w:pPr>
        <w:pStyle w:val="FirstParagraph"/>
        <w:spacing w:line="480" w:lineRule="auto"/>
      </w:pPr>
      <w:r>
        <w:t xml:space="preserve">Suppose the eventual causal test returns a positive coefficient on lagged exposure, robust across alternative alignment codings and consistent with the process trace. It is worth saying now, in the discussion of limits, what such a result would and would not license, because the temptation to overread a confirmation is as strong as the temptation to bury a null</w:t>
      </w:r>
      <w:r>
        <w:t xml:space="preserve"> </w:t>
      </w:r>
      <w:hyperlink w:anchor="ref-6">
        <w:r>
          <w:rPr>
            <w:rStyle w:val="Hyperlink"/>
          </w:rPr>
          <w:t xml:space="preserve">[6]</w:t>
        </w:r>
      </w:hyperlink>
      <w:r>
        <w:t xml:space="preserve"> </w:t>
      </w:r>
      <w:hyperlink w:anchor="ref-8">
        <w:r>
          <w:rPr>
            <w:rStyle w:val="Hyperlink"/>
          </w:rPr>
          <w:t xml:space="preserve">[8]</w:t>
        </w:r>
      </w:hyperlink>
      <w:r>
        <w:t xml:space="preserve">. A supportive result would license the claim that, within the sampled actors and period, higher chokepoint exposure is associated with subsequent movement toward the controller’s preferred governance position, net of alliance, market access, and common trend. That is a real and useful claim. It would not license several tempting extensions. It would not establish that the controller consciously weaponized the dependency, since the mechanism runs through anticipation and needs no intent</w:t>
      </w:r>
      <w:r>
        <w:t xml:space="preserve"> </w:t>
      </w:r>
      <w:hyperlink w:anchor="ref-1">
        <w:r>
          <w:rPr>
            <w:rStyle w:val="Hyperlink"/>
          </w:rPr>
          <w:t xml:space="preserve">[1]</w:t>
        </w:r>
      </w:hyperlink>
      <w:r>
        <w:t xml:space="preserve">. It would not establish that leverage operates identically outside the sampled actors or into future periods, since external validity is not bought by internal identification. And it would not convert correlation-plus-sequence into experimental proof, since observational governance data cannot randomize exposure</w:t>
      </w:r>
      <w:r>
        <w:t xml:space="preserve"> </w:t>
      </w:r>
      <w:hyperlink w:anchor="ref-8">
        <w:r>
          <w:rPr>
            <w:rStyle w:val="Hyperlink"/>
          </w:rPr>
          <w:t xml:space="preserve">[8]</w:t>
        </w:r>
      </w:hyperlink>
      <w:r>
        <w:t xml:space="preserve">. Marking these boundaries in advance is a safeguard: it commits the manuscript to reporting a confirmation as the bounded, conditional finding it would be, rather than as a general vindication of the weaponized-interdependence frame in space. A discussion that pre-commits to the modest reading of its own best case is better protected against the drift from evidence to advocacy</w:t>
      </w:r>
      <w:r>
        <w:t xml:space="preserve"> </w:t>
      </w:r>
      <w:hyperlink w:anchor="ref-6">
        <w:r>
          <w:rPr>
            <w:rStyle w:val="Hyperlink"/>
          </w:rPr>
          <w:t xml:space="preserve">[6]</w:t>
        </w:r>
      </w:hyperlink>
      <w:r>
        <w:t xml:space="preserve">.</w:t>
      </w:r>
    </w:p>
    <w:bookmarkEnd w:id="142"/>
    <w:bookmarkStart w:id="143" w:name="X32c634253863ee2ac0dfada24821097045049de"/>
    <w:p>
      <w:pPr>
        <w:pStyle w:val="Heading2"/>
        <w:spacing w:line="480" w:lineRule="auto"/>
      </w:pPr>
      <w:r>
        <w:t xml:space="preserve">7.8 The gap between surface salience and deep importance</w:t>
      </w:r>
    </w:p>
    <w:p>
      <w:pPr>
        <w:pStyle w:val="FirstParagraph"/>
        <w:spacing w:line="480" w:lineRule="auto"/>
      </w:pPr>
      <w:r>
        <w:t xml:space="preserve">Chapter 5 flagged that the signal score measures surface topical match rather than conceptual centrality, and the discussion must take that gap seriously rather than wave at it. A record can score nine on signal because its title and keywords are saturated with candidate-theme vocabulary while contributing little argument, and another can score low while offering a conceptually pivotal insight buried in unmatched language</w:t>
      </w:r>
      <w:r>
        <w:t xml:space="preserve"> </w:t>
      </w:r>
      <w:hyperlink w:anchor="ref-1">
        <w:r>
          <w:rPr>
            <w:rStyle w:val="Hyperlink"/>
          </w:rPr>
          <w:t xml:space="preserve">[1]</w:t>
        </w:r>
      </w:hyperlink>
      <w:r>
        <w:t xml:space="preserve"> </w:t>
      </w:r>
      <w:hyperlink w:anchor="ref-8">
        <w:r>
          <w:rPr>
            <w:rStyle w:val="Hyperlink"/>
          </w:rPr>
          <w:t xml:space="preserve">[8]</w:t>
        </w:r>
      </w:hyperlink>
      <w:r>
        <w:t xml:space="preserve">. Paper 1’s coefficients therefore describe how vocabulary-level salience is distributed, and the leap from salience to importance is one the audit deliberately does not make. This matters because a careless reader could take the venue result as evidence that AMOS work is more important than journal work, which it does not show. It shows that AMOS work in this pipeline is more topically salient in retrieval text, holding citation attention fixed</w:t>
      </w:r>
      <w:r>
        <w:t xml:space="preserve"> </w:t>
      </w:r>
      <w:hyperlink w:anchor="ref-7">
        <w:r>
          <w:rPr>
            <w:rStyle w:val="Hyperlink"/>
          </w:rPr>
          <w:t xml:space="preserve">[7]</w:t>
        </w:r>
      </w:hyperlink>
      <w:r>
        <w:t xml:space="preserve"> </w:t>
      </w:r>
      <w:hyperlink w:anchor="ref-14">
        <w:r>
          <w:rPr>
            <w:rStyle w:val="Hyperlink"/>
          </w:rPr>
          <w:t xml:space="preserve">[14]</w:t>
        </w:r>
      </w:hyperlink>
      <w:r>
        <w:t xml:space="preserve">. The safeguard against overreading is to use the audit for what it is: a warning about the shape of the evidence base, not a ranking of the evidence. The dissertation reads widely across both venue families and weights by argument on close reading, using the audit only to ensure it does not let an unnoticed sorting bias its selection</w:t>
      </w:r>
      <w:r>
        <w:t xml:space="preserve"> </w:t>
      </w:r>
      <w:hyperlink w:anchor="ref-1">
        <w:r>
          <w:rPr>
            <w:rStyle w:val="Hyperlink"/>
          </w:rPr>
          <w:t xml:space="preserve">[1]</w:t>
        </w:r>
      </w:hyperlink>
      <w:r>
        <w:t xml:space="preserve">. That is the correct use of a salience diagnostic, and stating the surface-versus-depth gap plainly is what keeps the use correct.</w:t>
      </w:r>
    </w:p>
    <w:p>
      <w:pPr>
        <w:pStyle w:val="BodyText"/>
        <w:spacing w:line="480" w:lineRule="auto"/>
        <w:ind w:firstLine="720"/>
      </w:pPr>
      <w:r>
        <w:t xml:space="preserve">One further limitation of the completed work deserves a line, because it is easy to forget under the weight of the coefficients. The two audits share a single corpus of thirty records, so they are not independent checks on one another; a peculiarity of that retrieval would show up in both</w:t>
      </w:r>
      <w:r>
        <w:t xml:space="preserve"> </w:t>
      </w:r>
      <w:hyperlink w:anchor="ref-8">
        <w:r>
          <w:rPr>
            <w:rStyle w:val="Hyperlink"/>
          </w:rPr>
          <w:t xml:space="preserve">[8]</w:t>
        </w:r>
      </w:hyperlink>
      <w:r>
        <w:t xml:space="preserve"> </w:t>
      </w:r>
      <w:hyperlink w:anchor="ref-14">
        <w:r>
          <w:rPr>
            <w:rStyle w:val="Hyperlink"/>
          </w:rPr>
          <w:t xml:space="preserve">[14]</w:t>
        </w:r>
      </w:hyperlink>
      <w:r>
        <w:t xml:space="preserve">. The significant sorting result and the null age result therefore describe the same evidence environment from two angles rather than corroborating each other across environments. That shared foundation is acceptable for a diagnostic purpose, but it means the audits’ reach is bounded by the one retrieval that produced them, and the dissertation does not present them as anything wider than a characterization of the source base it actually assembled</w:t>
      </w:r>
      <w:r>
        <w:t xml:space="preserve"> </w:t>
      </w:r>
      <w:hyperlink w:anchor="ref-1">
        <w:r>
          <w:rPr>
            <w:rStyle w:val="Hyperlink"/>
          </w:rPr>
          <w:t xml:space="preserve">[1]</w:t>
        </w:r>
      </w:hyperlink>
      <w:r>
        <w:t xml:space="preserve">.</w:t>
      </w:r>
    </w:p>
    <w:p>
      <w:pPr>
        <w:pStyle w:val="BodyText"/>
        <w:spacing w:line="480" w:lineRule="auto"/>
        <w:ind w:firstLine="720"/>
      </w:pPr>
      <w:r>
        <w:t xml:space="preserve">The limits do not empty the project of meaning, and it is worth ending the discussion on what survives them. The source audits already yield a transferable methodological result: in this literature, attention and venue structure the evidence while age does not, so curation must be deliberate</w:t>
      </w:r>
      <w:r>
        <w:t xml:space="preserve"> </w:t>
      </w:r>
      <w:hyperlink w:anchor="ref-8">
        <w:r>
          <w:rPr>
            <w:rStyle w:val="Hyperlink"/>
          </w:rPr>
          <w:t xml:space="preserve">[8]</w:t>
        </w:r>
      </w:hyperlink>
      <w:r>
        <w:t xml:space="preserve"> </w:t>
      </w:r>
      <w:hyperlink w:anchor="ref-14">
        <w:r>
          <w:rPr>
            <w:rStyle w:val="Hyperlink"/>
          </w:rPr>
          <w:t xml:space="preserve">[14]</w:t>
        </w:r>
      </w:hyperlink>
      <w:r>
        <w:t xml:space="preserve">. The planned design, even before it is executed, sharpens a diffuse policy intuition into a single falsifiable proposition, which is itself a contribution, because it tells program planners and governance analysts exactly what evidence would confirm or deny the fear that industrial dependence shapes rule-making. If the eventual coefficient on lagged exposure is non-positive once the rivals are bounded, the weaponized-interdependence mechanism is not supported in the space domain, and that negative result would redirect scarce diversification effort as usefully as a positive one would justify it</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value of the design is that it makes either outcome informative, which is the most a limited but honest inquiry can promise.</w:t>
      </w:r>
    </w:p>
    <w:bookmarkEnd w:id="143"/>
    <w:bookmarkEnd w:id="144"/>
    <w:bookmarkStart w:id="202" w:name="chapter-8.-conclusions-and-implications"/>
    <w:p>
      <w:pPr>
        <w:pStyle w:val="Heading1"/>
        <w:spacing w:line="480" w:lineRule="auto"/>
      </w:pPr>
      <w:r>
        <w:t xml:space="preserve">Chapter 8. Conclusions and Implications</w:t>
      </w:r>
    </w:p>
    <w:p>
      <w:pPr>
        <w:pStyle w:val="FirstParagraph"/>
        <w:spacing w:line="480" w:lineRule="auto"/>
      </w:pPr>
      <w:r>
        <w:t xml:space="preserve">The dissertation set out to ask one thing. Does chokepoint control buy governance leverage? Put formally, whether control over chokepoint nodes in the space launch and component supply chain translates into measurable governance leverage. This closing chapter states what the completed work contributes, what it does not yet resolve, why the question matters for governance and for programs, and what would have to be built next to answer it. The honest summary is that the project has disciplined its foundations and sharpened its central proposition, and has not yet tested that proposition. Both of those are worth having, and distinguishing them is the point.</w:t>
      </w:r>
    </w:p>
    <w:bookmarkStart w:id="145" w:name="the-contribution-stated-exactly"/>
    <w:p>
      <w:pPr>
        <w:pStyle w:val="Heading2"/>
        <w:spacing w:line="480" w:lineRule="auto"/>
      </w:pPr>
      <w:r>
        <w:t xml:space="preserve">8.1 The contribution, stated exactly</w:t>
      </w:r>
    </w:p>
    <w:p>
      <w:pPr>
        <w:pStyle w:val="FirstParagraph"/>
        <w:spacing w:line="480" w:lineRule="auto"/>
      </w:pPr>
      <w:r>
        <w:t xml:space="preserve">The contribution reduces to one proposition. It is a single falsifiable claim paired with a design capable of failing it. Weaponized interdependence has been applied broadly and invoked loosely in the space domain, and the dissertation narrows it to one testable claim: that after conditioning on baseline alignment, market size, and time, higher lagged chokepoint exposure predicts a subsequent increase in governance alignment with the controlling actor</w:t>
      </w:r>
      <w:r>
        <w:t xml:space="preserve"> </w:t>
      </w:r>
      <w:hyperlink w:anchor="ref-1">
        <w:r>
          <w:rPr>
            <w:rStyle w:val="Hyperlink"/>
          </w:rPr>
          <w:t xml:space="preserve">[1]</w:t>
        </w:r>
      </w:hyperlink>
      <w:r>
        <w:t xml:space="preserve"> </w:t>
      </w:r>
      <w:hyperlink w:anchor="ref-8">
        <w:r>
          <w:rPr>
            <w:rStyle w:val="Hyperlink"/>
          </w:rPr>
          <w:t xml:space="preserve">[8]</w:t>
        </w:r>
      </w:hyperlink>
      <w:r>
        <w:t xml:space="preserve">. That move, from industrial topology to a signed coefficient, is the core step. It converts an intuition that industrial structure shapes rule-making into a proposition that open data could reject. The completed empirical contribution is narrower and real. Two source-audit papers establish, on a source-traced thirty-record corpus, that the evidence environment is structured by citation attention and venue family and is not structured by article age</w:t>
      </w:r>
      <w:r>
        <w:t xml:space="preserve"> </w:t>
      </w:r>
      <w:hyperlink w:anchor="ref-1">
        <w:r>
          <w:rPr>
            <w:rStyle w:val="Hyperlink"/>
          </w:rPr>
          <w:t xml:space="preserve">[1]</w:t>
        </w:r>
      </w:hyperlink>
      <w:r>
        <w:t xml:space="preserve"> </w:t>
      </w:r>
      <w:hyperlink w:anchor="ref-8">
        <w:r>
          <w:rPr>
            <w:rStyle w:val="Hyperlink"/>
          </w:rPr>
          <w:t xml:space="preserve">[8]</w:t>
        </w:r>
      </w:hyperlink>
      <w:r>
        <w:t xml:space="preserve"> </w:t>
      </w:r>
      <w:hyperlink w:anchor="ref-14">
        <w:r>
          <w:rPr>
            <w:rStyle w:val="Hyperlink"/>
          </w:rPr>
          <w:t xml:space="preserve">[14]</w:t>
        </w:r>
      </w:hyperlink>
      <w:r>
        <w:t xml:space="preserve">. Paper 1 delivered a significant overall fit, an R² of 0.3313 at an F-test p-value of 0.000037, with a strong positive citation coefficient of 0.02321 and a significant negative venue coefficient of -1.3622. Paper 2 delivered a near-zero age elasticity of -0.01589 with a p-value of 0.9663 and an R² of 0.00005. These are not tests of the leverage mechanism. They are disciplined findings about how the dissertation’s own sources are organized, and they change how the later design must read its literature.</w:t>
      </w:r>
    </w:p>
    <w:bookmarkEnd w:id="145"/>
    <w:bookmarkStart w:id="146" w:name="why-the-source-discipline-matters"/>
    <w:p>
      <w:pPr>
        <w:pStyle w:val="Heading2"/>
        <w:spacing w:line="480" w:lineRule="auto"/>
      </w:pPr>
      <w:r>
        <w:t xml:space="preserve">8.2 Why the source discipline matters</w:t>
      </w:r>
    </w:p>
    <w:p>
      <w:pPr>
        <w:pStyle w:val="FirstParagraph"/>
        <w:spacing w:line="480" w:lineRule="auto"/>
      </w:pPr>
      <w:r>
        <w:t xml:space="preserve">It would be easy to treat the two audits as throat-clearing before the real work.</w:t>
      </w:r>
    </w:p>
    <w:p>
      <w:pPr>
        <w:pStyle w:val="BodyText"/>
        <w:spacing w:line="480" w:lineRule="auto"/>
        <w:ind w:firstLine="720"/>
      </w:pPr>
      <w:r>
        <w:t xml:space="preserve">That underrates them. A causal design about hidden structure in supply chains is only as good as its understanding of the evidence it stands on, and the audits show that this evidence is sorted in ways that are not obvious from a casual reading</w:t>
      </w:r>
      <w:r>
        <w:t xml:space="preserve"> </w:t>
      </w:r>
      <w:hyperlink w:anchor="ref-8">
        <w:r>
          <w:rPr>
            <w:rStyle w:val="Hyperlink"/>
          </w:rPr>
          <w:t xml:space="preserve">[8]</w:t>
        </w:r>
      </w:hyperlink>
      <w:r>
        <w:t xml:space="preserve"> </w:t>
      </w:r>
      <w:hyperlink w:anchor="ref-14">
        <w:r>
          <w:rPr>
            <w:rStyle w:val="Hyperlink"/>
          </w:rPr>
          <w:t xml:space="preserve">[14]</w:t>
        </w:r>
      </w:hyperlink>
      <w:r>
        <w:t xml:space="preserve">. Citation attention and venue family carry the topic signal; age does not. A dissertation that had assumed the opposite, weighting older or higher-venue sources as automatically foundational, would have built its narrative on a mis-weighted base. The audits prevent that specific error, and they model the more general habit the whole project depends on: examine your instruments before you trust their readings</w:t>
      </w:r>
      <w:r>
        <w:t xml:space="preserve"> </w:t>
      </w:r>
      <w:hyperlink w:anchor="ref-1">
        <w:r>
          <w:rPr>
            <w:rStyle w:val="Hyperlink"/>
          </w:rPr>
          <w:t xml:space="preserve">[1]</w:t>
        </w:r>
      </w:hyperlink>
      <w:r>
        <w:t xml:space="preserve">.</w:t>
      </w:r>
    </w:p>
    <w:bookmarkEnd w:id="146"/>
    <w:bookmarkStart w:id="147" w:name="governance-relevance"/>
    <w:p>
      <w:pPr>
        <w:pStyle w:val="Heading2"/>
        <w:spacing w:line="480" w:lineRule="auto"/>
      </w:pPr>
      <w:r>
        <w:t xml:space="preserve">8.3 Governance relevance</w:t>
      </w:r>
    </w:p>
    <w:p>
      <w:pPr>
        <w:pStyle w:val="FirstParagraph"/>
        <w:spacing w:line="480" w:lineRule="auto"/>
      </w:pPr>
      <w:r>
        <w:t xml:space="preserve">The governance stakes are concrete, and they hold whichever way the eventual test comes out.</w:t>
      </w:r>
    </w:p>
    <w:p>
      <w:pPr>
        <w:pStyle w:val="BodyText"/>
        <w:spacing w:line="480" w:lineRule="auto"/>
        <w:ind w:firstLine="720"/>
      </w:pPr>
      <w:r>
        <w:t xml:space="preserve">If chokepoint control does convert to leverage, then some multilateral alignments in venues such as COPUOS and ITU coordination are shaped upstream by industrial structure rather than downstream by persuasion, and governance analysts should read those venues with the supply map in hand</w:t>
      </w:r>
      <w:r>
        <w:t xml:space="preserve"> </w:t>
      </w:r>
      <w:hyperlink w:anchor="ref-1">
        <w:r>
          <w:rPr>
            <w:rStyle w:val="Hyperlink"/>
          </w:rPr>
          <w:t xml:space="preserve">[1]</w:t>
        </w:r>
      </w:hyperlink>
      <w:r>
        <w:t xml:space="preserve"> </w:t>
      </w:r>
      <w:hyperlink w:anchor="ref-6">
        <w:r>
          <w:rPr>
            <w:rStyle w:val="Hyperlink"/>
          </w:rPr>
          <w:t xml:space="preserve">[6]</w:t>
        </w:r>
      </w:hyperlink>
      <w:r>
        <w:t xml:space="preserve">. Rule-making that assumes a level field of independent actors would be misreading a field that was tilted before anyone spoke. Coordination and trust, which the operational literature treats as constructed goods, would themselves be conditioned by who controls the launch slot and the component</w:t>
      </w:r>
      <w:r>
        <w:t xml:space="preserve"> </w:t>
      </w:r>
      <w:hyperlink w:anchor="ref-1">
        <w:r>
          <w:rPr>
            <w:rStyle w:val="Hyperlink"/>
          </w:rPr>
          <w:t xml:space="preserve">[1]</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 If, instead, the test returns a non-positive coefficient once the rivals are bounded, that too is governance-relevant. It would mean the fear that industrial dependence buys political alignment is overpriced in the space domain, and that governance outcomes are better explained by alliance, market access, and affinity than by chokepoint structure. Either result informs how much weight multilateral processes should place on the industrial substrate. A design that makes both outcomes informative is doing governance-relevant work regardless of the sign it eventually recovers</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47"/>
    <w:bookmarkStart w:id="148" w:name="program-relevance"/>
    <w:p>
      <w:pPr>
        <w:pStyle w:val="Heading2"/>
        <w:spacing w:line="480" w:lineRule="auto"/>
      </w:pPr>
      <w:r>
        <w:t xml:space="preserve">8.4 Program relevance</w:t>
      </w:r>
    </w:p>
    <w:p>
      <w:pPr>
        <w:pStyle w:val="FirstParagraph"/>
        <w:spacing w:line="480" w:lineRule="auto"/>
      </w:pPr>
      <w:r>
        <w:t xml:space="preserve">For program planners the relevance is sharper still, because they allocate real resources against the answer. Assured access, second-source qualification, and component diversification are expensive, and they are justified on the premise that dependence carries strategic cost beyond price and schedule</w:t>
      </w:r>
      <w:r>
        <w:t xml:space="preserve"> </w:t>
      </w:r>
      <w:hyperlink w:anchor="ref-8">
        <w:r>
          <w:rPr>
            <w:rStyle w:val="Hyperlink"/>
          </w:rPr>
          <w:t xml:space="preserve">[8]</w:t>
        </w:r>
      </w:hyperlink>
      <w:r>
        <w:t xml:space="preserve"> </w:t>
      </w:r>
      <w:hyperlink w:anchor="ref-13">
        <w:r>
          <w:rPr>
            <w:rStyle w:val="Hyperlink"/>
          </w:rPr>
          <w:t xml:space="preserve">[13]</w:t>
        </w:r>
      </w:hyperlink>
      <w:r>
        <w:t xml:space="preserve">. If higher exposure predicts governance alignment, diversification is not merely an efficiency hedge; it is a sovereignty investment, and under-investing in it cedes rule-shaping ground. The industrialization pathways the literature documents, additive manufacturing, in-orbit assembly, commercial stations, factory-in-space, each create new dependencies that a program would then need to weigh in exactly these terms</w:t>
      </w:r>
      <w:r>
        <w:t xml:space="preserve"> </w:t>
      </w:r>
      <w:hyperlink w:anchor="ref-9">
        <w:r>
          <w:rPr>
            <w:rStyle w:val="Hyperlink"/>
          </w:rPr>
          <w:t xml:space="preserve">[9]</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If exposure does not predict alignment, the program calculus shifts toward cost and resilience on their own merits, without the sovereignty premium, and resources spent on redundant capacity to avoid a leverage that does not materialize could be redirected. The dissertation’s value to a program office is that it would replace a diffuse anxiety about dependence with a signed, bounded estimate against which diversification spending could be sized.</w:t>
      </w:r>
    </w:p>
    <w:bookmarkEnd w:id="148"/>
    <w:bookmarkStart w:id="149" w:name="future-work"/>
    <w:p>
      <w:pPr>
        <w:pStyle w:val="Heading2"/>
        <w:spacing w:line="480" w:lineRule="auto"/>
      </w:pPr>
      <w:r>
        <w:t xml:space="preserve">8.5 Future work</w:t>
      </w:r>
    </w:p>
    <w:p>
      <w:pPr>
        <w:pStyle w:val="FirstParagraph"/>
        <w:spacing w:line="480" w:lineRule="auto"/>
      </w:pPr>
      <w:r>
        <w:t xml:space="preserve">The path from here is clear and demanding. The immediate next step is to assemble the five planned data layers: trade and component dependence from UN Comtrade, launch-capacity concentration from public manifests, corporate and supplier disclosures from filings, governance-outcome coding from licensing and multilateral records, and the existing literature corpus</w:t>
      </w:r>
      <w:r>
        <w:t xml:space="preserve"> </w:t>
      </w:r>
      <w:hyperlink w:anchor="ref-8">
        <w:r>
          <w:rPr>
            <w:rStyle w:val="Hyperlink"/>
          </w:rPr>
          <w:t xml:space="preserve">[8]</w:t>
        </w:r>
      </w:hyperlink>
      <w:r>
        <w:t xml:space="preserve"> </w:t>
      </w:r>
      <w:hyperlink w:anchor="ref-13">
        <w:r>
          <w:rPr>
            <w:rStyle w:val="Hyperlink"/>
          </w:rPr>
          <w:t xml:space="preserve">[13]</w:t>
        </w:r>
      </w:hyperlink>
      <w:r>
        <w:t xml:space="preserve">. With those in place, the fixed-effects panel of lagged exposure on alignment can be estimated, and the coefficient that tests H1 can finally be reported rather than described. Three extensions would strengthen that test. First, the qualitative process trace of a denial or export-control episode should be executed alongside the panel, so the mechanism is checked in sequence and not only in correlation</w:t>
      </w:r>
      <w:r>
        <w:t xml:space="preserve"> </w:t>
      </w:r>
      <w:hyperlink w:anchor="ref-8">
        <w:r>
          <w:rPr>
            <w:rStyle w:val="Hyperlink"/>
          </w:rPr>
          <w:t xml:space="preserve">[8]</w:t>
        </w:r>
      </w:hyperlink>
      <w:r>
        <w:t xml:space="preserve">. Second, the alternative alignment codings, licensing asymmetry, public positioning, and multilateral posture, should be estimated separately, so the result does not hinge on one coding choice</w:t>
      </w:r>
      <w:r>
        <w:t xml:space="preserve"> </w:t>
      </w:r>
      <w:hyperlink w:anchor="ref-1">
        <w:r>
          <w:rPr>
            <w:rStyle w:val="Hyperlink"/>
          </w:rPr>
          <w:t xml:space="preserve">[1]</w:t>
        </w:r>
      </w:hyperlink>
      <w:r>
        <w:t xml:space="preserve"> </w:t>
      </w:r>
      <w:hyperlink w:anchor="ref-6">
        <w:r>
          <w:rPr>
            <w:rStyle w:val="Hyperlink"/>
          </w:rPr>
          <w:t xml:space="preserve">[6]</w:t>
        </w:r>
      </w:hyperlink>
      <w:r>
        <w:t xml:space="preserve">. Third, placebo periods before plausible chokepoint formation should be tested, since a real mechanism should be absent where the chokepoint did not yet exist. Each extension adds a way for the finding to fail, which is what makes a confirmed finding worth believing.</w:t>
      </w:r>
    </w:p>
    <w:bookmarkEnd w:id="149"/>
    <w:bookmarkStart w:id="150" w:name="closing"/>
    <w:p>
      <w:pPr>
        <w:pStyle w:val="Heading2"/>
        <w:spacing w:line="480" w:lineRule="auto"/>
      </w:pPr>
      <w:r>
        <w:t xml:space="preserve">8.6 Closing</w:t>
      </w:r>
    </w:p>
    <w:bookmarkEnd w:id="150"/>
    <w:bookmarkStart w:id="151" w:name="Xcfcbe69caf59c199844cc07ba60c708bba839c8"/>
    <w:p>
      <w:pPr>
        <w:pStyle w:val="Heading2"/>
        <w:spacing w:line="480" w:lineRule="auto"/>
      </w:pPr>
      <w:r>
        <w:t xml:space="preserve">8.5a Restating the single claim one last time</w:t>
      </w:r>
    </w:p>
    <w:p>
      <w:pPr>
        <w:pStyle w:val="FirstParagraph"/>
        <w:spacing w:line="480" w:lineRule="auto"/>
      </w:pPr>
      <w:r>
        <w:t xml:space="preserve">Before drawing the broader lessons, it is worth restating the one claim the whole apparatus exists to test, because clarity about it is the dissertation’s chief asset. After conditioning on baseline strategic alignment, market size, and time effects, does higher lagged chokepoint exposure predict a subsequent increase in governance alignment with the controlling actor</w:t>
      </w:r>
      <w:r>
        <w:t xml:space="preserve"> </w:t>
      </w:r>
      <w:hyperlink w:anchor="ref-1">
        <w:r>
          <w:rPr>
            <w:rStyle w:val="Hyperlink"/>
          </w:rPr>
          <w:t xml:space="preserve">[1]</w:t>
        </w:r>
      </w:hyperlink>
      <w:r>
        <w:t xml:space="preserve"> </w:t>
      </w:r>
      <w:hyperlink w:anchor="ref-8">
        <w:r>
          <w:rPr>
            <w:rStyle w:val="Hyperlink"/>
          </w:rPr>
          <w:t xml:space="preserve">[8]</w:t>
        </w:r>
      </w:hyperlink>
      <w:r>
        <w:t xml:space="preserve">? Under the null the coefficient is non-positive; under the alternative it is positive. Every chapter feeds this one question. The introduction motivates it, the review shows it is unasked, the theory specifies the mechanism behind it, the methodology builds an estimator that could reject it, the data chapter describes what would populate that estimator, and the results chapter reports the source audits that discipline the evidence on which it rests</w:t>
      </w:r>
      <w:r>
        <w:t xml:space="preserve"> </w:t>
      </w:r>
      <w:hyperlink w:anchor="ref-6">
        <w:r>
          <w:rPr>
            <w:rStyle w:val="Hyperlink"/>
          </w:rPr>
          <w:t xml:space="preserve">[6]</w:t>
        </w:r>
      </w:hyperlink>
      <w:r>
        <w:t xml:space="preserve"> </w:t>
      </w:r>
      <w:hyperlink w:anchor="ref-14">
        <w:r>
          <w:rPr>
            <w:rStyle w:val="Hyperlink"/>
          </w:rPr>
          <w:t xml:space="preserve">[14]</w:t>
        </w:r>
      </w:hyperlink>
      <w:r>
        <w:t xml:space="preserve">. Holding that single claim in view is what protects the project from the two failure modes that afflict design-stage work. It cannot drift into a general essay, because the essay would not have a coefficient to defend. And it cannot overclaim from its completed audits, because the audits plainly do not contain the exposure or alignment variables the claim requires</w:t>
      </w:r>
      <w:r>
        <w:t xml:space="preserve"> </w:t>
      </w:r>
      <w:hyperlink w:anchor="ref-8">
        <w:r>
          <w:rPr>
            <w:rStyle w:val="Hyperlink"/>
          </w:rPr>
          <w:t xml:space="preserve">[8]</w:t>
        </w:r>
      </w:hyperlink>
      <w:r>
        <w:t xml:space="preserve">. A dissertation anchored to one falsifiable proposition has a spine, and the spine here is a single signed coefficient that the completed work has prepared for but not yet estimated. Naming it once more, in the conclusion, is a way of certifying that the manuscript has kept faith with its own design from first chapter to last</w:t>
      </w:r>
      <w:r>
        <w:t xml:space="preserve"> </w:t>
      </w:r>
      <w:hyperlink w:anchor="ref-1">
        <w:r>
          <w:rPr>
            <w:rStyle w:val="Hyperlink"/>
          </w:rPr>
          <w:t xml:space="preserve">[1]</w:t>
        </w:r>
      </w:hyperlink>
      <w:r>
        <w:t xml:space="preserve">.</w:t>
      </w:r>
    </w:p>
    <w:bookmarkEnd w:id="151"/>
    <w:bookmarkStart w:id="152" w:name="X674b38f3c5aa75eb89a334bed2b15ff31ea5416"/>
    <w:p>
      <w:pPr>
        <w:pStyle w:val="Heading2"/>
        <w:spacing w:line="480" w:lineRule="auto"/>
      </w:pPr>
      <w:r>
        <w:t xml:space="preserve">8.6a Situating the contribution among the surveyed literatures</w:t>
      </w:r>
    </w:p>
    <w:p>
      <w:pPr>
        <w:pStyle w:val="FirstParagraph"/>
        <w:spacing w:line="480" w:lineRule="auto"/>
      </w:pPr>
      <w:r>
        <w:t xml:space="preserve">It helps to say precisely where this dissertation would sit once completed, relative to the three literatures Chapter 2 surveyed. The coordination literature would gain an upstream variable: where it studies how trust and federated coordination are constructed, this work would ask whether that construction is conditioned by who controls the supply on which coordinating actors depend</w:t>
      </w:r>
      <w:r>
        <w:t xml:space="preserve"> </w:t>
      </w:r>
      <w:hyperlink w:anchor="ref-1">
        <w:r>
          <w:rPr>
            <w:rStyle w:val="Hyperlink"/>
          </w:rPr>
          <w:t xml:space="preserve">[1]</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 The industrialization literature would gain a downstream outcome: where it documents that concentration is emerging across additive manufacturing, in-orbit assembly, commercial stations, and factory-in-space pathways, this work would ask what that concentration does to governance behavior</w:t>
      </w:r>
      <w:r>
        <w:t xml:space="preserve"> </w:t>
      </w:r>
      <w:hyperlink w:anchor="ref-8">
        <w:r>
          <w:rPr>
            <w:rStyle w:val="Hyperlink"/>
          </w:rPr>
          <w:t xml:space="preserve">[8]</w:t>
        </w:r>
      </w:hyperlink>
      <w:r>
        <w:t xml:space="preserve"> </w:t>
      </w:r>
      <w:hyperlink w:anchor="ref-9">
        <w:r>
          <w:rPr>
            <w:rStyle w:val="Hyperlink"/>
          </w:rPr>
          <w:t xml:space="preserve">[9]</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The contested-environment literature would gain a mechanism: where it prices scarce orbital positions, this work would ask whether that priced value is converted into rule-shaping alignment</w:t>
      </w:r>
      <w:r>
        <w:t xml:space="preserve"> </w:t>
      </w:r>
      <w:hyperlink w:anchor="ref-6">
        <w:r>
          <w:rPr>
            <w:rStyle w:val="Hyperlink"/>
          </w:rPr>
          <w:t xml:space="preserve">[6]</w:t>
        </w:r>
      </w:hyperlink>
      <w:r>
        <w:t xml:space="preserve">. The dissertation is thus not adjacent to any one literature but a bridge across all three, and its value is largely in the connections it forces the literatures to make with one another.</w:t>
      </w:r>
    </w:p>
    <w:p>
      <w:pPr>
        <w:pStyle w:val="BodyText"/>
        <w:spacing w:line="480" w:lineRule="auto"/>
        <w:ind w:firstLine="720"/>
      </w:pPr>
      <w:r>
        <w:t xml:space="preserve">That bridging role also clarifies who the eventual audience is. Coordination researchers would read the result as a boundary condition on their trust-construction findings. Industrial-policy analysts would read it as the governance consequence of the concentration they track. Governance and treaty scholars would read it as a caution about how much of what happens in a venue was determined before the venue convened</w:t>
      </w:r>
      <w:r>
        <w:t xml:space="preserve"> </w:t>
      </w:r>
      <w:hyperlink w:anchor="ref-1">
        <w:r>
          <w:rPr>
            <w:rStyle w:val="Hyperlink"/>
          </w:rPr>
          <w:t xml:space="preserve">[1]</w:t>
        </w:r>
      </w:hyperlink>
      <w:r>
        <w:t xml:space="preserve"> </w:t>
      </w:r>
      <w:hyperlink w:anchor="ref-6">
        <w:r>
          <w:rPr>
            <w:rStyle w:val="Hyperlink"/>
          </w:rPr>
          <w:t xml:space="preserve">[6]</w:t>
        </w:r>
      </w:hyperlink>
      <w:r>
        <w:t xml:space="preserve">. A single falsifiable coefficient, reported honestly, speaks to all three audiences at once, which is a further argument for the discipline of stating the claim narrowly enough to be tested.</w:t>
      </w:r>
    </w:p>
    <w:bookmarkEnd w:id="152"/>
    <w:bookmarkStart w:id="153" w:name="a-sequenced-research-agenda"/>
    <w:p>
      <w:pPr>
        <w:pStyle w:val="Heading2"/>
        <w:spacing w:line="480" w:lineRule="auto"/>
      </w:pPr>
      <w:r>
        <w:t xml:space="preserve">8.7 A sequenced research agenda</w:t>
      </w:r>
    </w:p>
    <w:p>
      <w:pPr>
        <w:pStyle w:val="FirstParagraph"/>
        <w:spacing w:line="480" w:lineRule="auto"/>
      </w:pPr>
      <w:r>
        <w:t xml:space="preserve">The future work of Chapter 8.5 is best read as a sequence rather than a menu, because the steps depend on one another. The first phase assembles and validates the exposure layers, trade concentration and launch-cadence concentration, and checks them against firm disclosures before any outcome is examined, so that construct validity is settled independently of the result</w:t>
      </w:r>
      <w:r>
        <w:t xml:space="preserve"> </w:t>
      </w:r>
      <w:hyperlink w:anchor="ref-8">
        <w:r>
          <w:rPr>
            <w:rStyle w:val="Hyperlink"/>
          </w:rPr>
          <w:t xml:space="preserve">[8]</w:t>
        </w:r>
      </w:hyperlink>
      <w:r>
        <w:t xml:space="preserve"> </w:t>
      </w:r>
      <w:hyperlink w:anchor="ref-13">
        <w:r>
          <w:rPr>
            <w:rStyle w:val="Hyperlink"/>
          </w:rPr>
          <w:t xml:space="preserve">[13]</w:t>
        </w:r>
      </w:hyperlink>
      <w:r>
        <w:t xml:space="preserve">. The second phase codes the governance-alignment outcomes from licensing, positioning, and multilateral records, with the coding rules published in advance, so that the outcome measure cannot be quietly tuned to fit</w:t>
      </w:r>
      <w:r>
        <w:t xml:space="preserve"> </w:t>
      </w:r>
      <w:hyperlink w:anchor="ref-1">
        <w:r>
          <w:rPr>
            <w:rStyle w:val="Hyperlink"/>
          </w:rPr>
          <w:t xml:space="preserve">[1]</w:t>
        </w:r>
      </w:hyperlink>
      <w:r>
        <w:t xml:space="preserve"> </w:t>
      </w:r>
      <w:hyperlink w:anchor="ref-6">
        <w:r>
          <w:rPr>
            <w:rStyle w:val="Hyperlink"/>
          </w:rPr>
          <w:t xml:space="preserve">[6]</w:t>
        </w:r>
      </w:hyperlink>
      <w:r>
        <w:t xml:space="preserve">. Only in the third phase are the two joined in the fixed-effects panel, so that the analyst confronts the coefficient on lagged exposure having pre-committed to both the treatment and the outcome measures. Sequencing in this order is a guard against the most common failure of observational governance research, which is to let the desired conclusion shape the measures that produce it.</w:t>
      </w:r>
    </w:p>
    <w:p>
      <w:pPr>
        <w:pStyle w:val="BodyText"/>
        <w:spacing w:line="480" w:lineRule="auto"/>
        <w:ind w:firstLine="720"/>
      </w:pPr>
      <w:r>
        <w:t xml:space="preserve">The fourth phase is qualitative and runs alongside rather than after. The process trace of a denial or export-control episode should be conducted with the same pre-registration discipline, specifying in advance what sequence of dependence, pressure, and alignment would count as supporting the mechanism and what sequence would count against it</w:t>
      </w:r>
      <w:r>
        <w:t xml:space="preserve"> </w:t>
      </w:r>
      <w:hyperlink w:anchor="ref-8">
        <w:r>
          <w:rPr>
            <w:rStyle w:val="Hyperlink"/>
          </w:rPr>
          <w:t xml:space="preserve">[8]</w:t>
        </w:r>
      </w:hyperlink>
      <w:r>
        <w:t xml:space="preserve">. Because the mechanism does its work through anticipation, the trace is looking for a visible instance of a normally invisible process, and it must be honest about the possibility that the clearest episodes are unrepresentative. Read together, the four phases turn the single falsifiable proposition into a program with several independent points of possible failure, which is the structure a credible causal claim requires.</w:t>
      </w:r>
    </w:p>
    <w:bookmarkEnd w:id="153"/>
    <w:bookmarkStart w:id="154" w:name="X242a9ce551c9c9d485d0a73f16c12e12184e618"/>
    <w:p>
      <w:pPr>
        <w:pStyle w:val="Heading2"/>
        <w:spacing w:line="480" w:lineRule="auto"/>
      </w:pPr>
      <w:r>
        <w:t xml:space="preserve">8.7a The two audits as durable contributions in their own right</w:t>
      </w:r>
    </w:p>
    <w:p>
      <w:pPr>
        <w:pStyle w:val="FirstParagraph"/>
        <w:spacing w:line="480" w:lineRule="auto"/>
      </w:pPr>
      <w:r>
        <w:t xml:space="preserve">Even if the causal core were never completed, the two source audits would stand as small but durable contributions, and it is fair to claim them on their own merits. Paper 1 documents, on a reproducible corpus, that a niche cross-disciplinary literature is sorted by citation attention and venue family, with a significant overall fit and a counterintuitive advantage for operational conference material over higher-coded journal venues</w:t>
      </w:r>
      <w:r>
        <w:t xml:space="preserve"> </w:t>
      </w:r>
      <w:hyperlink w:anchor="ref-1">
        <w:r>
          <w:rPr>
            <w:rStyle w:val="Hyperlink"/>
          </w:rPr>
          <w:t xml:space="preserve">[1]</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Paper 2 documents that the same corpus shows no age-attention relationship, cautioning against age as a maturity proxy in a fast-moving field</w:t>
      </w:r>
      <w:r>
        <w:t xml:space="preserve"> </w:t>
      </w:r>
      <w:hyperlink w:anchor="ref-8">
        <w:r>
          <w:rPr>
            <w:rStyle w:val="Hyperlink"/>
          </w:rPr>
          <w:t xml:space="preserve">[8]</w:t>
        </w:r>
      </w:hyperlink>
      <w:r>
        <w:t xml:space="preserve"> </w:t>
      </w:r>
      <w:hyperlink w:anchor="ref-14">
        <w:r>
          <w:rPr>
            <w:rStyle w:val="Hyperlink"/>
          </w:rPr>
          <w:t xml:space="preserve">[14]</w:t>
        </w:r>
      </w:hyperlink>
      <w:r>
        <w:t xml:space="preserve">. Neither result depends on the leverage hypothesis being true or false. Each is a finding about how evidence in this space accumulates and sorts, useful to anyone assembling a literature base on adjacent questions. That independence matters for how the dissertation should be judged at the design stage. A design-stage project is often discounted because its central claim is untested, and that discount is fair for the causal proposition</w:t>
      </w:r>
      <w:r>
        <w:t xml:space="preserve"> </w:t>
      </w:r>
      <w:hyperlink w:anchor="ref-6">
        <w:r>
          <w:rPr>
            <w:rStyle w:val="Hyperlink"/>
          </w:rPr>
          <w:t xml:space="preserve">[6]</w:t>
        </w:r>
      </w:hyperlink>
      <w:r>
        <w:t xml:space="preserve">. It is not fair for the audits, which are complete, reported exactly, and reproducible from source-traced records. The manuscript therefore asks to be evaluated on two registers at once: as a finished pair of diagnostic studies, and as a well-specified plan for a causal test yet to run. Keeping those registers distinct is the same discipline that runs through every chapter, and it is what lets the dissertation claim genuine contribution now while reserving its largest claim for later</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154"/>
    <w:bookmarkStart w:id="155" w:name="Xe34a85ec6a3dd0cb133d35276d7b0e36fa99455"/>
    <w:p>
      <w:pPr>
        <w:pStyle w:val="Heading2"/>
        <w:spacing w:line="480" w:lineRule="auto"/>
      </w:pPr>
      <w:r>
        <w:t xml:space="preserve">8.8 What a discipline gains from a design that can fail</w:t>
      </w:r>
    </w:p>
    <w:p>
      <w:pPr>
        <w:pStyle w:val="FirstParagraph"/>
        <w:spacing w:line="480" w:lineRule="auto"/>
      </w:pPr>
      <w:r>
        <w:t xml:space="preserve">Step back from this one candidate and the broader point is about how a field accumulates knowledge. Space-governance analysis has no shortage of confident claims that industrial dependence shapes political behavior, and it has a shortage of claims stated sharply enough to be wrong</w:t>
      </w:r>
      <w:r>
        <w:t xml:space="preserve"> </w:t>
      </w:r>
      <w:hyperlink w:anchor="ref-1">
        <w:r>
          <w:rPr>
            <w:rStyle w:val="Hyperlink"/>
          </w:rPr>
          <w:t xml:space="preserve">[1]</w:t>
        </w:r>
      </w:hyperlink>
      <w:r>
        <w:t xml:space="preserve"> </w:t>
      </w:r>
      <w:hyperlink w:anchor="ref-6">
        <w:r>
          <w:rPr>
            <w:rStyle w:val="Hyperlink"/>
          </w:rPr>
          <w:t xml:space="preserve">[6]</w:t>
        </w:r>
      </w:hyperlink>
      <w:r>
        <w:t xml:space="preserve">. A design that reduces the intuition to one signed coefficient, bounds it against named rivals, and pre-commits to its measures contributes something the confident essays do not: a result that would change minds in either direction. If the coefficient is positive, skeptics have a bounded estimate to contend with. If it is non-positive, believers have a specific, well-constructed failure to explain. Both move the field, and neither is available from prose that cannot fail. The two completed source audits model the same virtue at a smaller scale. A null learning-curve result and a significant sorting result are both reported exactly, without dressing the null as a disappointment or the significant result as proof of the larger theory</w:t>
      </w:r>
      <w:r>
        <w:t xml:space="preserve"> </w:t>
      </w:r>
      <w:hyperlink w:anchor="ref-8">
        <w:r>
          <w:rPr>
            <w:rStyle w:val="Hyperlink"/>
          </w:rPr>
          <w:t xml:space="preserve">[8]</w:t>
        </w:r>
      </w:hyperlink>
      <w:r>
        <w:t xml:space="preserve"> </w:t>
      </w:r>
      <w:hyperlink w:anchor="ref-14">
        <w:r>
          <w:rPr>
            <w:rStyle w:val="Hyperlink"/>
          </w:rPr>
          <w:t xml:space="preserve">[14]</w:t>
        </w:r>
      </w:hyperlink>
      <w:r>
        <w:t xml:space="preserve">. That evenhandedness, reporting what the data show and stopping there, is the habit the whole dissertation is built to cultivate, and it is the habit a design-stage project most needs, because the temptation to overclaim is greatest precisely when the central result is not yet in hand.</w:t>
      </w:r>
    </w:p>
    <w:p>
      <w:pPr>
        <w:pStyle w:val="BodyText"/>
        <w:spacing w:line="480" w:lineRule="auto"/>
        <w:ind w:firstLine="720"/>
      </w:pPr>
      <w:r>
        <w:t xml:space="preserve">The larger discipline is one the field could adopt more widely. Space-governance questions are consequential and under-tested, and the gap between confident prose and checkable claims is where much of the field’s uncertainty hides</w:t>
      </w:r>
      <w:r>
        <w:t xml:space="preserve"> </w:t>
      </w:r>
      <w:hyperlink w:anchor="ref-1">
        <w:r>
          <w:rPr>
            <w:rStyle w:val="Hyperlink"/>
          </w:rPr>
          <w:t xml:space="preserve">[1]</w:t>
        </w:r>
      </w:hyperlink>
      <w:r>
        <w:t xml:space="preserve"> </w:t>
      </w:r>
      <w:hyperlink w:anchor="ref-6">
        <w:r>
          <w:rPr>
            <w:rStyle w:val="Hyperlink"/>
          </w:rPr>
          <w:t xml:space="preserve">[6]</w:t>
        </w:r>
      </w:hyperlink>
      <w:r>
        <w:t xml:space="preserve">. A design that reduces a fashionable intuition to one signed coefficient, protects the evidence base with reproducible audits, and pre-commits to its measures does more than advance one candidate’s argument. It offers a template for turning the domain’s many plausible stories into propositions that data could settle. If this dissertation contributes anything beyond its own findings, it is that template, and the demonstration that a design-stage project can be honest about the gap between what it has shown and what it aims to show</w:t>
      </w:r>
      <w:r>
        <w:t xml:space="preserve"> </w:t>
      </w:r>
      <w:hyperlink w:anchor="ref-8">
        <w:r>
          <w:rPr>
            <w:rStyle w:val="Hyperlink"/>
          </w:rPr>
          <w:t xml:space="preserve">[8]</w:t>
        </w:r>
      </w:hyperlink>
      <w:r>
        <w:t xml:space="preserve">.</w:t>
      </w:r>
    </w:p>
    <w:p>
      <w:pPr>
        <w:pStyle w:val="BodyText"/>
        <w:spacing w:line="480" w:lineRule="auto"/>
        <w:ind w:firstLine="720"/>
      </w:pPr>
      <w:r>
        <w:t xml:space="preserve">The dissertation ends where an honest design-stage project should. It has taken a broad and fashionable idea, weaponized interdependence in the space supply chain, and reduced it to one proposition that open data could reject</w:t>
      </w:r>
      <w:r>
        <w:t xml:space="preserve"> </w:t>
      </w:r>
      <w:hyperlink w:anchor="ref-1">
        <w:r>
          <w:rPr>
            <w:rStyle w:val="Hyperlink"/>
          </w:rPr>
          <w:t xml:space="preserve">[1]</w:t>
        </w:r>
      </w:hyperlink>
      <w:r>
        <w:t xml:space="preserve"> </w:t>
      </w:r>
      <w:hyperlink w:anchor="ref-8">
        <w:r>
          <w:rPr>
            <w:rStyle w:val="Hyperlink"/>
          </w:rPr>
          <w:t xml:space="preserve">[8]</w:t>
        </w:r>
      </w:hyperlink>
      <w:r>
        <w:t xml:space="preserve">. It has disciplined the evidence base for that proposition with two reproducible source audits, learning that attention and venue structure its literature while age does not</w:t>
      </w:r>
      <w:r>
        <w:t xml:space="preserve"> </w:t>
      </w:r>
      <w:hyperlink w:anchor="ref-14">
        <w:r>
          <w:rPr>
            <w:rStyle w:val="Hyperlink"/>
          </w:rPr>
          <w:t xml:space="preserve">[14]</w:t>
        </w:r>
      </w:hyperlink>
      <w:r>
        <w:t xml:space="preserve">. And it has laid out, in enough detail to be evaluated, the data and identification that would test the proposition itself. The central question, whether chokepoint control translates into governance leverage, remains open. What has changed is that it is now open in a form that can be closed, by evidence, in one direction or the other. That transformation, from an intuition into a falsifiable claim with a built evidentiary foundation, is the work this manuscript set out to do</w:t>
      </w:r>
      <w:r>
        <w:t xml:space="preserve"> </w:t>
      </w:r>
      <w:hyperlink w:anchor="ref-6">
        <w:r>
          <w:rPr>
            <w:rStyle w:val="Hyperlink"/>
          </w:rPr>
          <w:t xml:space="preserve">[6]</w:t>
        </w:r>
      </w:hyperlink>
      <w:r>
        <w:t xml:space="preserve"> </w:t>
      </w:r>
      <w:hyperlink w:anchor="ref-8">
        <w:r>
          <w:rPr>
            <w:rStyle w:val="Hyperlink"/>
          </w:rPr>
          <w:t xml:space="preserve">[8]</w:t>
        </w:r>
      </w:hyperlink>
      <w:r>
        <w:t xml:space="preserve">. What remains is to assemble the exposure and alignment layers and estimate the coefficient the whole design has been built to place at risk, and the manuscript closes having made that estimation not merely possible but disciplined in advance</w:t>
      </w:r>
      <w:r>
        <w:t xml:space="preserve"> </w:t>
      </w:r>
      <w:hyperlink w:anchor="ref-1">
        <w:r>
          <w:rPr>
            <w:rStyle w:val="Hyperlink"/>
          </w:rPr>
          <w:t xml:space="preserve">[1]</w:t>
        </w:r>
      </w:hyperlink>
      <w:r>
        <w:t xml:space="preserve"> </w:t>
      </w:r>
      <w:hyperlink w:anchor="ref-14">
        <w:r>
          <w:rPr>
            <w:rStyle w:val="Hyperlink"/>
          </w:rPr>
          <w:t xml:space="preserve">[14]</w:t>
        </w:r>
      </w:hyperlink>
      <w:r>
        <w:t xml:space="preserve">.</w:t>
      </w:r>
    </w:p>
    <w:bookmarkEnd w:id="155"/>
    <w:bookmarkStart w:id="201" w:name="references"/>
    <w:p>
      <w:pPr>
        <w:pStyle w:val="Heading2"/>
        <w:spacing w:line="480" w:lineRule="auto"/>
      </w:pPr>
      <w:r>
        <w:t xml:space="preserve">References</w:t>
      </w:r>
    </w:p>
    <w:p>
      <w:pPr>
        <w:pStyle w:val="FirstParagraph"/>
        <w:spacing w:line="480" w:lineRule="auto"/>
      </w:pPr>
      <w:bookmarkStart w:id="156" w:name="ref-1"/>
      <w:bookmarkEnd w:id="156"/>
      <w:r>
        <w:t xml:space="preserve">1. H. Reed, N. Tsamis, and N. Dailey,</w:t>
      </w:r>
      <w:r>
        <w:t xml:space="preserve"> </w:t>
      </w:r>
      <w:r>
        <w:t xml:space="preserve">“Space Sustainability and Traffic Management Requires Trusted Space Stakeholder Coordination,”</w:t>
      </w:r>
      <w:r>
        <w:t xml:space="preserve"> </w:t>
      </w:r>
      <w:r>
        <w:t xml:space="preserve">AMOS, 2023, doi:</w:t>
      </w:r>
      <w:r>
        <w:t xml:space="preserve"> </w:t>
      </w:r>
      <w:hyperlink r:id="rId157">
        <w:r>
          <w:rPr>
            <w:rStyle w:val="Hyperlink"/>
          </w:rPr>
          <w:t xml:space="preserve">10.64861/MVHC2799</w:t>
        </w:r>
      </w:hyperlink>
    </w:p>
    <w:p>
      <w:pPr>
        <w:pStyle w:val="BodyText"/>
        <w:spacing w:line="480" w:lineRule="auto"/>
        <w:ind w:firstLine="720"/>
      </w:pPr>
      <w:bookmarkStart w:id="158" w:name="ref-2"/>
      <w:bookmarkEnd w:id="158"/>
      <w:r>
        <w:t xml:space="preserve">2. C. Harris, M. Rodriguez, V. Wright, J. Kadan, and J. Fletcher,</w:t>
      </w:r>
      <w:r>
        <w:t xml:space="preserve"> </w:t>
      </w:r>
      <w:r>
        <w:t xml:space="preserve">“Decisive Mission Analysis Capability: A Physics-Based Testing and Evaluation Framework for Space Domain Awareness,”</w:t>
      </w:r>
      <w:r>
        <w:t xml:space="preserve"> </w:t>
      </w:r>
      <w:r>
        <w:t xml:space="preserve">AMOS, 2025, doi:</w:t>
      </w:r>
      <w:r>
        <w:t xml:space="preserve"> </w:t>
      </w:r>
      <w:hyperlink r:id="rId159">
        <w:r>
          <w:rPr>
            <w:rStyle w:val="Hyperlink"/>
          </w:rPr>
          <w:t xml:space="preserve">10.64861/CKQN3841</w:t>
        </w:r>
      </w:hyperlink>
    </w:p>
    <w:p>
      <w:pPr>
        <w:pStyle w:val="BodyText"/>
        <w:spacing w:line="480" w:lineRule="auto"/>
        <w:ind w:firstLine="720"/>
      </w:pPr>
      <w:bookmarkStart w:id="160" w:name="ref-3"/>
      <w:bookmarkEnd w:id="160"/>
      <w:r>
        <w:t xml:space="preserve">3. Y. Latif, S. Bagchi, L. M. Pratti, H. Reed, R. Stilwell, and G. Furlich,</w:t>
      </w:r>
      <w:r>
        <w:t xml:space="preserve"> </w:t>
      </w:r>
      <w:r>
        <w:t xml:space="preserve">“Towards an AI-enabled Space Battle Management System on Space Protocol’s Quantum Resilient Blockchain,”</w:t>
      </w:r>
      <w:r>
        <w:t xml:space="preserve"> </w:t>
      </w:r>
      <w:r>
        <w:t xml:space="preserve">AMOS, 2025, doi:</w:t>
      </w:r>
      <w:r>
        <w:t xml:space="preserve"> </w:t>
      </w:r>
      <w:hyperlink r:id="rId161">
        <w:r>
          <w:rPr>
            <w:rStyle w:val="Hyperlink"/>
          </w:rPr>
          <w:t xml:space="preserve">10.64861/CEPU7718</w:t>
        </w:r>
      </w:hyperlink>
    </w:p>
    <w:p>
      <w:pPr>
        <w:pStyle w:val="BodyText"/>
        <w:spacing w:line="480" w:lineRule="auto"/>
        <w:ind w:firstLine="720"/>
      </w:pPr>
      <w:bookmarkStart w:id="162" w:name="ref-4"/>
      <w:bookmarkEnd w:id="162"/>
      <w:r>
        <w:t xml:space="preserve">4. Y. Latif, A. Chowdhury, and S. Bagchi,</w:t>
      </w:r>
      <w:r>
        <w:t xml:space="preserve"> </w:t>
      </w:r>
      <w:r>
        <w:t xml:space="preserve">“On-chain Validation of Tracking Data Messages (TDM) Using Distributed Deep Learning on a Proof of Stake Blockchain,”</w:t>
      </w:r>
      <w:r>
        <w:t xml:space="preserve"> </w:t>
      </w:r>
      <w:r>
        <w:t xml:space="preserve">AMOS, 2024, doi:</w:t>
      </w:r>
      <w:r>
        <w:t xml:space="preserve"> </w:t>
      </w:r>
      <w:hyperlink r:id="rId163">
        <w:r>
          <w:rPr>
            <w:rStyle w:val="Hyperlink"/>
          </w:rPr>
          <w:t xml:space="preserve">10.64861/OHUO6863</w:t>
        </w:r>
      </w:hyperlink>
    </w:p>
    <w:p>
      <w:pPr>
        <w:pStyle w:val="BodyText"/>
        <w:spacing w:line="480" w:lineRule="auto"/>
        <w:ind w:firstLine="720"/>
      </w:pPr>
      <w:bookmarkStart w:id="164" w:name="ref-5"/>
      <w:bookmarkEnd w:id="164"/>
      <w:r>
        <w:t xml:space="preserve">5. R. Carden, D. Burchett, and H. Reed,</w:t>
      </w:r>
      <w:r>
        <w:t xml:space="preserve"> </w:t>
      </w:r>
      <w:r>
        <w:t xml:space="preserve">“SNARE (Sensor Network Autonomous Resilient Extensible): Decentralized Sensor Tasking Improves SDA Tactical Relevance,”</w:t>
      </w:r>
      <w:r>
        <w:t xml:space="preserve"> </w:t>
      </w:r>
      <w:r>
        <w:t xml:space="preserve">AMOS, 2021.</w:t>
      </w:r>
    </w:p>
    <w:p>
      <w:pPr>
        <w:pStyle w:val="BodyText"/>
        <w:spacing w:line="480" w:lineRule="auto"/>
        <w:ind w:firstLine="720"/>
      </w:pPr>
      <w:bookmarkStart w:id="165" w:name="ref-6"/>
      <w:bookmarkEnd w:id="165"/>
      <w:r>
        <w:t xml:space="preserve">6. K. Shahady,</w:t>
      </w:r>
      <w:r>
        <w:t xml:space="preserve"> </w:t>
      </w:r>
      <w:r>
        <w:t xml:space="preserve">“The Future Risk of Space Debris and Contested Environments Increases the Intrinsic and Actual Cost of GEO Slots,”</w:t>
      </w:r>
      <w:r>
        <w:t xml:space="preserve"> </w:t>
      </w:r>
      <w:r>
        <w:t xml:space="preserve">AMOS, 2023, doi:</w:t>
      </w:r>
      <w:r>
        <w:t xml:space="preserve"> </w:t>
      </w:r>
      <w:hyperlink r:id="rId166">
        <w:r>
          <w:rPr>
            <w:rStyle w:val="Hyperlink"/>
          </w:rPr>
          <w:t xml:space="preserve">10.64861/DYBG6563</w:t>
        </w:r>
      </w:hyperlink>
    </w:p>
    <w:p>
      <w:pPr>
        <w:pStyle w:val="BodyText"/>
        <w:spacing w:line="480" w:lineRule="auto"/>
        <w:ind w:firstLine="720"/>
      </w:pPr>
      <w:bookmarkStart w:id="167" w:name="ref-7"/>
      <w:bookmarkEnd w:id="167"/>
      <w:r>
        <w:t xml:space="preserve">7. G. Furlich et al.,</w:t>
      </w:r>
      <w:r>
        <w:t xml:space="preserve"> </w:t>
      </w:r>
      <w:r>
        <w:t xml:space="preserve">“Utilizing Civilian Launches as Live Exercises for Evaluating a Federated Protect and Defend SDA Battle Management System,”</w:t>
      </w:r>
      <w:r>
        <w:t xml:space="preserve"> </w:t>
      </w:r>
      <w:r>
        <w:t xml:space="preserve">AMOS, 2025, doi:</w:t>
      </w:r>
      <w:r>
        <w:t xml:space="preserve"> </w:t>
      </w:r>
      <w:hyperlink r:id="rId168">
        <w:r>
          <w:rPr>
            <w:rStyle w:val="Hyperlink"/>
          </w:rPr>
          <w:t xml:space="preserve">10.64861/PFBR4795</w:t>
        </w:r>
      </w:hyperlink>
    </w:p>
    <w:p>
      <w:pPr>
        <w:pStyle w:val="BodyText"/>
        <w:spacing w:line="480" w:lineRule="auto"/>
        <w:ind w:firstLine="720"/>
      </w:pPr>
      <w:bookmarkStart w:id="169" w:name="ref-8"/>
      <w:bookmarkEnd w:id="169"/>
      <w:r>
        <w:t xml:space="preserve">8. G. Denis, D. Alary, X. Pasco, N. Pisot, D. Texier, and S. Toulza,</w:t>
      </w:r>
      <w:r>
        <w:t xml:space="preserve"> </w:t>
      </w:r>
      <w:r>
        <w:t xml:space="preserve">“From new space to big space: How commercial space dream is becoming a reality,”</w:t>
      </w:r>
      <w:r>
        <w:t xml:space="preserve"> </w:t>
      </w:r>
      <w:r>
        <w:t xml:space="preserve">Acta Astronautica, 2019, doi:</w:t>
      </w:r>
      <w:r>
        <w:t xml:space="preserve"> </w:t>
      </w:r>
      <w:hyperlink r:id="rId170">
        <w:r>
          <w:rPr>
            <w:rStyle w:val="Hyperlink"/>
          </w:rPr>
          <w:t xml:space="preserve">10.1016/j.actaastro.2019.08.031</w:t>
        </w:r>
      </w:hyperlink>
    </w:p>
    <w:p>
      <w:pPr>
        <w:pStyle w:val="BodyText"/>
        <w:spacing w:line="480" w:lineRule="auto"/>
        <w:ind w:firstLine="720"/>
      </w:pPr>
      <w:bookmarkStart w:id="171" w:name="ref-9"/>
      <w:bookmarkEnd w:id="171"/>
      <w:r>
        <w:t xml:space="preserve">9. G. Dalmarco, R. A. de Louren?o Roriz Mendes, A. C. Sim?es, and A. M. S. Avila,</w:t>
      </w:r>
      <w:r>
        <w:t xml:space="preserve"> </w:t>
      </w:r>
      <w:r>
        <w:t xml:space="preserve">“3D printing Lift-Off? The use of additive manufacturing in spacecraft components,”</w:t>
      </w:r>
      <w:r>
        <w:t xml:space="preserve"> </w:t>
      </w:r>
      <w:r>
        <w:t xml:space="preserve">Acta Astronautica, 2026, doi:</w:t>
      </w:r>
      <w:r>
        <w:t xml:space="preserve"> </w:t>
      </w:r>
      <w:hyperlink r:id="rId172">
        <w:r>
          <w:rPr>
            <w:rStyle w:val="Hyperlink"/>
          </w:rPr>
          <w:t xml:space="preserve">10.1016/j.actaastro.2026.03.057</w:t>
        </w:r>
      </w:hyperlink>
    </w:p>
    <w:p>
      <w:pPr>
        <w:pStyle w:val="BodyText"/>
        <w:spacing w:line="480" w:lineRule="auto"/>
        <w:ind w:firstLine="720"/>
      </w:pPr>
      <w:bookmarkStart w:id="173" w:name="ref-10"/>
      <w:bookmarkEnd w:id="173"/>
      <w:r>
        <w:t xml:space="preserve">10. J. Walsh, A. Gorman, and P. Casta?o,</w:t>
      </w:r>
      <w:r>
        <w:t xml:space="preserve"> </w:t>
      </w:r>
      <w:r>
        <w:t xml:space="preserve">“Postorbital discard and chain of custody: The processing of artifacts returning to Earth from the International Space Station,”</w:t>
      </w:r>
      <w:r>
        <w:t xml:space="preserve"> </w:t>
      </w:r>
      <w:r>
        <w:t xml:space="preserve">Acta Astronautica, 2022, doi:</w:t>
      </w:r>
      <w:r>
        <w:t xml:space="preserve"> </w:t>
      </w:r>
      <w:hyperlink r:id="rId174">
        <w:r>
          <w:rPr>
            <w:rStyle w:val="Hyperlink"/>
          </w:rPr>
          <w:t xml:space="preserve">10.1016/j.actaastro.2022.03.035</w:t>
        </w:r>
      </w:hyperlink>
    </w:p>
    <w:p>
      <w:pPr>
        <w:pStyle w:val="BodyText"/>
        <w:spacing w:line="480" w:lineRule="auto"/>
        <w:ind w:firstLine="720"/>
      </w:pPr>
      <w:bookmarkStart w:id="175" w:name="ref-11"/>
      <w:bookmarkEnd w:id="175"/>
      <w:r>
        <w:t xml:space="preserve">11. K. Saddul, J. Saletes, M. Kim, and A. Wittig,</w:t>
      </w:r>
      <w:r>
        <w:t xml:space="preserve"> </w:t>
      </w:r>
      <w:r>
        <w:t xml:space="preserve">“HexSats: A novel flat hexagonal nanosatellite for high-power applications,”</w:t>
      </w:r>
      <w:r>
        <w:t xml:space="preserve"> </w:t>
      </w:r>
      <w:r>
        <w:t xml:space="preserve">Acta Astronautica, 2024, doi:</w:t>
      </w:r>
      <w:r>
        <w:t xml:space="preserve"> </w:t>
      </w:r>
      <w:hyperlink r:id="rId176">
        <w:r>
          <w:rPr>
            <w:rStyle w:val="Hyperlink"/>
          </w:rPr>
          <w:t xml:space="preserve">10.1016/j.actaastro.2024.09.007</w:t>
        </w:r>
      </w:hyperlink>
    </w:p>
    <w:p>
      <w:pPr>
        <w:pStyle w:val="BodyText"/>
        <w:spacing w:line="480" w:lineRule="auto"/>
        <w:ind w:firstLine="720"/>
      </w:pPr>
      <w:bookmarkStart w:id="177" w:name="ref-12"/>
      <w:bookmarkEnd w:id="177"/>
      <w:r>
        <w:t xml:space="preserve">12. M. H. Nair, M. C. Rai, S. Reade, O. Bloch, S. Adlen, M. Soltau, and D. Homfray,</w:t>
      </w:r>
      <w:r>
        <w:t xml:space="preserve"> </w:t>
      </w:r>
      <w:r>
        <w:t xml:space="preserve">“In-orbit assembly of high-value modular infrastructures: Holistic analysis and mission concepts,”</w:t>
      </w:r>
      <w:r>
        <w:t xml:space="preserve"> </w:t>
      </w:r>
      <w:r>
        <w:t xml:space="preserve">Acta Astronautica, 2025, doi:</w:t>
      </w:r>
      <w:r>
        <w:t xml:space="preserve"> </w:t>
      </w:r>
      <w:hyperlink r:id="rId178">
        <w:r>
          <w:rPr>
            <w:rStyle w:val="Hyperlink"/>
          </w:rPr>
          <w:t xml:space="preserve">10.1016/j.actaastro.2025.09.070</w:t>
        </w:r>
      </w:hyperlink>
    </w:p>
    <w:p>
      <w:pPr>
        <w:pStyle w:val="BodyText"/>
        <w:spacing w:line="480" w:lineRule="auto"/>
        <w:ind w:firstLine="720"/>
      </w:pPr>
      <w:bookmarkStart w:id="179" w:name="ref-13"/>
      <w:bookmarkEnd w:id="179"/>
      <w:r>
        <w:t xml:space="preserve">13. A. Paravano, B. Rosseau, G. Locatelli, M. Weinzierl, and P. Trucco,</w:t>
      </w:r>
      <w:r>
        <w:t xml:space="preserve"> </w:t>
      </w:r>
      <w:r>
        <w:t xml:space="preserve">“Toward the LEO economy: A value assessment of commercial space stations for space and non-space users,”</w:t>
      </w:r>
      <w:r>
        <w:t xml:space="preserve"> </w:t>
      </w:r>
      <w:r>
        <w:t xml:space="preserve">Acta Astronautica, 2024, doi:</w:t>
      </w:r>
      <w:r>
        <w:t xml:space="preserve"> </w:t>
      </w:r>
      <w:hyperlink r:id="rId180">
        <w:r>
          <w:rPr>
            <w:rStyle w:val="Hyperlink"/>
          </w:rPr>
          <w:t xml:space="preserve">10.1016/j.actaastro.2024.11.060</w:t>
        </w:r>
      </w:hyperlink>
    </w:p>
    <w:p>
      <w:pPr>
        <w:pStyle w:val="BodyText"/>
        <w:spacing w:line="480" w:lineRule="auto"/>
        <w:ind w:firstLine="720"/>
      </w:pPr>
      <w:bookmarkStart w:id="181" w:name="ref-14"/>
      <w:bookmarkEnd w:id="181"/>
      <w:r>
        <w:t xml:space="preserve">14. F. Abdulhamid, B. P. Sullivan, and S. Terzi,</w:t>
      </w:r>
      <w:r>
        <w:t xml:space="preserve"> </w:t>
      </w:r>
      <w:r>
        <w:t xml:space="preserve">“Factory in space: A review of material and manufacturing technologies,”</w:t>
      </w:r>
      <w:r>
        <w:t xml:space="preserve"> </w:t>
      </w:r>
      <w:r>
        <w:t xml:space="preserve">Acta Astronautica, 2025, doi:</w:t>
      </w:r>
      <w:r>
        <w:t xml:space="preserve"> </w:t>
      </w:r>
      <w:hyperlink r:id="rId182">
        <w:r>
          <w:rPr>
            <w:rStyle w:val="Hyperlink"/>
          </w:rPr>
          <w:t xml:space="preserve">10.1016/j.actaastro.2025.01.007</w:t>
        </w:r>
      </w:hyperlink>
    </w:p>
    <w:p>
      <w:pPr>
        <w:pStyle w:val="BodyText"/>
        <w:spacing w:line="480" w:lineRule="auto"/>
        <w:ind w:firstLine="720"/>
      </w:pPr>
      <w:bookmarkStart w:id="183" w:name="ref-15"/>
      <w:bookmarkEnd w:id="183"/>
      <w:r>
        <w:t xml:space="preserve">15. V. Zancan, P. Trucco, and G. Locatelli,</w:t>
      </w:r>
      <w:r>
        <w:t xml:space="preserve"> </w:t>
      </w:r>
      <w:r>
        <w:t xml:space="preserve">“Getting things done or doing the right things? Micro-foundations of product-service strategies in Earth Observation,”</w:t>
      </w:r>
      <w:r>
        <w:t xml:space="preserve"> </w:t>
      </w:r>
      <w:r>
        <w:t xml:space="preserve">Acta Astronautica, 2026, doi:</w:t>
      </w:r>
      <w:r>
        <w:t xml:space="preserve"> </w:t>
      </w:r>
      <w:hyperlink r:id="rId184">
        <w:r>
          <w:rPr>
            <w:rStyle w:val="Hyperlink"/>
          </w:rPr>
          <w:t xml:space="preserve">10.1016/j.actaastro.2026.01.040</w:t>
        </w:r>
      </w:hyperlink>
    </w:p>
    <w:p>
      <w:pPr>
        <w:pStyle w:val="BodyText"/>
        <w:spacing w:line="480" w:lineRule="auto"/>
        <w:ind w:firstLine="720"/>
      </w:pPr>
      <w:bookmarkStart w:id="185" w:name="ref-16"/>
      <w:bookmarkEnd w:id="185"/>
      <w:r>
        <w:t xml:space="preserve">16. Harvey Reed, MITRE; Nick Tsamis, MITRE; Nathaniel Dailey, MITRE. Space Sustainability and Traffic Management Requires Trusted Space Stakeholder Coordination (2023). doi:</w:t>
      </w:r>
      <w:r>
        <w:t xml:space="preserve"> </w:t>
      </w:r>
      <w:hyperlink r:id="rId157">
        <w:r>
          <w:rPr>
            <w:rStyle w:val="Hyperlink"/>
          </w:rPr>
          <w:t xml:space="preserve">10.64861/MVHC2799</w:t>
        </w:r>
      </w:hyperlink>
    </w:p>
    <w:p>
      <w:pPr>
        <w:pStyle w:val="BodyText"/>
        <w:spacing w:line="480" w:lineRule="auto"/>
        <w:ind w:firstLine="720"/>
      </w:pPr>
      <w:bookmarkStart w:id="186" w:name="ref-17"/>
      <w:bookmarkEnd w:id="186"/>
      <w:r>
        <w:t xml:space="preserve">17. David H. Curtis, Air Force Institute of Technology, Richard G. Cobb, Air Force Institute of Technology. Satellite Articulation Characterization from an Image Trajectory Matrix Using Optimization (2017).</w:t>
      </w:r>
    </w:p>
    <w:p>
      <w:pPr>
        <w:pStyle w:val="BodyText"/>
        <w:spacing w:line="480" w:lineRule="auto"/>
        <w:ind w:firstLine="720"/>
      </w:pPr>
      <w:bookmarkStart w:id="187" w:name="ref-18"/>
      <w:bookmarkEnd w:id="187"/>
      <w:r>
        <w:t xml:space="preserve">18. Yasir Latif, Space Protocol; Samya Bagchi, Space Protocol; Latha Madhuri Pratti, Space Protocol; Harvey Reed, MITRE; Ruth Stilwell, Aerospace Policy Solutions, LLC; Greg Furlich, University of Colorado Boulder. Towards an AI-enabled Space Battle Management System on Space Protocol’s Quantum Resilient Blockchain (2025). doi:</w:t>
      </w:r>
      <w:r>
        <w:t xml:space="preserve"> </w:t>
      </w:r>
      <w:hyperlink r:id="rId161">
        <w:r>
          <w:rPr>
            <w:rStyle w:val="Hyperlink"/>
          </w:rPr>
          <w:t xml:space="preserve">10.64861/CEPU7718</w:t>
        </w:r>
      </w:hyperlink>
    </w:p>
    <w:p>
      <w:pPr>
        <w:pStyle w:val="BodyText"/>
        <w:spacing w:line="480" w:lineRule="auto"/>
        <w:ind w:firstLine="720"/>
      </w:pPr>
      <w:bookmarkStart w:id="188" w:name="ref-19"/>
      <w:bookmarkEnd w:id="188"/>
      <w:r>
        <w:t xml:space="preserve">19. Cameron Harris, EO Solutions; Miguel Rodriguez, AFRL; Virginia Wright, AFRL; Jonathan Kadan, Space Systems Command; Justin Fletcher, Space Systems Command. Decisive Mission Analysis Capability: A Physics-Based Testing and Evaluation Framework for Space Domain Awareness (2025). doi:</w:t>
      </w:r>
      <w:r>
        <w:t xml:space="preserve"> </w:t>
      </w:r>
      <w:hyperlink r:id="rId159">
        <w:r>
          <w:rPr>
            <w:rStyle w:val="Hyperlink"/>
          </w:rPr>
          <w:t xml:space="preserve">10.64861/CKQN3841</w:t>
        </w:r>
      </w:hyperlink>
    </w:p>
    <w:p>
      <w:pPr>
        <w:pStyle w:val="BodyText"/>
        <w:spacing w:line="480" w:lineRule="auto"/>
        <w:ind w:firstLine="720"/>
      </w:pPr>
      <w:bookmarkStart w:id="189" w:name="ref-20"/>
      <w:bookmarkEnd w:id="189"/>
      <w:r>
        <w:t xml:space="preserve">20. Yasir Latif, Space Protocol; Anirban Chowdhury, Space Protocol; Samya Bagchi, Space Protocol. On-chain Validation of Tracking Data Messages (TDM) Using Distributed Deep Learning on a Proof of Stake (PoS) Blockchain (2024). doi:</w:t>
      </w:r>
      <w:r>
        <w:t xml:space="preserve"> </w:t>
      </w:r>
      <w:hyperlink r:id="rId163">
        <w:r>
          <w:rPr>
            <w:rStyle w:val="Hyperlink"/>
          </w:rPr>
          <w:t xml:space="preserve">10.64861/OHUO6863</w:t>
        </w:r>
      </w:hyperlink>
    </w:p>
    <w:p>
      <w:pPr>
        <w:pStyle w:val="BodyText"/>
        <w:spacing w:line="480" w:lineRule="auto"/>
        <w:ind w:firstLine="720"/>
      </w:pPr>
      <w:bookmarkStart w:id="190" w:name="ref-21"/>
      <w:bookmarkEnd w:id="190"/>
      <w:r>
        <w:t xml:space="preserve">21. Robert Carden, MITRE; Dustin Burchett, MITRE; Harvey Reed, MITRE. SNARE (Sensor Network Autonomous Resilient Extensible): Decentralized Sensor Tasking Improves SDA Tactical Relevance (2021).</w:t>
      </w:r>
    </w:p>
    <w:p>
      <w:pPr>
        <w:pStyle w:val="BodyText"/>
        <w:spacing w:line="480" w:lineRule="auto"/>
        <w:ind w:firstLine="720"/>
      </w:pPr>
      <w:bookmarkStart w:id="191" w:name="ref-22"/>
      <w:bookmarkEnd w:id="191"/>
      <w:r>
        <w:t xml:space="preserve">22. Kristin Shahady, University of North Dakota. The Future Risk of Space Debris and Contested Environments Increases the Intrinsic and Actual Cost of GEO Slots (2023). doi:</w:t>
      </w:r>
      <w:r>
        <w:t xml:space="preserve"> </w:t>
      </w:r>
      <w:hyperlink r:id="rId166">
        <w:r>
          <w:rPr>
            <w:rStyle w:val="Hyperlink"/>
          </w:rPr>
          <w:t xml:space="preserve">10.64861/DYBG6563</w:t>
        </w:r>
      </w:hyperlink>
    </w:p>
    <w:p>
      <w:pPr>
        <w:pStyle w:val="BodyText"/>
        <w:spacing w:line="480" w:lineRule="auto"/>
        <w:ind w:firstLine="720"/>
      </w:pPr>
      <w:bookmarkStart w:id="192" w:name="ref-23"/>
      <w:bookmarkEnd w:id="192"/>
      <w:r>
        <w:t xml:space="preserve">23. Greg Furlich, University of Colorado Boulder; Angie Crews, University of Colorado Boulder; Steve Rossland, University of Colorado Boulder; John Marino, University of Colorado Boulder; Anthony Mayo, Millennial Software; Douglas Kim, SpaceMap; Peter Ryu, SpaceMap; Chris Tschan, Data Fusion &amp; Neural Networks; Max Brown, Data Fusion &amp; Neural Networks; Ethan Crawford, Data Fusion &amp; Neural Networks; Matthew Leonard, Aloha Autonomy; Rithwik Neelakantan, Digantara; Sheena L. Winder, Kall Morris Inc.; Jack McGuigan, Observable Space; Jesse Williams, GTC Analytics; Brian Goodwin, RAIC Labs; Jubilee Prasad Rao, R4C Tech; Jimson Huang, Purdue University; Sean Ruda, Purdue University; Jack Al-Kahwati, Stardrive Inc.; Yasir Latif, Space Protocol; Samya Bagchi, Space Protocol; Latha Madhuri Pratti, Space Protocol; Cindy Chin, Planetary Systems AI; Mack Reed, Planetary Systems AI; Samantha Louque, Virginia Tech Applied Research Center; Melissa Hills, Virginia Tech Applied Research Center; Dan Pribulick, ICR; Major Travis Pond, SDA Tools, Applications, Processing Lab, SSC, USSF; Scott Brodeur, SDA Tools, Applications, Processing Lab, SSC, USSF; David Kurtenbach, SDA Tools, Applications, Processing Lab, SSC, USSF; Roger Altobelli, SDA Tools, Applications, Processing Lab, SSC, USSF. Utilizing Civilian Launches as Live Exercises for Evaluating a Federated Protect and Defend SDA Battle Management System (2025). doi:</w:t>
      </w:r>
      <w:r>
        <w:t xml:space="preserve"> </w:t>
      </w:r>
      <w:hyperlink r:id="rId168">
        <w:r>
          <w:rPr>
            <w:rStyle w:val="Hyperlink"/>
          </w:rPr>
          <w:t xml:space="preserve">10.64861/PFBR4795</w:t>
        </w:r>
      </w:hyperlink>
    </w:p>
    <w:p>
      <w:pPr>
        <w:pStyle w:val="BodyText"/>
        <w:spacing w:line="480" w:lineRule="auto"/>
        <w:ind w:firstLine="720"/>
      </w:pPr>
      <w:bookmarkStart w:id="193" w:name="ref-24"/>
      <w:bookmarkEnd w:id="193"/>
      <w:r>
        <w:t xml:space="preserve">24. Gil Denis; Didier Alary; Xavier Pasco; Nathalie Pisot; D. Texier; Sandrine Toulza. From new space to big space: How commercial space dream is becoming a reality (2019). doi:</w:t>
      </w:r>
      <w:r>
        <w:t xml:space="preserve"> </w:t>
      </w:r>
      <w:hyperlink r:id="rId170">
        <w:r>
          <w:rPr>
            <w:rStyle w:val="Hyperlink"/>
          </w:rPr>
          <w:t xml:space="preserve">10.1016/j.actaastro.2019.08.031</w:t>
        </w:r>
      </w:hyperlink>
    </w:p>
    <w:p>
      <w:pPr>
        <w:pStyle w:val="BodyText"/>
        <w:spacing w:line="480" w:lineRule="auto"/>
        <w:ind w:firstLine="720"/>
      </w:pPr>
      <w:bookmarkStart w:id="194" w:name="ref-25"/>
      <w:bookmarkEnd w:id="194"/>
      <w:r>
        <w:t xml:space="preserve">25. Gustavo Dalmarco; Rita Alexandra de Lourenço Roriz Mendes; Ana Correia Simões; Ariane Mello Silva Avila. 3D printing Lift-Off? The use of additive manufacturing in spacecraft components (2026). doi:</w:t>
      </w:r>
      <w:r>
        <w:t xml:space="preserve"> </w:t>
      </w:r>
      <w:hyperlink r:id="rId172">
        <w:r>
          <w:rPr>
            <w:rStyle w:val="Hyperlink"/>
          </w:rPr>
          <w:t xml:space="preserve">10.1016/j.actaastro.2026.03.057</w:t>
        </w:r>
      </w:hyperlink>
    </w:p>
    <w:p>
      <w:pPr>
        <w:pStyle w:val="BodyText"/>
        <w:spacing w:line="480" w:lineRule="auto"/>
        <w:ind w:firstLine="720"/>
      </w:pPr>
      <w:bookmarkStart w:id="195" w:name="ref-26"/>
      <w:bookmarkEnd w:id="195"/>
      <w:r>
        <w:t xml:space="preserve">26. Justin Walsh; Alice Gorman; Paola Castaño. Postorbital discard and chain of custody: The processing of artifacts returning to Earth from the International Space Station (2022). doi:</w:t>
      </w:r>
      <w:r>
        <w:t xml:space="preserve"> </w:t>
      </w:r>
      <w:hyperlink r:id="rId174">
        <w:r>
          <w:rPr>
            <w:rStyle w:val="Hyperlink"/>
          </w:rPr>
          <w:t xml:space="preserve">10.1016/j.actaastro.2022.03.035</w:t>
        </w:r>
      </w:hyperlink>
    </w:p>
    <w:p>
      <w:pPr>
        <w:pStyle w:val="BodyText"/>
        <w:spacing w:line="480" w:lineRule="auto"/>
        <w:ind w:firstLine="720"/>
      </w:pPr>
      <w:bookmarkStart w:id="196" w:name="ref-27"/>
      <w:bookmarkEnd w:id="196"/>
      <w:r>
        <w:t xml:space="preserve">27. Kash Saddul; James Saletes; Minkwan Kim; Alexander Wittig. HexSats: A novel flat hexagonal nanosatellite for high-power applications (2024). doi:</w:t>
      </w:r>
      <w:r>
        <w:t xml:space="preserve"> </w:t>
      </w:r>
      <w:hyperlink r:id="rId176">
        <w:r>
          <w:rPr>
            <w:rStyle w:val="Hyperlink"/>
          </w:rPr>
          <w:t xml:space="preserve">10.1016/j.actaastro.2024.09.007</w:t>
        </w:r>
      </w:hyperlink>
    </w:p>
    <w:p>
      <w:pPr>
        <w:pStyle w:val="BodyText"/>
        <w:spacing w:line="480" w:lineRule="auto"/>
        <w:ind w:firstLine="720"/>
      </w:pPr>
      <w:bookmarkStart w:id="197" w:name="ref-28"/>
      <w:bookmarkEnd w:id="197"/>
      <w:r>
        <w:t xml:space="preserve">28. Manu H. Nair; Mini C. Rai; Sarah Reade; Ori Bloch; Sam Adlen; Martin Soltau; D. Homfray. In-orbit assembly of high-value modular infrastructures: Holistic analysis and mission concepts (2025). doi:</w:t>
      </w:r>
      <w:r>
        <w:t xml:space="preserve"> </w:t>
      </w:r>
      <w:hyperlink r:id="rId178">
        <w:r>
          <w:rPr>
            <w:rStyle w:val="Hyperlink"/>
          </w:rPr>
          <w:t xml:space="preserve">10.1016/j.actaastro.2025.09.070</w:t>
        </w:r>
      </w:hyperlink>
    </w:p>
    <w:p>
      <w:pPr>
        <w:pStyle w:val="BodyText"/>
        <w:spacing w:line="480" w:lineRule="auto"/>
        <w:ind w:firstLine="720"/>
      </w:pPr>
      <w:bookmarkStart w:id="198" w:name="ref-29"/>
      <w:bookmarkEnd w:id="198"/>
      <w:r>
        <w:t xml:space="preserve">29. Alessandro Paravano; Alessandro Paravano; Brendan Rosseau; Giorgio Locatelli; Mathew Weinzierl; Paolo Trucco. Toward the LEO economy: A value assessment of commercial space stations for space and non-space users (2024). doi:</w:t>
      </w:r>
      <w:r>
        <w:t xml:space="preserve"> </w:t>
      </w:r>
      <w:hyperlink r:id="rId180">
        <w:r>
          <w:rPr>
            <w:rStyle w:val="Hyperlink"/>
          </w:rPr>
          <w:t xml:space="preserve">10.1016/j.actaastro.2024.11.060</w:t>
        </w:r>
      </w:hyperlink>
    </w:p>
    <w:p>
      <w:pPr>
        <w:pStyle w:val="BodyText"/>
        <w:spacing w:line="480" w:lineRule="auto"/>
        <w:ind w:firstLine="720"/>
      </w:pPr>
      <w:bookmarkStart w:id="199" w:name="ref-30"/>
      <w:bookmarkEnd w:id="199"/>
      <w:r>
        <w:t xml:space="preserve">30. Farouk Abdulhamid; Brendan P. Sullivan; Sergio Terzi. Factory in space: A review of material and manufacturing technologies (2025). doi:</w:t>
      </w:r>
      <w:r>
        <w:t xml:space="preserve"> </w:t>
      </w:r>
      <w:hyperlink r:id="rId182">
        <w:r>
          <w:rPr>
            <w:rStyle w:val="Hyperlink"/>
          </w:rPr>
          <w:t xml:space="preserve">10.1016/j.actaastro.2025.01.007</w:t>
        </w:r>
      </w:hyperlink>
    </w:p>
    <w:p>
      <w:pPr>
        <w:pStyle w:val="BodyText"/>
        <w:spacing w:line="480" w:lineRule="auto"/>
        <w:ind w:firstLine="720"/>
      </w:pPr>
      <w:bookmarkStart w:id="200" w:name="ref-31"/>
      <w:bookmarkEnd w:id="200"/>
      <w:r>
        <w:t xml:space="preserve">31. Valentina Zancan; Paolo Trucco; Giorgio Locatelli. “Getting things done” or “Doing the right things”? Micro-foundations of product-service strategies in Earth Observation (2026). doi:</w:t>
      </w:r>
      <w:r>
        <w:t xml:space="preserve"> </w:t>
      </w:r>
      <w:hyperlink r:id="rId184">
        <w:r>
          <w:rPr>
            <w:rStyle w:val="Hyperlink"/>
          </w:rPr>
          <w:t xml:space="preserve">10.1016/j.actaastro.2026.01.040</w:t>
        </w:r>
      </w:hyperlink>
    </w:p>
    <w:bookmarkEnd w:id="201"/>
    <w:bookmarkEnd w:id="202"/>
    <w:bookmarkStart w:id="219"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10" w:name="Xff5de6c539a32a0fc1fd5949f2d0d5ab272c158"/>
    <w:p>
      <w:pPr>
        <w:pStyle w:val="Heading2"/>
        <w:spacing w:line="480" w:lineRule="auto"/>
      </w:pPr>
      <w:r>
        <w:t xml:space="preserve">A.1 Signal Intensity in Weaponized Interdependence in the Launch and Component Supply Chain Does Chokep: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203"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5.3723</w:t>
            </w:r>
          </w:p>
        </w:tc>
        <w:tc>
          <w:tcPr>
            <w:tcW w:w="0" w:type="auto"/>
          </w:tcPr>
          <w:p>
            <w:pPr>
              <w:spacing w:line="240" w:lineRule="auto" w:before="0" w:after="0"/>
              <w:pStyle w:val="Compact"/>
            </w:pPr>
            <w:r>
              <w:rPr>
                <w:sz w:val="20"/>
                <w:szCs w:val="20"/>
              </w:rPr>
              <w:t xml:space="preserve">2.5566</w:t>
            </w:r>
          </w:p>
        </w:tc>
        <w:tc>
          <w:tcPr>
            <w:tcW w:w="0" w:type="auto"/>
          </w:tcPr>
          <w:p>
            <w:pPr>
              <w:spacing w:line="240" w:lineRule="auto" w:before="0" w:after="0"/>
              <w:pStyle w:val="Compact"/>
            </w:pPr>
            <w:r>
              <w:rPr>
                <w:sz w:val="20"/>
                <w:szCs w:val="20"/>
              </w:rPr>
              <w:t xml:space="preserve">2.1014</w:t>
            </w:r>
          </w:p>
        </w:tc>
        <w:tc>
          <w:tcPr>
            <w:tcW w:w="0" w:type="auto"/>
          </w:tcPr>
          <w:p>
            <w:pPr>
              <w:spacing w:line="240" w:lineRule="auto" w:before="0" w:after="0"/>
              <w:pStyle w:val="Compact"/>
            </w:pPr>
            <w:r>
              <w:rPr>
                <w:sz w:val="20"/>
                <w:szCs w:val="20"/>
              </w:rPr>
              <w:t xml:space="preserve">0.0356</w:t>
            </w:r>
          </w:p>
        </w:tc>
        <w:tc>
          <w:tcPr>
            <w:tcW w:w="0" w:type="auto"/>
          </w:tcPr>
          <w:p>
            <w:pPr>
              <w:spacing w:line="240" w:lineRule="auto" w:before="0" w:after="0"/>
              <w:pStyle w:val="Compact"/>
            </w:pPr>
            <w:r>
              <w:rPr>
                <w:sz w:val="20"/>
                <w:szCs w:val="20"/>
              </w:rPr>
              <w:t xml:space="preserve">[0.3615, 10.3831]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0.272</w:t>
            </w:r>
          </w:p>
        </w:tc>
        <w:tc>
          <w:tcPr>
            <w:tcW w:w="0" w:type="auto"/>
          </w:tcPr>
          <w:p>
            <w:pPr>
              <w:spacing w:line="240" w:lineRule="auto" w:before="0" w:after="0"/>
              <w:pStyle w:val="Compact"/>
            </w:pPr>
            <w:r>
              <w:rPr>
                <w:sz w:val="20"/>
                <w:szCs w:val="20"/>
              </w:rPr>
              <w:t xml:space="preserve">0.196</w:t>
            </w:r>
          </w:p>
        </w:tc>
        <w:tc>
          <w:tcPr>
            <w:tcW w:w="0" w:type="auto"/>
          </w:tcPr>
          <w:p>
            <w:pPr>
              <w:spacing w:line="240" w:lineRule="auto" w:before="0" w:after="0"/>
              <w:pStyle w:val="Compact"/>
            </w:pPr>
            <w:r>
              <w:rPr>
                <w:sz w:val="20"/>
                <w:szCs w:val="20"/>
              </w:rPr>
              <w:t xml:space="preserve">1.3879</w:t>
            </w:r>
          </w:p>
        </w:tc>
        <w:tc>
          <w:tcPr>
            <w:tcW w:w="0" w:type="auto"/>
          </w:tcPr>
          <w:p>
            <w:pPr>
              <w:spacing w:line="240" w:lineRule="auto" w:before="0" w:after="0"/>
              <w:pStyle w:val="Compact"/>
            </w:pPr>
            <w:r>
              <w:rPr>
                <w:sz w:val="20"/>
                <w:szCs w:val="20"/>
              </w:rPr>
              <w:t xml:space="preserve">0.1652</w:t>
            </w:r>
          </w:p>
        </w:tc>
        <w:tc>
          <w:tcPr>
            <w:tcW w:w="0" w:type="auto"/>
          </w:tcPr>
          <w:p>
            <w:pPr>
              <w:spacing w:line="240" w:lineRule="auto" w:before="0" w:after="0"/>
              <w:pStyle w:val="Compact"/>
            </w:pPr>
            <w:r>
              <w:rPr>
                <w:sz w:val="20"/>
                <w:szCs w:val="20"/>
              </w:rPr>
              <w:t xml:space="preserve">[-0.1121, 0.6561]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0.0232</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4.6154</w:t>
            </w:r>
          </w:p>
        </w:tc>
        <w:tc>
          <w:tcPr>
            <w:tcW w:w="0" w:type="auto"/>
          </w:tcPr>
          <w:p>
            <w:pPr>
              <w:spacing w:line="240" w:lineRule="auto" w:before="0" w:after="0"/>
              <w:pStyle w:val="Compact"/>
            </w:pPr>
            <w:r>
              <w:rPr>
                <w:sz w:val="20"/>
                <w:szCs w:val="20"/>
              </w:rPr>
              <w:t xml:space="preserve">3.923e-06</w:t>
            </w:r>
          </w:p>
        </w:tc>
        <w:tc>
          <w:tcPr>
            <w:tcW w:w="0" w:type="auto"/>
          </w:tcPr>
          <w:p>
            <w:pPr>
              <w:spacing w:line="240" w:lineRule="auto" w:before="0" w:after="0"/>
              <w:pStyle w:val="Compact"/>
            </w:pPr>
            <w:r>
              <w:rPr>
                <w:sz w:val="20"/>
                <w:szCs w:val="20"/>
              </w:rPr>
              <w:t xml:space="preserve">[0.0134, 0.0331]</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-1.3622</w:t>
            </w:r>
          </w:p>
        </w:tc>
        <w:tc>
          <w:tcPr>
            <w:tcW w:w="0" w:type="auto"/>
          </w:tcPr>
          <w:p>
            <w:pPr>
              <w:spacing w:line="240" w:lineRule="auto" w:before="0" w:after="0"/>
              <w:pStyle w:val="Compact"/>
            </w:pPr>
            <w:r>
              <w:rPr>
                <w:sz w:val="20"/>
                <w:szCs w:val="20"/>
              </w:rPr>
              <w:t xml:space="preserve">0.5768</w:t>
            </w:r>
          </w:p>
        </w:tc>
        <w:tc>
          <w:tcPr>
            <w:tcW w:w="0" w:type="auto"/>
          </w:tcPr>
          <w:p>
            <w:pPr>
              <w:spacing w:line="240" w:lineRule="auto" w:before="0" w:after="0"/>
              <w:pStyle w:val="Compact"/>
            </w:pPr>
            <w:r>
              <w:rPr>
                <w:sz w:val="20"/>
                <w:szCs w:val="20"/>
              </w:rPr>
              <w:t xml:space="preserve">-2.3618</w:t>
            </w:r>
          </w:p>
        </w:tc>
        <w:tc>
          <w:tcPr>
            <w:tcW w:w="0" w:type="auto"/>
          </w:tcPr>
          <w:p>
            <w:pPr>
              <w:spacing w:line="240" w:lineRule="auto" w:before="0" w:after="0"/>
              <w:pStyle w:val="Compact"/>
            </w:pPr>
            <w:r>
              <w:rPr>
                <w:sz w:val="20"/>
                <w:szCs w:val="20"/>
              </w:rPr>
              <w:t xml:space="preserve">0.0182</w:t>
            </w:r>
          </w:p>
        </w:tc>
        <w:tc>
          <w:tcPr>
            <w:tcW w:w="0" w:type="auto"/>
          </w:tcPr>
          <w:p>
            <w:pPr>
              <w:spacing w:line="240" w:lineRule="auto" w:before="0" w:after="0"/>
              <w:pStyle w:val="Compact"/>
            </w:pPr>
            <w:r>
              <w:rPr>
                <w:sz w:val="20"/>
                <w:szCs w:val="20"/>
              </w:rPr>
              <w:t xml:space="preserve">[-2.4927, -0.2318]</w:t>
            </w:r>
          </w:p>
        </w:tc>
      </w:tr>
    </w:tbl>
    <w:p>
      <w:pPr>
        <w:pStyle w:val="BodyText"/>
        <w:spacing w:line="480" w:lineRule="auto"/>
        <w:ind w:firstLine="720"/>
      </w:pPr>
      <w:r>
        <w:t xml:space="preserve">Fit: N = 30 R2 = 0.3313 R2_adj = 0.2541 F = 12.1462 F_p = 3.708e-05</w:t>
      </w:r>
    </w:p>
    <w:bookmarkEnd w:id="203"/>
    <w:bookmarkStart w:id="207"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205" name="Picture"/>
            <a:graphic>
              <a:graphicData uri="http://schemas.openxmlformats.org/drawingml/2006/picture">
                <pic:pic>
                  <pic:nvPicPr>
                    <pic:cNvPr descr="D:/Claude_Code/brain/collegium/candidates/dissertations/INTL_GOVERNANCE_06/research_papers/p1/paper_fig1.png" id="206" name="Picture"/>
                    <pic:cNvPicPr>
                      <a:picLocks noChangeArrowheads="1" noChangeAspect="1"/>
                    </pic:cNvPicPr>
                  </pic:nvPicPr>
                  <pic:blipFill>
                    <a:blip r:embed="rId20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207"/>
    <w:bookmarkStart w:id="208"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https://amostech.space/year/2017/satellite-articulation-characterization-from-an-image-trajectory-matrix-using-optimization/</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10.64861/CEPU7718</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10.64861/OHUO6863</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https://amostech.space/year/2021/snare-sensor-network-autonomous-resilient-extensible-decentralized-sensor-tasking-improves-sda-tactical-relevance/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10.64861/DYBG6563</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10.64861/PFBR4795</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10.64861/FWBL2094</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https://amostech.space/year/2015/from-dye-laser-factory-to-portable-semiconductor-laser-four-generations-of-sodium-guide-star-lasers-for-adaptive-optics-in-astronomy-and-space-situational-awareness/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10.64861/COAK4355</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10.1016/j.actaastro.2019.08.031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10.1016/j.actaastro.2026.03.057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10.1016/j.actaastro.2022.03.035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10.1016/j.actaastro.2024.09.007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10.1016/j.actaastro.2025.01.007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10.1016/j.actaastro.2026.01.040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10.1016/j.actaastro.2023.06.035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 Sawik, �Space mission risk, sustainability and supply chain: Review, multi-ob</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bl>
    <w:bookmarkEnd w:id="208"/>
    <w:bookmarkStart w:id="209"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209"/>
    <w:bookmarkEnd w:id="210"/>
    <w:bookmarkStart w:id="218" w:name="Xc122b4edb159ac7669b1f1f49edcdbc30459146"/>
    <w:p>
      <w:pPr>
        <w:pStyle w:val="Heading2"/>
        <w:spacing w:line="480" w:lineRule="auto"/>
      </w:pPr>
      <w:r>
        <w:t xml:space="preserve">A.2 Attention Accumulation in Weaponized Interdependence in the Launch and Component Supply Chain Does Chokep: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211"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0.8839</w:t>
            </w:r>
          </w:p>
        </w:tc>
        <w:tc>
          <w:tcPr>
            <w:tcW w:w="0" w:type="auto"/>
          </w:tcPr>
          <w:p>
            <w:pPr>
              <w:spacing w:line="240" w:lineRule="auto" w:before="0" w:after="0"/>
              <w:pStyle w:val="Compact"/>
            </w:pPr>
            <w:r>
              <w:rPr>
                <w:sz w:val="20"/>
                <w:szCs w:val="20"/>
              </w:rPr>
              <w:t xml:space="preserve">0.4822</w:t>
            </w:r>
          </w:p>
        </w:tc>
        <w:tc>
          <w:tcPr>
            <w:tcW w:w="0" w:type="auto"/>
          </w:tcPr>
          <w:p>
            <w:pPr>
              <w:spacing w:line="240" w:lineRule="auto" w:before="0" w:after="0"/>
              <w:pStyle w:val="Compact"/>
            </w:pPr>
            <w:r>
              <w:rPr>
                <w:sz w:val="20"/>
                <w:szCs w:val="20"/>
              </w:rPr>
              <w:t xml:space="preserve">1.833</w:t>
            </w:r>
          </w:p>
        </w:tc>
        <w:tc>
          <w:tcPr>
            <w:tcW w:w="0" w:type="auto"/>
          </w:tcPr>
          <w:p>
            <w:pPr>
              <w:spacing w:line="240" w:lineRule="auto" w:before="0" w:after="0"/>
              <w:pStyle w:val="Compact"/>
            </w:pPr>
            <w:r>
              <w:rPr>
                <w:sz w:val="20"/>
                <w:szCs w:val="20"/>
              </w:rPr>
              <w:t xml:space="preserve">0.0668</w:t>
            </w:r>
          </w:p>
        </w:tc>
        <w:tc>
          <w:tcPr>
            <w:tcW w:w="0" w:type="auto"/>
          </w:tcPr>
          <w:p>
            <w:pPr>
              <w:spacing w:line="240" w:lineRule="auto" w:before="0" w:after="0"/>
              <w:pStyle w:val="Compact"/>
            </w:pPr>
            <w:r>
              <w:rPr>
                <w:sz w:val="20"/>
                <w:szCs w:val="20"/>
              </w:rPr>
              <w:t xml:space="preserve">[-0.0612, 1.8291]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-0.0159</w:t>
            </w:r>
          </w:p>
        </w:tc>
        <w:tc>
          <w:tcPr>
            <w:tcW w:w="0" w:type="auto"/>
          </w:tcPr>
          <w:p>
            <w:pPr>
              <w:spacing w:line="240" w:lineRule="auto" w:before="0" w:after="0"/>
              <w:pStyle w:val="Compact"/>
            </w:pPr>
            <w:r>
              <w:rPr>
                <w:sz w:val="20"/>
                <w:szCs w:val="20"/>
              </w:rPr>
              <w:t xml:space="preserve">0.3765</w:t>
            </w:r>
          </w:p>
        </w:tc>
        <w:tc>
          <w:tcPr>
            <w:tcW w:w="0" w:type="auto"/>
          </w:tcPr>
          <w:p>
            <w:pPr>
              <w:spacing w:line="240" w:lineRule="auto" w:before="0" w:after="0"/>
              <w:pStyle w:val="Compact"/>
            </w:pPr>
            <w:r>
              <w:rPr>
                <w:sz w:val="20"/>
                <w:szCs w:val="20"/>
              </w:rPr>
              <w:t xml:space="preserve">-0.0422</w:t>
            </w:r>
          </w:p>
        </w:tc>
        <w:tc>
          <w:tcPr>
            <w:tcW w:w="0" w:type="auto"/>
          </w:tcPr>
          <w:p>
            <w:pPr>
              <w:spacing w:line="240" w:lineRule="auto" w:before="0" w:after="0"/>
              <w:pStyle w:val="Compact"/>
            </w:pPr>
            <w:r>
              <w:rPr>
                <w:sz w:val="20"/>
                <w:szCs w:val="20"/>
              </w:rPr>
              <w:t xml:space="preserve">0.9663</w:t>
            </w:r>
          </w:p>
        </w:tc>
        <w:tc>
          <w:tcPr>
            <w:tcW w:w="0" w:type="auto"/>
          </w:tcPr>
          <w:p>
            <w:pPr>
              <w:spacing w:line="240" w:lineRule="auto" w:before="0" w:after="0"/>
              <w:pStyle w:val="Compact"/>
            </w:pPr>
            <w:r>
              <w:rPr>
                <w:sz w:val="20"/>
                <w:szCs w:val="20"/>
              </w:rPr>
              <w:t xml:space="preserve">[-0.7538, 0.722]</w:t>
            </w:r>
          </w:p>
        </w:tc>
      </w:tr>
    </w:tbl>
    <w:p>
      <w:pPr>
        <w:pStyle w:val="BodyText"/>
        <w:spacing w:line="480" w:lineRule="auto"/>
        <w:ind w:firstLine="720"/>
      </w:pPr>
      <w:r>
        <w:t xml:space="preserve">Fit: N = 30 R2 = 4.951e-05 elasticity_b = -0.0159 progress_ratio_2^b = 0.989</w:t>
      </w:r>
    </w:p>
    <w:bookmarkEnd w:id="211"/>
    <w:bookmarkStart w:id="215"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213" name="Picture"/>
            <a:graphic>
              <a:graphicData uri="http://schemas.openxmlformats.org/drawingml/2006/picture">
                <pic:pic>
                  <pic:nvPicPr>
                    <pic:cNvPr descr="D:/Claude_Code/brain/collegium/candidates/dissertations/INTL_GOVERNANCE_06/research_papers/p2/paper_fig1.png" id="214" name="Picture"/>
                    <pic:cNvPicPr>
                      <a:picLocks noChangeArrowheads="1" noChangeAspect="1"/>
                    </pic:cNvPicPr>
                  </pic:nvPicPr>
                  <pic:blipFill>
                    <a:blip r:embed="rId21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215"/>
    <w:bookmarkStart w:id="216"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https://amostech.space/year/2017/satellite-articulation-characterization-from-an-image-trajectory-matrix-using-optimization/</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10.64861/CEPU7718</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10.64861/OHUO6863</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https://amostech.space/year/2021/snare-sensor-network-autonomous-resilient-extensible-decentralized-sensor-tasking-improves-sda-tactical-relevance/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10.64861/DYBG6563</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10.64861/PFBR4795</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10.64861/FWBL2094</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https://amostech.space/year/2015/from-dye-laser-factory-to-portable-semiconductor-laser-four-generations-of-sodium-guide-star-lasers-for-adaptive-optics-in-astronomy-and-space-situational-awareness/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10.64861/COAK4355</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171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10.1016/j.actaastro.2019.08.031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10.1016/j.actaastro.2026.03.057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10.1016/j.actaastro.2022.03.035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10.1016/j.actaastro.2024.09.007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10.1016/j.actaastro.2025.01.007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10.1016/j.actaastro.2026.01.040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10.1016/j.actaastro.2023.06.035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B. Sawik, �Space mission risk, sustainability and supply chain: Review, multi-ob</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bl>
    <w:bookmarkEnd w:id="216"/>
    <w:bookmarkStart w:id="217"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217"/>
    <w:bookmarkEnd w:id="218"/>
    <w:bookmarkEnd w:id="21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04" Type="http://schemas.openxmlformats.org/officeDocument/2006/relationships/image" Target="media/rId204.png"/><Relationship Id="rId212" Type="http://schemas.openxmlformats.org/officeDocument/2006/relationships/image" Target="media/rId212.png"/><Relationship Id="rId170" Type="http://schemas.openxmlformats.org/officeDocument/2006/relationships/hyperlink" Target="https://doi.org/10.1016/j.actaastro.2019.08.031" TargetMode="External"/><Relationship Id="rId174" Type="http://schemas.openxmlformats.org/officeDocument/2006/relationships/hyperlink" Target="https://doi.org/10.1016/j.actaastro.2022.03.035" TargetMode="External"/><Relationship Id="rId176" Type="http://schemas.openxmlformats.org/officeDocument/2006/relationships/hyperlink" Target="https://doi.org/10.1016/j.actaastro.2024.09.007" TargetMode="External"/><Relationship Id="rId180" Type="http://schemas.openxmlformats.org/officeDocument/2006/relationships/hyperlink" Target="https://doi.org/10.1016/j.actaastro.2024.11.060" TargetMode="External"/><Relationship Id="rId182" Type="http://schemas.openxmlformats.org/officeDocument/2006/relationships/hyperlink" Target="https://doi.org/10.1016/j.actaastro.2025.01.007" TargetMode="External"/><Relationship Id="rId178" Type="http://schemas.openxmlformats.org/officeDocument/2006/relationships/hyperlink" Target="https://doi.org/10.1016/j.actaastro.2025.09.070" TargetMode="External"/><Relationship Id="rId184" Type="http://schemas.openxmlformats.org/officeDocument/2006/relationships/hyperlink" Target="https://doi.org/10.1016/j.actaastro.2026.01.040" TargetMode="External"/><Relationship Id="rId172" Type="http://schemas.openxmlformats.org/officeDocument/2006/relationships/hyperlink" Target="https://doi.org/10.1016/j.actaastro.2026.03.057" TargetMode="External"/><Relationship Id="rId161" Type="http://schemas.openxmlformats.org/officeDocument/2006/relationships/hyperlink" Target="https://doi.org/10.64861/CEPU7718" TargetMode="External"/><Relationship Id="rId159" Type="http://schemas.openxmlformats.org/officeDocument/2006/relationships/hyperlink" Target="https://doi.org/10.64861/CKQN3841" TargetMode="External"/><Relationship Id="rId166" Type="http://schemas.openxmlformats.org/officeDocument/2006/relationships/hyperlink" Target="https://doi.org/10.64861/DYBG6563" TargetMode="External"/><Relationship Id="rId157" Type="http://schemas.openxmlformats.org/officeDocument/2006/relationships/hyperlink" Target="https://doi.org/10.64861/MVHC2799" TargetMode="External"/><Relationship Id="rId163" Type="http://schemas.openxmlformats.org/officeDocument/2006/relationships/hyperlink" Target="https://doi.org/10.64861/OHUO6863" TargetMode="External"/><Relationship Id="rId168" Type="http://schemas.openxmlformats.org/officeDocument/2006/relationships/hyperlink" Target="https://doi.org/10.64861/PFBR4795" TargetMode="External"/></Relationships>
</file>

<file path=word/_rels/footnotes.xml.rels><?xml version='1.0' encoding='UTF-8' standalone='yes'?>
<Relationships xmlns="http://schemas.openxmlformats.org/package/2006/relationships"><Relationship Id="rId170" Type="http://schemas.openxmlformats.org/officeDocument/2006/relationships/hyperlink" Target="https://doi.org/10.1016/j.actaastro.2019.08.031" TargetMode="External"/><Relationship Id="rId174" Type="http://schemas.openxmlformats.org/officeDocument/2006/relationships/hyperlink" Target="https://doi.org/10.1016/j.actaastro.2022.03.035" TargetMode="External"/><Relationship Id="rId176" Type="http://schemas.openxmlformats.org/officeDocument/2006/relationships/hyperlink" Target="https://doi.org/10.1016/j.actaastro.2024.09.007" TargetMode="External"/><Relationship Id="rId180" Type="http://schemas.openxmlformats.org/officeDocument/2006/relationships/hyperlink" Target="https://doi.org/10.1016/j.actaastro.2024.11.060" TargetMode="External"/><Relationship Id="rId182" Type="http://schemas.openxmlformats.org/officeDocument/2006/relationships/hyperlink" Target="https://doi.org/10.1016/j.actaastro.2025.01.007" TargetMode="External"/><Relationship Id="rId178" Type="http://schemas.openxmlformats.org/officeDocument/2006/relationships/hyperlink" Target="https://doi.org/10.1016/j.actaastro.2025.09.070" TargetMode="External"/><Relationship Id="rId184" Type="http://schemas.openxmlformats.org/officeDocument/2006/relationships/hyperlink" Target="https://doi.org/10.1016/j.actaastro.2026.01.040" TargetMode="External"/><Relationship Id="rId172" Type="http://schemas.openxmlformats.org/officeDocument/2006/relationships/hyperlink" Target="https://doi.org/10.1016/j.actaastro.2026.03.057" TargetMode="External"/><Relationship Id="rId161" Type="http://schemas.openxmlformats.org/officeDocument/2006/relationships/hyperlink" Target="https://doi.org/10.64861/CEPU7718" TargetMode="External"/><Relationship Id="rId159" Type="http://schemas.openxmlformats.org/officeDocument/2006/relationships/hyperlink" Target="https://doi.org/10.64861/CKQN3841" TargetMode="External"/><Relationship Id="rId166" Type="http://schemas.openxmlformats.org/officeDocument/2006/relationships/hyperlink" Target="https://doi.org/10.64861/DYBG6563" TargetMode="External"/><Relationship Id="rId157" Type="http://schemas.openxmlformats.org/officeDocument/2006/relationships/hyperlink" Target="https://doi.org/10.64861/MVHC2799" TargetMode="External"/><Relationship Id="rId163" Type="http://schemas.openxmlformats.org/officeDocument/2006/relationships/hyperlink" Target="https://doi.org/10.64861/OHUO6863" TargetMode="External"/><Relationship Id="rId168" Type="http://schemas.openxmlformats.org/officeDocument/2006/relationships/hyperlink" Target="https://doi.org/10.64861/PFBR47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Weaponized Interdependence in the Launch and Component Supply Chain: Does Chokepoint Control Translate Into Governance Leverage?</dc:title>
  <dc:creator>Ramona Costa (1B-IGV-163)</dc:creator>
  <cp:keywords/>
  <dcterms:created xsi:type="dcterms:W3CDTF">2026-07-04T11:10:11Z</dcterms:created>
  <dcterms:modified xsi:type="dcterms:W3CDTF">2026-07-04T11:10:11Z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