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8.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6" w:name="X6e530ae936efa82bd6b5be9cc485d610c6059e2"/>
    <w:p>
      <w:pPr>
        <w:pStyle w:val="Heading1"/>
      </w:pPr>
      <w:r>
        <w:t xml:space="preserve">Attention Accumulation in Networked Governance Are Transgovernmental Regulator-to-Regulator Ties a Strong: A Learning-Curve Analysis of Citation Growth by Article Age</w:t>
      </w:r>
    </w:p>
    <w:bookmarkStart w:id="61" w:name="introduction"/>
    <w:p>
      <w:pPr>
        <w:pStyle w:val="Heading2"/>
      </w:pPr>
      <w:r>
        <w:t xml:space="preserve">1. Introduction</w:t>
      </w:r>
    </w:p>
    <w:p>
      <w:pPr>
        <w:pStyle w:val="FirstParagraph"/>
      </w:pPr>
      <w:r>
        <w:t xml:space="preserve">This empirical paper supports Gabriel Iverson (1B-IGV-207) and the dissertation project</w:t>
      </w:r>
      <w:r>
        <w:t xml:space="preserve"> </w:t>
      </w:r>
      <w:r>
        <w:rPr>
          <w:i/>
          <w:iCs/>
        </w:rPr>
        <w:t xml:space="preserve">Networked Governance: Are Transgovernmental Regulator-to-Regulator Ties a Strong</w:t>
      </w:r>
      <w:r>
        <w:t xml:space="preserve">. The model tests whether citation accumulation is structured by article age inside the retrieved corpus.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a log-log learning-curve model with robust HC1 standard errors. The exact fit summary is: N=30, R2=0.0007246785466717975, elasticity_b=0.0416575620268819, progress_ratio_2^b=1.0292957408864138. The exact term summary is: const coef=0.5287012063201781 p=0.08266452604954397; _ln_x coef=0.0416575620268819 p=0.8098506086783396.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6" w:name="references"/>
    <w:p>
      <w:pPr>
        <w:pStyle w:val="Heading2"/>
      </w:pPr>
      <w:r>
        <w:t xml:space="preserve">References</w:t>
      </w:r>
    </w:p>
    <w:p>
      <w:pPr>
        <w:pStyle w:val="FirstParagraph"/>
      </w:pPr>
      <w:bookmarkStart w:id="67" w:name="ref-1"/>
      <w:bookmarkEnd w:id="67"/>
      <w:r>
        <w:t xml:space="preserve">1. Makena Young, Center for Strategic and International Studies; Akhil Thadani, Center for Strategic and International Studies. Low-Orbit, High Stakes: Winning the LEO Broadband Competition (2022). [AMOS]</w:t>
      </w:r>
      <w:r>
        <w:t xml:space="preserve"> </w:t>
      </w:r>
      <w:bookmarkStart w:id="68" w:name="ref-2"/>
      <w:bookmarkEnd w:id="68"/>
      <w:r>
        <w:t xml:space="preserve">2. John Goehring, National Geospatial-Intelligence Agency. U.S. Commercial Space Regulation: The Rule of Three (2022). [AMOS]</w:t>
      </w:r>
      <w:r>
        <w:t xml:space="preserve"> </w:t>
      </w:r>
      <w:bookmarkStart w:id="69" w:name="ref-3"/>
      <w:bookmarkEnd w:id="69"/>
      <w:r>
        <w:t xml:space="preserve">3. Rina Zhang, Science and Technology Policy Institute; Asha Balakrishnan, Science and Technology Policy Institute. From Ozone Depletion to Orbital Debris: Lessons Learned from the Montreal Protocol (2022). [AMOS]</w:t>
      </w:r>
      <w:r>
        <w:t xml:space="preserve"> </w:t>
      </w:r>
      <w:bookmarkStart w:id="70" w:name="ref-4"/>
      <w:bookmarkEnd w:id="70"/>
      <w:r>
        <w:t xml:space="preserve">4. Makena Young, Aerospace Security Project. Trends in Global Space Situational Awareness (2021). [AMOS]</w:t>
      </w:r>
      <w:r>
        <w:t xml:space="preserve"> </w:t>
      </w:r>
      <w:bookmarkStart w:id="71" w:name="ref-5"/>
      <w:bookmarkEnd w:id="71"/>
      <w:r>
        <w:t xml:space="preserve">5. Garry Newsam (Defence Science and Technology Organisation). Surveillance of Space in Australia (2008). [AMOS]</w:t>
      </w:r>
      <w:r>
        <w:t xml:space="preserve"> </w:t>
      </w:r>
      <w:bookmarkStart w:id="72" w:name="ref-6"/>
      <w:bookmarkEnd w:id="72"/>
      <w:r>
        <w:t xml:space="preserve">6. Todd Harrison, Center for Strategic and International Studies. International Perspectives on Space Weapons (2020). [AMOS]</w:t>
      </w:r>
      <w:r>
        <w:t xml:space="preserve"> </w:t>
      </w:r>
      <w:bookmarkStart w:id="73" w:name="ref-7"/>
      <w:bookmarkEnd w:id="73"/>
      <w:r>
        <w:t xml:space="preserve">7. Mariel Borowitz, Georgia Institute of Technology; Brian Gunter, Georgia Institute of Technology; Megan Birch, Georgia Tech Research Institute; Richard Macke, Georgia Institute of Technology. An Investigation into Potential Collision Maneuver Guidelines for Future Space Traffic Management (2021). [AMOS]</w:t>
      </w:r>
      <w:r>
        <w:t xml:space="preserve"> </w:t>
      </w:r>
      <w:bookmarkStart w:id="74" w:name="ref-8"/>
      <w:bookmarkEnd w:id="74"/>
      <w:r>
        <w:t xml:space="preserve">8. Stanislav Ponomarev, Raytheon BBN; Bishal Thapa, Raytheon BBN; Syed Naqvi, Raytheon BBN. Distributed, Disrupted, Disconnected, and Denied (D4) (2023). doi:</w:t>
      </w:r>
      <w:r>
        <w:t xml:space="preserve"> </w:t>
      </w:r>
      <w:hyperlink r:id="rId75">
        <w:r>
          <w:rPr>
            <w:rStyle w:val="Hyperlink"/>
          </w:rPr>
          <w:t xml:space="preserve">10.64861/ZLBP3943</w:t>
        </w:r>
      </w:hyperlink>
    </w:p>
    <w:bookmarkEnd w:id="76"/>
    <w:bookmarkStart w:id="77"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End w:id="77"/>
    <w:bookmarkStart w:id="81"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0.5287</w:t>
            </w:r>
          </w:p>
        </w:tc>
        <w:tc>
          <w:tcPr>
            <w:tcW w:w="0" w:type="auto"/>
          </w:tcPr>
          <w:p>
            <w:pPr>
              <w:spacing w:line="240" w:lineRule="auto" w:before="0" w:after="0"/>
              <w:pStyle w:val="Compact"/>
            </w:pPr>
            <w:r>
              <w:rPr>
                <w:sz w:val="20"/>
                <w:szCs w:val="20"/>
              </w:rPr>
              <w:t xml:space="preserve">0.3047</w:t>
            </w:r>
          </w:p>
        </w:tc>
        <w:tc>
          <w:tcPr>
            <w:tcW w:w="0" w:type="auto"/>
          </w:tcPr>
          <w:p>
            <w:pPr>
              <w:spacing w:line="240" w:lineRule="auto" w:before="0" w:after="0"/>
              <w:pStyle w:val="Compact"/>
            </w:pPr>
            <w:r>
              <w:rPr>
                <w:sz w:val="20"/>
                <w:szCs w:val="20"/>
              </w:rPr>
              <w:t xml:space="preserve">1.7354</w:t>
            </w:r>
          </w:p>
        </w:tc>
        <w:tc>
          <w:tcPr>
            <w:tcW w:w="0" w:type="auto"/>
          </w:tcPr>
          <w:p>
            <w:pPr>
              <w:spacing w:line="240" w:lineRule="auto" w:before="0" w:after="0"/>
              <w:pStyle w:val="Compact"/>
            </w:pPr>
            <w:r>
              <w:rPr>
                <w:sz w:val="20"/>
                <w:szCs w:val="20"/>
              </w:rPr>
              <w:t xml:space="preserve">0.0827</w:t>
            </w:r>
          </w:p>
        </w:tc>
        <w:tc>
          <w:tcPr>
            <w:tcW w:w="0" w:type="auto"/>
          </w:tcPr>
          <w:p>
            <w:pPr>
              <w:spacing w:line="240" w:lineRule="auto" w:before="0" w:after="0"/>
              <w:pStyle w:val="Compact"/>
            </w:pPr>
            <w:r>
              <w:rPr>
                <w:sz w:val="20"/>
                <w:szCs w:val="20"/>
              </w:rPr>
              <w:t xml:space="preserve">[-0.0684, 1.1258]</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0.0417</w:t>
            </w:r>
          </w:p>
        </w:tc>
        <w:tc>
          <w:tcPr>
            <w:tcW w:w="0" w:type="auto"/>
          </w:tcPr>
          <w:p>
            <w:pPr>
              <w:spacing w:line="240" w:lineRule="auto" w:before="0" w:after="0"/>
              <w:pStyle w:val="Compact"/>
            </w:pPr>
            <w:r>
              <w:rPr>
                <w:sz w:val="20"/>
                <w:szCs w:val="20"/>
              </w:rPr>
              <w:t xml:space="preserve">0.1731</w:t>
            </w:r>
          </w:p>
        </w:tc>
        <w:tc>
          <w:tcPr>
            <w:tcW w:w="0" w:type="auto"/>
          </w:tcPr>
          <w:p>
            <w:pPr>
              <w:spacing w:line="240" w:lineRule="auto" w:before="0" w:after="0"/>
              <w:pStyle w:val="Compact"/>
            </w:pPr>
            <w:r>
              <w:rPr>
                <w:sz w:val="20"/>
                <w:szCs w:val="20"/>
              </w:rPr>
              <w:t xml:space="preserve">0.2406</w:t>
            </w:r>
          </w:p>
        </w:tc>
        <w:tc>
          <w:tcPr>
            <w:tcW w:w="0" w:type="auto"/>
          </w:tcPr>
          <w:p>
            <w:pPr>
              <w:spacing w:line="240" w:lineRule="auto" w:before="0" w:after="0"/>
              <w:pStyle w:val="Compact"/>
            </w:pPr>
            <w:r>
              <w:rPr>
                <w:sz w:val="20"/>
                <w:szCs w:val="20"/>
              </w:rPr>
              <w:t xml:space="preserve">0.8099</w:t>
            </w:r>
          </w:p>
        </w:tc>
        <w:tc>
          <w:tcPr>
            <w:tcW w:w="0" w:type="auto"/>
          </w:tcPr>
          <w:p>
            <w:pPr>
              <w:spacing w:line="240" w:lineRule="auto" w:before="0" w:after="0"/>
              <w:pStyle w:val="Compact"/>
            </w:pPr>
            <w:r>
              <w:rPr>
                <w:sz w:val="20"/>
                <w:szCs w:val="20"/>
              </w:rPr>
              <w:t xml:space="preserve">[-0.2977, 0.381]</w:t>
            </w:r>
          </w:p>
        </w:tc>
      </w:tr>
    </w:tbl>
    <w:p>
      <w:pPr>
        <w:pStyle w:val="BodyText"/>
      </w:pPr>
      <w:r>
        <w:t xml:space="preserve">Fit: N = 30 R2 = 0.0007247 elasticity_b = 0.0417 progress_ratio_2^b = 1.0293</w:t>
      </w:r>
    </w:p>
    <w:p>
      <w:pPr>
        <w:pStyle w:val="CaptionedFigure"/>
      </w:pPr>
      <w:r>
        <w:drawing>
          <wp:inline>
            <wp:extent cx="5669280" cy="3657600"/>
            <wp:effectExtent b="0" l="0" r="0" t="0"/>
            <wp:docPr descr="Figure 1. Citation accumulation against article age in the retrieved topic literature." title="" id="79" name="Picture"/>
            <a:graphic>
              <a:graphicData uri="http://schemas.openxmlformats.org/drawingml/2006/picture">
                <pic:pic>
                  <pic:nvPicPr>
                    <pic:cNvPr descr="D:\Claude_Code\brain\collegium\candidates\dissertations\INTL_GOVERNANCE_05\research_papers\p2\paper_fig1.png" id="80" name="Picture"/>
                    <pic:cNvPicPr>
                      <a:picLocks noChangeArrowheads="1" noChangeAspect="1"/>
                    </pic:cNvPicPr>
                  </pic:nvPicPr>
                  <pic:blipFill>
                    <a:blip r:embed="rId7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Citation accumulation against article age in the retrieved topic literature.</w:t>
      </w:r>
    </w:p>
    <w:bookmarkEnd w:id="81"/>
    <w:bookmarkStart w:id="85"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2"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https://amostech.space/year/2022/low-orbit-high-stakes-winning-the-leo-broadband-competition/</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https://amostech.space/year/2022/u-s-commercial-space-regulation-the-rule-of-three/</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https://amostech.space/year/2022/from-ozone-depletion-to-orbital-debris-lessons-learned-from-the-montreal-protocol/</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https://amostech.space/year/2021/trends-in-global-space-situational-awareness/</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https://amostech.space/year/2008/surveillance-of-space-in-australia/</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https://amostech.space/year/2020/international-perspectives-on-space-weapons/</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https://amostech.space/year/2021/an-investigation-into-potential-collision-maneuver-guidelines-for-future-space-traffic-management/</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10.64861/ZLBP3943</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10.64861/UFGA3568</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https://amostech.space/year/2018/the-governance-of-space-situational-awareness-revolution-not-evolution/</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10.64861/SYQO6621</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10.64861/GOTU4160</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10.1016/j.actaastro.2019.10.014</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10.1016/j.actaastro.2023.01.016</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10.1016/j.actaastro.2022.06.005</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10.1016/j.actaastro.2025.04.063</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10.1016/j.actaastro.2024.01.039</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10.1016/j.actaastro.2023.07.009</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10.1016/j.actaastro.2025.12.024</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10.1016/j.actaastro.2026.02.021</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10.1016/j.actaastro.2026.03.026</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10.1016/j.actaastro.2022.02.012</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10.1016/j.actaastro.2026.02.013</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10.1016/j.actaastro.2026.05.065</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SFA Space Economy and Integrated Deterrence</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Leveraging Circular Economy for Space Sustainability</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Space Imperative (Whole-of-Nation)</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Stilwell et al. (ASCEND 2025) propose a policy-based orbital classification framework for LEO that draws on aviation airspace classification to establish performance-based entry requirements tied to congestion and collision risk, supported by econometric analysis of satellite-dependent Fortune 500/100 company financial impacts.</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Stilwell et al. (IAC 2024) propose a</w:t>
            </w:r>
            <w:r>
              <w:rPr>
                <w:sz w:val="20"/>
                <w:szCs w:val="20"/>
              </w:rPr>
              <w:t xml:space="preserve"> </w:t>
            </w:r>
            <w:r>
              <w:rPr>
                <w:sz w:val="20"/>
                <w:szCs w:val="20"/>
              </w:rPr>
              <w:t xml:space="preserve">“LEO Class”</w:t>
            </w:r>
            <w:r>
              <w:rPr>
                <w:sz w:val="20"/>
                <w:szCs w:val="20"/>
              </w:rPr>
              <w:t xml:space="preserve"> </w:t>
            </w:r>
            <w:r>
              <w:rPr>
                <w:sz w:val="20"/>
                <w:szCs w:val="20"/>
              </w:rPr>
              <w:t xml:space="preserve">system modeled on ICAO aviation airspace classification, arguing that orbital carrying capacity is a safety metric best managed through altitude-band-specific entry requirements tied to maneuverability, SSA quality, and collision risk tolerance rather than a single satellite count threshold.</w:t>
            </w:r>
          </w:p>
        </w:tc>
      </w:tr>
    </w:tbl>
    <w:bookmarkEnd w:id="82"/>
    <w:bookmarkStart w:id="83"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83"/>
    <w:bookmarkStart w:id="84"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0.5287</w:t>
            </w:r>
          </w:p>
        </w:tc>
        <w:tc>
          <w:tcPr>
            <w:tcW w:w="0" w:type="auto"/>
          </w:tcPr>
          <w:p>
            <w:pPr>
              <w:spacing w:line="240" w:lineRule="auto" w:before="0" w:after="0"/>
              <w:pStyle w:val="Compact"/>
            </w:pPr>
            <w:r>
              <w:rPr>
                <w:sz w:val="20"/>
                <w:szCs w:val="20"/>
              </w:rPr>
              <w:t xml:space="preserve">0.3047</w:t>
            </w:r>
          </w:p>
        </w:tc>
        <w:tc>
          <w:tcPr>
            <w:tcW w:w="0" w:type="auto"/>
          </w:tcPr>
          <w:p>
            <w:pPr>
              <w:spacing w:line="240" w:lineRule="auto" w:before="0" w:after="0"/>
              <w:pStyle w:val="Compact"/>
            </w:pPr>
            <w:r>
              <w:rPr>
                <w:sz w:val="20"/>
                <w:szCs w:val="20"/>
              </w:rPr>
              <w:t xml:space="preserve">1.7354</w:t>
            </w:r>
          </w:p>
        </w:tc>
        <w:tc>
          <w:tcPr>
            <w:tcW w:w="0" w:type="auto"/>
          </w:tcPr>
          <w:p>
            <w:pPr>
              <w:spacing w:line="240" w:lineRule="auto" w:before="0" w:after="0"/>
              <w:pStyle w:val="Compact"/>
            </w:pPr>
            <w:r>
              <w:rPr>
                <w:sz w:val="20"/>
                <w:szCs w:val="20"/>
              </w:rPr>
              <w:t xml:space="preserve">0.0827</w:t>
            </w:r>
          </w:p>
        </w:tc>
        <w:tc>
          <w:tcPr>
            <w:tcW w:w="0" w:type="auto"/>
          </w:tcPr>
          <w:p>
            <w:pPr>
              <w:spacing w:line="240" w:lineRule="auto" w:before="0" w:after="0"/>
              <w:pStyle w:val="Compact"/>
            </w:pPr>
            <w:r>
              <w:rPr>
                <w:sz w:val="20"/>
                <w:szCs w:val="20"/>
              </w:rPr>
              <w:t xml:space="preserve">[-0.0684, 1.1258]</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0.0417</w:t>
            </w:r>
          </w:p>
        </w:tc>
        <w:tc>
          <w:tcPr>
            <w:tcW w:w="0" w:type="auto"/>
          </w:tcPr>
          <w:p>
            <w:pPr>
              <w:spacing w:line="240" w:lineRule="auto" w:before="0" w:after="0"/>
              <w:pStyle w:val="Compact"/>
            </w:pPr>
            <w:r>
              <w:rPr>
                <w:sz w:val="20"/>
                <w:szCs w:val="20"/>
              </w:rPr>
              <w:t xml:space="preserve">0.1731</w:t>
            </w:r>
          </w:p>
        </w:tc>
        <w:tc>
          <w:tcPr>
            <w:tcW w:w="0" w:type="auto"/>
          </w:tcPr>
          <w:p>
            <w:pPr>
              <w:spacing w:line="240" w:lineRule="auto" w:before="0" w:after="0"/>
              <w:pStyle w:val="Compact"/>
            </w:pPr>
            <w:r>
              <w:rPr>
                <w:sz w:val="20"/>
                <w:szCs w:val="20"/>
              </w:rPr>
              <w:t xml:space="preserve">0.2406</w:t>
            </w:r>
          </w:p>
        </w:tc>
        <w:tc>
          <w:tcPr>
            <w:tcW w:w="0" w:type="auto"/>
          </w:tcPr>
          <w:p>
            <w:pPr>
              <w:spacing w:line="240" w:lineRule="auto" w:before="0" w:after="0"/>
              <w:pStyle w:val="Compact"/>
            </w:pPr>
            <w:r>
              <w:rPr>
                <w:sz w:val="20"/>
                <w:szCs w:val="20"/>
              </w:rPr>
              <w:t xml:space="preserve">0.8099</w:t>
            </w:r>
          </w:p>
        </w:tc>
        <w:tc>
          <w:tcPr>
            <w:tcW w:w="0" w:type="auto"/>
          </w:tcPr>
          <w:p>
            <w:pPr>
              <w:spacing w:line="240" w:lineRule="auto" w:before="0" w:after="0"/>
              <w:pStyle w:val="Compact"/>
            </w:pPr>
            <w:r>
              <w:rPr>
                <w:sz w:val="20"/>
                <w:szCs w:val="20"/>
              </w:rPr>
              <w:t xml:space="preserve">[-0.2977, 0.381]</w:t>
            </w:r>
          </w:p>
        </w:tc>
      </w:tr>
    </w:tbl>
    <w:p>
      <w:pPr>
        <w:pStyle w:val="BodyText"/>
      </w:pPr>
      <w:r>
        <w:t xml:space="preserve">Fit: N = 30 R2 = 0.0007247 elasticity_b = 0.0417 progress_ratio_2^b = 1.0293</w:t>
      </w:r>
    </w:p>
    <w:bookmarkEnd w:id="84"/>
    <w:bookmarkEnd w:id="85"/>
    <w:bookmarkEnd w:id="86"/>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8" Target="media/rId78.png" /><Relationship Type="http://schemas.openxmlformats.org/officeDocument/2006/relationships/hyperlink" Id="rId75" Target="https://doi.org/10.64861/ZLBP3943" TargetMode="External" /></Relationships>
</file>

<file path=word/_rels/footnotes.xml.rels><?xml version="1.0" encoding="UTF-8"?><Relationships xmlns="http://schemas.openxmlformats.org/package/2006/relationships"><Relationship Type="http://schemas.openxmlformats.org/officeDocument/2006/relationships/hyperlink" Id="rId75" Target="https://doi.org/10.64861/ZLBP3943"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2026-06-29T09:40:13Z</dcterms:created>
  <dcterms:modified xsi:type="dcterms:W3CDTF">2026-06-29T09:40:13Z</dcterms:modified>
</cp:coreProperties>
</file>

<file path=docProps/custom.xml><?xml version="1.0" encoding="utf-8"?>
<Properties xmlns="http://schemas.openxmlformats.org/officeDocument/2006/custom-properties" xmlns:vt="http://schemas.openxmlformats.org/officeDocument/2006/docPropsVTypes"/>
</file>