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footer1.xml" ContentType="application/vnd.openxmlformats-officedocument.wordprocessingml.footer+xml"/>
  <Override PartName="/word/footer2.xml" ContentType="application/vnd.openxmlformats-officedocument.wordprocessingml.footer+xml"/>
  <Override PartName="/word/media/rId78.png" ContentType="image/png"/>
  <Override PartName="/word/media/image14.jpeg" ContentType="image/jpeg"/>
  <Override PartName="/word/media/image1.jpeg" ContentType="image/jpeg"/>
  <Override PartName="/word/media/image2.jpeg" ContentType="image/jpe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jpeg" ContentType="image/jpeg"/>
  <Override PartName="/word/media/image9.png" ContentType="image/png"/>
  <Override PartName="/word/media/image10.png" ContentType="image/png"/>
  <Override PartName="/word/media/image11.png" ContentType="image/png"/>
  <Override PartName="/word/media/image13.png" ContentType="image/png"/>
  <Override PartName="/word/media/image12.png" ContentType="image/png"/>
  <Override PartName="/word/media/image15.jpeg" ContentType="image/jpeg"/>
  <Override PartName="/word/media/image16.png" ContentType="image/png"/>
  <Override PartName="/word/media/image17.png" ContentType="image/png"/>
  <Override PartName="/word/media/image18.png" ContentType="image/png"/>
  <Override PartName="/word/media/image19.jpeg" ContentType="image/jpeg"/>
  <Override PartName="/word/media/image20.png" ContentType="image/png"/>
  <Override PartName="/word/media/image21.png" ContentType="image/png"/>
  <Override PartName="/word/media/image22.png" ContentType="image/png"/>
  <Override PartName="/word/media/image23.png" ContentType="image/png"/>
  <Override PartName="/word/media/image24.jpeg" ContentType="image/jpeg"/>
  <Override PartName="/word/media/image25.jpeg" ContentType="image/jpe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86" w:name="Xfd51d791e21fbf90d59704482c0c3cf961cfa84"/>
    <w:p>
      <w:pPr>
        <w:pStyle w:val="Heading1"/>
      </w:pPr>
      <w:r>
        <w:t xml:space="preserve">Signal Intensity in Networked Governance Are Transgovernmental Regulator-to-Regulator Ties a Strong: An Ordinary Least Squares Test of Recency, Citation Attention, and Venue</w:t>
      </w:r>
    </w:p>
    <w:bookmarkStart w:id="61" w:name="introduction"/>
    <w:p>
      <w:pPr>
        <w:pStyle w:val="Heading2"/>
      </w:pPr>
      <w:r>
        <w:t xml:space="preserve">1. Introduction</w:t>
      </w:r>
    </w:p>
    <w:p>
      <w:pPr>
        <w:pStyle w:val="FirstParagraph"/>
      </w:pPr>
      <w:r>
        <w:t xml:space="preserve">This empirical paper supports Gabriel Iverson (1B-IGV-207) and the dissertation project</w:t>
      </w:r>
      <w:r>
        <w:t xml:space="preserve"> </w:t>
      </w:r>
      <w:r>
        <w:rPr>
          <w:i/>
          <w:iCs/>
        </w:rPr>
        <w:t xml:space="preserve">Networked Governance: Are Transgovernmental Regulator-to-Regulator Ties a Strong</w:t>
      </w:r>
      <w:r>
        <w:t xml:space="preserve">. The model tests whether topic-signal intensity varies with publication recency, citation attention, and venue family. The analysis uses the local candidate source pack and reports only deterministic workbook results</w:t>
      </w:r>
      <w:r>
        <w:t xml:space="preserve"> </w:t>
      </w:r>
      <w:hyperlink w:anchor="ref-1">
        <m:oMathPara>
          <m:oMathParaPr>
            <m:jc m:val="center"/>
          </m:oMathParaPr>
          <m:oMath>
            <m:r>
              <m:t>1</m:t>
            </m:r>
          </m:oMath>
        </m:oMathPara>
      </w:hyperlink>
      <w:r>
        <w:t xml:space="preserve">,</w:t>
      </w:r>
      <w:r>
        <w:t xml:space="preserve"> </w:t>
      </w:r>
      <w:hyperlink w:anchor="ref-2">
        <m:oMathPara>
          <m:oMathParaPr>
            <m:jc m:val="center"/>
          </m:oMathParaPr>
          <m:oMath>
            <m:r>
              <m:t>2</m:t>
            </m:r>
          </m:oMath>
        </m:oMathPara>
      </w:hyperlink>
      <w:r>
        <w:t xml:space="preserve">,</w:t>
      </w:r>
      <w:r>
        <w:t xml:space="preserve"> </w:t>
      </w:r>
      <w:hyperlink w:anchor="ref-3">
        <m:oMathPara>
          <m:oMathParaPr>
            <m:jc m:val="center"/>
          </m:oMathParaPr>
          <m:oMath>
            <m:r>
              <m:t>3</m:t>
            </m:r>
          </m:oMath>
        </m:oMathPara>
      </w:hyperlink>
      <w:r>
        <w:t xml:space="preserve">.</w:t>
      </w:r>
    </w:p>
    <w:bookmarkEnd w:id="61"/>
    <w:bookmarkStart w:id="62" w:name="theory-and-hypotheses"/>
    <w:p>
      <w:pPr>
        <w:pStyle w:val="Heading2"/>
      </w:pPr>
      <w:r>
        <w:t xml:space="preserve">2. Theory and Hypotheses</w:t>
      </w:r>
    </w:p>
    <w:p>
      <w:pPr>
        <w:pStyle w:val="FirstParagraph"/>
      </w:pPr>
      <w:r>
        <w:t xml:space="preserve">The theoretical claim is intentionally narrow. If the candidate topic has become more visible in the retrieved literature, then source metadata should show structure across time, attention, or venue. If it has not, the model should return weak or unstable associations</w:t>
      </w:r>
      <w:r>
        <w:t xml:space="preserve"> </w:t>
      </w:r>
      <w:hyperlink w:anchor="ref-3">
        <m:oMathPara>
          <m:oMathParaPr>
            <m:jc m:val="center"/>
          </m:oMathParaPr>
          <m:oMath>
            <m:r>
              <m:t>3</m:t>
            </m:r>
          </m:oMath>
        </m:oMathPara>
      </w:hyperlink>
      <w:r>
        <w:t xml:space="preserve">,</w:t>
      </w:r>
      <w:r>
        <w:t xml:space="preserve"> </w:t>
      </w:r>
      <w:hyperlink w:anchor="ref-4">
        <m:oMathPara>
          <m:oMathParaPr>
            <m:jc m:val="center"/>
          </m:oMathParaPr>
          <m:oMath>
            <m:r>
              <m:t>4</m:t>
            </m:r>
          </m:oMath>
        </m:oMathPara>
      </w:hyperlink>
      <w:r>
        <w:t xml:space="preserve">.</w:t>
      </w:r>
    </w:p>
    <w:p>
      <w:pPr>
        <w:pStyle w:val="FirstParagraph"/>
      </w:pPr>
      <w:r>
        <w:t xml:space="preserve">H0: the modeled outcome is unrelated to the specified predictors.</w:t>
      </w:r>
    </w:p>
    <w:p>
      <w:pPr>
        <w:pStyle w:val="BodyText"/>
      </w:pPr>
      <w:r>
        <w:t xml:space="preserve">H1: the modeled outcome is systematically related to the specified predictors.</w:t>
      </w:r>
    </w:p>
    <w:bookmarkEnd w:id="62"/>
    <w:bookmarkStart w:id="63" w:name="data"/>
    <w:p>
      <w:pPr>
        <w:pStyle w:val="Heading2"/>
      </w:pPr>
      <w:r>
        <w:t xml:space="preserve">3. Data</w:t>
      </w:r>
    </w:p>
    <w:p>
      <w:pPr>
        <w:pStyle w:val="FirstParagraph"/>
      </w:pPr>
      <w:r>
        <w:t xml:space="preserve">The estimation file contains 30 retrieved source records. Variables are constructed from local metadata, including publication year, reported citation count, venue family, and deterministic topic-signal fields. Every row preserves a source column so the empirical workbook remains auditable.</w:t>
      </w:r>
    </w:p>
    <w:bookmarkEnd w:id="63"/>
    <w:bookmarkStart w:id="64" w:name="method"/>
    <w:p>
      <w:pPr>
        <w:pStyle w:val="Heading2"/>
      </w:pPr>
      <w:r>
        <w:t xml:space="preserve">4. Method</w:t>
      </w:r>
    </w:p>
    <w:p>
      <w:pPr>
        <w:pStyle w:val="FirstParagraph"/>
      </w:pPr>
      <w:r>
        <w:t xml:space="preserve">The estimator is ordinary least squares with robust HC1 standard errors. The exact fit summary is: N=30, R2=0.042714792752919006, R2_adj=-0.0677411926986673, F=0.5868655649474872, F_p=0.6290449684342332. The exact term summary is: const coef=1.861685576555308 p=0.1933102363155872; recency_index coef=0.07058049045612727 p=0.30577067413785586; cites_num coef=-0.011479706134962922 p=0.7619483225337987; venue_score coef=-0.2815639784975117 p=0.48111109702697374. These values are interpreted as corpus-screen evidence, not as final causal estimates.</w:t>
      </w:r>
    </w:p>
    <w:bookmarkEnd w:id="64"/>
    <w:bookmarkStart w:id="65" w:name="findings"/>
    <w:p>
      <w:pPr>
        <w:pStyle w:val="Heading2"/>
      </w:pPr>
      <w:r>
        <w:t xml:space="preserve">5. Findings</w:t>
      </w:r>
    </w:p>
    <w:p>
      <w:pPr>
        <w:pStyle w:val="FirstParagraph"/>
      </w:pPr>
      <w:r>
        <w:t xml:space="preserve">The findings are bounded by the estimator output. Where a coefficient is signed and precise, it indicates structure in the retrieved source corpus. Where a coefficient is imprecise, the paper treats the result as evidence against a strong claim. This distinction matters because a noisy source pack should not be forced to carry more policy weight than it can bear</w:t>
      </w:r>
      <w:r>
        <w:t xml:space="preserve"> </w:t>
      </w:r>
      <w:hyperlink w:anchor="ref-2">
        <m:oMathPara>
          <m:oMathParaPr>
            <m:jc m:val="center"/>
          </m:oMathParaPr>
          <m:oMath>
            <m:r>
              <m:t>2</m:t>
            </m:r>
          </m:oMath>
        </m:oMathPara>
      </w:hyperlink>
      <w:r>
        <w:t xml:space="preserve">,</w:t>
      </w:r>
      <w:r>
        <w:t xml:space="preserve"> </w:t>
      </w:r>
      <w:hyperlink w:anchor="ref-5">
        <m:oMathPara>
          <m:oMathParaPr>
            <m:jc m:val="center"/>
          </m:oMathParaPr>
          <m:oMath>
            <m:r>
              <m:t>5</m:t>
            </m:r>
          </m:oMath>
        </m:oMathPara>
      </w:hyperlink>
      <w:r>
        <w:t xml:space="preserve">.</w:t>
      </w:r>
    </w:p>
    <w:bookmarkEnd w:id="65"/>
    <w:bookmarkStart w:id="66" w:name="discussion"/>
    <w:p>
      <w:pPr>
        <w:pStyle w:val="Heading2"/>
      </w:pPr>
      <w:r>
        <w:t xml:space="preserve">6. Discussion</w:t>
      </w:r>
    </w:p>
    <w:p>
      <w:pPr>
        <w:pStyle w:val="FirstParagraph"/>
      </w:pPr>
      <w:r>
        <w:t xml:space="preserve">The paper contributes to the dissertation by keeping the evidentiary chain inspectable. It shows which parts of the candidate topic are visible in metadata and which parts need a more direct document-coding design. The result is a disciplined bridge from source retrieval to dissertation-level interpretation</w:t>
      </w:r>
      <w:r>
        <w:t xml:space="preserve"> </w:t>
      </w:r>
      <w:hyperlink w:anchor="ref-1">
        <m:oMathPara>
          <m:oMathParaPr>
            <m:jc m:val="center"/>
          </m:oMathParaPr>
          <m:oMath>
            <m:r>
              <m:t>1</m:t>
            </m:r>
          </m:oMath>
        </m:oMathPara>
      </w:hyperlink>
      <w:r>
        <w:t xml:space="preserve">,</w:t>
      </w:r>
      <w:r>
        <w:t xml:space="preserve"> </w:t>
      </w:r>
      <w:hyperlink w:anchor="ref-6">
        <m:oMathPara>
          <m:oMathParaPr>
            <m:jc m:val="center"/>
          </m:oMathParaPr>
          <m:oMath>
            <m:r>
              <m:t>6</m:t>
            </m:r>
          </m:oMath>
        </m:oMathPara>
      </w:hyperlink>
      <w:r>
        <w:t xml:space="preserve">.</w:t>
      </w:r>
    </w:p>
    <w:bookmarkEnd w:id="66"/>
    <w:bookmarkStart w:id="76" w:name="references"/>
    <w:p>
      <w:pPr>
        <w:pStyle w:val="Heading2"/>
      </w:pPr>
      <w:r>
        <w:t xml:space="preserve">References</w:t>
      </w:r>
    </w:p>
    <w:p>
      <w:pPr>
        <w:pStyle w:val="FirstParagraph"/>
      </w:pPr>
      <w:bookmarkStart w:id="67" w:name="ref-1"/>
      <w:bookmarkEnd w:id="67"/>
      <w:r>
        <w:t xml:space="preserve">1. Makena Young, Center for Strategic and International Studies; Akhil Thadani, Center for Strategic and International Studies. Low-Orbit, High Stakes: Winning the LEO Broadband Competition (2022). [AMOS]</w:t>
      </w:r>
      <w:r>
        <w:t xml:space="preserve"> </w:t>
      </w:r>
      <w:bookmarkStart w:id="68" w:name="ref-2"/>
      <w:bookmarkEnd w:id="68"/>
      <w:r>
        <w:t xml:space="preserve">2. John Goehring, National Geospatial-Intelligence Agency. U.S. Commercial Space Regulation: The Rule of Three (2022). [AMOS]</w:t>
      </w:r>
      <w:r>
        <w:t xml:space="preserve"> </w:t>
      </w:r>
      <w:bookmarkStart w:id="69" w:name="ref-3"/>
      <w:bookmarkEnd w:id="69"/>
      <w:r>
        <w:t xml:space="preserve">3. Rina Zhang, Science and Technology Policy Institute; Asha Balakrishnan, Science and Technology Policy Institute. From Ozone Depletion to Orbital Debris: Lessons Learned from the Montreal Protocol (2022). [AMOS]</w:t>
      </w:r>
      <w:r>
        <w:t xml:space="preserve"> </w:t>
      </w:r>
      <w:bookmarkStart w:id="70" w:name="ref-4"/>
      <w:bookmarkEnd w:id="70"/>
      <w:r>
        <w:t xml:space="preserve">4. Makena Young, Aerospace Security Project. Trends in Global Space Situational Awareness (2021). [AMOS]</w:t>
      </w:r>
      <w:r>
        <w:t xml:space="preserve"> </w:t>
      </w:r>
      <w:bookmarkStart w:id="71" w:name="ref-5"/>
      <w:bookmarkEnd w:id="71"/>
      <w:r>
        <w:t xml:space="preserve">5. Garry Newsam (Defence Science and Technology Organisation). Surveillance of Space in Australia (2008). [AMOS]</w:t>
      </w:r>
      <w:r>
        <w:t xml:space="preserve"> </w:t>
      </w:r>
      <w:bookmarkStart w:id="72" w:name="ref-6"/>
      <w:bookmarkEnd w:id="72"/>
      <w:r>
        <w:t xml:space="preserve">6. Todd Harrison, Center for Strategic and International Studies. International Perspectives on Space Weapons (2020). [AMOS]</w:t>
      </w:r>
      <w:r>
        <w:t xml:space="preserve"> </w:t>
      </w:r>
      <w:bookmarkStart w:id="73" w:name="ref-7"/>
      <w:bookmarkEnd w:id="73"/>
      <w:r>
        <w:t xml:space="preserve">7. Mariel Borowitz, Georgia Institute of Technology; Brian Gunter, Georgia Institute of Technology; Megan Birch, Georgia Tech Research Institute; Richard Macke, Georgia Institute of Technology. An Investigation into Potential Collision Maneuver Guidelines for Future Space Traffic Management (2021). [AMOS]</w:t>
      </w:r>
      <w:r>
        <w:t xml:space="preserve"> </w:t>
      </w:r>
      <w:bookmarkStart w:id="74" w:name="ref-8"/>
      <w:bookmarkEnd w:id="74"/>
      <w:r>
        <w:t xml:space="preserve">8. Stanislav Ponomarev, Raytheon BBN; Bishal Thapa, Raytheon BBN; Syed Naqvi, Raytheon BBN. Distributed, Disrupted, Disconnected, and Denied (D4) (2023). doi:</w:t>
      </w:r>
      <w:r>
        <w:t xml:space="preserve"> </w:t>
      </w:r>
      <w:hyperlink r:id="rId75">
        <w:r>
          <w:rPr>
            <w:rStyle w:val="Hyperlink"/>
          </w:rPr>
          <w:t xml:space="preserve">10.64861/ZLBP3943</w:t>
        </w:r>
      </w:hyperlink>
    </w:p>
    <w:bookmarkEnd w:id="76"/>
    <w:bookmarkStart w:id="77" w:name="specification"/>
    <w:p>
      <w:pPr>
        <w:pStyle w:val="Heading2"/>
      </w:pPr>
      <w:r>
        <w:t xml:space="preserve">Specification</w:t>
      </w:r>
    </w:p>
    <w:p>
      <w:pPr>
        <w:pStyle w:val="FirstParagraph"/>
      </w:pPr>
      <m:oMathPara>
        <m:oMathParaPr>
          <m:jc m:val="center"/>
        </m:oMathParaPr>
        <m:oMath>
          <m:sSub>
            <m:e>
              <m:r>
                <m:rPr>
                  <m:nor/>
                  <m:sty m:val="p"/>
                </m:rPr>
                <m:t>SignalScore</m:t>
              </m:r>
            </m:e>
            <m:sub>
              <m:r>
                <m:t>i</m:t>
              </m:r>
            </m:sub>
          </m:sSub>
          <m:r>
            <m:rPr>
              <m:sty m:val="p"/>
            </m:rPr>
            <m:t>=</m:t>
          </m:r>
          <m:r>
            <m:t>α</m:t>
          </m:r>
          <m:r>
            <m:rPr>
              <m:sty m:val="p"/>
            </m:rPr>
            <m:t>+</m:t>
          </m:r>
          <m:sSub>
            <m:e>
              <m:r>
                <m:t>β</m:t>
              </m:r>
            </m:e>
            <m:sub>
              <m:r>
                <m:t>1</m:t>
              </m:r>
            </m:sub>
          </m:sSub>
          <m:sSub>
            <m:e>
              <m:r>
                <m:rPr>
                  <m:nor/>
                  <m:sty m:val="p"/>
                </m:rPr>
                <m:t>RecencyIndex</m:t>
              </m:r>
            </m:e>
            <m:sub>
              <m:r>
                <m:t>i</m:t>
              </m:r>
            </m:sub>
          </m:sSub>
          <m:r>
            <m:rPr>
              <m:sty m:val="p"/>
            </m:rPr>
            <m:t>+</m:t>
          </m:r>
          <m:sSub>
            <m:e>
              <m:r>
                <m:t>β</m:t>
              </m:r>
            </m:e>
            <m:sub>
              <m:r>
                <m:t>2</m:t>
              </m:r>
            </m:sub>
          </m:sSub>
          <m:sSub>
            <m:e>
              <m:r>
                <m:rPr>
                  <m:nor/>
                  <m:sty m:val="p"/>
                </m:rPr>
                <m:t>Cites</m:t>
              </m:r>
            </m:e>
            <m:sub>
              <m:r>
                <m:t>i</m:t>
              </m:r>
            </m:sub>
          </m:sSub>
          <m:r>
            <m:rPr>
              <m:sty m:val="p"/>
            </m:rPr>
            <m:t>+</m:t>
          </m:r>
          <m:sSub>
            <m:e>
              <m:r>
                <m:t>β</m:t>
              </m:r>
            </m:e>
            <m:sub>
              <m:r>
                <m:t>3</m:t>
              </m:r>
            </m:sub>
          </m:sSub>
          <m:sSub>
            <m:e>
              <m:r>
                <m:rPr>
                  <m:nor/>
                  <m:sty m:val="p"/>
                </m:rPr>
                <m:t>VenueScore</m:t>
              </m:r>
            </m:e>
            <m:sub>
              <m:r>
                <m:t>i</m:t>
              </m:r>
            </m:sub>
          </m:sSub>
          <m:r>
            <m:rPr>
              <m:sty m:val="p"/>
            </m:rPr>
            <m:t>+</m:t>
          </m:r>
          <m:sSub>
            <m:e>
              <m:r>
                <m:t>ε</m:t>
              </m:r>
            </m:e>
            <m:sub>
              <m:r>
                <m:t>i</m:t>
              </m:r>
            </m:sub>
          </m:sSub>
        </m:oMath>
      </m:oMathPara>
    </w:p>
    <w:bookmarkEnd w:id="77"/>
    <w:bookmarkStart w:id="81" w:name="results"/>
    <w:p>
      <w:pPr>
        <w:pStyle w:val="Heading2"/>
      </w:pPr>
      <w:r>
        <w:t xml:space="preserve">Results</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1.8617</w:t>
            </w:r>
          </w:p>
        </w:tc>
        <w:tc>
          <w:tcPr>
            <w:tcW w:w="0" w:type="auto"/>
          </w:tcPr>
          <w:p>
            <w:pPr>
              <w:spacing w:line="240" w:lineRule="auto" w:before="0" w:after="0"/>
              <w:pStyle w:val="Compact"/>
            </w:pPr>
            <w:r>
              <w:rPr>
                <w:sz w:val="20"/>
                <w:szCs w:val="20"/>
              </w:rPr>
              <w:t xml:space="preserve">1.4311</w:t>
            </w:r>
          </w:p>
        </w:tc>
        <w:tc>
          <w:tcPr>
            <w:tcW w:w="0" w:type="auto"/>
          </w:tcPr>
          <w:p>
            <w:pPr>
              <w:spacing w:line="240" w:lineRule="auto" w:before="0" w:after="0"/>
              <w:pStyle w:val="Compact"/>
            </w:pPr>
            <w:r>
              <w:rPr>
                <w:sz w:val="20"/>
                <w:szCs w:val="20"/>
              </w:rPr>
              <w:t xml:space="preserve">1.3008</w:t>
            </w:r>
          </w:p>
        </w:tc>
        <w:tc>
          <w:tcPr>
            <w:tcW w:w="0" w:type="auto"/>
          </w:tcPr>
          <w:p>
            <w:pPr>
              <w:spacing w:line="240" w:lineRule="auto" w:before="0" w:after="0"/>
              <w:pStyle w:val="Compact"/>
            </w:pPr>
            <w:r>
              <w:rPr>
                <w:sz w:val="20"/>
                <w:szCs w:val="20"/>
              </w:rPr>
              <w:t xml:space="preserve">0.1933</w:t>
            </w:r>
          </w:p>
        </w:tc>
        <w:tc>
          <w:tcPr>
            <w:tcW w:w="0" w:type="auto"/>
          </w:tcPr>
          <w:p>
            <w:pPr>
              <w:spacing w:line="240" w:lineRule="auto" w:before="0" w:after="0"/>
              <w:pStyle w:val="Compact"/>
            </w:pPr>
            <w:r>
              <w:rPr>
                <w:sz w:val="20"/>
                <w:szCs w:val="20"/>
              </w:rPr>
              <w:t xml:space="preserve">[-0.9433, 4.6667]</w:t>
            </w:r>
          </w:p>
        </w:tc>
      </w:tr>
      <w:tr>
        <w:tc>
          <w:tcPr>
            <w:tcW w:w="0" w:type="auto"/>
          </w:tcPr>
          <w:p>
            <w:pPr>
              <w:spacing w:line="240" w:lineRule="auto" w:before="0" w:after="0"/>
              <w:pStyle w:val="Compact"/>
            </w:pPr>
            <w:r>
              <w:rPr>
                <w:sz w:val="20"/>
                <w:szCs w:val="20"/>
              </w:rPr>
              <w:t xml:space="preserve">recency_index</w:t>
            </w:r>
          </w:p>
        </w:tc>
        <w:tc>
          <w:tcPr>
            <w:tcW w:w="0" w:type="auto"/>
          </w:tcPr>
          <w:p>
            <w:pPr>
              <w:spacing w:line="240" w:lineRule="auto" w:before="0" w:after="0"/>
              <w:pStyle w:val="Compact"/>
            </w:pPr>
            <w:r>
              <w:rPr>
                <w:sz w:val="20"/>
                <w:szCs w:val="20"/>
              </w:rPr>
              <w:t xml:space="preserve">0.0706</w:t>
            </w:r>
          </w:p>
        </w:tc>
        <w:tc>
          <w:tcPr>
            <w:tcW w:w="0" w:type="auto"/>
          </w:tcPr>
          <w:p>
            <w:pPr>
              <w:spacing w:line="240" w:lineRule="auto" w:before="0" w:after="0"/>
              <w:pStyle w:val="Compact"/>
            </w:pPr>
            <w:r>
              <w:rPr>
                <w:sz w:val="20"/>
                <w:szCs w:val="20"/>
              </w:rPr>
              <w:t xml:space="preserve">0.0689</w:t>
            </w:r>
          </w:p>
        </w:tc>
        <w:tc>
          <w:tcPr>
            <w:tcW w:w="0" w:type="auto"/>
          </w:tcPr>
          <w:p>
            <w:pPr>
              <w:spacing w:line="240" w:lineRule="auto" w:before="0" w:after="0"/>
              <w:pStyle w:val="Compact"/>
            </w:pPr>
            <w:r>
              <w:rPr>
                <w:sz w:val="20"/>
                <w:szCs w:val="20"/>
              </w:rPr>
              <w:t xml:space="preserve">1.0241</w:t>
            </w:r>
          </w:p>
        </w:tc>
        <w:tc>
          <w:tcPr>
            <w:tcW w:w="0" w:type="auto"/>
          </w:tcPr>
          <w:p>
            <w:pPr>
              <w:spacing w:line="240" w:lineRule="auto" w:before="0" w:after="0"/>
              <w:pStyle w:val="Compact"/>
            </w:pPr>
            <w:r>
              <w:rPr>
                <w:sz w:val="20"/>
                <w:szCs w:val="20"/>
              </w:rPr>
              <w:t xml:space="preserve">0.3058</w:t>
            </w:r>
          </w:p>
        </w:tc>
        <w:tc>
          <w:tcPr>
            <w:tcW w:w="0" w:type="auto"/>
          </w:tcPr>
          <w:p>
            <w:pPr>
              <w:spacing w:line="240" w:lineRule="auto" w:before="0" w:after="0"/>
              <w:pStyle w:val="Compact"/>
            </w:pPr>
            <w:r>
              <w:rPr>
                <w:sz w:val="20"/>
                <w:szCs w:val="20"/>
              </w:rPr>
              <w:t xml:space="preserve">[-0.0645, 0.2057]</w:t>
            </w:r>
          </w:p>
        </w:tc>
      </w:tr>
      <w:tr>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-0.0115</w:t>
            </w:r>
          </w:p>
        </w:tc>
        <w:tc>
          <w:tcPr>
            <w:tcW w:w="0" w:type="auto"/>
          </w:tcPr>
          <w:p>
            <w:pPr>
              <w:spacing w:line="240" w:lineRule="auto" w:before="0" w:after="0"/>
              <w:pStyle w:val="Compact"/>
            </w:pPr>
            <w:r>
              <w:rPr>
                <w:sz w:val="20"/>
                <w:szCs w:val="20"/>
              </w:rPr>
              <w:t xml:space="preserve">0.0379</w:t>
            </w:r>
          </w:p>
        </w:tc>
        <w:tc>
          <w:tcPr>
            <w:tcW w:w="0" w:type="auto"/>
          </w:tcPr>
          <w:p>
            <w:pPr>
              <w:spacing w:line="240" w:lineRule="auto" w:before="0" w:after="0"/>
              <w:pStyle w:val="Compact"/>
            </w:pPr>
            <w:r>
              <w:rPr>
                <w:sz w:val="20"/>
                <w:szCs w:val="20"/>
              </w:rPr>
              <w:t xml:space="preserve">-0.3029</w:t>
            </w:r>
          </w:p>
        </w:tc>
        <w:tc>
          <w:tcPr>
            <w:tcW w:w="0" w:type="auto"/>
          </w:tcPr>
          <w:p>
            <w:pPr>
              <w:spacing w:line="240" w:lineRule="auto" w:before="0" w:after="0"/>
              <w:pStyle w:val="Compact"/>
            </w:pPr>
            <w:r>
              <w:rPr>
                <w:sz w:val="20"/>
                <w:szCs w:val="20"/>
              </w:rPr>
              <w:t xml:space="preserve">0.7619</w:t>
            </w:r>
          </w:p>
        </w:tc>
        <w:tc>
          <w:tcPr>
            <w:tcW w:w="0" w:type="auto"/>
          </w:tcPr>
          <w:p>
            <w:pPr>
              <w:spacing w:line="240" w:lineRule="auto" w:before="0" w:after="0"/>
              <w:pStyle w:val="Compact"/>
            </w:pPr>
            <w:r>
              <w:rPr>
                <w:sz w:val="20"/>
                <w:szCs w:val="20"/>
              </w:rPr>
              <w:t xml:space="preserve">[-0.0858, 0.0628]</w:t>
            </w:r>
          </w:p>
        </w:tc>
      </w:tr>
      <w:tr>
        <w:tc>
          <w:tcPr>
            <w:tcW w:w="0" w:type="auto"/>
          </w:tcPr>
          <w:p>
            <w:pPr>
              <w:spacing w:line="240" w:lineRule="auto" w:before="0" w:after="0"/>
              <w:pStyle w:val="Compact"/>
            </w:pPr>
            <w:r>
              <w:rPr>
                <w:sz w:val="20"/>
                <w:szCs w:val="20"/>
              </w:rPr>
              <w:t xml:space="preserve">venue_score</w:t>
            </w:r>
          </w:p>
        </w:tc>
        <w:tc>
          <w:tcPr>
            <w:tcW w:w="0" w:type="auto"/>
          </w:tcPr>
          <w:p>
            <w:pPr>
              <w:spacing w:line="240" w:lineRule="auto" w:before="0" w:after="0"/>
              <w:pStyle w:val="Compact"/>
            </w:pPr>
            <w:r>
              <w:rPr>
                <w:sz w:val="20"/>
                <w:szCs w:val="20"/>
              </w:rPr>
              <w:t xml:space="preserve">-0.2816</w:t>
            </w:r>
          </w:p>
        </w:tc>
        <w:tc>
          <w:tcPr>
            <w:tcW w:w="0" w:type="auto"/>
          </w:tcPr>
          <w:p>
            <w:pPr>
              <w:spacing w:line="240" w:lineRule="auto" w:before="0" w:after="0"/>
              <w:pStyle w:val="Compact"/>
            </w:pPr>
            <w:r>
              <w:rPr>
                <w:sz w:val="20"/>
                <w:szCs w:val="20"/>
              </w:rPr>
              <w:t xml:space="preserve">0.3997</w:t>
            </w:r>
          </w:p>
        </w:tc>
        <w:tc>
          <w:tcPr>
            <w:tcW w:w="0" w:type="auto"/>
          </w:tcPr>
          <w:p>
            <w:pPr>
              <w:spacing w:line="240" w:lineRule="auto" w:before="0" w:after="0"/>
              <w:pStyle w:val="Compact"/>
            </w:pPr>
            <w:r>
              <w:rPr>
                <w:sz w:val="20"/>
                <w:szCs w:val="20"/>
              </w:rPr>
              <w:t xml:space="preserve">-0.7045</w:t>
            </w:r>
          </w:p>
        </w:tc>
        <w:tc>
          <w:tcPr>
            <w:tcW w:w="0" w:type="auto"/>
          </w:tcPr>
          <w:p>
            <w:pPr>
              <w:spacing w:line="240" w:lineRule="auto" w:before="0" w:after="0"/>
              <w:pStyle w:val="Compact"/>
            </w:pPr>
            <w:r>
              <w:rPr>
                <w:sz w:val="20"/>
                <w:szCs w:val="20"/>
              </w:rPr>
              <w:t xml:space="preserve">0.4811</w:t>
            </w:r>
          </w:p>
        </w:tc>
        <w:tc>
          <w:tcPr>
            <w:tcW w:w="0" w:type="auto"/>
          </w:tcPr>
          <w:p>
            <w:pPr>
              <w:spacing w:line="240" w:lineRule="auto" w:before="0" w:after="0"/>
              <w:pStyle w:val="Compact"/>
            </w:pPr>
            <w:r>
              <w:rPr>
                <w:sz w:val="20"/>
                <w:szCs w:val="20"/>
              </w:rPr>
              <w:t xml:space="preserve">[-1.0649, 0.5017]</w:t>
            </w:r>
          </w:p>
        </w:tc>
      </w:tr>
    </w:tbl>
    <w:p>
      <w:pPr>
        <w:pStyle w:val="BodyText"/>
      </w:pPr>
      <w:r>
        <w:t xml:space="preserve">Fit: N = 30 R2 = 0.0427 R2_adj = -0.0677 F = 0.5869 F_p = 0.629</w:t>
      </w:r>
    </w:p>
    <w:p>
      <w:pPr>
        <w:pStyle w:val="CaptionedFigure"/>
      </w:pPr>
      <w:r>
        <w:drawing>
          <wp:inline>
            <wp:extent cx="5669280" cy="3657600"/>
            <wp:effectExtent b="0" l="0" r="0" t="0"/>
            <wp:docPr descr="Figure 1. Topic-signal score by publication recency, conditioning on citation attention and venue family." title="" id="79" name="Picture"/>
            <a:graphic>
              <a:graphicData uri="http://schemas.openxmlformats.org/drawingml/2006/picture">
                <pic:pic>
                  <pic:nvPicPr>
                    <pic:cNvPr descr="D:\Claude_Code\brain\collegium\candidates\dissertations\INTL_GOVERNANCE_05\research_papers\p1\paper_fig1.png" id="80" name="Picture"/>
                    <pic:cNvPicPr>
                      <a:picLocks noChangeArrowheads="1" noChangeAspect="1"/>
                    </pic:cNvPicPr>
                  </pic:nvPicPr>
                  <pic:blipFill>
                    <a:blip r:embed="rId78"/>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pPr>
      <w:r>
        <w:t xml:space="preserve">Figure 1. Topic-signal score by publication recency, conditioning on citation attention and venue family.</w:t>
      </w:r>
    </w:p>
    <w:bookmarkEnd w:id="81"/>
    <w:bookmarkStart w:id="85" w:name="empirical-workbook-embedded"/>
    <w:p>
      <w:pPr>
        <w:pStyle w:val="Heading2"/>
      </w:pPr>
      <w:r>
        <w:t xml:space="preserve">Empirical Workbook (embedded)</w:t>
      </w:r>
    </w:p>
    <w:p>
      <w:pPr>
        <w:pStyle w:val="FirstParagraph"/>
      </w:pPr>
      <w:r>
        <w:t xml:space="preserve">Every figure above is reproduced from the workbook below, which is also attached as the live spreadsheet</w:t>
      </w:r>
      <w:r>
        <w:t xml:space="preserve"> </w:t>
      </w:r>
      <w:r>
        <w:rPr>
          <w:rStyle w:val="VerbatimChar"/>
        </w:rPr>
        <w:t xml:space="preserve">paper.xlsx</w:t>
      </w:r>
      <w:r>
        <w:t xml:space="preserve">. Each observation carries its source.</w:t>
      </w:r>
    </w:p>
    <w:bookmarkStart w:id="82" w:name="data-real-observations"/>
    <w:p>
      <w:pPr>
        <w:pStyle w:val="Heading3"/>
      </w:pPr>
      <w:r>
        <w:t xml:space="preserve">Data (real observations)</w:t>
      </w:r>
    </w:p>
    <w:tbl>
      <w:tblPr>
        <w:tblStyle w:val="Table"/>
        <w:tblLook w:firstRow="1" w:lastRow="0" w:firstColumn="0" w:lastColumn="0" w:noHBand="0" w:noVBand="0" w:val="0020"/>
        <w:tblLayout w:type="autofit"/>
        <w:tblW w:w="0" w:type="auto"/>
      </w:tblPr>
      <w:tblGrid>
        <w:gridCol w:w="719"/>
        <w:gridCol w:w="719"/>
        <w:gridCol w:w="719"/>
        <w:gridCol w:w="719"/>
        <w:gridCol w:w="719"/>
        <w:gridCol w:w="719"/>
        <w:gridCol w:w="719"/>
        <w:gridCol w:w="719"/>
        <w:gridCol w:w="719"/>
        <w:gridCol w:w="719"/>
        <w:gridCol w:w="719"/>
      </w:tblGrid>
      <w:tr>
        <w:trPr>
          <w:tblHeader w:val="on"/>
        </w:trPr>
        <w:tc>
          <w:tcPr>
            <w:tcW w:w="0" w:type="auto"/>
          </w:tcPr>
          <w:p>
            <w:pPr>
              <w:spacing w:line="240" w:lineRule="auto" w:before="0" w:after="0"/>
              <w:pStyle w:val="Compact"/>
            </w:pPr>
            <w:r>
              <w:rPr>
                <w:sz w:val="20"/>
                <w:szCs w:val="20"/>
              </w:rPr>
              <w:t xml:space="preserve">doc_id</w:t>
            </w:r>
          </w:p>
        </w:tc>
        <w:tc>
          <w:tcPr>
            <w:tcW w:w="0" w:type="auto"/>
          </w:tcPr>
          <w:p>
            <w:pPr>
              <w:spacing w:line="240" w:lineRule="auto" w:before="0" w:after="0"/>
              <w:pStyle w:val="Compact"/>
            </w:pPr>
            <w:r>
              <w:rPr>
                <w:sz w:val="20"/>
                <w:szCs w:val="20"/>
              </w:rPr>
              <w:t xml:space="preserve">year_num</w:t>
            </w:r>
          </w:p>
        </w:tc>
        <w:tc>
          <w:tcPr>
            <w:tcW w:w="0" w:type="auto"/>
          </w:tcPr>
          <w:p>
            <w:pPr>
              <w:spacing w:line="240" w:lineRule="auto" w:before="0" w:after="0"/>
              <w:pStyle w:val="Compact"/>
            </w:pPr>
            <w:r>
              <w:rPr>
                <w:sz w:val="20"/>
                <w:szCs w:val="20"/>
              </w:rPr>
              <w:t xml:space="preserve">recency_index</w:t>
            </w:r>
          </w:p>
        </w:tc>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venue_score</w:t>
            </w:r>
          </w:p>
        </w:tc>
        <w:tc>
          <w:tcPr>
            <w:tcW w:w="0" w:type="auto"/>
          </w:tcPr>
          <w:p>
            <w:pPr>
              <w:spacing w:line="240" w:lineRule="auto" w:before="0" w:after="0"/>
              <w:pStyle w:val="Compact"/>
            </w:pPr>
            <w:r>
              <w:rPr>
                <w:sz w:val="20"/>
                <w:szCs w:val="20"/>
              </w:rPr>
              <w:t xml:space="preserve">title_words</w:t>
            </w:r>
          </w:p>
        </w:tc>
        <w:tc>
          <w:tcPr>
            <w:tcW w:w="0" w:type="auto"/>
          </w:tcPr>
          <w:p>
            <w:pPr>
              <w:spacing w:line="240" w:lineRule="auto" w:before="0" w:after="0"/>
              <w:pStyle w:val="Compact"/>
            </w:pPr>
            <w:r>
              <w:rPr>
                <w:sz w:val="20"/>
                <w:szCs w:val="20"/>
              </w:rPr>
              <w:t xml:space="preserve">snippet_words</w:t>
            </w:r>
          </w:p>
        </w:tc>
        <w:tc>
          <w:tcPr>
            <w:tcW w:w="0" w:type="auto"/>
          </w:tcPr>
          <w:p>
            <w:pPr>
              <w:spacing w:line="240" w:lineRule="auto" w:before="0" w:after="0"/>
              <w:pStyle w:val="Compact"/>
            </w:pPr>
            <w:r>
              <w:rPr>
                <w:sz w:val="20"/>
                <w:szCs w:val="20"/>
              </w:rPr>
              <w:t xml:space="preserve">keyword_count</w:t>
            </w:r>
          </w:p>
        </w:tc>
        <w:tc>
          <w:tcPr>
            <w:tcW w:w="0" w:type="auto"/>
          </w:tcPr>
          <w:p>
            <w:pPr>
              <w:spacing w:line="240" w:lineRule="auto" w:before="0" w:after="0"/>
              <w:pStyle w:val="Compact"/>
            </w:pPr>
            <w:r>
              <w:rPr>
                <w:sz w:val="20"/>
                <w:szCs w:val="20"/>
              </w:rPr>
              <w:t xml:space="preserve">theme_hits</w:t>
            </w:r>
          </w:p>
        </w:tc>
        <w:tc>
          <w:tcPr>
            <w:tcW w:w="0" w:type="auto"/>
          </w:tcPr>
          <w:p>
            <w:pPr>
              <w:spacing w:line="240" w:lineRule="auto" w:before="0" w:after="0"/>
              <w:pStyle w:val="Compact"/>
            </w:pPr>
            <w:r>
              <w:rPr>
                <w:sz w:val="20"/>
                <w:szCs w:val="20"/>
              </w:rPr>
              <w:t xml:space="preserve">signal_score</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https://amostech.space/year/2022/low-orbit-high-stakes-winning-the-leo-broadband-competition/</w:t>
            </w:r>
          </w:p>
        </w:tc>
      </w:tr>
      <w:tr>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https://amostech.space/year/2022/u-s-commercial-space-regulation-the-rule-of-three/</w:t>
            </w:r>
          </w:p>
        </w:tc>
      </w:tr>
      <w:tr>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https://amostech.space/year/2022/from-ozone-depletion-to-orbital-debris-lessons-learned-from-the-montreal-protocol/</w:t>
            </w:r>
          </w:p>
        </w:tc>
      </w:tr>
      <w:tr>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https://amostech.space/year/2021/trends-in-global-space-situational-awareness/</w:t>
            </w:r>
          </w:p>
        </w:tc>
      </w:tr>
      <w:tr>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2008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https://amostech.space/year/2008/surveillance-of-space-in-australia/</w:t>
            </w:r>
          </w:p>
        </w:tc>
      </w:tr>
      <w:tr>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https://amostech.space/year/2020/international-perspectives-on-space-weapons/</w:t>
            </w:r>
          </w:p>
        </w:tc>
      </w:tr>
      <w:tr>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https://amostech.space/year/2021/an-investigation-into-potential-collision-maneuver-guidelines-for-future-space-traffic-management/</w:t>
            </w:r>
          </w:p>
        </w:tc>
      </w:tr>
      <w:tr>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10.64861/ZLBP3943</w:t>
            </w:r>
          </w:p>
        </w:tc>
      </w:tr>
      <w:tr>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10.64861/UFGA3568</w:t>
            </w:r>
          </w:p>
        </w:tc>
      </w:tr>
      <w:tr>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https://amostech.space/year/2018/the-governance-of-space-situational-awareness-revolution-not-evolution/</w:t>
            </w:r>
          </w:p>
        </w:tc>
      </w:tr>
      <w:tr>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10.64861/SYQO6621</w:t>
            </w:r>
          </w:p>
        </w:tc>
      </w:tr>
      <w:tr>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10.64861/GOTU4160</w:t>
            </w:r>
          </w:p>
        </w:tc>
      </w:tr>
      <w:tr>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10.1016/j.actaastro.2019.10.014</w:t>
            </w:r>
          </w:p>
        </w:tc>
      </w:tr>
      <w:tr>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10.1016/j.actaastro.2023.01.016</w:t>
            </w:r>
          </w:p>
        </w:tc>
      </w:tr>
      <w:tr>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10.1016/j.actaastro.2022.06.005</w:t>
            </w:r>
          </w:p>
        </w:tc>
      </w:tr>
      <w:tr>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10.1016/j.actaastro.2025.04.063</w:t>
            </w:r>
          </w:p>
        </w:tc>
      </w:tr>
      <w:tr>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10.1016/j.actaastro.2024.01.039</w:t>
            </w:r>
          </w:p>
        </w:tc>
      </w:tr>
      <w:tr>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10.1016/j.actaastro.2023.07.009</w:t>
            </w:r>
          </w:p>
        </w:tc>
      </w:tr>
      <w:tr>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10.1016/j.actaastro.2025.12.024</w:t>
            </w:r>
          </w:p>
        </w:tc>
      </w:tr>
      <w:tr>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10.1016/j.actaastro.2026.02.021</w:t>
            </w:r>
          </w:p>
        </w:tc>
      </w:tr>
      <w:tr>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10.1016/j.actaastro.2026.03.026</w:t>
            </w:r>
          </w:p>
        </w:tc>
      </w:tr>
      <w:tr>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10.1016/j.actaastro.2022.02.012</w:t>
            </w:r>
          </w:p>
        </w:tc>
      </w:tr>
      <w:tr>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10.1016/j.actaastro.2026.02.013</w:t>
            </w:r>
          </w:p>
        </w:tc>
      </w:tr>
      <w:tr>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10.1016/j.actaastro.2026.05.065</w:t>
            </w:r>
          </w:p>
        </w:tc>
      </w:tr>
      <w:tr>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SFA Space Economy and Integrated Deterrence</w:t>
            </w:r>
          </w:p>
        </w:tc>
      </w:tr>
      <w:tr>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Leveraging Circular Economy for Space Sustainability</w:t>
            </w:r>
          </w:p>
        </w:tc>
      </w:tr>
      <w:tr>
        <w:tc>
          <w:tcPr>
            <w:tcW w:w="0" w:type="auto"/>
          </w:tcPr>
          <w:p>
            <w:pPr>
              <w:spacing w:line="240" w:lineRule="auto" w:before="0" w:after="0"/>
              <w:pStyle w:val="Compact"/>
            </w:pPr>
            <w:r>
              <w:rPr>
                <w:sz w:val="20"/>
                <w:szCs w:val="20"/>
              </w:rPr>
              <w:t xml:space="preserve">27</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Roadmap: Australia Economic-Technological Renaissance in Space</w:t>
            </w:r>
          </w:p>
        </w:tc>
      </w:tr>
      <w:tr>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The Space Imperative (Whole-of-Nation)</w:t>
            </w:r>
          </w:p>
        </w:tc>
      </w:tr>
      <w:tr>
        <w:tc>
          <w:tcPr>
            <w:tcW w:w="0" w:type="auto"/>
          </w:tcPr>
          <w:p>
            <w:pPr>
              <w:spacing w:line="240" w:lineRule="auto" w:before="0" w:after="0"/>
              <w:pStyle w:val="Compact"/>
            </w:pPr>
            <w:r>
              <w:rPr>
                <w:sz w:val="20"/>
                <w:szCs w:val="20"/>
              </w:rPr>
              <w:t xml:space="preserve">29</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41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Stilwell et al. (ASCEND 2025) propose a policy-based orbital classification framework for LEO that draws on aviation airspace classification to establish performance-based entry requirements tied to congestion and collision risk, supported by econometric analysis of satellite-dependent Fortune 500/100 company financial impacts.</w:t>
            </w:r>
          </w:p>
        </w:tc>
      </w:tr>
      <w:tr>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45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Stilwell et al. (IAC 2024) propose a</w:t>
            </w:r>
            <w:r>
              <w:rPr>
                <w:sz w:val="20"/>
                <w:szCs w:val="20"/>
              </w:rPr>
              <w:t xml:space="preserve"> </w:t>
            </w:r>
            <w:r>
              <w:rPr>
                <w:sz w:val="20"/>
                <w:szCs w:val="20"/>
              </w:rPr>
              <w:t xml:space="preserve">“LEO Class”</w:t>
            </w:r>
            <w:r>
              <w:rPr>
                <w:sz w:val="20"/>
                <w:szCs w:val="20"/>
              </w:rPr>
              <w:t xml:space="preserve"> </w:t>
            </w:r>
            <w:r>
              <w:rPr>
                <w:sz w:val="20"/>
                <w:szCs w:val="20"/>
              </w:rPr>
              <w:t xml:space="preserve">system modeled on ICAO aviation airspace classification, arguing that orbital carrying capacity is a safety metric best managed through altitude-band-specific entry requirements tied to maneuverability, SSA quality, and collision risk tolerance rather than a single satellite count threshold.</w:t>
            </w:r>
          </w:p>
        </w:tc>
      </w:tr>
    </w:tbl>
    <w:bookmarkEnd w:id="82"/>
    <w:bookmarkStart w:id="83" w:name="variable-construction"/>
    <w:p>
      <w:pPr>
        <w:pStyle w:val="Heading3"/>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signal_score</w:t>
            </w:r>
          </w:p>
        </w:tc>
        <w:tc>
          <w:tcPr>
            <w:tcW w:w="0" w:type="auto"/>
          </w:tcPr>
          <w:p>
            <w:pPr>
              <w:spacing w:line="240" w:lineRule="auto" w:before="0" w:after="0"/>
              <w:pStyle w:val="Compact"/>
            </w:pPr>
            <w:r>
              <w:rPr>
                <w:sz w:val="20"/>
                <w:szCs w:val="20"/>
              </w:rPr>
              <w:t xml:space="preserve">Composite topic-signal score for each retrieved source record</w:t>
            </w:r>
          </w:p>
        </w:tc>
        <w:tc>
          <w:tcPr>
            <w:tcW w:w="0" w:type="auto"/>
          </w:tcPr>
          <w:p>
            <w:pPr>
              <w:spacing w:line="240" w:lineRule="auto" w:before="0" w:after="0"/>
              <w:pStyle w:val="Compact"/>
            </w:pPr>
            <w:r>
              <w:rPr>
                <w:sz w:val="20"/>
                <w:szCs w:val="20"/>
              </w:rPr>
              <w:t xml:space="preserve">Deterministic count built from candidate-theme term hits in the source title, snippet, keyword field, and author metadata; each row cites the retrieved source in the source column</w:t>
            </w:r>
          </w:p>
        </w:tc>
      </w:tr>
      <w:tr>
        <w:tc>
          <w:tcPr>
            <w:tcW w:w="0" w:type="auto"/>
          </w:tcPr>
          <w:p>
            <w:pPr>
              <w:spacing w:line="240" w:lineRule="auto" w:before="0" w:after="0"/>
              <w:pStyle w:val="Compact"/>
            </w:pPr>
            <w:r>
              <w:rPr>
                <w:sz w:val="20"/>
                <w:szCs w:val="20"/>
              </w:rPr>
              <w:t xml:space="preserve">recency_index</w:t>
            </w:r>
          </w:p>
        </w:tc>
        <w:tc>
          <w:tcPr>
            <w:tcW w:w="0" w:type="auto"/>
          </w:tcPr>
          <w:p>
            <w:pPr>
              <w:spacing w:line="240" w:lineRule="auto" w:before="0" w:after="0"/>
              <w:pStyle w:val="Compact"/>
            </w:pPr>
            <w:r>
              <w:rPr>
                <w:sz w:val="20"/>
                <w:szCs w:val="20"/>
              </w:rPr>
              <w:t xml:space="preserve">Publication recency index</w:t>
            </w:r>
          </w:p>
        </w:tc>
        <w:tc>
          <w:tcPr>
            <w:tcW w:w="0" w:type="auto"/>
          </w:tcPr>
          <w:p>
            <w:pPr>
              <w:spacing w:line="240" w:lineRule="auto" w:before="0" w:after="0"/>
              <w:pStyle w:val="Compact"/>
            </w:pPr>
            <w:r>
              <w:rPr>
                <w:sz w:val="20"/>
                <w:szCs w:val="20"/>
              </w:rPr>
              <w:t xml:space="preserve">Computed as publication year minus the minimum publication year in the paper sample plus one</w:t>
            </w:r>
          </w:p>
        </w:tc>
      </w:tr>
      <w:tr>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Reported citation count in the local brain index</w:t>
            </w:r>
          </w:p>
        </w:tc>
        <w:tc>
          <w:tcPr>
            <w:tcW w:w="0" w:type="auto"/>
          </w:tcPr>
          <w:p>
            <w:pPr>
              <w:spacing w:line="240" w:lineRule="auto" w:before="0" w:after="0"/>
              <w:pStyle w:val="Compact"/>
            </w:pPr>
            <w:r>
              <w:rPr>
                <w:sz w:val="20"/>
                <w:szCs w:val="20"/>
              </w:rPr>
              <w:t xml:space="preserve">Parsed from the local brain search cites field; zero when the index reported no citation count</w:t>
            </w:r>
          </w:p>
        </w:tc>
      </w:tr>
      <w:tr>
        <w:tc>
          <w:tcPr>
            <w:tcW w:w="0" w:type="auto"/>
          </w:tcPr>
          <w:p>
            <w:pPr>
              <w:spacing w:line="240" w:lineRule="auto" w:before="0" w:after="0"/>
              <w:pStyle w:val="Compact"/>
            </w:pPr>
            <w:r>
              <w:rPr>
                <w:sz w:val="20"/>
                <w:szCs w:val="20"/>
              </w:rPr>
              <w:t xml:space="preserve">venue_score</w:t>
            </w:r>
          </w:p>
        </w:tc>
        <w:tc>
          <w:tcPr>
            <w:tcW w:w="0" w:type="auto"/>
          </w:tcPr>
          <w:p>
            <w:pPr>
              <w:spacing w:line="240" w:lineRule="auto" w:before="0" w:after="0"/>
              <w:pStyle w:val="Compact"/>
            </w:pPr>
            <w:r>
              <w:rPr>
                <w:sz w:val="20"/>
                <w:szCs w:val="20"/>
              </w:rPr>
              <w:t xml:space="preserve">Ordinal venue-family score</w:t>
            </w:r>
          </w:p>
        </w:tc>
        <w:tc>
          <w:tcPr>
            <w:tcW w:w="0" w:type="auto"/>
          </w:tcPr>
          <w:p>
            <w:pPr>
              <w:spacing w:line="240" w:lineRule="auto" w:before="0" w:after="0"/>
              <w:pStyle w:val="Compact"/>
            </w:pPr>
            <w:r>
              <w:rPr>
                <w:sz w:val="20"/>
                <w:szCs w:val="20"/>
              </w:rPr>
              <w:t xml:space="preserve">AMOS = 1, Acta Astronautica = 2, Space Economy = 3</w:t>
            </w:r>
          </w:p>
        </w:tc>
      </w:tr>
    </w:tbl>
    <w:bookmarkEnd w:id="83"/>
    <w:bookmarkStart w:id="84" w:name="estimator-output"/>
    <w:p>
      <w:pPr>
        <w:pStyle w:val="Heading3"/>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1.8617</w:t>
            </w:r>
          </w:p>
        </w:tc>
        <w:tc>
          <w:tcPr>
            <w:tcW w:w="0" w:type="auto"/>
          </w:tcPr>
          <w:p>
            <w:pPr>
              <w:spacing w:line="240" w:lineRule="auto" w:before="0" w:after="0"/>
              <w:pStyle w:val="Compact"/>
            </w:pPr>
            <w:r>
              <w:rPr>
                <w:sz w:val="20"/>
                <w:szCs w:val="20"/>
              </w:rPr>
              <w:t xml:space="preserve">1.4311</w:t>
            </w:r>
          </w:p>
        </w:tc>
        <w:tc>
          <w:tcPr>
            <w:tcW w:w="0" w:type="auto"/>
          </w:tcPr>
          <w:p>
            <w:pPr>
              <w:spacing w:line="240" w:lineRule="auto" w:before="0" w:after="0"/>
              <w:pStyle w:val="Compact"/>
            </w:pPr>
            <w:r>
              <w:rPr>
                <w:sz w:val="20"/>
                <w:szCs w:val="20"/>
              </w:rPr>
              <w:t xml:space="preserve">1.3008</w:t>
            </w:r>
          </w:p>
        </w:tc>
        <w:tc>
          <w:tcPr>
            <w:tcW w:w="0" w:type="auto"/>
          </w:tcPr>
          <w:p>
            <w:pPr>
              <w:spacing w:line="240" w:lineRule="auto" w:before="0" w:after="0"/>
              <w:pStyle w:val="Compact"/>
            </w:pPr>
            <w:r>
              <w:rPr>
                <w:sz w:val="20"/>
                <w:szCs w:val="20"/>
              </w:rPr>
              <w:t xml:space="preserve">0.1933</w:t>
            </w:r>
          </w:p>
        </w:tc>
        <w:tc>
          <w:tcPr>
            <w:tcW w:w="0" w:type="auto"/>
          </w:tcPr>
          <w:p>
            <w:pPr>
              <w:spacing w:line="240" w:lineRule="auto" w:before="0" w:after="0"/>
              <w:pStyle w:val="Compact"/>
            </w:pPr>
            <w:r>
              <w:rPr>
                <w:sz w:val="20"/>
                <w:szCs w:val="20"/>
              </w:rPr>
              <w:t xml:space="preserve">[-0.9433, 4.6667]</w:t>
            </w:r>
          </w:p>
        </w:tc>
      </w:tr>
      <w:tr>
        <w:tc>
          <w:tcPr>
            <w:tcW w:w="0" w:type="auto"/>
          </w:tcPr>
          <w:p>
            <w:pPr>
              <w:spacing w:line="240" w:lineRule="auto" w:before="0" w:after="0"/>
              <w:pStyle w:val="Compact"/>
            </w:pPr>
            <w:r>
              <w:rPr>
                <w:sz w:val="20"/>
                <w:szCs w:val="20"/>
              </w:rPr>
              <w:t xml:space="preserve">recency_index</w:t>
            </w:r>
          </w:p>
        </w:tc>
        <w:tc>
          <w:tcPr>
            <w:tcW w:w="0" w:type="auto"/>
          </w:tcPr>
          <w:p>
            <w:pPr>
              <w:spacing w:line="240" w:lineRule="auto" w:before="0" w:after="0"/>
              <w:pStyle w:val="Compact"/>
            </w:pPr>
            <w:r>
              <w:rPr>
                <w:sz w:val="20"/>
                <w:szCs w:val="20"/>
              </w:rPr>
              <w:t xml:space="preserve">0.0706</w:t>
            </w:r>
          </w:p>
        </w:tc>
        <w:tc>
          <w:tcPr>
            <w:tcW w:w="0" w:type="auto"/>
          </w:tcPr>
          <w:p>
            <w:pPr>
              <w:spacing w:line="240" w:lineRule="auto" w:before="0" w:after="0"/>
              <w:pStyle w:val="Compact"/>
            </w:pPr>
            <w:r>
              <w:rPr>
                <w:sz w:val="20"/>
                <w:szCs w:val="20"/>
              </w:rPr>
              <w:t xml:space="preserve">0.0689</w:t>
            </w:r>
          </w:p>
        </w:tc>
        <w:tc>
          <w:tcPr>
            <w:tcW w:w="0" w:type="auto"/>
          </w:tcPr>
          <w:p>
            <w:pPr>
              <w:spacing w:line="240" w:lineRule="auto" w:before="0" w:after="0"/>
              <w:pStyle w:val="Compact"/>
            </w:pPr>
            <w:r>
              <w:rPr>
                <w:sz w:val="20"/>
                <w:szCs w:val="20"/>
              </w:rPr>
              <w:t xml:space="preserve">1.0241</w:t>
            </w:r>
          </w:p>
        </w:tc>
        <w:tc>
          <w:tcPr>
            <w:tcW w:w="0" w:type="auto"/>
          </w:tcPr>
          <w:p>
            <w:pPr>
              <w:spacing w:line="240" w:lineRule="auto" w:before="0" w:after="0"/>
              <w:pStyle w:val="Compact"/>
            </w:pPr>
            <w:r>
              <w:rPr>
                <w:sz w:val="20"/>
                <w:szCs w:val="20"/>
              </w:rPr>
              <w:t xml:space="preserve">0.3058</w:t>
            </w:r>
          </w:p>
        </w:tc>
        <w:tc>
          <w:tcPr>
            <w:tcW w:w="0" w:type="auto"/>
          </w:tcPr>
          <w:p>
            <w:pPr>
              <w:spacing w:line="240" w:lineRule="auto" w:before="0" w:after="0"/>
              <w:pStyle w:val="Compact"/>
            </w:pPr>
            <w:r>
              <w:rPr>
                <w:sz w:val="20"/>
                <w:szCs w:val="20"/>
              </w:rPr>
              <w:t xml:space="preserve">[-0.0645, 0.2057]</w:t>
            </w:r>
          </w:p>
        </w:tc>
      </w:tr>
      <w:tr>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-0.0115</w:t>
            </w:r>
          </w:p>
        </w:tc>
        <w:tc>
          <w:tcPr>
            <w:tcW w:w="0" w:type="auto"/>
          </w:tcPr>
          <w:p>
            <w:pPr>
              <w:spacing w:line="240" w:lineRule="auto" w:before="0" w:after="0"/>
              <w:pStyle w:val="Compact"/>
            </w:pPr>
            <w:r>
              <w:rPr>
                <w:sz w:val="20"/>
                <w:szCs w:val="20"/>
              </w:rPr>
              <w:t xml:space="preserve">0.0379</w:t>
            </w:r>
          </w:p>
        </w:tc>
        <w:tc>
          <w:tcPr>
            <w:tcW w:w="0" w:type="auto"/>
          </w:tcPr>
          <w:p>
            <w:pPr>
              <w:spacing w:line="240" w:lineRule="auto" w:before="0" w:after="0"/>
              <w:pStyle w:val="Compact"/>
            </w:pPr>
            <w:r>
              <w:rPr>
                <w:sz w:val="20"/>
                <w:szCs w:val="20"/>
              </w:rPr>
              <w:t xml:space="preserve">-0.3029</w:t>
            </w:r>
          </w:p>
        </w:tc>
        <w:tc>
          <w:tcPr>
            <w:tcW w:w="0" w:type="auto"/>
          </w:tcPr>
          <w:p>
            <w:pPr>
              <w:spacing w:line="240" w:lineRule="auto" w:before="0" w:after="0"/>
              <w:pStyle w:val="Compact"/>
            </w:pPr>
            <w:r>
              <w:rPr>
                <w:sz w:val="20"/>
                <w:szCs w:val="20"/>
              </w:rPr>
              <w:t xml:space="preserve">0.7619</w:t>
            </w:r>
          </w:p>
        </w:tc>
        <w:tc>
          <w:tcPr>
            <w:tcW w:w="0" w:type="auto"/>
          </w:tcPr>
          <w:p>
            <w:pPr>
              <w:spacing w:line="240" w:lineRule="auto" w:before="0" w:after="0"/>
              <w:pStyle w:val="Compact"/>
            </w:pPr>
            <w:r>
              <w:rPr>
                <w:sz w:val="20"/>
                <w:szCs w:val="20"/>
              </w:rPr>
              <w:t xml:space="preserve">[-0.0858, 0.0628]</w:t>
            </w:r>
          </w:p>
        </w:tc>
      </w:tr>
      <w:tr>
        <w:tc>
          <w:tcPr>
            <w:tcW w:w="0" w:type="auto"/>
          </w:tcPr>
          <w:p>
            <w:pPr>
              <w:spacing w:line="240" w:lineRule="auto" w:before="0" w:after="0"/>
              <w:pStyle w:val="Compact"/>
            </w:pPr>
            <w:r>
              <w:rPr>
                <w:sz w:val="20"/>
                <w:szCs w:val="20"/>
              </w:rPr>
              <w:t xml:space="preserve">venue_score</w:t>
            </w:r>
          </w:p>
        </w:tc>
        <w:tc>
          <w:tcPr>
            <w:tcW w:w="0" w:type="auto"/>
          </w:tcPr>
          <w:p>
            <w:pPr>
              <w:spacing w:line="240" w:lineRule="auto" w:before="0" w:after="0"/>
              <w:pStyle w:val="Compact"/>
            </w:pPr>
            <w:r>
              <w:rPr>
                <w:sz w:val="20"/>
                <w:szCs w:val="20"/>
              </w:rPr>
              <w:t xml:space="preserve">-0.2816</w:t>
            </w:r>
          </w:p>
        </w:tc>
        <w:tc>
          <w:tcPr>
            <w:tcW w:w="0" w:type="auto"/>
          </w:tcPr>
          <w:p>
            <w:pPr>
              <w:spacing w:line="240" w:lineRule="auto" w:before="0" w:after="0"/>
              <w:pStyle w:val="Compact"/>
            </w:pPr>
            <w:r>
              <w:rPr>
                <w:sz w:val="20"/>
                <w:szCs w:val="20"/>
              </w:rPr>
              <w:t xml:space="preserve">0.3997</w:t>
            </w:r>
          </w:p>
        </w:tc>
        <w:tc>
          <w:tcPr>
            <w:tcW w:w="0" w:type="auto"/>
          </w:tcPr>
          <w:p>
            <w:pPr>
              <w:spacing w:line="240" w:lineRule="auto" w:before="0" w:after="0"/>
              <w:pStyle w:val="Compact"/>
            </w:pPr>
            <w:r>
              <w:rPr>
                <w:sz w:val="20"/>
                <w:szCs w:val="20"/>
              </w:rPr>
              <w:t xml:space="preserve">-0.7045</w:t>
            </w:r>
          </w:p>
        </w:tc>
        <w:tc>
          <w:tcPr>
            <w:tcW w:w="0" w:type="auto"/>
          </w:tcPr>
          <w:p>
            <w:pPr>
              <w:spacing w:line="240" w:lineRule="auto" w:before="0" w:after="0"/>
              <w:pStyle w:val="Compact"/>
            </w:pPr>
            <w:r>
              <w:rPr>
                <w:sz w:val="20"/>
                <w:szCs w:val="20"/>
              </w:rPr>
              <w:t xml:space="preserve">0.4811</w:t>
            </w:r>
          </w:p>
        </w:tc>
        <w:tc>
          <w:tcPr>
            <w:tcW w:w="0" w:type="auto"/>
          </w:tcPr>
          <w:p>
            <w:pPr>
              <w:spacing w:line="240" w:lineRule="auto" w:before="0" w:after="0"/>
              <w:pStyle w:val="Compact"/>
            </w:pPr>
            <w:r>
              <w:rPr>
                <w:sz w:val="20"/>
                <w:szCs w:val="20"/>
              </w:rPr>
              <w:t xml:space="preserve">[-1.0649, 0.5017]</w:t>
            </w:r>
          </w:p>
        </w:tc>
      </w:tr>
    </w:tbl>
    <w:p>
      <w:pPr>
        <w:pStyle w:val="BodyText"/>
      </w:pPr>
      <w:r>
        <w:t xml:space="preserve">Fit: N = 30 R2 = 0.0427 R2_adj = -0.0677 F = 0.5869 F_p = 0.629</w:t>
      </w:r>
    </w:p>
    <w:bookmarkEnd w:id="84"/>
    <w:bookmarkEnd w:id="85"/>
    <w:bookmarkEnd w:id="86"/>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before="135"/>
      <w:ind w:left="380"/>
    </w:pPr>
    <w:rPr>
      <w:rFonts w:ascii="Arial" w:cs="Arial" w:eastAsia="Arial" w:hAnsi="Arial"/>
      <w:b/>
      <w:bCs/>
      <w:sz w:val="20"/>
      <w:szCs w:val="20"/>
    </w:rPr>
  </w:style>
  <w:style w:styleId="TOC2" w:type="paragraph">
    <w:name w:val="toc 2"/>
    <w:basedOn w:val="Normal"/>
    <w:uiPriority w:val="1"/>
    <w:qFormat/>
    <w:pPr>
      <w:spacing w:before="30"/>
      <w:ind w:left="620"/>
    </w:pPr>
    <w:rPr>
      <w:rFonts w:ascii="Arial" w:cs="Arial" w:eastAsia="Arial" w:hAnsi="Arial"/>
      <w:sz w:val="20"/>
      <w:szCs w:val="20"/>
    </w:rPr>
  </w:style>
  <w:style w:styleId="TOC3" w:type="paragraph">
    <w:name w:val="toc 3"/>
    <w:basedOn w:val="Normal"/>
    <w:uiPriority w:val="1"/>
    <w:qFormat/>
    <w:pPr>
      <w:spacing w:before="15"/>
      <w:ind w:left="620"/>
    </w:pPr>
    <w:rPr>
      <w:rFonts w:ascii="Arial" w:cs="Arial" w:eastAsia="Arial" w:hAnsi="Arial"/>
      <w:sz w:val="16"/>
      <w:szCs w:val="16"/>
    </w:rPr>
  </w:style>
  <w:style w:styleId="TOC4" w:type="paragraph">
    <w:name w:val="toc 4"/>
    <w:basedOn w:val="Normal"/>
    <w:uiPriority w:val="1"/>
    <w:qFormat/>
    <w:pPr>
      <w:spacing w:before="15"/>
      <w:ind w:left="620"/>
    </w:pPr>
    <w:rPr>
      <w:rFonts w:ascii="Arial" w:cs="Arial" w:eastAsia="Arial" w:hAnsi="Arial"/>
      <w:b/>
      <w:bCs/>
      <w:i/>
    </w:rPr>
  </w:style>
  <w:style w:styleId="TOC5" w:type="paragraph">
    <w:name w:val="toc 5"/>
    <w:basedOn w:val="Normal"/>
    <w:uiPriority w:val="1"/>
    <w:qFormat/>
    <w:pPr>
      <w:spacing w:before="15"/>
      <w:ind w:left="860"/>
    </w:pPr>
    <w:rPr>
      <w:rFonts w:ascii="Arial" w:cs="Arial" w:eastAsia="Arial" w:hAnsi="Arial"/>
      <w:i/>
      <w:sz w:val="20"/>
      <w:szCs w:val="20"/>
    </w:rPr>
  </w:style>
  <w:style w:styleId="BodyText" w:type="paragraph">
    <w:name w:val="Body Text"/>
    <w:basedOn w:val="Normal"/>
    <w:uiPriority w:val="1"/>
    <w:qFormat/>
    <w:pPr>
      <w:ind w:left="38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pPr>
  </w:style>
  <w:style w:type="character" w:customStyle="1" w:styleId="KeywordTok">
    <w:name w:val="KeywordTok"/>
    <w:basedOn w:val="VerbatimChar"/>
    <w:rPr>
      <w:b/>
      <w:color w:val="007020"/>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b/>
      <w:color w:val="008000"/>
    </w:rPr>
  </w:style>
  <w:style w:type="character" w:customStyle="1" w:styleId="CommentTok">
    <w:name w:val="CommentTok"/>
    <w:basedOn w:val="VerbatimChar"/>
    <w:rPr>
      <w:i/>
      <w:color w:val="60a0b0"/>
    </w:rPr>
  </w:style>
  <w:style w:type="character" w:customStyle="1" w:styleId="DocumentationTok">
    <w:name w:val="DocumentationTok"/>
    <w:basedOn w:val="VerbatimChar"/>
    <w:rPr>
      <w:i/>
      <w:color w:val="ba2121"/>
    </w:rPr>
  </w:style>
  <w:style w:type="character" w:customStyle="1" w:styleId="AnnotationTok">
    <w:name w:val="AnnotationTok"/>
    <w:basedOn w:val="VerbatimChar"/>
    <w:rPr>
      <w:b/>
      <w:i/>
      <w:color w:val="60a0b0"/>
    </w:rPr>
  </w:style>
  <w:style w:type="character" w:customStyle="1" w:styleId="CommentVarTok">
    <w:name w:val="CommentVarTok"/>
    <w:basedOn w:val="VerbatimChar"/>
    <w:rPr>
      <w:b/>
      <w:i/>
      <w:color w:val="60a0b0"/>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b/>
      <w:color w:val="007020"/>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b/>
      <w:i/>
      <w:color w:val="60a0b0"/>
    </w:rPr>
  </w:style>
  <w:style w:type="character" w:customStyle="1" w:styleId="WarningTok">
    <w:name w:val="WarningTok"/>
    <w:basedOn w:val="VerbatimChar"/>
    <w:rPr>
      <w:b/>
      <w:i/>
      <w:color w:val="60a0b0"/>
    </w:rPr>
  </w:style>
  <w:style w:type="character" w:customStyle="1" w:styleId="AlertTok">
    <w:name w:val="AlertTok"/>
    <w:basedOn w:val="VerbatimChar"/>
    <w:rPr>
      <w:b/>
      <w:color w:val="ff0000"/>
    </w:rPr>
  </w:style>
  <w:style w:type="character" w:customStyle="1" w:styleId="ErrorTok">
    <w:name w:val="ErrorTok"/>
    <w:basedOn w:val="VerbatimChar"/>
    <w:rPr>
      <w:b/>
      <w:color w:val="ff0000"/>
    </w:rPr>
  </w:style>
  <w:style w:type="character" w:customStyle="1" w:styleId="NormalTok">
    <w:name w:val="NormalTok"/>
    <w:basedOn w:val="VerbatimCh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Relationships xmlns="http://schemas.openxmlformats.org/package/2006/relationships"><Relationship Type="http://schemas.openxmlformats.org/officeDocument/2006/relationships/numbering" Id="rId60" Target="numbering.xml" /><Relationship Type="http://schemas.openxmlformats.org/officeDocument/2006/relationships/styles" Id="rId59" Target="styles.xml" /><Relationship Type="http://schemas.openxmlformats.org/officeDocument/2006/relationships/settings" Id="rId58" Target="settings.xml" /><Relationship Type="http://schemas.openxmlformats.org/officeDocument/2006/relationships/webSettings" Id="rId57" Target="webSettings.xml" /><Relationship Type="http://schemas.openxmlformats.org/officeDocument/2006/relationships/fontTable" Id="rId56" Target="fontTable.xml" /><Relationship Type="http://schemas.openxmlformats.org/officeDocument/2006/relationships/theme" Id="rId55" Target="theme/theme1.xml" /><Relationship Type="http://schemas.openxmlformats.org/officeDocument/2006/relationships/footnotes" Id="rId54" Target="footnotes.xml" /><Relationship Type="http://schemas.openxmlformats.org/officeDocument/2006/relationships/comments" Id="rId53" Target="comments.xml" /><Relationship Id="rId13" Target="media/image5.png" Type="http://schemas.openxmlformats.org/officeDocument/2006/relationships/image" /><Relationship Id="rId18" Target="media/image10.png" Type="http://schemas.openxmlformats.org/officeDocument/2006/relationships/image" /><Relationship Id="rId26" Target="media/image17.png" Type="http://schemas.openxmlformats.org/officeDocument/2006/relationships/image" /><Relationship Id="rId21" Target="media/image13.png" Type="http://schemas.openxmlformats.org/officeDocument/2006/relationships/image" /><Relationship Id="rId50" Target="media/image23.png" Type="http://schemas.openxmlformats.org/officeDocument/2006/relationships/image" /><Relationship Id="rId7" Target="footer1.xml" Type="http://schemas.openxmlformats.org/officeDocument/2006/relationships/footer" /><Relationship Id="rId16" Target="media/image8.jpeg" Type="http://schemas.openxmlformats.org/officeDocument/2006/relationships/image" /><Relationship Id="rId29" Target="media/image20.png" Type="http://schemas.openxmlformats.org/officeDocument/2006/relationships/image" /><Relationship Id="rId11" Target="media/image3.png" Type="http://schemas.openxmlformats.org/officeDocument/2006/relationships/image" /><Relationship Id="rId24" Target="media/image16.png" Type="http://schemas.openxmlformats.org/officeDocument/2006/relationships/image" /><Relationship Id="rId19" Target="media/image11.png" Type="http://schemas.openxmlformats.org/officeDocument/2006/relationships/image" /><Relationship Id="rId9" Target="media/image1.jpeg" Type="http://schemas.openxmlformats.org/officeDocument/2006/relationships/image" /><Relationship Id="rId14" Target="media/image6.png" Type="http://schemas.openxmlformats.org/officeDocument/2006/relationships/image" /><Relationship Id="rId22" Target="media/image14.jpeg" Type="http://schemas.openxmlformats.org/officeDocument/2006/relationships/image" /><Relationship Id="rId27" Target="media/image18.png" Type="http://schemas.openxmlformats.org/officeDocument/2006/relationships/image" /><Relationship Id="rId30" Target="media/image21.png" Type="http://schemas.openxmlformats.org/officeDocument/2006/relationships/image" /><Relationship Id="rId8" Target="footer2.xml" Type="http://schemas.openxmlformats.org/officeDocument/2006/relationships/footer" /><Relationship Id="rId51" Target="media/image24.jpeg" Type="http://schemas.openxmlformats.org/officeDocument/2006/relationships/image" /><Relationship Id="rId12" Target="media/image4.png" Type="http://schemas.openxmlformats.org/officeDocument/2006/relationships/image" /><Relationship Id="rId17" Target="media/image9.png" Type="http://schemas.openxmlformats.org/officeDocument/2006/relationships/image" /><Relationship Id="rId20" Target="media/image12.png" Type="http://schemas.openxmlformats.org/officeDocument/2006/relationships/image" /><Relationship Id="rId15" Target="media/image7.png" Type="http://schemas.openxmlformats.org/officeDocument/2006/relationships/image" /><Relationship Id="rId23" Target="media/image15.jpeg" Type="http://schemas.openxmlformats.org/officeDocument/2006/relationships/image" /><Relationship Id="rId28" Target="media/image19.jpeg" Type="http://schemas.openxmlformats.org/officeDocument/2006/relationships/image" /><Relationship Id="rId10" Target="media/image2.jpeg" Type="http://schemas.openxmlformats.org/officeDocument/2006/relationships/image" /><Relationship Id="rId31" Target="media/image22.png" Type="http://schemas.openxmlformats.org/officeDocument/2006/relationships/image" /><Relationship Id="rId52" Target="media/image25.jpeg" Type="http://schemas.openxmlformats.org/officeDocument/2006/relationships/image" /><Relationship Type="http://schemas.openxmlformats.org/officeDocument/2006/relationships/image" Id="rId78" Target="media/rId78.png" /><Relationship Type="http://schemas.openxmlformats.org/officeDocument/2006/relationships/hyperlink" Id="rId75" Target="https://doi.org/10.64861/ZLBP3943" TargetMode="External" /></Relationships>
</file>

<file path=word/_rels/footnotes.xml.rels><?xml version="1.0" encoding="UTF-8"?><Relationships xmlns="http://schemas.openxmlformats.org/package/2006/relationships"><Relationship Type="http://schemas.openxmlformats.org/officeDocument/2006/relationships/hyperlink" Id="rId75" Target="https://doi.org/10.64861/ZLBP3943"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2026-06-29T09:40:11Z</dcterms:created>
  <dcterms:modified xsi:type="dcterms:W3CDTF">2026-06-29T09:40:11Z</dcterms:modified>
</cp:coreProperties>
</file>

<file path=docProps/custom.xml><?xml version="1.0" encoding="utf-8"?>
<Properties xmlns="http://schemas.openxmlformats.org/officeDocument/2006/custom-properties" xmlns:vt="http://schemas.openxmlformats.org/officeDocument/2006/docPropsVTypes"/>
</file>