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NETWORKED GOVERNANCE: ARE TRANSGOVERNMENTAL REGULATOR-TO-REGULATOR TIES A STRONG</w:t>
      </w:r>
    </w:p>
    <w:p>
      <w:pPr>
        <w:jc w:val="center"/>
      </w:pPr>
    </w:p>
    <w:p>
      <w:pPr>
        <w:jc w:val="center"/>
      </w:pPr>
      <w:r>
        <w:rPr>
          <w:rFonts w:ascii="Times New Roman" w:hAnsi="Times New Roman"/>
          <w:sz w:val="24"/>
        </w:rPr>
        <w:t>by</w:t>
      </w:r>
    </w:p>
    <w:p>
      <w:pPr>
        <w:jc w:val="center"/>
      </w:pPr>
      <w:r>
        <w:rPr>
          <w:rFonts w:ascii="Times New Roman" w:hAnsi="Times New Roman"/>
          <w:b/>
          <w:sz w:val="28"/>
        </w:rPr>
        <w:t>Gabriel Iverson</w:t>
      </w:r>
    </w:p>
    <w:p>
      <w:pPr>
        <w:jc w:val="center"/>
      </w:pPr>
      <w:r>
        <w:rPr>
          <w:rFonts w:ascii="Times New Roman" w:hAnsi="Times New Roman"/>
          <w:sz w:val="24"/>
        </w:rPr>
        <w:t>1B-IGV-207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p>
      <w:pPr>
        <w:pStyle w:val="FirstParagraph"/>
        <w:spacing w:line="480" w:lineRule="auto"/>
      </w:pPr>
      <w:r>
        <w:t xml:space="preserve">Space governance rarely arrives on schedule. A hazard becomes visible in the technical literature, operators adapt, analysts publish, and only later do regulators and treaty bodies agree on an operating rule. The lag between visibility and rule is where this dissertation lives. The question that organizes the project is whether networked governance, and specifically the pattern of regulator-to-regulator ties that scholars call transgovernmental, leaves a measurable trace in the documentary record before any formal institution ratifies it. If it does, that trace should be legible in ordinary source metadata: when a document was published, how much citation attention it drew, and the family of venue that carried it. The stakes are not abstract. Low Earth orbit is crowding, situational-awareness data are contested, and commercial actors now move faster than the multilateral machinery built to supervise them</w:t>
      </w:r>
      <w:r>
        <w:t xml:space="preserve"> </w:t>
      </w:r>
      <w:hyperlink w:anchor="ref-1">
        <w:r>
          <w:rPr>
            <w:rStyle w:val="Hyperlink"/>
          </w:rPr>
          <w:t xml:space="preserve">[1]</w:t>
        </w:r>
      </w:hyperlink>
      <w:r>
        <w:t xml:space="preserve"> </w:t>
      </w:r>
      <w:hyperlink w:anchor="ref-2">
        <w:r>
          <w:rPr>
            <w:rStyle w:val="Hyperlink"/>
          </w:rPr>
          <w:t xml:space="preserve">[2]</w:t>
        </w:r>
      </w:hyperlink>
      <w:r>
        <w:t xml:space="preserve">. Under those conditions, the analytically interesting object is not the eventual treaty but the earlier signal, the point at which a governance concern becomes dense enough in the literature that a careful reader could have seen it coming. Practitioners inside agencies live with this timing problem daily. They are asked to justify attention to a risk that has no ratified rule yet, and they need something firmer than intuition to point at.</w:t>
      </w:r>
    </w:p>
    <w:p>
      <w:pPr>
        <w:pStyle w:val="BodyText"/>
        <w:spacing w:line="480" w:lineRule="auto"/>
        <w:ind w:firstLine="720"/>
      </w:pPr>
      <w:r>
        <w:t xml:space="preserve">This project offers one firm thing. It proposes a single falsifiable test and reports only what the local empirical workbooks produce, no more. The point is narrow. The design refuses to let a narrative outrun its evidence.</w:t>
      </w:r>
    </w:p>
    <w:p>
      <w:pPr>
        <w:pStyle w:val="BodyText"/>
        <w:spacing w:line="480" w:lineRule="auto"/>
        <w:ind w:firstLine="720"/>
      </w:pPr>
      <w:r>
        <w:t xml:space="preserve">The wager is small. The discipline is large.</w:t>
      </w:r>
    </w:p>
    <w:bookmarkStart w:id="61" w:name="the-problem-in-plain-terms"/>
    <w:p>
      <w:pPr>
        <w:pStyle w:val="Heading2"/>
        <w:spacing w:line="480" w:lineRule="auto"/>
      </w:pPr>
      <w:r>
        <w:t xml:space="preserve">1.1 The problem in plain terms</w:t>
      </w:r>
    </w:p>
    <w:p>
      <w:pPr>
        <w:pStyle w:val="FirstParagraph"/>
        <w:spacing w:line="480" w:lineRule="auto"/>
      </w:pPr>
      <w:r>
        <w:t xml:space="preserve">Consider how a governance topic actually surfaces. Early work is often technical, describing a collision-avoidance heuristic or a surveillance capability without asking who should be in charge</w:t>
      </w:r>
      <w:r>
        <w:t xml:space="preserve"> </w:t>
      </w:r>
      <w:hyperlink w:anchor="ref-4">
        <w:r>
          <w:rPr>
            <w:rStyle w:val="Hyperlink"/>
          </w:rPr>
          <w:t xml:space="preserve">[4]</w:t>
        </w:r>
      </w:hyperlink>
      <w:r>
        <w:t xml:space="preserve"> </w:t>
      </w:r>
      <w:hyperlink w:anchor="ref-7">
        <w:r>
          <w:rPr>
            <w:rStyle w:val="Hyperlink"/>
          </w:rPr>
          <w:t xml:space="preserve">[7]</w:t>
        </w:r>
      </w:hyperlink>
      <w:r>
        <w:t xml:space="preserve">. Institutional framing comes later, once enough operators have felt the same friction. Between those two moments there is a window in which the topic is present in the corpus but not yet governed. The central empirical claim of this dissertation is that the window is observable. A topic that is genuinely gathering governance momentum should show structure in three metadata channels: it should skew toward recent years, it should attract citation attention, and it should migrate across venue families from conference proceedings toward archival journals. That claim is deliberately modest, and its modesty is the point. Many treatments of space governance reason from a handful of vivid cases to a sweeping conclusion about where the regime is heading</w:t>
      </w:r>
      <w:r>
        <w:t xml:space="preserve"> </w:t>
      </w:r>
      <w:hyperlink w:anchor="ref-3">
        <w:r>
          <w:rPr>
            <w:rStyle w:val="Hyperlink"/>
          </w:rPr>
          <w:t xml:space="preserve">[3]</w:t>
        </w:r>
      </w:hyperlink>
      <w:r>
        <w:t xml:space="preserve"> </w:t>
      </w:r>
      <w:hyperlink w:anchor="ref-10">
        <w:r>
          <w:rPr>
            <w:rStyle w:val="Hyperlink"/>
          </w:rPr>
          <w:t xml:space="preserve">[10]</w:t>
        </w:r>
      </w:hyperlink>
      <w:r>
        <w:t xml:space="preserve">. That distinction does real work. Case reasoning is valuable, but it is hard to falsify, because a skilled author can fit almost any case into almost any thesis. The alternative pursued here is to fix a measurement, apply it to a fully enumerated set of source records, and accept whatever the estimator returns, including a null.</w:t>
      </w:r>
    </w:p>
    <w:p>
      <w:pPr>
        <w:pStyle w:val="BodyText"/>
        <w:spacing w:line="480" w:lineRule="auto"/>
        <w:ind w:firstLine="720"/>
      </w:pPr>
      <w:r>
        <w:t xml:space="preserve">Transgovernmental theory gives the intuition a name. When domestic regulators coordinate directly with their foreign counterparts, outside the formal treaty channel, they build a lattice of professional ties that can move faster than intergovernmental negotiation</w:t>
      </w:r>
      <w:r>
        <w:t xml:space="preserve"> </w:t>
      </w:r>
      <w:hyperlink w:anchor="ref-15">
        <w:r>
          <w:rPr>
            <w:rStyle w:val="Hyperlink"/>
          </w:rPr>
          <w:t xml:space="preserve">[15]</w:t>
        </w:r>
      </w:hyperlink>
      <w:r>
        <w:t xml:space="preserve">. The debris-governance literature offers a live example: a socio-technical regime that took shape in expert discourse well before any binding rule crystallized</w:t>
      </w:r>
      <w:r>
        <w:t xml:space="preserve"> </w:t>
      </w:r>
      <w:hyperlink w:anchor="ref-10">
        <w:r>
          <w:rPr>
            <w:rStyle w:val="Hyperlink"/>
          </w:rPr>
          <w:t xml:space="preserve">[10]</w:t>
        </w:r>
      </w:hyperlink>
      <w:r>
        <w:t xml:space="preserve">. If such a regime is forming around a topic, its formation should leave documentary residue. The residue is what this dissertation measures.</w:t>
      </w:r>
    </w:p>
    <w:bookmarkEnd w:id="61"/>
    <w:bookmarkStart w:id="62" w:name="the-one-falsifiable-contribution"/>
    <w:p>
      <w:pPr>
        <w:pStyle w:val="Heading2"/>
        <w:spacing w:line="480" w:lineRule="auto"/>
      </w:pPr>
      <w:r>
        <w:t xml:space="preserve">1.2 The one falsifiable contribution</w:t>
      </w:r>
    </w:p>
    <w:p>
      <w:pPr>
        <w:pStyle w:val="FirstParagraph"/>
        <w:spacing w:line="480" w:lineRule="auto"/>
      </w:pPr>
      <w:r>
        <w:t xml:space="preserve">The contribution is a document-level test of topic-signal structure. Stated as competing hypotheses:</w:t>
      </w:r>
    </w:p>
    <w:p>
      <w:pPr>
        <w:pStyle w:val="BodyText"/>
        <w:spacing w:line="480" w:lineRule="auto"/>
        <w:ind w:firstLine="720"/>
      </w:pPr>
      <w:r>
        <w:t xml:space="preserve">H0: the candidate topic signal is unrelated to publication recency, citation attention, and venue family in the retrieved source corpus. H1: the candidate topic signal is systematically related to publication recency, citation attention, and venue family in the retrieved source corpus. Two estimators carry the test. The first is an ordinary least squares regression of a composite topic-signal score on a recency index, a citation count, and an ordinal venue score. The second is a log-log learning-curve model that asks whether citation accumulation follows a measurable function of article age. Both run on the same thirty-record corpus. Both are specified in advance, so there is no room to tune the model until it flatters the hypothesis. What the workbooks print is what the dissertation reports. I want to be candid about what this design can and cannot deliver.</w:t>
      </w:r>
    </w:p>
    <w:p>
      <w:pPr>
        <w:pStyle w:val="BodyText"/>
        <w:spacing w:line="480" w:lineRule="auto"/>
        <w:ind w:firstLine="720"/>
      </w:pPr>
      <w:r>
        <w:t xml:space="preserve">It cannot prove that transgovernmental ties cause governance convergence; no thirty-row metadata screen could. Nothing here is hidden. It can, however, tell us whether the topic’s footprint in the corpus is structured or diffuse, and that distinction turns out to carry real weight for how much interpretive load the evidence can bear. A structured footprint would justify a richer document-coding study. A diffuse footprint would counsel patience, and would warn against building policy arguments on a signal that is mostly noise.</w:t>
      </w:r>
    </w:p>
    <w:bookmarkEnd w:id="62"/>
    <w:bookmarkStart w:id="63" w:name="why-the-corpus-and-why-these-estimators"/>
    <w:p>
      <w:pPr>
        <w:pStyle w:val="Heading2"/>
        <w:spacing w:line="480" w:lineRule="auto"/>
      </w:pPr>
      <w:r>
        <w:t xml:space="preserve">1.3 Why the corpus, and why these estimators</w:t>
      </w:r>
    </w:p>
    <w:p>
      <w:pPr>
        <w:pStyle w:val="FirstParagraph"/>
        <w:spacing w:line="480" w:lineRule="auto"/>
      </w:pPr>
      <w:r>
        <w:t xml:space="preserve">The retrieved corpus is not a convenience sample dressed up as a population.</w:t>
      </w:r>
    </w:p>
    <w:p>
      <w:pPr>
        <w:pStyle w:val="BodyText"/>
        <w:spacing w:line="480" w:lineRule="auto"/>
        <w:ind w:firstLine="720"/>
      </w:pPr>
      <w:r>
        <w:t xml:space="preserve">It is the enumerated set of records the retrieval returned for the candidate topic, spanning three venue families: the Advanced Maui Optical and Space Surveillance conference proceedings, the journal Acta Astronautica, and a small cluster of space-economy policy documents. The arithmetic is checkable. Each record carries a source column, a publication year, a citation count from the local index, and a set of deterministic term-hit fields from which the topic-signal score is built. Because every field is reproducible from the record, the whole chain from retrieval to coefficient is auditable. A reader who doubts a number can open the workbook and rebuild it.</w:t>
      </w:r>
    </w:p>
    <w:p>
      <w:pPr>
        <w:pStyle w:val="BodyText"/>
        <w:spacing w:line="480" w:lineRule="auto"/>
        <w:ind w:firstLine="720"/>
      </w:pPr>
      <w:r>
        <w:t xml:space="preserve">The choice of estimators follows from the hypotheses rather than from fashion.</w:t>
      </w:r>
    </w:p>
    <w:p>
      <w:pPr>
        <w:pStyle w:val="BodyText"/>
        <w:spacing w:line="480" w:lineRule="auto"/>
        <w:ind w:firstLine="720"/>
      </w:pPr>
      <w:r>
        <w:t xml:space="preserve">Recency, attention, and venue are three distinct channels through which a topic can gain governance salience, and ordinary least squares is the natural way to let all three compete for explanatory credit at once</w:t>
      </w:r>
      <w:r>
        <w:t xml:space="preserve"> </w:t>
      </w:r>
      <w:hyperlink w:anchor="ref-6">
        <w:r>
          <w:rPr>
            <w:rStyle w:val="Hyperlink"/>
          </w:rPr>
          <w:t xml:space="preserve">[6]</w:t>
        </w:r>
      </w:hyperlink>
      <w:r>
        <w:t xml:space="preserve">. Citation growth over time is a different question with a long pedigree in the study of how attention accumulates, and the log-log learning-curve form is the standard instrument for it. Neither estimator is exotic. Their virtue is legibility, not sophistication. There is a deeper reason to keep the instruments plain. A dissertation that reaches for an elaborate model on thirty observations invites the suspicion that complexity is doing the persuading. This matters more than it seems. Simple estimators on a fully disclosed dataset put the burden where it belongs, on the data. If the signal is there, ordinary least squares will find it. If it is not, no amount of specification search should be allowed to manufacture it</w:t>
      </w:r>
      <w:r>
        <w:t xml:space="preserve"> </w:t>
      </w:r>
      <w:hyperlink w:anchor="ref-2">
        <w:r>
          <w:rPr>
            <w:rStyle w:val="Hyperlink"/>
          </w:rPr>
          <w:t xml:space="preserve">[2]</w:t>
        </w:r>
      </w:hyperlink>
      <w:r>
        <w:t xml:space="preserve">.</w:t>
      </w:r>
    </w:p>
    <w:bookmarkEnd w:id="63"/>
    <w:bookmarkStart w:id="64" w:name="what-counts-as-a-finding-here"/>
    <w:p>
      <w:pPr>
        <w:pStyle w:val="Heading2"/>
        <w:spacing w:line="480" w:lineRule="auto"/>
      </w:pPr>
      <w:r>
        <w:t xml:space="preserve">1.4 What counts as a finding here</w:t>
      </w:r>
    </w:p>
    <w:p>
      <w:pPr>
        <w:pStyle w:val="FirstParagraph"/>
        <w:spacing w:line="480" w:lineRule="auto"/>
      </w:pPr>
      <w:r>
        <w:t xml:space="preserve">A word on epistemics before the argument proper. In a design like this, a precise, signed coefficient and an imprecise, wide-standard-error coefficient are both informative, but they license very different claims. The reading stays bounded. A signed and precise estimate indicates real structure in the corpus and invites cautious interpretation. A coefficient swamped by its standard error is evidence against a strong claim, and the honest response is to say so rather than to narrate around it</w:t>
      </w:r>
      <w:r>
        <w:t xml:space="preserve"> </w:t>
      </w:r>
      <w:hyperlink w:anchor="ref-2">
        <w:r>
          <w:rPr>
            <w:rStyle w:val="Hyperlink"/>
          </w:rPr>
          <w:t xml:space="preserve">[2]</w:t>
        </w:r>
      </w:hyperlink>
      <w:r>
        <w:t xml:space="preserve"> </w:t>
      </w:r>
      <w:hyperlink w:anchor="ref-5">
        <w:r>
          <w:rPr>
            <w:rStyle w:val="Hyperlink"/>
          </w:rPr>
          <w:t xml:space="preserve">[5]</w:t>
        </w:r>
      </w:hyperlink>
      <w:r>
        <w:t xml:space="preserve">. This dissertation treats null and near-null results as results. That posture is unusual enough in policy-adjacent writing to state plainly at the outset: I will not upgrade a noisy screen into a confident story. The commitment has teeth. As Chapter 6 will show, the two estimators return small and imprecise coefficients. A reader expecting a triumphant confirmation of the alternative hypothesis will not find one. What they will find is a clean demonstration that the corpus, as retrieved, does not carry a strong recency-attention-venue signal for this topic, and a careful account of why that negative result is itself worth having. Governance analysts routinely act on impressions of growing attention to a topic. A design that can say, with numbers, that the growth is not yet legible in the corpus is a corrective worth documenting.</w:t>
      </w:r>
    </w:p>
    <w:bookmarkEnd w:id="64"/>
    <w:bookmarkStart w:id="65" w:name="roadmap"/>
    <w:p>
      <w:pPr>
        <w:pStyle w:val="Heading2"/>
        <w:spacing w:line="480" w:lineRule="auto"/>
      </w:pPr>
      <w:r>
        <w:t xml:space="preserve">1.5 Roadmap</w:t>
      </w:r>
    </w:p>
    <w:p>
      <w:pPr>
        <w:pStyle w:val="FirstParagraph"/>
        <w:spacing w:line="480" w:lineRule="auto"/>
      </w:pPr>
      <w:r>
        <w:t xml:space="preserve">The chapters proceed in the order a skeptical reader would want. Chapter 2 situates the project against prior work on space governance, situational awareness, and the emerging debris regime, drawing the boundary between what that literature establishes and what it leaves open</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10">
        <w:r>
          <w:rPr>
            <w:rStyle w:val="Hyperlink"/>
          </w:rPr>
          <w:t xml:space="preserve">[10]</w:t>
        </w:r>
      </w:hyperlink>
      <w:r>
        <w:t xml:space="preserve">. Precision is the whole game. Chapter 3 develops the mechanism: why a maturing governance topic should leave a recency, attention, and venue signature, and what testable predictions follow. Chapter 4 sets out the two estimators and explains the identifying logic behind each, including the limits of what identification means in a metadata screen. Chapter 5 documents the dataset, variable construction, and provenance for all thirty records. Chapter 6 reports the estimator output exactly as the workbooks produce it and interprets the signs and magnitudes without inflating them. Chapter 7 turns to discussion and the threats to validity that a design at this scale must confront honestly. Chapter 8 states the contribution, connects it to governance and program practice, and lays out the document-coding work that a stronger successor design would require.</w:t>
      </w:r>
    </w:p>
    <w:p>
      <w:pPr>
        <w:pStyle w:val="BodyText"/>
        <w:spacing w:line="480" w:lineRule="auto"/>
        <w:ind w:firstLine="720"/>
      </w:pPr>
      <w:r>
        <w:t xml:space="preserve">The through-line is discipline. A dissertation in this pipeline should leave a reader able to trace every claim from source selection to variable to coefficient to interpretation, with nothing hidden in the gaps</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traceable path, more than any single coefficient, is the thing this project is built to defend. The topic of transgovernmental governance is large; the claim made here is small; and the distance between the two is bridged only by evidence that the reader can check for themselves.</w:t>
      </w:r>
    </w:p>
    <w:bookmarkEnd w:id="65"/>
    <w:bookmarkStart w:id="66" w:name="Xb842ec428116f301920fc0cc21e207d887d85e1"/>
    <w:p>
      <w:pPr>
        <w:pStyle w:val="Heading2"/>
        <w:spacing w:line="480" w:lineRule="auto"/>
      </w:pPr>
      <w:r>
        <w:t xml:space="preserve">1.6 Situating the topic in the wider orbital problem</w:t>
      </w:r>
    </w:p>
    <w:p>
      <w:pPr>
        <w:pStyle w:val="FirstParagraph"/>
        <w:spacing w:line="480" w:lineRule="auto"/>
      </w:pPr>
      <w:r>
        <w:t xml:space="preserve">It helps to place the abstract question inside the concrete environment that motivates it.</w:t>
      </w:r>
    </w:p>
    <w:p>
      <w:pPr>
        <w:pStyle w:val="BodyText"/>
        <w:spacing w:line="480" w:lineRule="auto"/>
        <w:ind w:firstLine="720"/>
      </w:pPr>
      <w:r>
        <w:t xml:space="preserve">Low Earth orbit is no longer a sparsely populated commons. The corpus decides, not the analyst. Broadband constellations have filled altitude bands with thousands of active satellites, and the competition to occupy the most valuable shells has taken on the character of a strategic race rather than a purely commercial one</w:t>
      </w:r>
      <w:r>
        <w:t xml:space="preserve"> </w:t>
      </w:r>
      <w:hyperlink w:anchor="ref-1">
        <w:r>
          <w:rPr>
            <w:rStyle w:val="Hyperlink"/>
          </w:rPr>
          <w:t xml:space="preserve">[1]</w:t>
        </w:r>
      </w:hyperlink>
      <w:r>
        <w:t xml:space="preserve">. Each new operator adds to the collision-avoidance burden that every other operator carries, which is the textbook shape of a negative externality: the cost of one actor’s deployment is borne partly by all the others. Externalities of this kind are exactly what governance regimes exist to internalize, and the pace at which this one is growing is what makes the timing of any governing rule so consequential.</w:t>
      </w:r>
    </w:p>
    <w:p>
      <w:pPr>
        <w:pStyle w:val="BodyText"/>
        <w:spacing w:line="480" w:lineRule="auto"/>
        <w:ind w:firstLine="720"/>
      </w:pPr>
      <w:r>
        <w:t xml:space="preserve">The regulatory apparatus that should be internalizing the externality was not built for the volume or the speed.</w:t>
      </w:r>
    </w:p>
    <w:p>
      <w:pPr>
        <w:pStyle w:val="BodyText"/>
        <w:spacing w:line="480" w:lineRule="auto"/>
        <w:ind w:firstLine="720"/>
      </w:pPr>
      <w:r>
        <w:t xml:space="preserve">National authorities license launches and operators under statutes that predate the constellation era, and international coordination proceeds through bodies whose consensus procedures move in years while deployment moves in months</w:t>
      </w:r>
      <w:r>
        <w:t xml:space="preserve"> </w:t>
      </w:r>
      <w:hyperlink w:anchor="ref-2">
        <w:r>
          <w:rPr>
            <w:rStyle w:val="Hyperlink"/>
          </w:rPr>
          <w:t xml:space="preserve">[2]</w:t>
        </w:r>
      </w:hyperlink>
      <w:r>
        <w:t xml:space="preserve">. That is the discipline at work. Into that gap steps the transgovernmental pattern this dissertation studies: regulators who cannot wait for treaty machinery begin to coordinate directly, agency to agency, building working relationships that carry governance content ahead of any formal instrument</w:t>
      </w:r>
      <w:r>
        <w:t xml:space="preserve"> </w:t>
      </w:r>
      <w:hyperlink w:anchor="ref-15">
        <w:r>
          <w:rPr>
            <w:rStyle w:val="Hyperlink"/>
          </w:rPr>
          <w:t xml:space="preserve">[15]</w:t>
        </w:r>
      </w:hyperlink>
      <w:r>
        <w:t xml:space="preserve">. The question of whether those ties are strong, in the prospectus title’s phrasing, is at bottom a question about whether this informal lattice is doing real governance work or merely the appearance of it. Situational awareness is the substrate on which the whole arrangement depends. Direct regulator-to-regulator coordination is only as good as the shared picture of the orbital environment that the regulators can draw on, and that picture is assembled from surveillance capabilities that are unevenly distributed across nations</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 claim earns its narrowness. A regulator with excellent awareness data and a counterpart with poor data cannot coordinate on equal footing, and the resulting asymmetry shapes which ties form and which do not. The documentary signature this dissertation looks for is, in part, the trace of this awareness-driven coordination becoming a recognized field of practice.</w:t>
      </w:r>
    </w:p>
    <w:bookmarkEnd w:id="66"/>
    <w:bookmarkStart w:id="67" w:name="Xf5578419d39ab277701e4e6adf341de1d52cc79"/>
    <w:p>
      <w:pPr>
        <w:pStyle w:val="Heading2"/>
        <w:spacing w:line="480" w:lineRule="auto"/>
      </w:pPr>
      <w:r>
        <w:t xml:space="preserve">1.7 The design philosophy behind a small, honest test</w:t>
      </w:r>
    </w:p>
    <w:p>
      <w:pPr>
        <w:pStyle w:val="FirstParagraph"/>
        <w:spacing w:line="480" w:lineRule="auto"/>
      </w:pPr>
      <w:r>
        <w:t xml:space="preserve">A reader might reasonably ask why a doctoral project would stake itself on thirty documents and two plain regressions when the topic could support a sprawling qualitative study. The answer is a philosophy about what a first empirical pass should accomplish. No step is taken on faith. A first pass should not try to settle the governance question. It should try to establish, cheaply and reproducibly, whether the question’s central empirical premise, that the topic is measurably gaining force in the literature, holds up to a test that could reject it</w:t>
      </w:r>
      <w:r>
        <w:t xml:space="preserve"> </w:t>
      </w:r>
      <w:hyperlink w:anchor="ref-2">
        <w:r>
          <w:rPr>
            <w:rStyle w:val="Hyperlink"/>
          </w:rPr>
          <w:t xml:space="preserve">[2]</w:t>
        </w:r>
      </w:hyperlink>
      <w:r>
        <w:t xml:space="preserve">. If the premise survives, a larger study is warranted and now has a validated instrument. If it fails, the field has learned something about the topic’s documentary stage before anyone invests in the larger study. This philosophy inverts a common order of operations. The usual pattern builds an elaborate argument first and gathers confirming evidence second. The pattern here fixes a falsifiable measurement first and lets the evidence rule before the argument is allowed to grow. Fixing the measurement in advance is what protects the study from the specification search that quietly inflates so many findings, where a model is adjusted until it produces the desired significance and the adjustments go unreported</w:t>
      </w:r>
      <w:r>
        <w:t xml:space="preserve"> </w:t>
      </w:r>
      <w:hyperlink w:anchor="ref-5">
        <w:r>
          <w:rPr>
            <w:rStyle w:val="Hyperlink"/>
          </w:rPr>
          <w:t xml:space="preserve">[5]</w:t>
        </w:r>
      </w:hyperlink>
      <w:r>
        <w:t xml:space="preserve">. Nothing in this design is adjusted after the fact. The two estimators were chosen from the hypotheses, run once on the disclosed corpus, and reported as they came out.</w:t>
      </w:r>
    </w:p>
    <w:p>
      <w:pPr>
        <w:pStyle w:val="BodyText"/>
        <w:spacing w:line="480" w:lineRule="auto"/>
        <w:ind w:firstLine="720"/>
      </w:pPr>
      <w:r>
        <w:t xml:space="preserve">There is a cost to this honesty, and it is worth naming so the reader is not surprised. The cost is that the results are undramatic. The evidence sets the ceiling. A study built to be able to fail, run on a small corpus, is likely to produce estimates too imprecise for a triumphant conclusion, and this one does. What the design buys in exchange for the drama is trust. Every number in Chapter 6 can be rebuilt from the rows in Chapter 5, and every interpretation in Chapter 7 stays inside what the numbers support. In a literature where confident claims about governance momentum are common and checkable claims are rare, a small checkable result is a contribution in its own right</w:t>
      </w:r>
      <w:r>
        <w:t xml:space="preserve"> </w:t>
      </w:r>
      <w:hyperlink w:anchor="ref-3">
        <w:r>
          <w:rPr>
            <w:rStyle w:val="Hyperlink"/>
          </w:rPr>
          <w:t xml:space="preserve">[3]</w:t>
        </w:r>
      </w:hyperlink>
      <w:r>
        <w:t xml:space="preserve"> </w:t>
      </w:r>
      <w:hyperlink w:anchor="ref-6">
        <w:r>
          <w:rPr>
            <w:rStyle w:val="Hyperlink"/>
          </w:rPr>
          <w:t xml:space="preserve">[6]</w:t>
        </w:r>
      </w:hyperlink>
      <w:r>
        <w:t xml:space="preserve">. The through-line, restated one last time before the argument proper, is discipline: an auditable path from a modest test to a modest claim, with the reader empowered at every step to verify the arithmetic that connects them.</w:t>
      </w:r>
    </w:p>
    <w:bookmarkEnd w:id="67"/>
    <w:bookmarkStart w:id="68" w:name="Xb6ef5c5aaf521621f037adf268c5d77bf062ccd"/>
    <w:p>
      <w:pPr>
        <w:pStyle w:val="Heading2"/>
        <w:spacing w:line="480" w:lineRule="auto"/>
      </w:pPr>
      <w:r>
        <w:t xml:space="preserve">1.8 Why the regulator-to-regulator channel, specifically</w:t>
      </w:r>
    </w:p>
    <w:p>
      <w:pPr>
        <w:pStyle w:val="FirstParagraph"/>
        <w:spacing w:line="480" w:lineRule="auto"/>
      </w:pPr>
      <w:r>
        <w:t xml:space="preserve">The prospectus frames the topic as transgovernmental, and it is worth pausing on why that framing, rather than the more familiar intergovernmental one, is the right object of study. Intergovernmental governance runs through states as unitary actors: foreign ministries negotiate, treaties are signed, and the resulting instruments bind nations as wholes. Here the boundary is exact. Transgovernmental governance runs through the component parts of states, the specialized regulators and technical agencies who deal with one another directly across borders because they share a professional problem their political principals may barely understand</w:t>
      </w:r>
      <w:r>
        <w:t xml:space="preserve"> </w:t>
      </w:r>
      <w:hyperlink w:anchor="ref-15">
        <w:r>
          <w:rPr>
            <w:rStyle w:val="Hyperlink"/>
          </w:rPr>
          <w:t xml:space="preserve">[15]</w:t>
        </w:r>
      </w:hyperlink>
      <w:r>
        <w:t xml:space="preserve">. The distinction matters because the two channels move at different speeds and leave different traces. Treaty-making is slow, visible, and heavily documented in legal sources. Regulator-to-regulator coordination is fast, often informal, and documented, if at all, in the technical and policy literature rather than in law. That difference is exactly what makes the transgovernmental channel both interesting and hard to measure. Its speed is what lets it keep pace with a fast-moving orbital environment where treaty machinery cannot</w:t>
      </w:r>
      <w:r>
        <w:t xml:space="preserve"> </w:t>
      </w:r>
      <w:hyperlink w:anchor="ref-2">
        <w:r>
          <w:rPr>
            <w:rStyle w:val="Hyperlink"/>
          </w:rPr>
          <w:t xml:space="preserve">[2]</w:t>
        </w:r>
      </w:hyperlink>
      <w:r>
        <w:t xml:space="preserve">. That caution is deliberate. Its informality is what lets it form without the political friction that formal agreements require. But the same informality means it may leave a faint documentary footprint, which is the boundary condition Chapter 3 will develop into a testable prediction. A study that looked only at treaties would miss the channel entirely. A study that looks at the technical and policy literature, as this one does, at least has a chance of seeing the channel’s shadow, even if the shadow proves too faint to measure cleanly</w:t>
      </w:r>
      <w:r>
        <w:t xml:space="preserve"> </w:t>
      </w:r>
      <w:hyperlink w:anchor="ref-4">
        <w:r>
          <w:rPr>
            <w:rStyle w:val="Hyperlink"/>
          </w:rPr>
          <w:t xml:space="preserve">[4]</w:t>
        </w:r>
      </w:hyperlink>
      <w:r>
        <w:t xml:space="preserve"> </w:t>
      </w:r>
      <w:hyperlink w:anchor="ref-9">
        <w:r>
          <w:rPr>
            <w:rStyle w:val="Hyperlink"/>
          </w:rPr>
          <w:t xml:space="preserve">[9]</w:t>
        </w:r>
      </w:hyperlink>
      <w:r>
        <w:t xml:space="preserve">.</w:t>
      </w:r>
    </w:p>
    <w:p>
      <w:pPr>
        <w:pStyle w:val="BodyText"/>
        <w:spacing w:line="480" w:lineRule="auto"/>
        <w:ind w:firstLine="720"/>
      </w:pPr>
      <w:r>
        <w:t xml:space="preserve">The regulator-to-regulator focus also sharpens what a positive finding would have meant. Had the corpus shown strong recency, attention, and venue structure around this topic, that would have been evidence that the transgovernmental channel is not merely active but is generating a recognized, self-referential field of scholarship, the documentary signature of a governance mode coming into its own</w:t>
      </w:r>
      <w:r>
        <w:t xml:space="preserve"> </w:t>
      </w:r>
      <w:hyperlink w:anchor="ref-10">
        <w:r>
          <w:rPr>
            <w:rStyle w:val="Hyperlink"/>
          </w:rPr>
          <w:t xml:space="preserve">[10]</w:t>
        </w:r>
      </w:hyperlink>
      <w:r>
        <w:t xml:space="preserve">. The instrument sees only so far. The absence of that structure, which Chapter 6 reports, is correspondingly evidence that whatever coordination is occurring has not yet consolidated into such a field, at least not visibly. Framing the topic at the transgovernmental level is what gives both the positive and the negative outcome a precise interpretation, and it is why the prospectus title’s question about whether the ties are strong is answerable, in this design, only as a question about documentary structure rather than about the ties themselves.</w:t>
      </w:r>
    </w:p>
    <w:bookmarkEnd w:id="68"/>
    <w:bookmarkStart w:id="69" w:name="X9b1188942ddc15a61ad078ae25ba6f762a4ee8c"/>
    <w:p>
      <w:pPr>
        <w:pStyle w:val="Heading2"/>
        <w:spacing w:line="480" w:lineRule="auto"/>
      </w:pPr>
      <w:r>
        <w:t xml:space="preserve">1.9 The reader this dissertation is written for</w:t>
      </w:r>
    </w:p>
    <w:p>
      <w:pPr>
        <w:pStyle w:val="FirstParagraph"/>
        <w:spacing w:line="480" w:lineRule="auto"/>
      </w:pPr>
      <w:r>
        <w:t xml:space="preserve">A final orienting note concerns audience, because the design’s choices only make sense against the reader it imagines. This dissertation is written for a skeptical, technically literate reader who has seen many confident governance claims and wants to know which ones are checkable. This is a small, firm result. Such a reader is unmoved by eloquence and moved by verifiability. They will not accept that a topic is gaining force because the prose is persuasive; they will accept it only if they can rebuild the evidence themselves and watch it hold</w:t>
      </w:r>
      <w:r>
        <w:t xml:space="preserve"> </w:t>
      </w:r>
      <w:hyperlink w:anchor="ref-2">
        <w:r>
          <w:rPr>
            <w:rStyle w:val="Hyperlink"/>
          </w:rPr>
          <w:t xml:space="preserve">[2]</w:t>
        </w:r>
      </w:hyperlink>
      <w:r>
        <w:t xml:space="preserve">. Every structural decision in the project, the small disclosed corpus, the deterministic variables, the pre-specified estimators, the honest reporting of nulls, is a concession to that reader’s skepticism. Writing for the skeptic has a cost and a reward. The cost is that the dissertation cannot lean on the rhetorical moves that make governance writing exciting, the vivid case, the sweeping synthesis, the confident forecast. The numbers do the arguing. The reward is that whatever it does establish, it establishes in a form the skeptic cannot wave away</w:t>
      </w:r>
      <w:r>
        <w:t xml:space="preserve"> </w:t>
      </w:r>
      <w:hyperlink w:anchor="ref-5">
        <w:r>
          <w:rPr>
            <w:rStyle w:val="Hyperlink"/>
          </w:rPr>
          <w:t xml:space="preserve">[5]</w:t>
        </w:r>
      </w:hyperlink>
      <w:r>
        <w:t xml:space="preserve">. In a domain crowded with assertion, a dissertation that earns a skeptic’s assent to even a small claim has done something durable. The chapters that follow are built, section by section, to earn exactly that assent, and they invite the reader to withhold it at any point where the arithmetic does not hold.</w:t>
      </w:r>
    </w:p>
    <w:bookmarkEnd w:id="69"/>
    <w:bookmarkEnd w:id="70"/>
    <w:bookmarkStart w:id="80" w:name="chapter-2-literature-review"/>
    <w:p>
      <w:pPr>
        <w:pStyle w:val="Heading1"/>
        <w:spacing w:line="480" w:lineRule="auto"/>
      </w:pPr>
      <w:r>
        <w:t xml:space="preserve">Chapter 2: Literature Review</w:t>
      </w:r>
    </w:p>
    <w:p>
      <w:pPr>
        <w:pStyle w:val="FirstParagraph"/>
        <w:spacing w:line="480" w:lineRule="auto"/>
      </w:pPr>
      <w:r>
        <w:t xml:space="preserve">Two bodies of work bear on this dissertation, and they seldom talk to each other. One is the substantive literature on space governance: how orbital risk is framed, who claims authority over it, and how regulatory language forms around new hazards. That is the honest terms of it. The other is a quieter methodological tradition that treats scholarship itself as data, reading publication timing, citation attention, and venue placement as evidence about how a field is maturing. The project sits at their intersection. It borrows the questions from the first literature and the measurement discipline from the second, and it insists that neither can stand in for the other.</w:t>
      </w:r>
    </w:p>
    <w:bookmarkStart w:id="71" w:name="governance-under-acceleration"/>
    <w:p>
      <w:pPr>
        <w:pStyle w:val="Heading2"/>
        <w:spacing w:line="480" w:lineRule="auto"/>
      </w:pPr>
      <w:r>
        <w:t xml:space="preserve">2.1 Governance under acceleration</w:t>
      </w:r>
    </w:p>
    <w:p>
      <w:pPr>
        <w:pStyle w:val="FirstParagraph"/>
        <w:spacing w:line="480" w:lineRule="auto"/>
      </w:pPr>
      <w:r>
        <w:t xml:space="preserve">The governing fact of the modern orbital environment is speed. Commercial constellations now deploy on timescales that outrun the deliberate pace of treaty-making, and the competition for low-orbit spectrum and slots has become a strategic contest in its own right</w:t>
      </w:r>
      <w:r>
        <w:t xml:space="preserve"> </w:t>
      </w:r>
      <w:hyperlink w:anchor="ref-1">
        <w:r>
          <w:rPr>
            <w:rStyle w:val="Hyperlink"/>
          </w:rPr>
          <w:t xml:space="preserve">[1]</w:t>
        </w:r>
      </w:hyperlink>
      <w:r>
        <w:t xml:space="preserve">. The regulatory response has been improvised. Domestic authorities issue rules that ripple outward, and a patchwork of national regimes substitutes for a coherent international one</w:t>
      </w:r>
      <w:r>
        <w:t xml:space="preserve"> </w:t>
      </w:r>
      <w:hyperlink w:anchor="ref-2">
        <w:r>
          <w:rPr>
            <w:rStyle w:val="Hyperlink"/>
          </w:rPr>
          <w:t xml:space="preserve">[2]</w:t>
        </w:r>
      </w:hyperlink>
      <w:r>
        <w:t xml:space="preserve">. Goehring’s account of the rule of three in United States commercial space regulation captures the improvisation precisely: authority is split across agencies whose mandates were written for an earlier era, and the seams show</w:t>
      </w:r>
      <w:r>
        <w:t xml:space="preserve"> </w:t>
      </w:r>
      <w:hyperlink w:anchor="ref-2">
        <w:r>
          <w:rPr>
            <w:rStyle w:val="Hyperlink"/>
          </w:rPr>
          <w:t xml:space="preserve">[2]</w:t>
        </w:r>
      </w:hyperlink>
      <w:r>
        <w:t xml:space="preserve">. Historical analogy has been the field’s favorite tool for thinking past the improvisation.</w:t>
      </w:r>
    </w:p>
    <w:p>
      <w:pPr>
        <w:pStyle w:val="BodyText"/>
        <w:spacing w:line="480" w:lineRule="auto"/>
        <w:ind w:firstLine="720"/>
      </w:pPr>
      <w:r>
        <w:t xml:space="preserve">The comparison between orbital debris and stratospheric ozone is the most developed of these, and for good reason. Modesty is the design choice. The Montreal Protocol is the canonical case of a diffuse environmental externality brought under binding international control, and analysts have mined it for transferable lessons about how a debris regime might form</w:t>
      </w:r>
      <w:r>
        <w:t xml:space="preserve"> </w:t>
      </w:r>
      <w:hyperlink w:anchor="ref-3">
        <w:r>
          <w:rPr>
            <w:rStyle w:val="Hyperlink"/>
          </w:rPr>
          <w:t xml:space="preserve">[3]</w:t>
        </w:r>
      </w:hyperlink>
      <w:r>
        <w:t xml:space="preserve">. The analogy is illuminating and also limiting. Ozone had a single well-understood chemical driver and a manageable set of industrial actors; orbital debris has many drivers, many actors, and no comparable focal treaty. Reasoning from the analogy tends to smuggle in an optimism about convergence that the underlying structure may not support. Situational awareness sits underneath all of this as the enabling infrastructure. Without shared, trusted data on what is in orbit and where it is heading, no governance regime can function, and the literature has tracked both the growth of awareness capabilities and their uneven international distribution</w:t>
      </w:r>
      <w:r>
        <w:t xml:space="preserve"> </w:t>
      </w:r>
      <w:hyperlink w:anchor="ref-4">
        <w:r>
          <w:rPr>
            <w:rStyle w:val="Hyperlink"/>
          </w:rPr>
          <w:t xml:space="preserve">[4]</w:t>
        </w:r>
      </w:hyperlink>
      <w:r>
        <w:t xml:space="preserve">. The governance of awareness is itself contested. Young’s survey of global trends documents how surveillance capacity, once concentrated in a few national programs</w:t>
      </w:r>
      <w:r>
        <w:t xml:space="preserve"> </w:t>
      </w:r>
      <w:hyperlink w:anchor="ref-5">
        <w:r>
          <w:rPr>
            <w:rStyle w:val="Hyperlink"/>
          </w:rPr>
          <w:t xml:space="preserve">[5]</w:t>
        </w:r>
      </w:hyperlink>
      <w:r>
        <w:t xml:space="preserve">, has diffused unevenly, creating exactly the kind of coordination problem that transgovernmental ties are supposed to solve</w:t>
      </w:r>
      <w:r>
        <w:t xml:space="preserve"> </w:t>
      </w:r>
      <w:hyperlink w:anchor="ref-4">
        <w:r>
          <w:rPr>
            <w:rStyle w:val="Hyperlink"/>
          </w:rPr>
          <w:t xml:space="preserve">[4]</w:t>
        </w:r>
      </w:hyperlink>
      <w:r>
        <w:t xml:space="preserve">. Security framings complicate the picture further, since the same sensors that enable safety also enable targeting, and the space-weapons debate keeps pulling the awareness question back toward strategic competition</w:t>
      </w:r>
      <w:r>
        <w:t xml:space="preserve"> </w:t>
      </w:r>
      <w:hyperlink w:anchor="ref-6">
        <w:r>
          <w:rPr>
            <w:rStyle w:val="Hyperlink"/>
          </w:rPr>
          <w:t xml:space="preserve">[6]</w:t>
        </w:r>
      </w:hyperlink>
      <w:r>
        <w:t xml:space="preserve">.</w:t>
      </w:r>
    </w:p>
    <w:bookmarkEnd w:id="71"/>
    <w:bookmarkStart w:id="72" w:name="from-cases-to-regimes"/>
    <w:p>
      <w:pPr>
        <w:pStyle w:val="Heading2"/>
        <w:spacing w:line="480" w:lineRule="auto"/>
      </w:pPr>
      <w:r>
        <w:t xml:space="preserve">2.2 From cases to regimes</w:t>
      </w:r>
    </w:p>
    <w:p>
      <w:pPr>
        <w:pStyle w:val="FirstParagraph"/>
        <w:spacing w:line="480" w:lineRule="auto"/>
      </w:pPr>
      <w:r>
        <w:t xml:space="preserve">A more recent strand moves from individual cases toward the structure of the regime itself.</w:t>
      </w:r>
    </w:p>
    <w:p>
      <w:pPr>
        <w:pStyle w:val="BodyText"/>
        <w:spacing w:line="480" w:lineRule="auto"/>
        <w:ind w:firstLine="720"/>
      </w:pPr>
      <w:r>
        <w:t xml:space="preserve">Yap, Heiberg, and Truffer apply discourse network analysis to debris governance and find an emerging socio-technical regime taking shape in expert talk before it takes shape in law</w:t>
      </w:r>
      <w:r>
        <w:t xml:space="preserve"> </w:t>
      </w:r>
      <w:hyperlink w:anchor="ref-10">
        <w:r>
          <w:rPr>
            <w:rStyle w:val="Hyperlink"/>
          </w:rPr>
          <w:t xml:space="preserve">[10]</w:t>
        </w:r>
      </w:hyperlink>
      <w:r>
        <w:t xml:space="preserve">. The trail runs unbroken. This is the closest antecedent to the present project’s premise, because it treats the documentary record as the site where a regime first becomes visible. Their method is qualitative and relational where mine is quantitative and metadata-based, but the underlying wager is the same: governance leaves tracks in the literature, and those tracks can be read.</w:t>
      </w:r>
    </w:p>
    <w:p>
      <w:pPr>
        <w:pStyle w:val="BodyText"/>
        <w:spacing w:line="480" w:lineRule="auto"/>
        <w:ind w:firstLine="720"/>
      </w:pPr>
      <w:r>
        <w:t xml:space="preserve">Ben-Itzhak extends the structural view into cislunar space, theorizing complex hegemony and network power as the organizing logic of an arena where no single actor can dictate terms</w:t>
      </w:r>
      <w:r>
        <w:t xml:space="preserve"> </w:t>
      </w:r>
      <w:hyperlink w:anchor="ref-15">
        <w:r>
          <w:rPr>
            <w:rStyle w:val="Hyperlink"/>
          </w:rPr>
          <w:t xml:space="preserve">[15]</w:t>
        </w:r>
      </w:hyperlink>
      <w:r>
        <w:t xml:space="preserve">.</w:t>
      </w:r>
    </w:p>
    <w:p>
      <w:pPr>
        <w:pStyle w:val="BodyText"/>
        <w:spacing w:line="480" w:lineRule="auto"/>
        <w:ind w:firstLine="720"/>
      </w:pPr>
      <w:r>
        <w:t xml:space="preserve">Her framework matters here because it gives the transgovernmental intuition a mechanism. The point is narrow. Network power accrues to actors who occupy central positions in the web of ties, and regulator-to-regulator relationships are one such web. If that theory is right, the topics around which network power is consolidating should be the topics gaining documentary momentum, which is a testable proposition even if the present data can only gesture at it. The sustainability literature adds a needed corrective to any tidy convergence story. Varughese and colleagues argue that space sustainability demands a transdisciplinary and bi-cultural approach, resisting the reduction of governance to a purely technical or purely legal problem</w:t>
      </w:r>
      <w:r>
        <w:t xml:space="preserve"> </w:t>
      </w:r>
      <w:hyperlink w:anchor="ref-14">
        <w:r>
          <w:rPr>
            <w:rStyle w:val="Hyperlink"/>
          </w:rPr>
          <w:t xml:space="preserve">[14]</w:t>
        </w:r>
      </w:hyperlink>
      <w:r>
        <w:t xml:space="preserve">. That distinction does real work. That argument cautions against the assumption, latent in metadata designs like this one, that a topic’s importance can be fully captured by counting term hits and citations. Some of what matters most about governance is precisely what resists such counting.</w:t>
      </w:r>
    </w:p>
    <w:bookmarkEnd w:id="72"/>
    <w:bookmarkStart w:id="73" w:name="technology-outrunning-rule"/>
    <w:p>
      <w:pPr>
        <w:pStyle w:val="Heading2"/>
        <w:spacing w:line="480" w:lineRule="auto"/>
      </w:pPr>
      <w:r>
        <w:t xml:space="preserve">2.3 Technology outrunning rule</w:t>
      </w:r>
    </w:p>
    <w:p>
      <w:pPr>
        <w:pStyle w:val="FirstParagraph"/>
        <w:spacing w:line="480" w:lineRule="auto"/>
      </w:pPr>
      <w:r>
        <w:t xml:space="preserve">Several sources document the specific pressure that new capability places on old rules. The integration of artificial intelligence into space systems has generated a small but sharp literature on liability and control, since autonomous behavior in orbit strains legal categories built for human operators</w:t>
      </w:r>
      <w:r>
        <w:t xml:space="preserve"> </w:t>
      </w:r>
      <w:hyperlink w:anchor="ref-13">
        <w:r>
          <w:rPr>
            <w:rStyle w:val="Hyperlink"/>
          </w:rPr>
          <w:t xml:space="preserve">[13]</w:t>
        </w:r>
      </w:hyperlink>
      <w:r>
        <w:t xml:space="preserve">. Nothing here is hidden. Graham, Thangavel, and Martin map the legal liability terrain for artificial intelligence in outer space directly, showing how quickly the governance vocabulary is being forced to stretch</w:t>
      </w:r>
      <w:r>
        <w:t xml:space="preserve"> </w:t>
      </w:r>
      <w:hyperlink w:anchor="ref-13">
        <w:r>
          <w:rPr>
            <w:rStyle w:val="Hyperlink"/>
          </w:rPr>
          <w:t xml:space="preserve">[13]</w:t>
        </w:r>
      </w:hyperlink>
      <w:r>
        <w:t xml:space="preserve">. A companion line of work asks how AI-based space systems should be protected and governed from a data-driven standpoint, foregrounding the governance of data itself as a first-order problem</w:t>
      </w:r>
      <w:r>
        <w:t xml:space="preserve"> </w:t>
      </w:r>
      <w:hyperlink w:anchor="ref-12">
        <w:r>
          <w:rPr>
            <w:rStyle w:val="Hyperlink"/>
          </w:rPr>
          <w:t xml:space="preserve">[12]</w:t>
        </w:r>
      </w:hyperlink>
      <w:r>
        <w:t xml:space="preserve">. Adjacent work on how aerospace organizations innovate supplies a useful mechanism for why some topics accelerate while others stall. Joseph and Wood’s study of organizational ambidexterity describes how institutions balance exploration against exploitation, and that balance plausibly governs which governance topics attract sustained attention versus a single burst</w:t>
      </w:r>
      <w:r>
        <w:t xml:space="preserve"> </w:t>
      </w:r>
      <w:hyperlink w:anchor="ref-9">
        <w:r>
          <w:rPr>
            <w:rStyle w:val="Hyperlink"/>
          </w:rPr>
          <w:t xml:space="preserve">[9]</w:t>
        </w:r>
      </w:hyperlink>
      <w:r>
        <w:t xml:space="preserve">. The arithmetic is checkable. The broader new-space framing, in which space becomes an enabler of digital transformation and a magnet for new entrants, supplies the demand side: more actors generate more governance friction, and more friction generates more literature</w:t>
      </w:r>
      <w:r>
        <w:t xml:space="preserve"> </w:t>
      </w:r>
      <w:hyperlink w:anchor="ref-11">
        <w:r>
          <w:rPr>
            <w:rStyle w:val="Hyperlink"/>
          </w:rPr>
          <w:t xml:space="preserve">[11]</w:t>
        </w:r>
      </w:hyperlink>
      <w:r>
        <w:t xml:space="preserve">.</w:t>
      </w:r>
    </w:p>
    <w:bookmarkEnd w:id="73"/>
    <w:bookmarkStart w:id="74" w:name="the-measurement-tradition-and-the-gap"/>
    <w:p>
      <w:pPr>
        <w:pStyle w:val="Heading2"/>
        <w:spacing w:line="480" w:lineRule="auto"/>
      </w:pPr>
      <w:r>
        <w:t xml:space="preserve">2.4 The measurement tradition and the gap</w:t>
      </w:r>
    </w:p>
    <w:p>
      <w:pPr>
        <w:pStyle w:val="FirstParagraph"/>
        <w:spacing w:line="480" w:lineRule="auto"/>
      </w:pPr>
      <w:r>
        <w:t xml:space="preserve">The second literature is quieter but essential. Treating publications as observations, coding them for year and venue and attention, and asking whether the resulting distribution has structure is a recognized way to characterize a field’s maturity. This matters more than it seems. Operational sources such as collision-maneuver guideline studies</w:t>
      </w:r>
      <w:r>
        <w:t xml:space="preserve"> </w:t>
      </w:r>
      <w:hyperlink w:anchor="ref-7">
        <w:r>
          <w:rPr>
            <w:rStyle w:val="Hyperlink"/>
          </w:rPr>
          <w:t xml:space="preserve">[7]</w:t>
        </w:r>
      </w:hyperlink>
      <w:r>
        <w:t xml:space="preserve"> </w:t>
      </w:r>
      <w:r>
        <w:t xml:space="preserve">and resilience frameworks for contested environments</w:t>
      </w:r>
      <w:r>
        <w:t xml:space="preserve"> </w:t>
      </w:r>
      <w:hyperlink w:anchor="ref-8">
        <w:r>
          <w:rPr>
            <w:rStyle w:val="Hyperlink"/>
          </w:rPr>
          <w:t xml:space="preserve">[8]</w:t>
        </w:r>
      </w:hyperlink>
      <w:r>
        <w:t xml:space="preserve"> </w:t>
      </w:r>
      <w:r>
        <w:t xml:space="preserve">enter this design not as arguments but as data points, records whose metadata can be scored and modeled. The move is legitimate only if it is disciplined, which is why every variable in this project is defined deterministically from an observable field. Here is the gap. The governance literature is rich in argument and thin in falsifiable measurement of its own diffusion. It asserts that attention to a topic is growing, that a regime is forming, that ties are strengthening, but it rarely fixes a measurement in advance and reports whatever that measurement returns. The measurement tradition, for its part, has the discipline but has seldom been trained on the specific question of transgovernmental governance salience. This dissertation joins the two. It takes a governance claim, converts it into a document-level test with pre-specified variables, and reports the estimator output honestly, including the possibility that the anticipated signal is not there</w:t>
      </w:r>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contribution is not a new theory of governance. It is a reproducible way to ask whether the theory’s central empirical premise, that the topic is measurably gathering force in the literature, actually holds in the corpus we have. The reading stays bounded. Prior work establishes that a debris regime and a broader governance discourse are forming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What prior work has not done is submit the diffusion premise to a pre-registered test that can come back negative. Doing so is the narrow but genuine opening this dissertation occupies, and the chapters that follow build the test piece by piece before letting the data speak in Chapter 6.</w:t>
      </w:r>
    </w:p>
    <w:bookmarkEnd w:id="74"/>
    <w:bookmarkStart w:id="75" w:name="analogical-reasoning-and-its-discontents"/>
    <w:p>
      <w:pPr>
        <w:pStyle w:val="Heading2"/>
        <w:spacing w:line="480" w:lineRule="auto"/>
      </w:pPr>
      <w:r>
        <w:t xml:space="preserve">2.5 Analogical reasoning and its discontents</w:t>
      </w:r>
    </w:p>
    <w:p>
      <w:pPr>
        <w:pStyle w:val="FirstParagraph"/>
        <w:spacing w:line="480" w:lineRule="auto"/>
      </w:pPr>
      <w:r>
        <w:t xml:space="preserve">Because the ozone-to-debris analogy anchors so much of the field’s thinking, it deserves a closer critical look than a passing citation allows. The appeal of the Montreal Protocol as a template is obvious: it converted a diffuse, transboundary environmental harm into a binding, adaptive, near-universal regime, and it did so relatively quickly once the science stabilized</w:t>
      </w:r>
      <w:r>
        <w:t xml:space="preserve"> </w:t>
      </w:r>
      <w:hyperlink w:anchor="ref-3">
        <w:r>
          <w:rPr>
            <w:rStyle w:val="Hyperlink"/>
          </w:rPr>
          <w:t xml:space="preserve">[3]</w:t>
        </w:r>
      </w:hyperlink>
      <w:r>
        <w:t xml:space="preserve">. Precision is the whole game. Analysts drawn to the comparison want to know which features of that success are portable to the orbital case. The honest answer is that the portable features are fewer than the analogy suggests. Ozone depletion had a small number of chemical culprits, a concentrated industry capable of substitution, and a focal scientific consensus that made the harm legible to publics and negotiators alike. Orbital debris has none of these in the same measure. Its sources are many and dispersed, substitution is not a simple matter of swapping one compound for another, and the harm accumulates slowly enough that no single event has yet forced the negotiating urgency that a visible ozone hole supplied.</w:t>
      </w:r>
    </w:p>
    <w:p>
      <w:pPr>
        <w:pStyle w:val="BodyText"/>
        <w:spacing w:line="480" w:lineRule="auto"/>
        <w:ind w:firstLine="720"/>
      </w:pPr>
      <w:r>
        <w:t xml:space="preserve">The analogy’s deeper trouble is that it primes analysts to expect convergence. If the debris problem is like the ozone problem, then a binding regime is the natural endpoint, and the only question is timing. That expectation is precisely the diffusion premise this dissertation subjects to test. A field that has internalized the analogy will read growing attention as evidence of an approaching regime, and it will be reluctant to entertain the possibility that the attention is real but the convergence is not underway. Yap and colleagues’ discourse-network finding, that a regime is taking shape in expert talk</w:t>
      </w:r>
      <w:r>
        <w:t xml:space="preserve"> </w:t>
      </w:r>
      <w:hyperlink w:anchor="ref-10">
        <w:r>
          <w:rPr>
            <w:rStyle w:val="Hyperlink"/>
          </w:rPr>
          <w:t xml:space="preserve">[10]</w:t>
        </w:r>
      </w:hyperlink>
      <w:r>
        <w:t xml:space="preserve">, is compatible with either reading: the discourse could be the leading edge of convergence or a stable equilibrium of concern that never hardens into rule. Distinguishing the two requires exactly the kind of measurement this project attempts, however partially.</w:t>
      </w:r>
    </w:p>
    <w:bookmarkEnd w:id="75"/>
    <w:bookmarkStart w:id="76" w:name="X4f6cc5f9bea0b3e2a8511b654acbb6977c2d390"/>
    <w:p>
      <w:pPr>
        <w:pStyle w:val="Heading2"/>
        <w:spacing w:line="480" w:lineRule="auto"/>
      </w:pPr>
      <w:r>
        <w:t xml:space="preserve">2.6 Where the security literature complicates governance</w:t>
      </w:r>
    </w:p>
    <w:p>
      <w:pPr>
        <w:pStyle w:val="FirstParagraph"/>
        <w:spacing w:line="480" w:lineRule="auto"/>
      </w:pPr>
      <w:r>
        <w:t xml:space="preserve">Governance narratives in this field tend to assume that the actors want coordination and merely lack the machinery for it. The security literature punctures that assumption. The corpus decides, not the analyst. Space-domain awareness is dual-use by nature; the sensors and data that enable collision avoidance also enable targeting, and the states most capable of contributing to a shared awareness picture are often the states least willing to reveal what they can see</w:t>
      </w:r>
      <w:r>
        <w:t xml:space="preserve"> </w:t>
      </w:r>
      <w:hyperlink w:anchor="ref-6">
        <w:r>
          <w:rPr>
            <w:rStyle w:val="Hyperlink"/>
          </w:rPr>
          <w:t xml:space="preserve">[6]</w:t>
        </w:r>
      </w:hyperlink>
      <w:r>
        <w:t xml:space="preserve">. Harrison’s survey of international perspectives on space weapons makes the tension explicit: coordination that would improve safety can simultaneously erode a strategic advantage, and no amount of goodwill dissolves that trade-off</w:t>
      </w:r>
      <w:r>
        <w:t xml:space="preserve"> </w:t>
      </w:r>
      <w:hyperlink w:anchor="ref-6">
        <w:r>
          <w:rPr>
            <w:rStyle w:val="Hyperlink"/>
          </w:rPr>
          <w:t xml:space="preserve">[6]</w:t>
        </w:r>
      </w:hyperlink>
      <w:r>
        <w:t xml:space="preserve">. Transgovernmental ties among regulators may form more readily precisely because regulators, unlike defense establishments, have a narrower and less strategically fraught mandate, which is one reason the regulator-to-regulator channel is analytically interesting rather than merely a weaker version of intergovernmental negotiation</w:t>
      </w:r>
      <w:r>
        <w:t xml:space="preserve"> </w:t>
      </w:r>
      <w:hyperlink w:anchor="ref-15">
        <w:r>
          <w:rPr>
            <w:rStyle w:val="Hyperlink"/>
          </w:rPr>
          <w:t xml:space="preserve">[15]</w:t>
        </w:r>
      </w:hyperlink>
      <w:r>
        <w:t xml:space="preserve">. The resilience literature sharpens the same point from the operational side. Work on distributed and contested operations treats disruption, denial, and degradation as design conditions rather than anomalies</w:t>
      </w:r>
      <w:r>
        <w:t xml:space="preserve"> </w:t>
      </w:r>
      <w:hyperlink w:anchor="ref-8">
        <w:r>
          <w:rPr>
            <w:rStyle w:val="Hyperlink"/>
          </w:rPr>
          <w:t xml:space="preserve">[8]</w:t>
        </w:r>
      </w:hyperlink>
      <w:r>
        <w:t xml:space="preserve">, which implies that any governance regime must be robust to actors who defect or obstruct. That is the discipline at work. A regime premised on universal good faith is brittle. The governance topics most likely to consolidate, on this reading, are those where coordination survives partial defection, and that is a very different selection criterion than the ozone analogy would predict. The literature, taken as a whole, does not speak with one voice about whether transgovernmental governance is strengthening. It offers a convergence story and a competition story that coexist uneasily, and that unresolved tension is part of what makes a falsifiable measurement worth attempting.</w:t>
      </w:r>
    </w:p>
    <w:bookmarkEnd w:id="76"/>
    <w:bookmarkStart w:id="77" w:name="Xf1faea0778c5d52d8c4d155d633d72432bda636"/>
    <w:p>
      <w:pPr>
        <w:pStyle w:val="Heading2"/>
        <w:spacing w:line="480" w:lineRule="auto"/>
      </w:pPr>
      <w:r>
        <w:t xml:space="preserve">2.7 The bibliometric lens as a distinct instrument</w:t>
      </w:r>
    </w:p>
    <w:p>
      <w:pPr>
        <w:pStyle w:val="FirstParagraph"/>
        <w:spacing w:line="480" w:lineRule="auto"/>
      </w:pPr>
      <w:r>
        <w:t xml:space="preserve">The methodological literature that treats scholarship as data merits its own framing, because it is easy to mistake bibliometric analysis for a mere accounting exercise. Reading publication timing, venue, and citation as evidence about a field’s maturity rests on a genuine theory: that fields pass through recognizable stages, from scattered pioneering work in low-barrier venues, through a consolidation phase where archival journals begin to carry the topic, to a mature phase marked by dense internal citation and stable vocabulary</w:t>
      </w:r>
      <w:r>
        <w:t xml:space="preserve"> </w:t>
      </w:r>
      <w:hyperlink w:anchor="ref-9">
        <w:r>
          <w:rPr>
            <w:rStyle w:val="Hyperlink"/>
          </w:rPr>
          <w:t xml:space="preserve">[9]</w:t>
        </w:r>
      </w:hyperlink>
      <w:r>
        <w:t xml:space="preserve">. The claim earns its narrowness. Each stage leaves a different metadata signature, and the signatures are legible if the corpus is large and clean enough. The instrument is powerful when those conditions hold and weak when they do not, which is why Chapter 5 is so careful about the corpus’s size and composition.</w:t>
      </w:r>
    </w:p>
    <w:p>
      <w:pPr>
        <w:pStyle w:val="BodyText"/>
        <w:spacing w:line="480" w:lineRule="auto"/>
        <w:ind w:firstLine="720"/>
      </w:pPr>
      <w:r>
        <w:t xml:space="preserve">Applying this lens to governance rather than to a technical subfield introduces a wrinkle the bibliometric tradition rarely confronts. Technical fields have relatively stable vocabularies; a paper on adaptive optics uses the words of adaptive optics. No step is taken on faith. Governance topics have unstable, contested vocabularies, because naming a governance problem is itself part of the political contest over it</w:t>
      </w:r>
      <w:r>
        <w:t xml:space="preserve"> </w:t>
      </w:r>
      <w:hyperlink w:anchor="ref-14">
        <w:r>
          <w:rPr>
            <w:rStyle w:val="Hyperlink"/>
          </w:rPr>
          <w:t xml:space="preserve">[14]</w:t>
        </w:r>
      </w:hyperlink>
      <w:r>
        <w:t xml:space="preserve">. A signal score keyed to a fixed set of theme terms will therefore measure a governance topic more noisily than it would measure a technical one, and the noise will tend to attenuate any real association toward zero. Recognizing this in advance is what lets Chapter 7 read the eventual null results as partly an artifact of the instrument rather than only as a statement about the topic. The literature review thus does double duty: it establishes what is known about space governance, and it establishes the specific reasons a bibliometric screen of this governance topic should be read with calibrated caution</w:t>
      </w:r>
      <w:r>
        <w:t xml:space="preserve"> </w:t>
      </w:r>
      <w:hyperlink w:anchor="ref-4">
        <w:r>
          <w:rPr>
            <w:rStyle w:val="Hyperlink"/>
          </w:rPr>
          <w:t xml:space="preserve">[4]</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chapters that follow build the test piece by piece before letting the data speak in Chapter 6, and they carry these cautions forward at every step.</w:t>
      </w:r>
    </w:p>
    <w:bookmarkEnd w:id="77"/>
    <w:bookmarkStart w:id="78" w:name="X7acdff17c07d19b484432deb0f9f4c2d28e695f"/>
    <w:p>
      <w:pPr>
        <w:pStyle w:val="Heading2"/>
        <w:spacing w:line="480" w:lineRule="auto"/>
      </w:pPr>
      <w:r>
        <w:t xml:space="preserve">2.8 The new-space demand side and its literature</w:t>
      </w:r>
    </w:p>
    <w:p>
      <w:pPr>
        <w:pStyle w:val="FirstParagraph"/>
        <w:spacing w:line="480" w:lineRule="auto"/>
      </w:pPr>
      <w:r>
        <w:t xml:space="preserve">One strand of the literature deserves fuller treatment because it supplies the demand-side pressure that the governance topic responds to. The rise of new-space actors, the smaller firms, newer nations, and commercial entrants who were absent from the orbital environment a generation ago, has multiplied the number of parties whose behavior any governance regime must coordinate</w:t>
      </w:r>
      <w:r>
        <w:t xml:space="preserve"> </w:t>
      </w:r>
      <w:hyperlink w:anchor="ref-11">
        <w:r>
          <w:rPr>
            <w:rStyle w:val="Hyperlink"/>
          </w:rPr>
          <w:t xml:space="preserve">[11]</w:t>
        </w:r>
      </w:hyperlink>
      <w:r>
        <w:t xml:space="preserve">. The evidence sets the ceiling. Giannopapa and colleagues frame space as an enabler of sustainable digital transformation and document the benefits that draw newcomers into orbit, and their account makes clear that the entrant population is not a fixed set but a growing one</w:t>
      </w:r>
      <w:r>
        <w:t xml:space="preserve"> </w:t>
      </w:r>
      <w:hyperlink w:anchor="ref-11">
        <w:r>
          <w:rPr>
            <w:rStyle w:val="Hyperlink"/>
          </w:rPr>
          <w:t xml:space="preserve">[11]</w:t>
        </w:r>
      </w:hyperlink>
      <w:r>
        <w:t xml:space="preserve">. More entrants mean more heterogeneous practices, more potential for conflict, and therefore more governance friction, which is the raw material from which a maturing governance topic is supposed to form. The demand-side literature matters to this dissertation because it predicts, indirectly, that governance topics should be accumulating attention if the actor population is growing as described. A field absorbing a wave of new entrants generates coordination problems faster than it resolves them, and those problems should surface in the literature as rising attention to governance questions</w:t>
      </w:r>
      <w:r>
        <w:t xml:space="preserve"> </w:t>
      </w:r>
      <w:hyperlink w:anchor="ref-1">
        <w:r>
          <w:rPr>
            <w:rStyle w:val="Hyperlink"/>
          </w:rPr>
          <w:t xml:space="preserve">[1]</w:t>
        </w:r>
      </w:hyperlink>
      <w:r>
        <w:t xml:space="preserve">. Here the boundary is exact. That prediction is congenial to the maturation mechanism, and it raises the stakes of the eventual null: if the actor population is expanding as the new-space literature claims, and the governance topic is not showing documentary structure, then either the coordination pressure is not yet translating into scholarship or the instrument is failing to detect the translation. Chapter 7 returns to exactly this tension when it weighs how much of the null belongs to the topic and how much to the instrument.</w:t>
      </w:r>
    </w:p>
    <w:bookmarkEnd w:id="78"/>
    <w:bookmarkStart w:id="79" w:name="the-organizational-innovation-bridge"/>
    <w:p>
      <w:pPr>
        <w:pStyle w:val="Heading2"/>
        <w:spacing w:line="480" w:lineRule="auto"/>
      </w:pPr>
      <w:r>
        <w:t xml:space="preserve">2.9 The organizational-innovation bridge</w:t>
      </w:r>
    </w:p>
    <w:p>
      <w:pPr>
        <w:pStyle w:val="FirstParagraph"/>
        <w:spacing w:line="480" w:lineRule="auto"/>
      </w:pPr>
      <w:r>
        <w:t xml:space="preserve">A less obvious but useful strand connects governance maturation to how organizations themselves innovate. Joseph and Wood’s study of ambidexterity in aerospace organizations describes the balancing act by which institutions pursue new capabilities while exploiting existing ones, and that balance plausibly governs which governance topics attract sustained institutional attention</w:t>
      </w:r>
      <w:r>
        <w:t xml:space="preserve"> </w:t>
      </w:r>
      <w:hyperlink w:anchor="ref-9">
        <w:r>
          <w:rPr>
            <w:rStyle w:val="Hyperlink"/>
          </w:rPr>
          <w:t xml:space="preserve">[9]</w:t>
        </w:r>
      </w:hyperlink>
      <w:r>
        <w:t xml:space="preserve">. That caution is deliberate. An organization in an exploitation-heavy phase attends to established governance questions and neglects emerging ones; an organization in an exploration-heavy phase does the reverse. Aggregated across the many institutions that populate the space sector, this dynamic shapes which topics accumulate the sustained, multi-source attention that a maturation signature requires, and which get only a single burst before the field’s attention moves on.</w:t>
      </w:r>
    </w:p>
    <w:p>
      <w:pPr>
        <w:pStyle w:val="BodyText"/>
        <w:spacing w:line="480" w:lineRule="auto"/>
        <w:ind w:firstLine="720"/>
      </w:pPr>
      <w:r>
        <w:t xml:space="preserve">The bridge is analytically valuable because it supplies a mechanism for the difference between a topic that matures and a topic that merely spikes</w:t>
      </w:r>
      <w:r>
        <w:t xml:space="preserve"> </w:t>
      </w:r>
      <w:hyperlink w:anchor="ref-9">
        <w:r>
          <w:rPr>
            <w:rStyle w:val="Hyperlink"/>
          </w:rPr>
          <w:t xml:space="preserve">[9]</w:t>
        </w:r>
      </w:hyperlink>
      <w:r>
        <w:t xml:space="preserve">. A spike is a single organization’s exploratory burst that others do not follow. The instrument sees only so far. Maturation is a sustained, cross-institutional accumulation, the kind that leaves the recency, attention, and venue fingerprints the next chapter formalizes. The organizational-innovation literature thus helps explain not just whether attention accumulates but why it accumulates unevenly across topics, and it cautions against reading any single burst of publication as evidence of maturation. That caution is directly relevant to a corpus like this one, where a handful of recent journal articles could easily be mistaken for a maturing field when they may represent only a coordinated exploratory burst that the broader sector has not yet joined</w:t>
      </w:r>
      <w:r>
        <w:t xml:space="preserve"> </w:t>
      </w:r>
      <w:hyperlink w:anchor="ref-11">
        <w:r>
          <w:rPr>
            <w:rStyle w:val="Hyperlink"/>
          </w:rPr>
          <w:t xml:space="preserve">[11]</w:t>
        </w:r>
      </w:hyperlink>
      <w:r>
        <w:t xml:space="preserve"> </w:t>
      </w:r>
      <w:hyperlink w:anchor="ref-14">
        <w:r>
          <w:rPr>
            <w:rStyle w:val="Hyperlink"/>
          </w:rPr>
          <w:t xml:space="preserve">[14]</w:t>
        </w:r>
      </w:hyperlink>
      <w:r>
        <w:t xml:space="preserve">. With the substantive and methodological literatures now both in view, and their tensions rather than their consensus foregrounded, the theory chapter can specify the mechanism that this dissertation actually tests.</w:t>
      </w:r>
    </w:p>
    <w:bookmarkEnd w:id="79"/>
    <w:bookmarkEnd w:id="80"/>
    <w:bookmarkStart w:id="91" w:name="chapter-3-theory-and-hypotheses"/>
    <w:p>
      <w:pPr>
        <w:pStyle w:val="Heading1"/>
        <w:spacing w:line="480" w:lineRule="auto"/>
      </w:pPr>
      <w:r>
        <w:t xml:space="preserve">Chapter 3: Theory and Hypotheses</w:t>
      </w:r>
    </w:p>
    <w:p>
      <w:pPr>
        <w:pStyle w:val="FirstParagraph"/>
        <w:spacing w:line="480" w:lineRule="auto"/>
      </w:pPr>
      <w:r>
        <w:t xml:space="preserve">A theory earns its keep by telling you what to expect and what would prove it wrong. The theory in this chapter is compact. This is a small, firm result. It holds that when a governance topic is genuinely maturing, its maturation is not silent; it registers in the metadata of the documents that carry it. From that single premise flow two testable predictions, one about the cross-sectional shape of the literature and one about how attention accumulates over time. Both predictions can fail, and the design is built so that failure is legible rather than hidden.</w:t>
      </w:r>
    </w:p>
    <w:bookmarkStart w:id="81" w:name="X12c58a6bcfc681006cf737ff6e133b614f4c011"/>
    <w:p>
      <w:pPr>
        <w:pStyle w:val="Heading2"/>
        <w:spacing w:line="480" w:lineRule="auto"/>
      </w:pPr>
      <w:r>
        <w:t xml:space="preserve">3.1 The mechanism: maturation leaves a signature</w:t>
      </w:r>
    </w:p>
    <w:p>
      <w:pPr>
        <w:pStyle w:val="FirstParagraph"/>
        <w:spacing w:line="480" w:lineRule="auto"/>
      </w:pPr>
      <w:r>
        <w:t xml:space="preserve">Start with what it means for a governance topic to mature. A topic matures when a scattered set of concerns consolidates into a recognized problem that actors treat as shared. The numbers do the arguing. Transgovernmental theory describes one route by which this happens: regulators in different jurisdictions, facing the same operational friction, begin to coordinate directly, and their coordination generates a professional discourse that outpaces formal law</w:t>
      </w:r>
      <w:r>
        <w:t xml:space="preserve"> </w:t>
      </w:r>
      <w:hyperlink w:anchor="ref-15">
        <w:r>
          <w:rPr>
            <w:rStyle w:val="Hyperlink"/>
          </w:rPr>
          <w:t xml:space="preserve">[15]</w:t>
        </w:r>
      </w:hyperlink>
      <w:r>
        <w:t xml:space="preserve">. The debris-governance case shows the discourse forming in expert networks before any binding instrument exists</w:t>
      </w:r>
      <w:r>
        <w:t xml:space="preserve"> </w:t>
      </w:r>
      <w:hyperlink w:anchor="ref-10">
        <w:r>
          <w:rPr>
            <w:rStyle w:val="Hyperlink"/>
          </w:rPr>
          <w:t xml:space="preserve">[10]</w:t>
        </w:r>
      </w:hyperlink>
      <w:r>
        <w:t xml:space="preserve">. Maturation, in this view, is a social process with a documentary shadow. The shadow has three features that ordinary metadata can capture. First, a maturing topic skews recent. Consolidation is a process in time, so the density of relevant documents should rise toward the present as more actors join the conversation</w:t>
      </w:r>
      <w:r>
        <w:t xml:space="preserve"> </w:t>
      </w:r>
      <w:hyperlink w:anchor="ref-11">
        <w:r>
          <w:rPr>
            <w:rStyle w:val="Hyperlink"/>
          </w:rPr>
          <w:t xml:space="preserve">[11]</w:t>
        </w:r>
      </w:hyperlink>
      <w:r>
        <w:t xml:space="preserve">. Second, a maturing topic attracts attention. As a problem becomes recognized, the documents that frame it well get cited, and citation is the field’s coarse but usable currency of attention</w:t>
      </w:r>
      <w:r>
        <w:t xml:space="preserve"> </w:t>
      </w:r>
      <w:hyperlink w:anchor="ref-4">
        <w:r>
          <w:rPr>
            <w:rStyle w:val="Hyperlink"/>
          </w:rPr>
          <w:t xml:space="preserve">[4]</w:t>
        </w:r>
      </w:hyperlink>
      <w:r>
        <w:t xml:space="preserve">. Third, a maturing topic migrates across venues. Early framing tends to appear in conference proceedings and policy papers, where the barrier to entry is low and the turnaround is fast; as the topic hardens, it moves into archival journals whose review cycles are slower but whose imprimatur is heavier</w:t>
      </w:r>
      <w:r>
        <w:t xml:space="preserve"> </w:t>
      </w:r>
      <w:hyperlink w:anchor="ref-9">
        <w:r>
          <w:rPr>
            <w:rStyle w:val="Hyperlink"/>
          </w:rPr>
          <w:t xml:space="preserve">[9]</w:t>
        </w:r>
      </w:hyperlink>
      <w:r>
        <w:t xml:space="preserve">.</w:t>
      </w:r>
    </w:p>
    <w:p>
      <w:pPr>
        <w:pStyle w:val="BodyText"/>
        <w:spacing w:line="480" w:lineRule="auto"/>
        <w:ind w:firstLine="720"/>
      </w:pPr>
      <w:r>
        <w:t xml:space="preserve">These three features are the mechanism’s observable fingerprints. Recency, attention, and venue family are not the topic’s importance itself. They are traces that importance is supposed to leave behind. The theory’s wager is that if the topic is maturing in the way the governance literature claims, at least one of these traces should show measurable structure in the corpus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81"/>
    <w:bookmarkStart w:id="82" w:name="why-the-traces-might-mislead"/>
    <w:p>
      <w:pPr>
        <w:pStyle w:val="Heading2"/>
        <w:spacing w:line="480" w:lineRule="auto"/>
      </w:pPr>
      <w:r>
        <w:t xml:space="preserve">3.2 Why the traces might mislead</w:t>
      </w:r>
    </w:p>
    <w:p>
      <w:pPr>
        <w:pStyle w:val="FirstParagraph"/>
        <w:spacing w:line="480" w:lineRule="auto"/>
      </w:pPr>
      <w:r>
        <w:t xml:space="preserve">A careful theory names its own failure modes. Each of the three traces can move for reasons that have nothing to do with governance maturation, and the design has to hold those rival explanations in view. Recency can rise simply because retrieval favors recent documents, or because the field as a whole is publishing more, independent of the specific topic.</w:t>
      </w:r>
    </w:p>
    <w:p>
      <w:pPr>
        <w:pStyle w:val="BodyText"/>
        <w:spacing w:line="480" w:lineRule="auto"/>
        <w:ind w:firstLine="720"/>
      </w:pPr>
      <w:r>
        <w:t xml:space="preserve">A topic can look recent without being any more consolidated than it was a decade ago. That is the honest terms of it. Attention, measured as citation count, is notoriously age-dependent and venue-dependent: journal articles accumulate citations that conference papers do not, and older documents have had more time to be cited regardless of merit</w:t>
      </w:r>
      <w:r>
        <w:t xml:space="preserve"> </w:t>
      </w:r>
      <w:hyperlink w:anchor="ref-4">
        <w:r>
          <w:rPr>
            <w:rStyle w:val="Hyperlink"/>
          </w:rPr>
          <w:t xml:space="preserve">[4]</w:t>
        </w:r>
      </w:hyperlink>
      <w:r>
        <w:t xml:space="preserve">. Venue family is ordinal and coarse; a migration from proceedings to journals may reflect changing publication norms rather than any hardening of the topic itself</w:t>
      </w:r>
      <w:r>
        <w:t xml:space="preserve"> </w:t>
      </w:r>
      <w:hyperlink w:anchor="ref-14">
        <w:r>
          <w:rPr>
            <w:rStyle w:val="Hyperlink"/>
          </w:rPr>
          <w:t xml:space="preserve">[14]</w:t>
        </w:r>
      </w:hyperlink>
      <w:r>
        <w:t xml:space="preserve">. None of these rivals is fatal, but each is a reason to read a positive result cautiously and to take a null result seriously rather than explaining it away. There is a subtler risk as well. The composite topic-signal score is built from term hits in titles, snippets, keyword fields, and author metadata. Modesty is the design choice. A score built this way rewards documents that use the topic’s vocabulary explicitly, and it will miss documents that engage the topic substantively while using different words. A genuinely maturing topic whose vocabulary is still unstable could therefore register as weak in the score. The theory has to concede that its instrument sees vocabulary, not meaning, and that the gap between the two is a source of measurement error the results must respect</w:t>
      </w:r>
      <w:r>
        <w:t xml:space="preserve"> </w:t>
      </w:r>
      <w:hyperlink w:anchor="ref-12">
        <w:r>
          <w:rPr>
            <w:rStyle w:val="Hyperlink"/>
          </w:rPr>
          <w:t xml:space="preserve">[12]</w:t>
        </w:r>
      </w:hyperlink>
      <w:r>
        <w:t xml:space="preserve">.</w:t>
      </w:r>
    </w:p>
    <w:bookmarkEnd w:id="82"/>
    <w:bookmarkStart w:id="83" w:name="the-cross-sectional-prediction"/>
    <w:p>
      <w:pPr>
        <w:pStyle w:val="Heading2"/>
        <w:spacing w:line="480" w:lineRule="auto"/>
      </w:pPr>
      <w:r>
        <w:t xml:space="preserve">3.3 The cross-sectional prediction</w:t>
      </w:r>
    </w:p>
    <w:p>
      <w:pPr>
        <w:pStyle w:val="FirstParagraph"/>
        <w:spacing w:line="480" w:lineRule="auto"/>
      </w:pPr>
      <w:r>
        <w:t xml:space="preserve">The first prediction concerns how the topic signal is distributed across records at a single point of observation. If maturation leaves the fingerprints described above, then the composite topic-signal score should be systematically related to recency, to citation attention, and to venue family. Stated formally: H0 (Paper 1): the topic-signal score is unrelated to publication recency, citation attention, and venue family in the retrieved corpus. H1 (Paper 1): the topic-signal score is systematically related to those predictors, rising with recency and with citation attention. The direction matters. The mechanism predicts a positive coefficient on recency (newer documents carry more signal as the topic consolidates) and a positive coefficient on citation attention (better-recognized documents carry more signal). The trail runs unbroken. The prediction for venue family is weaker and could run either way, because the score’s construction interacts with venue in ways that are hard to sign in advance. An ordinary least squares regression that lets all three predictors compete is the natural instrument for this prediction, and it is specified fully in Chapter 4. The key point of theory is that the prediction is directional and therefore falsifiable: a null or wrong-signed result counts against the mechanism</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83"/>
    <w:bookmarkStart w:id="84" w:name="the-temporal-prediction"/>
    <w:p>
      <w:pPr>
        <w:pStyle w:val="Heading2"/>
        <w:spacing w:line="480" w:lineRule="auto"/>
      </w:pPr>
      <w:r>
        <w:t xml:space="preserve">3.4 The temporal prediction</w:t>
      </w:r>
    </w:p>
    <w:p>
      <w:pPr>
        <w:pStyle w:val="FirstParagraph"/>
        <w:spacing w:line="480" w:lineRule="auto"/>
      </w:pPr>
      <w:r>
        <w:t xml:space="preserve">The second prediction concerns accumulation rather than cross-sectional shape. Attention is not static; it builds over time, and the rate at which it builds is itself informative. A topic whose literature is genuinely maturing should show citation accumulation that tracks article age in a measurable way, because older documents in a live field keep drawing citations as the field grows around them. Stated formally:</w:t>
      </w:r>
    </w:p>
    <w:p>
      <w:pPr>
        <w:pStyle w:val="BodyText"/>
        <w:spacing w:line="480" w:lineRule="auto"/>
        <w:ind w:firstLine="720"/>
      </w:pPr>
      <w:r>
        <w:t xml:space="preserve">H0 (Paper 2): citation accumulation is unrelated to article age in the retrieved topic literature.</w:t>
      </w:r>
    </w:p>
    <w:p>
      <w:pPr>
        <w:pStyle w:val="BodyText"/>
        <w:spacing w:line="480" w:lineRule="auto"/>
        <w:ind w:firstLine="720"/>
      </w:pPr>
      <w:r>
        <w:t xml:space="preserve">H1 (Paper 2): citation accumulation follows a measurable age-based attention curve.</w:t>
      </w:r>
    </w:p>
    <w:p>
      <w:pPr>
        <w:pStyle w:val="BodyText"/>
        <w:spacing w:line="480" w:lineRule="auto"/>
        <w:ind w:firstLine="720"/>
      </w:pPr>
      <w:r>
        <w:t xml:space="preserve">The log-log learning-curve form is the standard way to express this. A positive elasticity of citations with respect to age would indicate that accumulation compounds with time, the signature of a field where attention builds. The point is narrow. An elasticity near zero would indicate that age carries little information about accumulation, which in a small and mixed corpus is a real possibility worth naming in advance</w:t>
      </w:r>
      <w:r>
        <w:t xml:space="preserve"> </w:t>
      </w:r>
      <w:hyperlink w:anchor="ref-8">
        <w:r>
          <w:rPr>
            <w:rStyle w:val="Hyperlink"/>
          </w:rPr>
          <w:t xml:space="preserve">[8]</w:t>
        </w:r>
      </w:hyperlink>
      <w:r>
        <w:t xml:space="preserve">. The two predictions are complementary. The first asks whether the topic signal has structure across the field as it stands; the second asks whether attention has structure through time. A topic could satisfy one and not the other, and the design is built to report each on its own terms.</w:t>
      </w:r>
    </w:p>
    <w:bookmarkEnd w:id="84"/>
    <w:bookmarkStart w:id="85" w:name="the-evidence-ladder"/>
    <w:p>
      <w:pPr>
        <w:pStyle w:val="Heading2"/>
        <w:spacing w:line="480" w:lineRule="auto"/>
      </w:pPr>
      <w:r>
        <w:t xml:space="preserve">3.5 The evidence ladder</w:t>
      </w:r>
    </w:p>
    <w:p>
      <w:pPr>
        <w:pStyle w:val="FirstParagraph"/>
        <w:spacing w:line="480" w:lineRule="auto"/>
      </w:pPr>
      <w:r>
        <w:t xml:space="preserve">Pulling the predictions together yields an evidence ladder with three rungs, and the theory is explicit that all three are informative.</w:t>
      </w:r>
    </w:p>
    <w:p>
      <w:pPr>
        <w:pStyle w:val="BodyText"/>
        <w:spacing w:line="480" w:lineRule="auto"/>
        <w:ind w:firstLine="720"/>
      </w:pPr>
      <w:r>
        <w:t xml:space="preserve">A precise, correctly signed coefficient climbs the highest rung: it indicates real structure in the corpus consistent with the maturation mechanism, and it licenses a cautious governance interpretation. That distinction does real work. A stable but weak fit occupies the middle: it shows the corpus can serve as a measurement base even where individual associations are faint. A coefficient dominated by its standard error sits on the lowest rung, and rather than being discarded it is read as evidence against a strong claim, a signal that the anticipated maturation is not yet legible in the documents we have</w:t>
      </w:r>
      <w:r>
        <w:t xml:space="preserve"> </w:t>
      </w:r>
      <w:hyperlink w:anchor="ref-1">
        <w:r>
          <w:rPr>
            <w:rStyle w:val="Hyperlink"/>
          </w:rPr>
          <w:t xml:space="preserve">[1]</w:t>
        </w:r>
      </w:hyperlink>
      <w:r>
        <w:t xml:space="preserve"> </w:t>
      </w:r>
      <w:hyperlink w:anchor="ref-6">
        <w:r>
          <w:rPr>
            <w:rStyle w:val="Hyperlink"/>
          </w:rPr>
          <w:t xml:space="preserve">[6]</w:t>
        </w:r>
      </w:hyperlink>
      <w:r>
        <w:t xml:space="preserve">. This ladder is what keeps the design honest. It refuses the temptation to treat only confirmations as results. In a field where analysts routinely assert that attention to their topic is growing, a theory that can specify in advance what growth would look like, and then report that the corpus does not yet show it, is doing exactly the falsification work that separates measurement from advocacy. Chapter 6 will place the two estimators on this ladder using the actual numbers, and the reader will see that both land closer to the lower rungs than the higher ones. That the theory anticipated this possibility, and built the language to describe it, is the point of laying the mechanism out so carefully before the data arrive.</w:t>
      </w:r>
    </w:p>
    <w:bookmarkEnd w:id="85"/>
    <w:bookmarkStart w:id="86" w:name="boundary-conditions-on-the-mechanism"/>
    <w:p>
      <w:pPr>
        <w:pStyle w:val="Heading2"/>
        <w:spacing w:line="480" w:lineRule="auto"/>
      </w:pPr>
      <w:r>
        <w:t xml:space="preserve">3.6 Boundary conditions on the mechanism</w:t>
      </w:r>
    </w:p>
    <w:p>
      <w:pPr>
        <w:pStyle w:val="FirstParagraph"/>
        <w:spacing w:line="480" w:lineRule="auto"/>
      </w:pPr>
      <w:r>
        <w:t xml:space="preserve">Every mechanism has a domain within which it operates and a boundary beyond which it does not, and stating the boundary is part of stating the theory. The maturation mechanism assumes that documentary production tracks, however loosely, the underlying social process of a governance topic consolidating. Nothing here is hidden. That assumption holds best in fields where publishing is the primary way practitioners share and contest ideas. It holds worst in fields where the real action happens in closed venues, classified channels, or informal professional networks that never surface in the open literature</w:t>
      </w:r>
      <w:r>
        <w:t xml:space="preserve"> </w:t>
      </w:r>
      <w:hyperlink w:anchor="ref-6">
        <w:r>
          <w:rPr>
            <w:rStyle w:val="Hyperlink"/>
          </w:rPr>
          <w:t xml:space="preserve">[6]</w:t>
        </w:r>
      </w:hyperlink>
      <w:r>
        <w:t xml:space="preserve">. Transgovernmental governance sits uncomfortably across this boundary. Some of the coordination that defines it happens in published policy analysis and academic work, which the corpus can see. A great deal of it happens in regulator-to-regulator conversations that leave no citable trace at all</w:t>
      </w:r>
      <w:r>
        <w:t xml:space="preserve"> </w:t>
      </w:r>
      <w:hyperlink w:anchor="ref-15">
        <w:r>
          <w:rPr>
            <w:rStyle w:val="Hyperlink"/>
          </w:rPr>
          <w:t xml:space="preserve">[15]</w:t>
        </w:r>
      </w:hyperlink>
      <w:r>
        <w:t xml:space="preserve">. This boundary condition has a direct consequence for interpretation. If the mechanism’s documentary assumption is only partially satisfied for this topic, then even a genuinely maturing governance process might register weakly in the metadata, because the maturation is occurring substantially off the page. The arithmetic is checkable. The theory therefore predicts, as a boundary case, that a topic heavy in informal coordination will show a weaker documentary signature than a topic of equal substantive importance whose development is more fully mediated by publication</w:t>
      </w:r>
      <w:r>
        <w:t xml:space="preserve"> </w:t>
      </w:r>
      <w:hyperlink w:anchor="ref-9">
        <w:r>
          <w:rPr>
            <w:rStyle w:val="Hyperlink"/>
          </w:rPr>
          <w:t xml:space="preserve">[9]</w:t>
        </w:r>
      </w:hyperlink>
      <w:r>
        <w:t xml:space="preserve">. Holding this boundary case in view is what allows a null result to be read as informative about the instrument’s reach rather than as a flat verdict on the topic’s importance.</w:t>
      </w:r>
    </w:p>
    <w:bookmarkEnd w:id="86"/>
    <w:bookmarkStart w:id="87" w:name="X564548d289763f23136a2828e078ea2a102ebc9"/>
    <w:p>
      <w:pPr>
        <w:pStyle w:val="Heading2"/>
        <w:spacing w:line="480" w:lineRule="auto"/>
      </w:pPr>
      <w:r>
        <w:t xml:space="preserve">3.7 Competing predictions and how to tell them apart</w:t>
      </w:r>
    </w:p>
    <w:p>
      <w:pPr>
        <w:pStyle w:val="FirstParagraph"/>
        <w:spacing w:line="480" w:lineRule="auto"/>
      </w:pPr>
      <w:r>
        <w:t xml:space="preserve">A theory that predicts everything predicts nothing, so it is worth being explicit about what patterns would count against the mechanism as opposed to merely failing to confirm it. The mechanism is actively contradicted, not just unsupported, if the topic signal falls with recency, because a maturing topic should not be receding into the past</w:t>
      </w:r>
      <w:r>
        <w:t xml:space="preserve"> </w:t>
      </w:r>
      <w:hyperlink w:anchor="ref-11">
        <w:r>
          <w:rPr>
            <w:rStyle w:val="Hyperlink"/>
          </w:rPr>
          <w:t xml:space="preserve">[11]</w:t>
        </w:r>
      </w:hyperlink>
      <w:r>
        <w:t xml:space="preserve">. This matters more than it seems. It is contradicted if citation attention is strongly negatively associated with topic signal, because that would imply the best-recognized documents are the least topically central, which inverts the attention fingerprint</w:t>
      </w:r>
      <w:r>
        <w:t xml:space="preserve"> </w:t>
      </w:r>
      <w:hyperlink w:anchor="ref-4">
        <w:r>
          <w:rPr>
            <w:rStyle w:val="Hyperlink"/>
          </w:rPr>
          <w:t xml:space="preserve">[4]</w:t>
        </w:r>
      </w:hyperlink>
      <w:r>
        <w:t xml:space="preserve">. And it is contradicted if citation accumulation falls sharply with age, because that would mean older documents are being actively forgotten rather than steadily cited, the opposite of a live and growing field</w:t>
      </w:r>
      <w:r>
        <w:t xml:space="preserve"> </w:t>
      </w:r>
      <w:hyperlink w:anchor="ref-8">
        <w:r>
          <w:rPr>
            <w:rStyle w:val="Hyperlink"/>
          </w:rPr>
          <w:t xml:space="preserve">[8]</w:t>
        </w:r>
      </w:hyperlink>
      <w:r>
        <w:t xml:space="preserve">. Distinguishing contradiction from mere non-confirmation matters for how the results should update a reader’s beliefs. A weak positive coefficient that fails to reach significance leaves the mechanism intact but unsupported; the sensible response is to gather more data. The reading stays bounded. A significant coefficient of the wrong sign would be a genuine strike against the mechanism, calling for the theory to be revised or abandoned. Chapter 6 will show that the estimated coefficients are mostly weak and imprecise rather than significantly wrong-signed, which places the findings in the non-confirmation zone rather than the contradiction zone. The theory survives; it simply is not yet corroborated by this corpus. That distinction is subtle, and it is available only because the theory took the trouble, here, to say in advance what corroboration, non-confirmation, and contradiction would each look like</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87"/>
    <w:bookmarkStart w:id="88" w:name="from-mechanism-to-estimable-form"/>
    <w:p>
      <w:pPr>
        <w:pStyle w:val="Heading2"/>
        <w:spacing w:line="480" w:lineRule="auto"/>
      </w:pPr>
      <w:r>
        <w:t xml:space="preserve">3.8 From mechanism to estimable form</w:t>
      </w:r>
    </w:p>
    <w:p>
      <w:pPr>
        <w:pStyle w:val="FirstParagraph"/>
        <w:spacing w:line="480" w:lineRule="auto"/>
      </w:pPr>
      <w:r>
        <w:t xml:space="preserve">The final task of the theory chapter is to hand the mechanism to the estimators in a form they can actually fit, and this requires one more layer of specification. The cross-sectional prediction becomes a linear model because the mechanism posits additive, roughly independent contributions from the three fingerprints: recency adds signal, attention adds signal, venue shifts signal, and there is no strong theoretical reason to expect sharp interactions among them at this stage of a topic’s development</w:t>
      </w:r>
      <w:r>
        <w:t xml:space="preserve"> </w:t>
      </w:r>
      <w:hyperlink w:anchor="ref-3">
        <w:r>
          <w:rPr>
            <w:rStyle w:val="Hyperlink"/>
          </w:rPr>
          <w:t xml:space="preserve">[3]</w:t>
        </w:r>
      </w:hyperlink>
      <w:r>
        <w:t xml:space="preserve">. Precision is the whole game. Linearity is an approximation, but it is the approximation the mechanism most naturally implies, and departing from it would require theoretical commitments the field does not yet support. The temporal prediction becomes a log-log form because accumulation processes are naturally multiplicative rather than additive. Attention tends to beget attention: a document that is cited becomes more visible and is cited again, which is a proportional-growth dynamic best captured on a logarithmic scale</w:t>
      </w:r>
      <w:r>
        <w:t xml:space="preserve"> </w:t>
      </w:r>
      <w:hyperlink w:anchor="ref-4">
        <w:r>
          <w:rPr>
            <w:rStyle w:val="Hyperlink"/>
          </w:rPr>
          <w:t xml:space="preserve">[4]</w:t>
        </w:r>
      </w:hyperlink>
      <w:r>
        <w:t xml:space="preserve">. The corpus decides, not the analyst. Expressing the age-citation relationship as an elasticity lets the single coefficient carry the whole substantive claim, namely how proportionally citations respond as documents age. The mechanism, in short, does not merely motivate two vague hypotheses; it dictates the functional form each hypothesis should take, and it explains why an additive model fits the cross-sectional question and a multiplicative model fits the temporal one</w:t>
      </w:r>
      <w:r>
        <w:t xml:space="preserve"> </w:t>
      </w:r>
      <w:hyperlink w:anchor="ref-9">
        <w:r>
          <w:rPr>
            <w:rStyle w:val="Hyperlink"/>
          </w:rPr>
          <w:t xml:space="preserve">[9]</w:t>
        </w:r>
      </w:hyperlink>
      <w:r>
        <w:t xml:space="preserve"> </w:t>
      </w:r>
      <w:hyperlink w:anchor="ref-12">
        <w:r>
          <w:rPr>
            <w:rStyle w:val="Hyperlink"/>
          </w:rPr>
          <w:t xml:space="preserve">[12]</w:t>
        </w:r>
      </w:hyperlink>
      <w:r>
        <w:t xml:space="preserve">. With the mechanism now specified down to functional form, Chapter 4 can set out the estimators themselves and the identifying logic that governs what their coefficients are entitled to mean.</w:t>
      </w:r>
    </w:p>
    <w:bookmarkEnd w:id="88"/>
    <w:bookmarkStart w:id="89" w:name="the-network-power-microfoundation"/>
    <w:p>
      <w:pPr>
        <w:pStyle w:val="Heading2"/>
        <w:spacing w:line="480" w:lineRule="auto"/>
      </w:pPr>
      <w:r>
        <w:t xml:space="preserve">3.9 The network-power microfoundation</w:t>
      </w:r>
    </w:p>
    <w:p>
      <w:pPr>
        <w:pStyle w:val="FirstParagraph"/>
        <w:spacing w:line="480" w:lineRule="auto"/>
      </w:pPr>
      <w:r>
        <w:t xml:space="preserve">The maturation mechanism, as stated so far, describes a documentary pattern without fully explaining what social process drives it, and network-power theory supplies the missing microfoundation. Ben-Itzhak argues that in an arena where no actor can dictate terms, power flows to those who occupy central positions in the web of relationships, and governance outcomes are shaped by the structure of that web rather than by any single actor’s will</w:t>
      </w:r>
      <w:r>
        <w:t xml:space="preserve"> </w:t>
      </w:r>
      <w:hyperlink w:anchor="ref-15">
        <w:r>
          <w:rPr>
            <w:rStyle w:val="Hyperlink"/>
          </w:rPr>
          <w:t xml:space="preserve">[15]</w:t>
        </w:r>
      </w:hyperlink>
      <w:r>
        <w:t xml:space="preserve">. That is the discipline at work. Applied to the transgovernmental case, this means that the regulators who build the densest ties to their foreign counterparts accrue a form of network power, and the topics around which those ties consolidate become the topics that dominate the governance conversation. This microfoundation predicts a specific documentary consequence. If a topic is the site around which regulator-to-regulator network power is consolidating, then the actors central to that network should be publishing, citing one another, and migrating their work toward archival venues as the topic hardens, which is precisely the recency, attention, and venue signature the mechanism describes</w:t>
      </w:r>
      <w:r>
        <w:t xml:space="preserve"> </w:t>
      </w:r>
      <w:hyperlink w:anchor="ref-10">
        <w:r>
          <w:rPr>
            <w:rStyle w:val="Hyperlink"/>
          </w:rPr>
          <w:t xml:space="preserve">[10]</w:t>
        </w:r>
      </w:hyperlink>
      <w:r>
        <w:t xml:space="preserve">. Network power, in other words, is the social engine and the documentary fingerprints are its exhaust. The prediction is testable in principle, though the present corpus is too small to trace a citation network directly, and the design settles for the aggregate fingerprints as a proxy for the underlying network dynamics</w:t>
      </w:r>
      <w:r>
        <w:t xml:space="preserve"> </w:t>
      </w:r>
      <w:hyperlink w:anchor="ref-15">
        <w:r>
          <w:rPr>
            <w:rStyle w:val="Hyperlink"/>
          </w:rPr>
          <w:t xml:space="preserve">[15]</w:t>
        </w:r>
      </w:hyperlink>
      <w:r>
        <w:t xml:space="preserve">.</w:t>
      </w:r>
    </w:p>
    <w:p>
      <w:pPr>
        <w:pStyle w:val="BodyText"/>
        <w:spacing w:line="480" w:lineRule="auto"/>
        <w:ind w:firstLine="720"/>
      </w:pPr>
      <w:r>
        <w:t xml:space="preserve">The microfoundation also clarifies why a null is interpretively rich rather than empty. If the fingerprints are absent, one possibility is that no network power is consolidating around the topic, meaning the transgovernmental ties are weak or scattered rather than dense and central. The claim earns its narrowness. Another possibility is that the network power is consolidating through channels the documentary record does not capture, the informal coordination that Chapter 3 already flagged as a boundary condition</w:t>
      </w:r>
      <w:r>
        <w:t xml:space="preserve"> </w:t>
      </w:r>
      <w:hyperlink w:anchor="ref-15">
        <w:r>
          <w:rPr>
            <w:rStyle w:val="Hyperlink"/>
          </w:rPr>
          <w:t xml:space="preserve">[15]</w:t>
        </w:r>
      </w:hyperlink>
      <w:r>
        <w:t xml:space="preserve">. Network-power theory does not resolve which possibility holds, but it names them precisely, and naming them is what lets the eventual null be read as a statement about network consolidation rather than as a bare absence of correlation. The mechanism thus has both a documentary surface, the three fingerprints, and a social depth, the network-power dynamics that the fingerprints are meant to reflect, and holding both in view is what gives the test its interpretive reach</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w:t>
      </w:r>
    </w:p>
    <w:bookmarkEnd w:id="89"/>
    <w:bookmarkStart w:id="90" w:name="summary-of-the-testable-structure"/>
    <w:p>
      <w:pPr>
        <w:pStyle w:val="Heading2"/>
        <w:spacing w:line="480" w:lineRule="auto"/>
      </w:pPr>
      <w:r>
        <w:t xml:space="preserve">3.10 Summary of the testable structure</w:t>
      </w:r>
    </w:p>
    <w:p>
      <w:pPr>
        <w:pStyle w:val="FirstParagraph"/>
        <w:spacing w:line="480" w:lineRule="auto"/>
      </w:pPr>
      <w:r>
        <w:t xml:space="preserve">Before handing the mechanism to the estimators, it helps to collect the testable structure in one place. The mechanism asserts that governance maturation, driven by consolidating network power among transgovernmental actors, leaves three documentary fingerprints: a skew toward recent years, an association with citation attention, and a migration across venue families</w:t>
      </w:r>
      <w:r>
        <w:t xml:space="preserve"> </w:t>
      </w:r>
      <w:hyperlink w:anchor="ref-10">
        <w:r>
          <w:rPr>
            <w:rStyle w:val="Hyperlink"/>
          </w:rPr>
          <w:t xml:space="preserve">[10]</w:t>
        </w:r>
      </w:hyperlink>
      <w:r>
        <w:t xml:space="preserve"> </w:t>
      </w:r>
      <w:hyperlink w:anchor="ref-11">
        <w:r>
          <w:rPr>
            <w:rStyle w:val="Hyperlink"/>
          </w:rPr>
          <w:t xml:space="preserve">[11]</w:t>
        </w:r>
      </w:hyperlink>
      <w:r>
        <w:t xml:space="preserve">. No step is taken on faith. From these it derives two predictions with specified functional forms: an additive cross-sectional relationship between the topic signal and the three fingerprints, and a multiplicative temporal relationship between citation accumulation and article age</w:t>
      </w:r>
      <w:r>
        <w:t xml:space="preserve"> </w:t>
      </w:r>
      <w:hyperlink w:anchor="ref-9">
        <w:r>
          <w:rPr>
            <w:rStyle w:val="Hyperlink"/>
          </w:rPr>
          <w:t xml:space="preserve">[9]</w:t>
        </w:r>
      </w:hyperlink>
      <w:r>
        <w:t xml:space="preserve">. Each prediction is directional, each is falsifiable, and each has a stated boundary condition, the informal-coordination case, under which even a true mechanism might register weakly</w:t>
      </w:r>
      <w:r>
        <w:t xml:space="preserve"> </w:t>
      </w:r>
      <w:hyperlink w:anchor="ref-15">
        <w:r>
          <w:rPr>
            <w:rStyle w:val="Hyperlink"/>
          </w:rPr>
          <w:t xml:space="preserve">[15]</w:t>
        </w:r>
      </w:hyperlink>
      <w:r>
        <w:t xml:space="preserve">. This structure is what separates the project from an untestable intuition. An intuition says the topic is gaining force. The structure says the topic gaining force implies these specific coefficients should carry these specific signs at some detectable precision, and it commits in advance to reading a failure of that implication as non-confirmation rather than as either proof or disproof</w:t>
      </w:r>
      <w:r>
        <w:t xml:space="preserve"> </w:t>
      </w:r>
      <w:hyperlink w:anchor="ref-2">
        <w:r>
          <w:rPr>
            <w:rStyle w:val="Hyperlink"/>
          </w:rPr>
          <w:t xml:space="preserve">[2]</w:t>
        </w:r>
      </w:hyperlink>
      <w:r>
        <w:t xml:space="preserve"> </w:t>
      </w:r>
      <w:hyperlink w:anchor="ref-5">
        <w:r>
          <w:rPr>
            <w:rStyle w:val="Hyperlink"/>
          </w:rPr>
          <w:t xml:space="preserve">[5]</w:t>
        </w:r>
      </w:hyperlink>
      <w:r>
        <w:t xml:space="preserve">. Chapter 4 now takes this fully specified structure and builds the two estimators that will test it, taking care to state exactly what each coefficient is and is not entitled to mean once the data are in hand.</w:t>
      </w:r>
    </w:p>
    <w:bookmarkEnd w:id="90"/>
    <w:bookmarkEnd w:id="91"/>
    <w:bookmarkStart w:id="102" w:name="chapter-4-methodology-and-identification"/>
    <w:p>
      <w:pPr>
        <w:pStyle w:val="Heading1"/>
        <w:spacing w:line="480" w:lineRule="auto"/>
      </w:pPr>
      <w:r>
        <w:t xml:space="preserve">Chapter 4: Methodology and Identification</w:t>
      </w:r>
    </w:p>
    <w:p>
      <w:pPr>
        <w:pStyle w:val="FirstParagraph"/>
        <w:spacing w:line="480" w:lineRule="auto"/>
      </w:pPr>
      <w:r>
        <w:t xml:space="preserve">This chapter sets out the two estimators that carry the empirical test and explains what each can and cannot identify. The word identification deserves care here. The evidence sets the ceiling. In a randomized experiment it means the clean recovery of a causal effect. In a metadata screen of thirty documents it means something humbler: a transparent mapping from observable fields to a coefficient whose meaning is bounded by the data-generating process that produced those fields. I use the word in the humbler sense throughout, and I flag the places where a reader might be tempted to hear the stronger one.</w:t>
      </w:r>
    </w:p>
    <w:bookmarkStart w:id="92" w:name="the-estimation-strategy-in-outline"/>
    <w:p>
      <w:pPr>
        <w:pStyle w:val="Heading2"/>
        <w:spacing w:line="480" w:lineRule="auto"/>
      </w:pPr>
      <w:r>
        <w:t xml:space="preserve">4.1 The estimation strategy in outline</w:t>
      </w:r>
    </w:p>
    <w:p>
      <w:pPr>
        <w:pStyle w:val="FirstParagraph"/>
        <w:spacing w:line="480" w:lineRule="auto"/>
      </w:pPr>
      <w:r>
        <w:t xml:space="preserve">Both estimators are ordinary least squares. The first is a multiple regression that lets three predictors compete to explain the cross-sectional topic signal. Here the boundary is exact. The second is a bivariate log-log regression that asks whether citation accumulation scales with article age. Both use heteroskedasticity-robust standard errors of the HC1 form, because the corpus mixes venue families with very different citation behavior and there is no reason to assume constant error variance across them. Robust standard errors do not fix the small-sample problem; they simply keep the inference from leaning on a homoskedasticity assumption the data would not support</w:t>
      </w:r>
      <w:r>
        <w:t xml:space="preserve"> </w:t>
      </w:r>
      <w:hyperlink w:anchor="ref-4">
        <w:r>
          <w:rPr>
            <w:rStyle w:val="Hyperlink"/>
          </w:rPr>
          <w:t xml:space="preserve">[4]</w:t>
        </w:r>
      </w:hyperlink>
      <w:r>
        <w:t xml:space="preserve">. Choosing ordinary least squares on thirty observations is a deliberate act of restraint.</w:t>
      </w:r>
    </w:p>
    <w:p>
      <w:pPr>
        <w:pStyle w:val="BodyText"/>
        <w:spacing w:line="480" w:lineRule="auto"/>
        <w:ind w:firstLine="720"/>
      </w:pPr>
      <w:r>
        <w:t xml:space="preserve">A more elaborate estimator, a hierarchical model or a machine-learned scorer, would demand degrees of freedom the corpus does not have, and it would make the results harder to audit. That caution is deliberate. The design’s whole claim to credibility rests on a reader being able to rebuild every number from the disclosed rows. That claim survives only if the estimator is simple enough to reconstruct by hand</w:t>
      </w:r>
      <w:r>
        <w:t xml:space="preserve"> </w:t>
      </w:r>
      <w:hyperlink w:anchor="ref-2">
        <w:r>
          <w:rPr>
            <w:rStyle w:val="Hyperlink"/>
          </w:rPr>
          <w:t xml:space="preserve">[2]</w:t>
        </w:r>
      </w:hyperlink>
      <w:r>
        <w:t xml:space="preserve">.</w:t>
      </w:r>
    </w:p>
    <w:bookmarkEnd w:id="92"/>
    <w:bookmarkStart w:id="93" w:name="paper-1-the-cross-sectional-model"/>
    <w:p>
      <w:pPr>
        <w:pStyle w:val="Heading2"/>
        <w:spacing w:line="480" w:lineRule="auto"/>
      </w:pPr>
      <w:r>
        <w:t xml:space="preserve">4.2 Paper 1: the cross-sectional model</w:t>
      </w:r>
    </w:p>
    <w:p>
      <w:pPr>
        <w:pStyle w:val="FirstParagraph"/>
        <w:spacing w:line="480" w:lineRule="auto"/>
      </w:pPr>
      <w:r>
        <w:t xml:space="preserve">The first estimator regresses the composite topic-signal score on three predictors: a recency index, a citation count, and an ordinal venue score.</w:t>
      </w:r>
    </w:p>
    <w:p>
      <w:pPr>
        <w:pStyle w:val="BodyText"/>
        <w:spacing w:line="480" w:lineRule="auto"/>
        <w:ind w:firstLine="720"/>
      </w:pPr>
      <w:r>
        <w:t xml:space="preserve">Written out, the model is</w:t>
      </w:r>
    </w:p>
    <w:p>
      <w:pPr>
        <w:pStyle w:val="BodyText"/>
        <w:spacing w:line="480" w:lineRule="auto"/>
        <w:ind w:firstLine="720"/>
      </w:pPr>
      <w:r>
        <w:t xml:space="preserve">SignalScore_i = alpha + beta_1 RecencyIndex_i + beta_2 Cites_i + beta_3 VenueScore_i + epsilon_i.</w:t>
      </w:r>
    </w:p>
    <w:p>
      <w:pPr>
        <w:pStyle w:val="BodyText"/>
        <w:spacing w:line="480" w:lineRule="auto"/>
        <w:ind w:firstLine="720"/>
      </w:pPr>
      <w:r>
        <w:t xml:space="preserve">Each predictor corresponds to one of the three fingerprints the theory identified.</w:t>
      </w:r>
    </w:p>
    <w:p>
      <w:pPr>
        <w:pStyle w:val="BodyText"/>
        <w:spacing w:line="480" w:lineRule="auto"/>
        <w:ind w:firstLine="720"/>
      </w:pPr>
      <w:r>
        <w:t xml:space="preserve">The recency index captures the prediction that a maturing topic skews recent; it is constructed as the publication year minus the minimum publication year in the sample plus one, so the oldest document scores one and each later year scores higher. The citation count captures the attention fingerprint directly, read from the local index. The venue score captures the migration fingerprint as an ordinal code: conference proceedings score one, journal articles score two, and space-economy policy documents score three</w:t>
      </w:r>
      <w:r>
        <w:t xml:space="preserve"> </w:t>
      </w:r>
      <w:hyperlink w:anchor="ref-9">
        <w:r>
          <w:rPr>
            <w:rStyle w:val="Hyperlink"/>
          </w:rPr>
          <w:t xml:space="preserve">[9]</w:t>
        </w:r>
      </w:hyperlink>
      <w:r>
        <w:t xml:space="preserve">. What does this model identify? Under its own assumptions it identifies the partial association between each fingerprint and the topic signal, holding the other two fixed. That is a real quantity, but it is an association inside the retrieved corpus, not a causal effect in the wider field. The identifying assumption is only that the constructed predictors are measured without systematic error relative to the score, and even that is an idealization, because the score and the predictors are both built from the same document metadata and could share construction-induced correlation. I treat the Paper 1 coefficients as descriptive structure, informative about how the corpus is shaped, and I resist reading them as evidence about causal governance dynamics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p>
      <w:pPr>
        <w:pStyle w:val="BodyText"/>
        <w:spacing w:line="480" w:lineRule="auto"/>
        <w:ind w:firstLine="720"/>
      </w:pPr>
      <w:r>
        <w:t xml:space="preserve">The robust F-test on the full specification provides the omnibus check. If the three predictors jointly explain a meaningful share of the variation in the topic signal, the F-statistic will be large and its p-value small. The instrument sees only so far. If they do not, the F-test will say so, and that omnibus null is itself one of the study’s possible findings. The design commits in advance to reporting the F-test outcome whatever it is</w:t>
      </w:r>
      <w:r>
        <w:t xml:space="preserve"> </w:t>
      </w:r>
      <w:hyperlink w:anchor="ref-5">
        <w:r>
          <w:rPr>
            <w:rStyle w:val="Hyperlink"/>
          </w:rPr>
          <w:t xml:space="preserve">[5]</w:t>
        </w:r>
      </w:hyperlink>
      <w:r>
        <w:t xml:space="preserve">.</w:t>
      </w:r>
    </w:p>
    <w:bookmarkEnd w:id="93"/>
    <w:bookmarkStart w:id="94" w:name="paper-2-the-temporal-model"/>
    <w:p>
      <w:pPr>
        <w:pStyle w:val="Heading2"/>
        <w:spacing w:line="480" w:lineRule="auto"/>
      </w:pPr>
      <w:r>
        <w:t xml:space="preserve">4.3 Paper 2: the temporal model</w:t>
      </w:r>
    </w:p>
    <w:p>
      <w:pPr>
        <w:pStyle w:val="FirstParagraph"/>
        <w:spacing w:line="480" w:lineRule="auto"/>
      </w:pPr>
      <w:r>
        <w:t xml:space="preserve">The second estimator addresses accumulation. It regresses the natural log of citations-plus-one on the natural log of an article-age index:</w:t>
      </w:r>
    </w:p>
    <w:p>
      <w:pPr>
        <w:pStyle w:val="BodyText"/>
        <w:spacing w:line="480" w:lineRule="auto"/>
        <w:ind w:firstLine="720"/>
      </w:pPr>
      <w:r>
        <w:t xml:space="preserve">ln(CitesPlus1_i) = alpha + beta_1 ln(AgeIndex_i) + epsilon_i.</w:t>
      </w:r>
    </w:p>
    <w:p>
      <w:pPr>
        <w:pStyle w:val="BodyText"/>
        <w:spacing w:line="480" w:lineRule="auto"/>
        <w:ind w:firstLine="720"/>
      </w:pPr>
      <w:r>
        <w:t xml:space="preserve">The plus-one transform is not cosmetic. Many documents in the corpus have zero recorded citations, and the logarithm of zero is undefined, so adding one before taking the log keeps every record in the estimation rather than silently dropping the uncited majority</w:t>
      </w:r>
      <w:r>
        <w:t xml:space="preserve"> </w:t>
      </w:r>
      <w:hyperlink w:anchor="ref-8">
        <w:r>
          <w:rPr>
            <w:rStyle w:val="Hyperlink"/>
          </w:rPr>
          <w:t xml:space="preserve">[8]</w:t>
        </w:r>
      </w:hyperlink>
      <w:r>
        <w:t xml:space="preserve">. The age index is constructed as 2026 minus the publication year plus one, so a document from 2026 scores one and older documents score higher. The log-log form is chosen because it turns the slope coefficient into an elasticity, the percentage change in citations associated with a one-percent change in age. An elasticity is the natural language for a learning-curve or accumulation question, and it has a companion quantity, the progress ratio, computed as two raised to the elasticity, which expresses how citations scale when age doubles. This is a small, firm result. What this model identifies is the shape of the age-citation relationship within the corpus. It does not identify why any document is cited, and it cannot separate genuine accumulation from the mechanical fact that older documents have had more time to be cited. That confound is intrinsic to any single-snapshot citation analysis, and I name it here so that Chapter 6’s interpretation stays inside what the estimator can support</w:t>
      </w:r>
      <w:r>
        <w:t xml:space="preserve"> </w:t>
      </w:r>
      <w:hyperlink w:anchor="ref-4">
        <w:r>
          <w:rPr>
            <w:rStyle w:val="Hyperlink"/>
          </w:rPr>
          <w:t xml:space="preserve">[4]</w:t>
        </w:r>
      </w:hyperlink>
      <w:r>
        <w:t xml:space="preserve">.</w:t>
      </w:r>
    </w:p>
    <w:bookmarkEnd w:id="94"/>
    <w:bookmarkStart w:id="95" w:name="why-these-estimators-fit-the-hypotheses"/>
    <w:p>
      <w:pPr>
        <w:pStyle w:val="Heading2"/>
        <w:spacing w:line="480" w:lineRule="auto"/>
      </w:pPr>
      <w:r>
        <w:t xml:space="preserve">4.4 Why these estimators fit the hypotheses</w:t>
      </w:r>
    </w:p>
    <w:p>
      <w:pPr>
        <w:pStyle w:val="FirstParagraph"/>
        <w:spacing w:line="480" w:lineRule="auto"/>
      </w:pPr>
      <w:r>
        <w:t xml:space="preserve">The match between estimator and hypothesis is exact by construction. Paper 1’s hypotheses are cross-sectional and multivariate, asking whether the topic signal moves with three fingerprints at once; a multiple regression is precisely the instrument that lets three predictors compete for explanatory credit. The numbers do the arguing. Paper 2’s hypotheses are temporal and univariate, asking whether accumulation scales with age; a bivariate log-log regression is precisely the instrument that expresses scaling as an elasticity. Neither estimator was chosen for its power to produce a striking result. Each was chosen because it is the plainest tool that maps onto the question the theory poses</w:t>
      </w:r>
      <w:r>
        <w:t xml:space="preserve"> </w:t>
      </w:r>
      <w:hyperlink w:anchor="ref-1">
        <w:r>
          <w:rPr>
            <w:rStyle w:val="Hyperlink"/>
          </w:rPr>
          <w:t xml:space="preserve">[1]</w:t>
        </w:r>
      </w:hyperlink>
      <w:r>
        <w:t xml:space="preserve">.</w:t>
      </w:r>
    </w:p>
    <w:bookmarkEnd w:id="95"/>
    <w:bookmarkStart w:id="96" w:name="the-limits-of-identification-here"/>
    <w:p>
      <w:pPr>
        <w:pStyle w:val="Heading2"/>
        <w:spacing w:line="480" w:lineRule="auto"/>
      </w:pPr>
      <w:r>
        <w:t xml:space="preserve">4.5 The limits of identification here</w:t>
      </w:r>
    </w:p>
    <w:p>
      <w:pPr>
        <w:pStyle w:val="FirstParagraph"/>
        <w:spacing w:line="480" w:lineRule="auto"/>
      </w:pPr>
      <w:r>
        <w:t xml:space="preserve">Honesty about identification requires four concessions, and I state them before any result is seen so that they cannot be read as post-hoc excuses. First, source selection bounds everything. The corpus is the enumerated retrieval for the candidate topic, and if that retrieval missed relevant venues, the estimators identify structure only in what was retrieved, not in the field</w:t>
      </w:r>
      <w:r>
        <w:t xml:space="preserve"> </w:t>
      </w:r>
      <w:hyperlink w:anchor="ref-5">
        <w:r>
          <w:rPr>
            <w:rStyle w:val="Hyperlink"/>
          </w:rPr>
          <w:t xml:space="preserve">[5]</w:t>
        </w:r>
      </w:hyperlink>
      <w:r>
        <w:t xml:space="preserve">. Second, the predictors are proxies. Recency, citation count, and venue family stand in for maturation, attention, and hardening, and each proxy is imperfect in ways Chapter 3 already catalogued</w:t>
      </w:r>
      <w:r>
        <w:t xml:space="preserve"> </w:t>
      </w:r>
      <w:hyperlink w:anchor="ref-14">
        <w:r>
          <w:rPr>
            <w:rStyle w:val="Hyperlink"/>
          </w:rPr>
          <w:t xml:space="preserve">[14]</w:t>
        </w:r>
      </w:hyperlink>
      <w:r>
        <w:t xml:space="preserve">. Third, the models omit variables. No metadata regression can include the technical, institutional, and market drivers that actually move a governance topic, so any coefficient absorbs whatever omitted structure happens to correlate with it</w:t>
      </w:r>
      <w:r>
        <w:t xml:space="preserve"> </w:t>
      </w:r>
      <w:hyperlink w:anchor="ref-11">
        <w:r>
          <w:rPr>
            <w:rStyle w:val="Hyperlink"/>
          </w:rPr>
          <w:t xml:space="preserve">[11]</w:t>
        </w:r>
      </w:hyperlink>
      <w:r>
        <w:t xml:space="preserve">. Fourth, thirty observations is a small sample, and small samples produce wide confidence intervals; the design must be prepared to find that its estimates are simply too imprecise to distinguish from zero.</w:t>
      </w:r>
    </w:p>
    <w:p>
      <w:pPr>
        <w:pStyle w:val="BodyText"/>
        <w:spacing w:line="480" w:lineRule="auto"/>
        <w:ind w:firstLine="720"/>
      </w:pPr>
      <w:r>
        <w:t xml:space="preserve">These limits are not defects to be apologized for. They are the honest terms on which a design at this scale can proceed. The identification claim is correspondingly modest: the estimators recover a transparent, reproducible description of how the retrieved corpus is structured across the fingerprints the theory names, and they report that description with standard errors that let the reader judge its precision. Chapter 6 will show that the precision is low, which is exactly the circumstance these concessions were written to prepare for. A design that had promised causal identification would have to explain that low precision away. A design that promised only auditable description can report it and move on.</w:t>
      </w:r>
    </w:p>
    <w:bookmarkEnd w:id="96"/>
    <w:bookmarkStart w:id="97" w:name="the-role-of-robust-standard-errors"/>
    <w:p>
      <w:pPr>
        <w:pStyle w:val="Heading2"/>
        <w:spacing w:line="480" w:lineRule="auto"/>
      </w:pPr>
      <w:r>
        <w:t xml:space="preserve">4.6 The role of robust standard errors</w:t>
      </w:r>
    </w:p>
    <w:p>
      <w:pPr>
        <w:pStyle w:val="FirstParagraph"/>
        <w:spacing w:line="480" w:lineRule="auto"/>
      </w:pPr>
      <w:r>
        <w:t xml:space="preserve">The choice of HC1 robust standard errors deserves more than the passing mention it received above, because in a corpus this heterogeneous the standard-error specification is not a technicality. Consider what the three venue families do to the error structure. That is the honest terms of it. Conference records cluster at a topic-signal floor and carry zero citations; journal records spread across a wider range on both dimensions; policy records occupy yet another regime. The variance of the regression’s errors is almost certainly not constant across these groups, and a classical standard error, which assumes it is, would misstate the precision of every coefficient</w:t>
      </w:r>
      <w:r>
        <w:t xml:space="preserve"> </w:t>
      </w:r>
      <w:hyperlink w:anchor="ref-4">
        <w:r>
          <w:rPr>
            <w:rStyle w:val="Hyperlink"/>
          </w:rPr>
          <w:t xml:space="preserve">[4]</w:t>
        </w:r>
      </w:hyperlink>
      <w:r>
        <w:t xml:space="preserve">. The HC1 correction relaxes the constant-variance assumption and lets each observation’s residual inform the standard error according to its own leverage. What robust standard errors do not do is manufacture precision that the data lack. They give a more honest estimate of uncertainty; they do not reduce it. Modesty is the design choice. In a small, heteroskedastic sample the honest estimate of uncertainty is often large, and the reader should expect wide intervals as a direct consequence of choosing honesty over a falsely tidy classical alternative. The decision to report robust errors is therefore of a piece with the whole design philosophy: it prefers an accurate picture of how little the data can pin down over a cosmetically tighter picture that would mislead</w:t>
      </w:r>
      <w:r>
        <w:t xml:space="preserve"> </w:t>
      </w:r>
      <w:hyperlink w:anchor="ref-2">
        <w:r>
          <w:rPr>
            <w:rStyle w:val="Hyperlink"/>
          </w:rPr>
          <w:t xml:space="preserve">[2]</w:t>
        </w:r>
      </w:hyperlink>
      <w:r>
        <w:t xml:space="preserve">. When Chapter 6 reports p-values near one-half and standard errors that swamp their coefficients, those numbers are the robust specification doing its job, refusing to overstate what thirty heterogeneous rows can establish.</w:t>
      </w:r>
    </w:p>
    <w:bookmarkEnd w:id="97"/>
    <w:bookmarkStart w:id="98" w:name="X84a9e960486cd7da9bfbf541ff2b6f43adcb9a7"/>
    <w:p>
      <w:pPr>
        <w:pStyle w:val="Heading2"/>
        <w:spacing w:line="480" w:lineRule="auto"/>
      </w:pPr>
      <w:r>
        <w:t xml:space="preserve">4.7 Alternative estimators considered and set aside</w:t>
      </w:r>
    </w:p>
    <w:p>
      <w:pPr>
        <w:pStyle w:val="FirstParagraph"/>
        <w:spacing w:line="480" w:lineRule="auto"/>
      </w:pPr>
      <w:r>
        <w:t xml:space="preserve">Intellectual honesty requires acknowledging the estimators that were considered and rejected, because the choice of ordinary least squares was not the only option on the table. A count model such as Poisson or negative-binomial regression would arguably fit the topic-signal score better, since that score is a non-negative count rather than a continuous quantity</w:t>
      </w:r>
      <w:r>
        <w:t xml:space="preserve"> </w:t>
      </w:r>
      <w:hyperlink w:anchor="ref-12">
        <w:r>
          <w:rPr>
            <w:rStyle w:val="Hyperlink"/>
          </w:rPr>
          <w:t xml:space="preserve">[12]</w:t>
        </w:r>
      </w:hyperlink>
      <w:r>
        <w:t xml:space="preserve">. It was set aside for two reasons. The score’s range is narrow, from one to six, so the linear approximation is unlikely to distort the substantive conclusions, and a count model on thirty observations would strain its own asymptotic assumptions at least as badly as ordinary least squares does. The gain in appropriateness would be swamped by the loss in reliability and auditability.</w:t>
      </w:r>
    </w:p>
    <w:p>
      <w:pPr>
        <w:pStyle w:val="BodyText"/>
        <w:spacing w:line="480" w:lineRule="auto"/>
        <w:ind w:firstLine="720"/>
      </w:pPr>
      <w:r>
        <w:t xml:space="preserve">A second alternative was a hierarchical model that treats venue family as a grouping level with its own random intercept, which would formally acknowledge the clustered structure of the corpus</w:t>
      </w:r>
      <w:r>
        <w:t xml:space="preserve"> </w:t>
      </w:r>
      <w:hyperlink w:anchor="ref-9">
        <w:r>
          <w:rPr>
            <w:rStyle w:val="Hyperlink"/>
          </w:rPr>
          <w:t xml:space="preserve">[9]</w:t>
        </w:r>
      </w:hyperlink>
      <w:r>
        <w:t xml:space="preserve">. This too was set aside, because estimating variance components from three groups, one of which has only a handful of members, is a recipe for unstable estimates that no reader could confidently rebuild. The trail runs unbroken. A third alternative, some form of penalized or machine-learned scorer for the signal itself, was rejected on principle: it would replace a transparent, hand-checkable score with a black box, forfeiting the auditability that is the design’s central claim to credibility</w:t>
      </w:r>
      <w:r>
        <w:t xml:space="preserve"> </w:t>
      </w:r>
      <w:hyperlink w:anchor="ref-2">
        <w:r>
          <w:rPr>
            <w:rStyle w:val="Hyperlink"/>
          </w:rPr>
          <w:t xml:space="preserve">[2]</w:t>
        </w:r>
      </w:hyperlink>
      <w:r>
        <w:t xml:space="preserve">. Each rejected estimator would have added sophistication. Each would have subtracted transparency, and on a corpus this small the transparency is worth far more than the sophistication. The plain estimator is not a concession to limited skill; it is the considered choice of the tool whose every output a reader can verify by hand.</w:t>
      </w:r>
    </w:p>
    <w:bookmarkEnd w:id="98"/>
    <w:bookmarkStart w:id="99" w:name="Xc30f406ead4cfecfbc3c504486e22029ab269ae"/>
    <w:p>
      <w:pPr>
        <w:pStyle w:val="Heading2"/>
        <w:spacing w:line="480" w:lineRule="auto"/>
      </w:pPr>
      <w:r>
        <w:t xml:space="preserve">4.8 What a rejected null and a failed rejection each mean here</w:t>
      </w:r>
    </w:p>
    <w:p>
      <w:pPr>
        <w:pStyle w:val="FirstParagraph"/>
        <w:spacing w:line="480" w:lineRule="auto"/>
      </w:pPr>
      <w:r>
        <w:t xml:space="preserve">Before turning to the data it is worth fixing, in advance, how the two possible outcomes of each test should be read, so that the reading in Chapter 6 cannot be accused of being tailored to the result. If Paper 1’s F-test rejected its joint null, the correct interpretation would be that the three fingerprints together capture real structure in the topic signal within the corpus, licensing a cautious move up the evidence ladder toward the maturation reading</w:t>
      </w:r>
      <w:r>
        <w:t xml:space="preserve"> </w:t>
      </w:r>
      <w:hyperlink w:anchor="ref-3">
        <w:r>
          <w:rPr>
            <w:rStyle w:val="Hyperlink"/>
          </w:rPr>
          <w:t xml:space="preserve">[3]</w:t>
        </w:r>
      </w:hyperlink>
      <w:r>
        <w:t xml:space="preserve">. The point is narrow. If the F-test failed to reject, as it will, the correct interpretation is that the fingerprints do not jointly organize the topic signal in this corpus, a finding that is consistent with either a genuinely diffuse topic or an instrument too coarse to see a real structure</w:t>
      </w:r>
      <w:r>
        <w:t xml:space="preserve"> </w:t>
      </w:r>
      <w:hyperlink w:anchor="ref-6">
        <w:r>
          <w:rPr>
            <w:rStyle w:val="Hyperlink"/>
          </w:rPr>
          <w:t xml:space="preserve">[6]</w:t>
        </w:r>
      </w:hyperlink>
      <w:r>
        <w:t xml:space="preserve">. The same symmetry governs Paper 2. A log-age coefficient distinguishable from zero would indicate a measurable accumulation curve; a coefficient indistinguishable from zero indicates that age carries no reliable information about accumulation here, again consistent with either a flat underlying process or a corpus too dominated by uncited records to reveal a real curve</w:t>
      </w:r>
      <w:r>
        <w:t xml:space="preserve"> </w:t>
      </w:r>
      <w:hyperlink w:anchor="ref-8">
        <w:r>
          <w:rPr>
            <w:rStyle w:val="Hyperlink"/>
          </w:rPr>
          <w:t xml:space="preserve">[8]</w:t>
        </w:r>
      </w:hyperlink>
      <w:r>
        <w:t xml:space="preserve">. Committing to these readings now, before the numbers appear, is what makes the eventual interpretation a report rather than a rationalization. The estimators were built to identify auditable description; the identification is modest by design; and the meaning of each possible outcome was fixed in advance so that the data, and not the analyst’s preferences, would decide which outcome obtains.</w:t>
      </w:r>
    </w:p>
    <w:bookmarkEnd w:id="99"/>
    <w:bookmarkStart w:id="100" w:name="Xb66d5ebc5e24e49efa587dc304cbc498bff4126"/>
    <w:p>
      <w:pPr>
        <w:pStyle w:val="Heading2"/>
        <w:spacing w:line="480" w:lineRule="auto"/>
      </w:pPr>
      <w:r>
        <w:t xml:space="preserve">4.9 Statistical power and the honesty of a small sample</w:t>
      </w:r>
    </w:p>
    <w:p>
      <w:pPr>
        <w:pStyle w:val="FirstParagraph"/>
        <w:spacing w:line="480" w:lineRule="auto"/>
      </w:pPr>
      <w:r>
        <w:t xml:space="preserve">No methodological chapter for a thirty-row study is complete without a frank discussion of statistical power, because power is the property that determines whether a null result can be trusted at all. Power is the probability that a test will detect an effect of a given size when that effect is real. That distinction does real work. It rises with sample size, with effect size, and with the precision of measurement, and it falls when any of those is scarce. This design is scarce on all three counts: thirty observations, plausibly small effects, and a noisy vocabulary-keyed outcome</w:t>
      </w:r>
      <w:r>
        <w:t xml:space="preserve"> </w:t>
      </w:r>
      <w:hyperlink w:anchor="ref-12">
        <w:r>
          <w:rPr>
            <w:rStyle w:val="Hyperlink"/>
          </w:rPr>
          <w:t xml:space="preserve">[12]</w:t>
        </w:r>
      </w:hyperlink>
      <w:r>
        <w:t xml:space="preserve">. The honest consequence is that the study has low power to detect the modest associations the mechanism predicts. Low power cuts two ways, and both must be acknowledged. On one side, it means a null result is weak evidence that no effect exists, because a low-power test fails to detect real effects routinely; this is the basis for Chapter 7’s claim that the nulls speak more about the instrument than about the topic</w:t>
      </w:r>
      <w:r>
        <w:t xml:space="preserve"> </w:t>
      </w:r>
      <w:hyperlink w:anchor="ref-5">
        <w:r>
          <w:rPr>
            <w:rStyle w:val="Hyperlink"/>
          </w:rPr>
          <w:t xml:space="preserve">[5]</w:t>
        </w:r>
      </w:hyperlink>
      <w:r>
        <w:t xml:space="preserve">. Nothing here is hidden. On the other side, low power means that any coefficient that did reach significance would deserve extra scrutiny, because in a low-power setting the significant estimates that do appear tend to be inflated, an artifact sometimes called the winner’s curse. The design’s response to both hazards is the same: report the coefficients with their standard errors, place them on the pre-specified evidence ladder, and refuse to over-interpret in either direction</w:t>
      </w:r>
      <w:r>
        <w:t xml:space="preserve"> </w:t>
      </w:r>
      <w:hyperlink w:anchor="ref-2">
        <w:r>
          <w:rPr>
            <w:rStyle w:val="Hyperlink"/>
          </w:rPr>
          <w:t xml:space="preserve">[2]</w:t>
        </w:r>
      </w:hyperlink>
      <w:r>
        <w:t xml:space="preserve">.</w:t>
      </w:r>
    </w:p>
    <w:p>
      <w:pPr>
        <w:pStyle w:val="BodyText"/>
        <w:spacing w:line="480" w:lineRule="auto"/>
        <w:ind w:firstLine="720"/>
      </w:pPr>
      <w:r>
        <w:t xml:space="preserve">There is a constructive point buried in the power discussion. Because the design is transparent about its own low power, it can specify precisely what a higher-powered successor would need. The arithmetic is checkable. A rough power calculation, even an informal one, says that detecting the small recency and attention associations the mechanism predicts would require a corpus in the hundreds rather than the dozens, together with a less compressed outcome measure</w:t>
      </w:r>
      <w:r>
        <w:t xml:space="preserve"> </w:t>
      </w:r>
      <w:hyperlink w:anchor="ref-4">
        <w:r>
          <w:rPr>
            <w:rStyle w:val="Hyperlink"/>
          </w:rPr>
          <w:t xml:space="preserve">[4]</w:t>
        </w:r>
      </w:hyperlink>
      <w:r>
        <w:t xml:space="preserve">. That specification is a gift to the successor study, which inherits not just the hypotheses but a quantitative sense of the sample size and measurement quality required to test them with adequate power. A study that names its own power limitation this precisely turns a weakness into a design input for the work that follows</w:t>
      </w:r>
      <w:r>
        <w:t xml:space="preserve"> </w:t>
      </w:r>
      <w:hyperlink w:anchor="ref-8">
        <w:r>
          <w:rPr>
            <w:rStyle w:val="Hyperlink"/>
          </w:rPr>
          <w:t xml:space="preserve">[8]</w:t>
        </w:r>
      </w:hyperlink>
      <w:r>
        <w:t xml:space="preserve">.</w:t>
      </w:r>
    </w:p>
    <w:bookmarkEnd w:id="100"/>
    <w:bookmarkStart w:id="101" w:name="the-formulas-as-auditable-objects"/>
    <w:p>
      <w:pPr>
        <w:pStyle w:val="Heading2"/>
        <w:spacing w:line="480" w:lineRule="auto"/>
      </w:pPr>
      <w:r>
        <w:t xml:space="preserve">4.10 The formulas as auditable objects</w:t>
      </w:r>
    </w:p>
    <w:p>
      <w:pPr>
        <w:pStyle w:val="FirstParagraph"/>
        <w:spacing w:line="480" w:lineRule="auto"/>
      </w:pPr>
      <w:r>
        <w:t xml:space="preserve">It is worth stating plainly that the two formulas are not decorative; they are the exact objects a replicator would encode. The cross-sectional model, SignalScore = alpha + beta_1 RecencyIndex + beta_2 Cites + beta_3 VenueScore + epsilon, maps one-to-one onto four columns of the estimation file and one intercept, and any statistical package would reproduce the reported coefficients from those columns without ambiguity</w:t>
      </w:r>
      <w:r>
        <w:t xml:space="preserve"> </w:t>
      </w:r>
      <w:hyperlink w:anchor="ref-9">
        <w:r>
          <w:rPr>
            <w:rStyle w:val="Hyperlink"/>
          </w:rPr>
          <w:t xml:space="preserve">[9]</w:t>
        </w:r>
      </w:hyperlink>
      <w:r>
        <w:t xml:space="preserve">. This matters more than it seems. The temporal model, ln(CitesPlus1) = alpha + beta_1 ln(AgeIndex) + epsilon, maps onto two logged columns and an intercept, with the plus-one transform applied before logging so that no record is dropped</w:t>
      </w:r>
      <w:r>
        <w:t xml:space="preserve"> </w:t>
      </w:r>
      <w:hyperlink w:anchor="ref-8">
        <w:r>
          <w:rPr>
            <w:rStyle w:val="Hyperlink"/>
          </w:rPr>
          <w:t xml:space="preserve">[8]</w:t>
        </w:r>
      </w:hyperlink>
      <w:r>
        <w:t xml:space="preserve">. The point of foregrounding the formulas as auditable objects is that they close the last gap between the narrative and the arithmetic. A reader does not have to trust that the estimation was done correctly; they can encode these two equations against the disclosed data and confirm the coefficients themselves. The reading stays bounded. That property, the reproducibility of the estimation from formula and data alone, is the culmination of the identification strategy this chapter has developed</w:t>
      </w:r>
      <w:r>
        <w:t xml:space="preserve"> </w:t>
      </w:r>
      <w:hyperlink w:anchor="ref-2">
        <w:r>
          <w:rPr>
            <w:rStyle w:val="Hyperlink"/>
          </w:rPr>
          <w:t xml:space="preserve">[2]</w:t>
        </w:r>
      </w:hyperlink>
      <w:r>
        <w:t xml:space="preserve">. The estimators identify auditable description, the identification is modest by design, the meaning of each outcome was fixed in advance, and the formulas make the whole chain checkable to the last decimal. Chapter 5 now documents the data those formulas consume, so that the audit trail runs unbroken from source document to reported coefficient.</w:t>
      </w:r>
    </w:p>
    <w:bookmarkEnd w:id="101"/>
    <w:bookmarkEnd w:id="102"/>
    <w:bookmarkStart w:id="113" w:name="chapter-5-data-and-measurement"/>
    <w:p>
      <w:pPr>
        <w:pStyle w:val="Heading1"/>
        <w:spacing w:line="480" w:lineRule="auto"/>
      </w:pPr>
      <w:r>
        <w:t xml:space="preserve">Chapter 5: Data and Measurement</w:t>
      </w:r>
    </w:p>
    <w:p>
      <w:pPr>
        <w:pStyle w:val="FirstParagraph"/>
        <w:spacing w:line="480" w:lineRule="auto"/>
      </w:pPr>
      <w:r>
        <w:t xml:space="preserve">Everything in this dissertation rests on thirty rows. This chapter documents those rows in full: where they came from, how each variable was built, and what provenance was preserved so that a skeptical reader can rebuild every number. The dataset is small enough to inspect in its entirety, and I treat that smallness as a virtue rather than an embarrassment. A design that hides its data behind aggregate summaries invites the reader to trust; a design that exposes every observation invites the reader to check. This one exposes.</w:t>
      </w:r>
    </w:p>
    <w:bookmarkStart w:id="103" w:name="the-retrieved-corpus"/>
    <w:p>
      <w:pPr>
        <w:pStyle w:val="Heading2"/>
        <w:spacing w:line="480" w:lineRule="auto"/>
      </w:pPr>
      <w:r>
        <w:t xml:space="preserve">5.1 The retrieved corpus</w:t>
      </w:r>
    </w:p>
    <w:p>
      <w:pPr>
        <w:pStyle w:val="FirstParagraph"/>
        <w:spacing w:line="480" w:lineRule="auto"/>
      </w:pPr>
      <w:r>
        <w:t xml:space="preserve">The data are the candidate-specific retrieved corpus: the enumerated set of records the retrieval returned for the topic of networked, transgovernmental governance. There are thirty records, indexed one through thirty, and each carries a source column that identifies its origin unambiguously. Precision is the whole game. Twelve of the records come from the Advanced Maui Optical and Space Surveillance conference proceedings and related conference outputs, identified either by their proceedings URL or by a document identifier. Another twelve come from the journal Acta Astronautica, identified by digital object identifier. The remaining six are space-economy and policy documents, including whole-of-nation strategy papers and two orbital-classification proposals identified by their descriptive titles</w:t>
      </w:r>
      <w:r>
        <w:t xml:space="preserve"> </w:t>
      </w:r>
      <w:hyperlink w:anchor="ref-1">
        <w:r>
          <w:rPr>
            <w:rStyle w:val="Hyperlink"/>
          </w:rPr>
          <w:t xml:space="preserve">[1]</w:t>
        </w:r>
      </w:hyperlink>
      <w:r>
        <w:t xml:space="preserve"> </w:t>
      </w:r>
      <w:hyperlink w:anchor="ref-2">
        <w:r>
          <w:rPr>
            <w:rStyle w:val="Hyperlink"/>
          </w:rPr>
          <w:t xml:space="preserve">[2]</w:t>
        </w:r>
      </w:hyperlink>
      <w:r>
        <w:t xml:space="preserve">.</w:t>
      </w:r>
    </w:p>
    <w:p>
      <w:pPr>
        <w:pStyle w:val="BodyText"/>
        <w:spacing w:line="480" w:lineRule="auto"/>
        <w:ind w:firstLine="720"/>
      </w:pPr>
      <w:r>
        <w:t xml:space="preserve">The three venue families are not interchangeable, and the design does not pretend they are.</w:t>
      </w:r>
    </w:p>
    <w:p>
      <w:pPr>
        <w:pStyle w:val="BodyText"/>
        <w:spacing w:line="480" w:lineRule="auto"/>
        <w:ind w:firstLine="720"/>
      </w:pPr>
      <w:r>
        <w:t xml:space="preserve">Conference proceedings turn over quickly and carry little formal citation weight in the local index; every one of the twelve conference records shows a citation count of zero. The corpus decides, not the analyst. Journal articles accumulate citations and dominate the attention channel; the highest citation counts in the corpus, twenty-five, twenty-one, and seventeen, all belong to Acta Astronautica records</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Policy documents occupy their own family, typically uncited in the index and scored for signal on the strength of their descriptive text alone. This structure, three families with sharply different citation behavior, is exactly why Chapter 4 insisted on robust standard errors.</w:t>
      </w:r>
    </w:p>
    <w:bookmarkEnd w:id="103"/>
    <w:bookmarkStart w:id="104" w:name="constructing-the-topic-signal-score"/>
    <w:p>
      <w:pPr>
        <w:pStyle w:val="Heading2"/>
        <w:spacing w:line="480" w:lineRule="auto"/>
      </w:pPr>
      <w:r>
        <w:t xml:space="preserve">5.2 Constructing the topic-signal score</w:t>
      </w:r>
    </w:p>
    <w:p>
      <w:pPr>
        <w:pStyle w:val="FirstParagraph"/>
        <w:spacing w:line="480" w:lineRule="auto"/>
      </w:pPr>
      <w:r>
        <w:t xml:space="preserve">The outcome variable in Paper 1 is the composite topic-signal score, and its construction is deterministic.</w:t>
      </w:r>
    </w:p>
    <w:p>
      <w:pPr>
        <w:pStyle w:val="BodyText"/>
        <w:spacing w:line="480" w:lineRule="auto"/>
        <w:ind w:firstLine="720"/>
      </w:pPr>
      <w:r>
        <w:t xml:space="preserve">For each record, the retrieval counted theme term hits across four fields: the title, the snippet, the keyword field, and the author metadata. That is the discipline at work. The score is a count built from those hits, so a record whose title and keywords repeatedly invoke the topic’s vocabulary scores high, and a record that touches the topic only glancingly scores low. The lowest score in the corpus is one and the highest is six. The distribution is informative and slightly awkward. Several conference records that are substantively central to the topic score only one, because their titles use different vocabulary than the theme terms the retrieval counted. The ozone-to-debris lessons paper scores six on the strength of two theme hits amplified by its metadata</w:t>
      </w:r>
      <w:r>
        <w:t xml:space="preserve"> </w:t>
      </w:r>
      <w:hyperlink w:anchor="ref-3">
        <w:r>
          <w:rPr>
            <w:rStyle w:val="Hyperlink"/>
          </w:rPr>
          <w:t xml:space="preserve">[3]</w:t>
        </w:r>
      </w:hyperlink>
      <w:r>
        <w:t xml:space="preserve">, while an internationally focused space-weapons paper scores one despite obvious topical relevance</w:t>
      </w:r>
      <w:r>
        <w:t xml:space="preserve"> </w:t>
      </w:r>
      <w:hyperlink w:anchor="ref-6">
        <w:r>
          <w:rPr>
            <w:rStyle w:val="Hyperlink"/>
          </w:rPr>
          <w:t xml:space="preserve">[6]</w:t>
        </w:r>
      </w:hyperlink>
      <w:r>
        <w:t xml:space="preserve">. This is the vocabulary-versus-meaning gap that Chapter 3 flagged as a source of measurement error, now visible in the actual scores. The score sees words. It does not see arguments. The design lives with that limitation openly rather than hand-tuning the scores to match intuition, because hand-tuning would destroy the reproducibility that is the whole point</w:t>
      </w:r>
      <w:r>
        <w:t xml:space="preserve"> </w:t>
      </w:r>
      <w:hyperlink w:anchor="ref-12">
        <w:r>
          <w:rPr>
            <w:rStyle w:val="Hyperlink"/>
          </w:rPr>
          <w:t xml:space="preserve">[12]</w:t>
        </w:r>
      </w:hyperlink>
      <w:r>
        <w:t xml:space="preserve">.</w:t>
      </w:r>
    </w:p>
    <w:bookmarkEnd w:id="104"/>
    <w:bookmarkStart w:id="105" w:name="the-predictor-variables"/>
    <w:p>
      <w:pPr>
        <w:pStyle w:val="Heading2"/>
        <w:spacing w:line="480" w:lineRule="auto"/>
      </w:pPr>
      <w:r>
        <w:t xml:space="preserve">5.3 The predictor variables</w:t>
      </w:r>
    </w:p>
    <w:p>
      <w:pPr>
        <w:pStyle w:val="FirstParagraph"/>
        <w:spacing w:line="480" w:lineRule="auto"/>
      </w:pPr>
      <w:r>
        <w:t xml:space="preserve">Three predictors enter Paper 1, each constructed by a fixed rule.</w:t>
      </w:r>
    </w:p>
    <w:p>
      <w:pPr>
        <w:pStyle w:val="BodyText"/>
        <w:spacing w:line="480" w:lineRule="auto"/>
        <w:ind w:firstLine="720"/>
      </w:pPr>
      <w:r>
        <w:t xml:space="preserve">The recency index is the publication year minus the minimum year in the sample plus one.</w:t>
      </w:r>
    </w:p>
    <w:p>
      <w:pPr>
        <w:pStyle w:val="BodyText"/>
        <w:spacing w:line="480" w:lineRule="auto"/>
        <w:ind w:firstLine="720"/>
      </w:pPr>
      <w:r>
        <w:t xml:space="preserve">The oldest record, a 2008 Australian space-surveillance survey</w:t>
      </w:r>
      <w:r>
        <w:t xml:space="preserve"> </w:t>
      </w:r>
      <w:hyperlink w:anchor="ref-5">
        <w:r>
          <w:rPr>
            <w:rStyle w:val="Hyperlink"/>
          </w:rPr>
          <w:t xml:space="preserve">[5]</w:t>
        </w:r>
      </w:hyperlink>
      <w:r>
        <w:t xml:space="preserve">, anchors the scale at one. The claim earns its narrowness. Records from 2026 score nineteen. The index is monotonic in year and carries no information beyond ordering documents in time, which is exactly what the recency fingerprint requires. The citation count is read directly from the local brain index, and it is zero wherever the index reported no count. Twenty of the thirty records carry a zero, which concentrates all of the attention variation in the ten cited records, most of them journal articles. No step is taken on faith. This concentration is a feature of the corpus, not a coding choice, and it has consequences for precision that Chapter 6 will make explicit. The venue score is ordinal: conference proceedings score one, Acta Astronautica scores two, and space-economy documents score three. The ordering reflects the migration fingerprint from Chapter 3, from fast low-barrier venues toward slower archival ones and then to policy synthesis, but the design is careful to note that an ordinal code should not be read as an interval measure. The evidence sets the ceiling. The distance from one to two is not claimed to equal the distance from two to three</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bookmarkEnd w:id="105"/>
    <w:bookmarkStart w:id="106" w:name="the-temporal-variables"/>
    <w:p>
      <w:pPr>
        <w:pStyle w:val="Heading2"/>
        <w:spacing w:line="480" w:lineRule="auto"/>
      </w:pPr>
      <w:r>
        <w:t xml:space="preserve">5.4 The temporal variables</w:t>
      </w:r>
    </w:p>
    <w:p>
      <w:pPr>
        <w:pStyle w:val="FirstParagraph"/>
        <w:spacing w:line="480" w:lineRule="auto"/>
      </w:pPr>
      <w:r>
        <w:t xml:space="preserve">Paper 2 uses a different but overlapping set. Its outcome is citations-plus-one, the raw citation count with one added so that the logarithm is defined even for the twenty uncited records. Here the boundary is exact. Values range from one, for every uncited document, up to twenty-six, for the most-cited Acta Astronautica article</w:t>
      </w:r>
      <w:r>
        <w:t xml:space="preserve"> </w:t>
      </w:r>
      <w:hyperlink w:anchor="ref-14">
        <w:r>
          <w:rPr>
            <w:rStyle w:val="Hyperlink"/>
          </w:rPr>
          <w:t xml:space="preserve">[14]</w:t>
        </w:r>
      </w:hyperlink>
      <w:r>
        <w:t xml:space="preserve">. Its single predictor is the age index, constructed as 2026 minus the publication year plus one, so a 2026 document scores one and the 2008 survey scores nineteen</w:t>
      </w:r>
      <w:r>
        <w:t xml:space="preserve"> </w:t>
      </w:r>
      <w:hyperlink w:anchor="ref-5">
        <w:r>
          <w:rPr>
            <w:rStyle w:val="Hyperlink"/>
          </w:rPr>
          <w:t xml:space="preserve">[5]</w:t>
        </w:r>
      </w:hyperlink>
      <w:r>
        <w:t xml:space="preserve">. Because both variables are logged in estimation, the model reads the relationship as an elasticity, which is the natural scale for an accumulation question. The overlap between the two papers is deliberate and disclosed. Both draw on the same thirty records; both preserve the same source column; the citation field feeds an attention predictor in Paper 1 and the outcome in Paper 2. That caution is deliberate. Nothing is hidden by using the corpus twice, because the two estimators ask genuinely different questions, one cross-sectional and one temporal, and a reader can see the shared provenance in the source columns of both data files.</w:t>
      </w:r>
    </w:p>
    <w:bookmarkEnd w:id="106"/>
    <w:bookmarkStart w:id="107" w:name="provenance-and-auditability"/>
    <w:p>
      <w:pPr>
        <w:pStyle w:val="Heading2"/>
        <w:spacing w:line="480" w:lineRule="auto"/>
      </w:pPr>
      <w:r>
        <w:t xml:space="preserve">5.5 Provenance and auditability</w:t>
      </w:r>
    </w:p>
    <w:p>
      <w:pPr>
        <w:pStyle w:val="FirstParagraph"/>
        <w:spacing w:line="480" w:lineRule="auto"/>
      </w:pPr>
      <w:r>
        <w:t xml:space="preserve">Every row in both estimation files keeps its source column, and that single design choice is what makes the dissertation auditable end to end. A reader who wants to challenge the signal score of record three can open the ozone-to-debris paper, count the theme hits, and confirm or dispute the six</w:t>
      </w:r>
      <w:r>
        <w:t xml:space="preserve"> </w:t>
      </w:r>
      <w:hyperlink w:anchor="ref-3">
        <w:r>
          <w:rPr>
            <w:rStyle w:val="Hyperlink"/>
          </w:rPr>
          <w:t xml:space="preserve">[3]</w:t>
        </w:r>
      </w:hyperlink>
      <w:r>
        <w:t xml:space="preserve">. The instrument sees only so far. A reader who wants to challenge the citation concentration can sort the file by venue and see that the zeros cluster in the conference and policy families. Nothing sits between the claim and the record except arithmetic the reader can redo</w:t>
      </w:r>
      <w:r>
        <w:t xml:space="preserve"> </w:t>
      </w:r>
      <w:hyperlink w:anchor="ref-1">
        <w:r>
          <w:rPr>
            <w:rStyle w:val="Hyperlink"/>
          </w:rPr>
          <w:t xml:space="preserve">[1]</w:t>
        </w:r>
      </w:hyperlink>
      <w:r>
        <w:t xml:space="preserve"> </w:t>
      </w:r>
      <w:hyperlink w:anchor="ref-5">
        <w:r>
          <w:rPr>
            <w:rStyle w:val="Hyperlink"/>
          </w:rPr>
          <w:t xml:space="preserve">[5]</w:t>
        </w:r>
      </w:hyperlink>
      <w:r>
        <w:t xml:space="preserve">. The measurement strategy is strongest at exactly the question it was built for: whether the retrieved records contain structure across recency, attention, and venue. It is weakest, and the design says so plainly, as a claim about the field beyond the retrieval. Thirty documents cannot represent the whole of space-governance scholarship, and the topic-signal score cannot capture substantive engagement that avoids the theme vocabulary. Chapter 6 honors these boundaries by reporting the exact estimator statistics and interpreting them as evidence about the measured corpus, never as an unqualified claim about the sector as a whole</w:t>
      </w:r>
      <w:r>
        <w:t xml:space="preserve"> </w:t>
      </w:r>
      <w:hyperlink w:anchor="ref-4">
        <w:r>
          <w:rPr>
            <w:rStyle w:val="Hyperlink"/>
          </w:rPr>
          <w:t xml:space="preserve">[4]</w:t>
        </w:r>
      </w:hyperlink>
      <w:r>
        <w:t xml:space="preserve"> </w:t>
      </w:r>
      <w:hyperlink w:anchor="ref-6">
        <w:r>
          <w:rPr>
            <w:rStyle w:val="Hyperlink"/>
          </w:rPr>
          <w:t xml:space="preserve">[6]</w:t>
        </w:r>
      </w:hyperlink>
      <w:r>
        <w:t xml:space="preserve">. The data are modest. Their honesty is the point.</w:t>
      </w:r>
    </w:p>
    <w:bookmarkEnd w:id="107"/>
    <w:bookmarkStart w:id="108" w:name="Xe6267f138cc0f48dcdca1b10b9c6d2b3b64410c"/>
    <w:p>
      <w:pPr>
        <w:pStyle w:val="Heading2"/>
        <w:spacing w:line="480" w:lineRule="auto"/>
      </w:pPr>
      <w:r>
        <w:t xml:space="preserve">5.6 The distribution of the variables in detail</w:t>
      </w:r>
    </w:p>
    <w:p>
      <w:pPr>
        <w:pStyle w:val="FirstParagraph"/>
        <w:spacing w:line="480" w:lineRule="auto"/>
      </w:pPr>
      <w:r>
        <w:t xml:space="preserve">A reader who wants to anticipate the results can do so by studying how the variables are distributed, because the shape of the data foretells the precision of the estimates. Take recency first. The index runs from one to nineteen, but the mass is concentrated in the recent years: the great majority of records fall between 2018 and 2026, with a single outlier, the 2008 survey, anchoring the low end alone</w:t>
      </w:r>
      <w:r>
        <w:t xml:space="preserve"> </w:t>
      </w:r>
      <w:hyperlink w:anchor="ref-5">
        <w:r>
          <w:rPr>
            <w:rStyle w:val="Hyperlink"/>
          </w:rPr>
          <w:t xml:space="preserve">[5]</w:t>
        </w:r>
      </w:hyperlink>
      <w:r>
        <w:t xml:space="preserve">. A predictor with most of its observations bunched at the high end and one lonely point at the bottom has limited ability to trace out a relationship, because the regression line is heavily influenced by whether that single old record happens to score high or low on the outcome. This is one structural reason to expect a wide standard error on the recency coefficient before any model is run. Citation count is even more lopsided. Twenty of the thirty records carry zero citations, and the nonzero values, when they occur, jump to substantial numbers: eight, seventeen, twenty-one, twenty-five</w:t>
      </w:r>
      <w:r>
        <w:t xml:space="preserve"> </w:t>
      </w:r>
      <w:hyperlink w:anchor="ref-10">
        <w:r>
          <w:rPr>
            <w:rStyle w:val="Hyperlink"/>
          </w:rPr>
          <w:t xml:space="preserve">[10]</w:t>
        </w:r>
      </w:hyperlink>
      <w:r>
        <w:t xml:space="preserve"> </w:t>
      </w:r>
      <w:hyperlink w:anchor="ref-14">
        <w:r>
          <w:rPr>
            <w:rStyle w:val="Hyperlink"/>
          </w:rPr>
          <w:t xml:space="preserve">[14]</w:t>
        </w:r>
      </w:hyperlink>
      <w:r>
        <w:t xml:space="preserve">. A predictor that is zero for two-thirds of the sample and then leaps to double digits for a scattered third is nearly a binary indicator with a heavy tail, and it carries little of the smooth variation that a linear coefficient can exploit. The attention channel, in other words, is starved of the graded variation the maturation mechanism assumed it would find. The topic-signal outcome, ranging only from one to six with most records at the low end, compounds the problem: a compressed outcome and a lumpy predictor together leave the regression very little to work with.</w:t>
      </w:r>
    </w:p>
    <w:p>
      <w:pPr>
        <w:pStyle w:val="BodyText"/>
        <w:spacing w:line="480" w:lineRule="auto"/>
        <w:ind w:firstLine="720"/>
      </w:pPr>
      <w:r>
        <w:t xml:space="preserve">The venue score, being ordinal with three levels, partitions the corpus into the twelve conference records at level one, the twelve journal records at level two, and the six policy records at level three. Because venue is so tightly bound up with citation behavior, conference and policy records being uncited while journal records carry the citations, the venue and citation predictors share a good deal of their variation. This is a small, firm result. That overlap means the two coefficients partly compete to explain the same differences among records, which inflates their standard errors further and makes the individual signs harder to interpret cleanly</w:t>
      </w:r>
      <w:r>
        <w:t xml:space="preserve"> </w:t>
      </w:r>
      <w:hyperlink w:anchor="ref-9">
        <w:r>
          <w:rPr>
            <w:rStyle w:val="Hyperlink"/>
          </w:rPr>
          <w:t xml:space="preserve">[9]</w:t>
        </w:r>
      </w:hyperlink>
      <w:r>
        <w:t xml:space="preserve">. None of this is a flaw in the coding; it is an accurate reflection of what the retrieved corpus actually looks like, and reading it off the distributions in advance is what allows Chapter 6’s null results to feel like a confirmation of the data’s structure rather than a surprise.</w:t>
      </w:r>
    </w:p>
    <w:bookmarkEnd w:id="108"/>
    <w:bookmarkStart w:id="109" w:name="reproducibility-as-a-design-commitment"/>
    <w:p>
      <w:pPr>
        <w:pStyle w:val="Heading2"/>
        <w:spacing w:line="480" w:lineRule="auto"/>
      </w:pPr>
      <w:r>
        <w:t xml:space="preserve">5.7 Reproducibility as a design commitment</w:t>
      </w:r>
    </w:p>
    <w:p>
      <w:pPr>
        <w:pStyle w:val="FirstParagraph"/>
        <w:spacing w:line="480" w:lineRule="auto"/>
      </w:pPr>
      <w:r>
        <w:t xml:space="preserve">The commitment to reproducibility runs deeper than keeping a source column, and it is worth spelling out what a reader could actually do with these data. Because every variable is defined by a deterministic rule over observable fields, a second analyst starting from the same thirty source documents would arrive at the same thirty rows, the same signal scores, the same recency and age indices, the same venue codes</w:t>
      </w:r>
      <w:r>
        <w:t xml:space="preserve"> </w:t>
      </w:r>
      <w:hyperlink w:anchor="ref-1">
        <w:r>
          <w:rPr>
            <w:rStyle w:val="Hyperlink"/>
          </w:rPr>
          <w:t xml:space="preserve">[1]</w:t>
        </w:r>
      </w:hyperlink>
      <w:r>
        <w:t xml:space="preserve">. The numbers do the arguing. There is no hand-adjustment anywhere in the chain, no judgment call that one analyst would make differently from another, and therefore no place where the results depend on the analyst rather than on the data. That property is rarer than it sounds in policy-adjacent quantitative work, where scores are often assigned by expert judgment that cannot be exactly reproduced</w:t>
      </w:r>
      <w:r>
        <w:t xml:space="preserve"> </w:t>
      </w:r>
      <w:hyperlink w:anchor="ref-2">
        <w:r>
          <w:rPr>
            <w:rStyle w:val="Hyperlink"/>
          </w:rPr>
          <w:t xml:space="preserve">[2]</w:t>
        </w:r>
      </w:hyperlink>
      <w:r>
        <w:t xml:space="preserve">.</w:t>
      </w:r>
    </w:p>
    <w:p>
      <w:pPr>
        <w:pStyle w:val="BodyText"/>
        <w:spacing w:line="480" w:lineRule="auto"/>
        <w:ind w:firstLine="720"/>
      </w:pPr>
      <w:r>
        <w:t xml:space="preserve">The cost of this commitment is the vocabulary-versus-meaning gap that has now appeared several times, and it is worth stating the trade-off squarely. A human coder reading each document could assign a topic-signal score that captured substantive engagement far better than a term-hit count does, catching the internationally focused space-weapons paper as topically central despite its unusual vocabulary</w:t>
      </w:r>
      <w:r>
        <w:t xml:space="preserve"> </w:t>
      </w:r>
      <w:hyperlink w:anchor="ref-6">
        <w:r>
          <w:rPr>
            <w:rStyle w:val="Hyperlink"/>
          </w:rPr>
          <w:t xml:space="preserve">[6]</w:t>
        </w:r>
      </w:hyperlink>
      <w:r>
        <w:t xml:space="preserve">. That is the honest terms of it. But that human score would be irreproducible; a different coder might score it differently, and the whole auditable chain would break. The design chose reproducibility over sensitivity, accepting a noisier score in exchange for a score that anyone can rebuild. Chapter 7 will argue that a successor study should invest in validated human coding precisely to recover the sensitivity this design gave up, but for a first pass whose entire purpose is to establish an auditable baseline, the deterministic score is the right instrument even at the cost of the attenuation it introduces</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 The data are modest, and the modesty is deliberate, chosen so that the honesty of the chain from document to coefficient is never in doubt.</w:t>
      </w:r>
    </w:p>
    <w:bookmarkEnd w:id="109"/>
    <w:bookmarkStart w:id="110" w:name="Xdf952d8a000ef779136b240ea2557efcd3260ff"/>
    <w:p>
      <w:pPr>
        <w:pStyle w:val="Heading2"/>
        <w:spacing w:line="480" w:lineRule="auto"/>
      </w:pPr>
      <w:r>
        <w:t xml:space="preserve">5.8 Provenance across the three venue families</w:t>
      </w:r>
    </w:p>
    <w:p>
      <w:pPr>
        <w:pStyle w:val="FirstParagraph"/>
        <w:spacing w:line="480" w:lineRule="auto"/>
      </w:pPr>
      <w:r>
        <w:t xml:space="preserve">The three venue families deserve individual characterization, because each contributes a different kind of record and a different set of measurement hazards. The conference family, drawn from the Advanced Maui Optical and Space Surveillance proceedings and related outputs, supplies twelve records that are topically relevant but bibliometrically thin. Modesty is the design choice. These are documents where practitioners present operational and policy work quickly, and the local index records no citations for any of them</w:t>
      </w:r>
      <w:r>
        <w:t xml:space="preserve"> </w:t>
      </w:r>
      <w:hyperlink w:anchor="ref-4">
        <w:r>
          <w:rPr>
            <w:rStyle w:val="Hyperlink"/>
          </w:rPr>
          <w:t xml:space="preserve">[4]</w:t>
        </w:r>
      </w:hyperlink>
      <w:r>
        <w:t xml:space="preserve"> </w:t>
      </w:r>
      <w:hyperlink w:anchor="ref-5">
        <w:r>
          <w:rPr>
            <w:rStyle w:val="Hyperlink"/>
          </w:rPr>
          <w:t xml:space="preserve">[5]</w:t>
        </w:r>
      </w:hyperlink>
      <w:r>
        <w:t xml:space="preserve">. Their value to the design is that they capture the early, low-barrier end of the publication spectrum where governance topics often first appear, but their uniform zero on citation means they contribute nothing to the attention channel and pull the citation predictor toward its floor. The journal family, twelve records from Acta Astronautica, supplies the corpus’s only meaningful citation variation and much of its substantive governance content. These are the records that carry the debris-governance discourse analysis</w:t>
      </w:r>
      <w:r>
        <w:t xml:space="preserve"> </w:t>
      </w:r>
      <w:hyperlink w:anchor="ref-10">
        <w:r>
          <w:rPr>
            <w:rStyle w:val="Hyperlink"/>
          </w:rPr>
          <w:t xml:space="preserve">[10]</w:t>
        </w:r>
      </w:hyperlink>
      <w:r>
        <w:t xml:space="preserve">, the AI-liability mapping</w:t>
      </w:r>
      <w:r>
        <w:t xml:space="preserve"> </w:t>
      </w:r>
      <w:hyperlink w:anchor="ref-13">
        <w:r>
          <w:rPr>
            <w:rStyle w:val="Hyperlink"/>
          </w:rPr>
          <w:t xml:space="preserve">[13]</w:t>
        </w:r>
      </w:hyperlink>
      <w:r>
        <w:t xml:space="preserve">, the cislunar network-power theory</w:t>
      </w:r>
      <w:r>
        <w:t xml:space="preserve"> </w:t>
      </w:r>
      <w:hyperlink w:anchor="ref-15">
        <w:r>
          <w:rPr>
            <w:rStyle w:val="Hyperlink"/>
          </w:rPr>
          <w:t xml:space="preserve">[15]</w:t>
        </w:r>
      </w:hyperlink>
      <w:r>
        <w:t xml:space="preserve">, and the sustainability arguments</w:t>
      </w:r>
      <w:r>
        <w:t xml:space="preserve"> </w:t>
      </w:r>
      <w:hyperlink w:anchor="ref-14">
        <w:r>
          <w:rPr>
            <w:rStyle w:val="Hyperlink"/>
          </w:rPr>
          <w:t xml:space="preserve">[14]</w:t>
        </w:r>
      </w:hyperlink>
      <w:r>
        <w:t xml:space="preserve">, and they are the ones with nonzero and sometimes substantial citation counts. The trail runs unbroken. Because the journal family is where both the attention and the substance concentrate, the results are in a real sense driven by these twelve records, and a reader tracing any significant pattern would look here first. The hazard is that a corpus so dependent on one journal inherits that journal’s coverage decisions and citation culture, a source-selection concern the design flags rather than resolves.</w:t>
      </w:r>
    </w:p>
    <w:p>
      <w:pPr>
        <w:pStyle w:val="BodyText"/>
        <w:spacing w:line="480" w:lineRule="auto"/>
        <w:ind w:firstLine="720"/>
      </w:pPr>
      <w:r>
        <w:t xml:space="preserve">The policy family, six space-economy and strategy documents, occupies the third venue level and behaves differently from both others. These records, including whole-of-nation strategy papers and two orbital-classification proposals modeled on aviation airspace, are typically uncited in the index and carry descriptive text that generates few theme hits</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point is narrow. They anchor the high end of the venue score while sitting at the low end of both citation and signal, which is part of why the venue coefficient behaves as it does in Chapter 6. Documenting these three families separately makes clear that the corpus is not a homogeneous sample but a deliberate spanning of the publication spectrum, and that the spanning, while analytically desirable, introduces exactly the heterogeneity that the robust standard errors of Chapter 4 were chosen to accommodate</w:t>
      </w:r>
      <w:r>
        <w:t xml:space="preserve"> </w:t>
      </w:r>
      <w:hyperlink w:anchor="ref-9">
        <w:r>
          <w:rPr>
            <w:rStyle w:val="Hyperlink"/>
          </w:rPr>
          <w:t xml:space="preserve">[9]</w:t>
        </w:r>
      </w:hyperlink>
      <w:r>
        <w:t xml:space="preserve">.</w:t>
      </w:r>
    </w:p>
    <w:bookmarkEnd w:id="110"/>
    <w:bookmarkStart w:id="111" w:name="what-a-replication-package-would-contain"/>
    <w:p>
      <w:pPr>
        <w:pStyle w:val="Heading2"/>
        <w:spacing w:line="480" w:lineRule="auto"/>
      </w:pPr>
      <w:r>
        <w:t xml:space="preserve">5.9 What a replication package would contain</w:t>
      </w:r>
    </w:p>
    <w:p>
      <w:pPr>
        <w:pStyle w:val="FirstParagraph"/>
        <w:spacing w:line="480" w:lineRule="auto"/>
      </w:pPr>
      <w:r>
        <w:t xml:space="preserve">To make the reproducibility commitment fully concrete, it helps to describe what a replication package for this dataset would contain, because the completeness of that package is the ultimate measure of an auditable design. The package would hold two estimation files, one per paper, each with its thirty rows and its source column intact. That distinction does real work. It would hold the two configuration records that define every variable by its deterministic rule and state the estimator and formula. And it would hold nothing else that matters, because nothing else is needed: from those files alone, a replicator reconstructs every coefficient in Chapter 6</w:t>
      </w:r>
      <w:r>
        <w:t xml:space="preserve"> </w:t>
      </w:r>
      <w:hyperlink w:anchor="ref-2">
        <w:r>
          <w:rPr>
            <w:rStyle w:val="Hyperlink"/>
          </w:rPr>
          <w:t xml:space="preserve">[2]</w:t>
        </w:r>
      </w:hyperlink>
      <w:r>
        <w:t xml:space="preserve">.</w:t>
      </w:r>
    </w:p>
    <w:p>
      <w:pPr>
        <w:pStyle w:val="BodyText"/>
        <w:spacing w:line="480" w:lineRule="auto"/>
        <w:ind w:firstLine="720"/>
      </w:pPr>
      <w:r>
        <w:t xml:space="preserve">The absence of hidden inputs is the point worth stressing. There is no separate coding sheet that only the original analyst possesses, no expert judgment applied off the record, no data-cleaning step that a replicator would have to guess at</w:t>
      </w:r>
      <w:r>
        <w:t xml:space="preserve"> </w:t>
      </w:r>
      <w:hyperlink w:anchor="ref-5">
        <w:r>
          <w:rPr>
            <w:rStyle w:val="Hyperlink"/>
          </w:rPr>
          <w:t xml:space="preserve">[5]</w:t>
        </w:r>
      </w:hyperlink>
      <w:r>
        <w:t xml:space="preserve">. Nothing here is hidden. The chain runs from the named source document, to the deterministic variable, to the estimation file, to the formula, to the coefficient, and every link is exposed. A design that can hand a skeptic a package this complete has earned the right to report a null and expect it to be believed, because the skeptic can confirm that the null is a property of the data rather than an artifact of undisclosed analyst choices</w:t>
      </w:r>
      <w:r>
        <w:t xml:space="preserve"> </w:t>
      </w:r>
      <w:hyperlink w:anchor="ref-12">
        <w:r>
          <w:rPr>
            <w:rStyle w:val="Hyperlink"/>
          </w:rPr>
          <w:t xml:space="preserve">[12]</w:t>
        </w:r>
      </w:hyperlink>
      <w:r>
        <w:t xml:space="preserve">. The data are modest in size and deliberate in construction, and their whole purpose is to make the honesty of the chain from document to coefficient not a claim the reader must accept but a fact the reader can verify.</w:t>
      </w:r>
    </w:p>
    <w:bookmarkEnd w:id="111"/>
    <w:bookmarkStart w:id="112" w:name="two-records-worth-reading-in-detail"/>
    <w:p>
      <w:pPr>
        <w:pStyle w:val="Heading2"/>
        <w:spacing w:line="480" w:lineRule="auto"/>
      </w:pPr>
      <w:r>
        <w:t xml:space="preserve">5.10 Two records worth reading in detail</w:t>
      </w:r>
    </w:p>
    <w:p>
      <w:pPr>
        <w:pStyle w:val="FirstParagraph"/>
        <w:spacing w:line="480" w:lineRule="auto"/>
      </w:pPr>
      <w:r>
        <w:t xml:space="preserve">Two records repay closer reading because they illustrate, concretely, how the deterministic score both succeeds and fails. Record three, the ozone-to-debris lessons paper, scores six on topic signal, the corpus maximum, built from two theme hits amplified by a keyword field and title dense in the topic’s vocabulary</w:t>
      </w:r>
      <w:r>
        <w:t xml:space="preserve"> </w:t>
      </w:r>
      <w:hyperlink w:anchor="ref-3">
        <w:r>
          <w:rPr>
            <w:rStyle w:val="Hyperlink"/>
          </w:rPr>
          <w:t xml:space="preserve">[3]</w:t>
        </w:r>
      </w:hyperlink>
      <w:r>
        <w:t xml:space="preserve">. The arithmetic is checkable. This is the score behaving as intended: a document that is both topically central and explicitly framed in the target vocabulary rises to the top, and a reader can open the paper and count the hits to confirm it. The record demonstrates that when a document’s substance and its vocabulary align, the score captures its relevance faithfully.</w:t>
      </w:r>
    </w:p>
    <w:p>
      <w:pPr>
        <w:pStyle w:val="BodyText"/>
        <w:spacing w:line="480" w:lineRule="auto"/>
        <w:ind w:firstLine="720"/>
      </w:pPr>
      <w:r>
        <w:t xml:space="preserve">Record six, the international-perspectives-on-space-weapons paper, scores one, the corpus floor, despite being squarely about the international governance of a contested orbital capability</w:t>
      </w:r>
      <w:r>
        <w:t xml:space="preserve"> </w:t>
      </w:r>
      <w:hyperlink w:anchor="ref-6">
        <w:r>
          <w:rPr>
            <w:rStyle w:val="Hyperlink"/>
          </w:rPr>
          <w:t xml:space="preserve">[6]</w:t>
        </w:r>
      </w:hyperlink>
      <w:r>
        <w:t xml:space="preserve">. Here the score fails in the direction Chapter 3 predicted: the paper engages the governance question substantively but frames it in security vocabulary that the theme terms do not catch, so a topically central document is scored as if it were peripheral. This matters more than it seems. Reading these two records side by side makes the vocabulary-versus-meaning gap tangible rather than abstract. The score is not wrong about record three and it is not exactly wrong about record six; it is measuring vocabulary alignment in both cases, and vocabulary alignment happens to track relevance in the first and to miss it in the second</w:t>
      </w:r>
      <w:r>
        <w:t xml:space="preserve"> </w:t>
      </w:r>
      <w:hyperlink w:anchor="ref-12">
        <w:r>
          <w:rPr>
            <w:rStyle w:val="Hyperlink"/>
          </w:rPr>
          <w:t xml:space="preserve">[12]</w:t>
        </w:r>
      </w:hyperlink>
      <w:r>
        <w:t xml:space="preserve">. A reader who internalizes these two examples understands precisely what the topic-signal variable does and does not see, which is the understanding needed to read Chapter 6’s coefficients without over-trusting them.</w:t>
      </w:r>
    </w:p>
    <w:p>
      <w:pPr>
        <w:pStyle w:val="BodyText"/>
        <w:spacing w:line="480" w:lineRule="auto"/>
        <w:ind w:firstLine="720"/>
      </w:pPr>
      <w:r>
        <w:t xml:space="preserve">The lesson these records teach is that the corpus’s measurement error is not random noise but a structured attenuation. Documents framed in the theme vocabulary score accurately; documents framed in adjacent vocabularies score low regardless of substance</w:t>
      </w:r>
      <w:r>
        <w:t xml:space="preserve"> </w:t>
      </w:r>
      <w:hyperlink w:anchor="ref-14">
        <w:r>
          <w:rPr>
            <w:rStyle w:val="Hyperlink"/>
          </w:rPr>
          <w:t xml:space="preserve">[14]</w:t>
        </w:r>
      </w:hyperlink>
      <w:r>
        <w:t xml:space="preserve">. The reading stays bounded. Because governance topics attract exactly this kind of cross-vocabulary engagement, the attenuation is likely to be systematic rather than incidental, biasing the estimated associations toward zero in a predictable direction. That predictability is useful: it tells Chapter 7 which way to lean when it weighs how much of the eventual null belongs to the instrument, and it tells the successor study exactly which measurement weakness it must repair to recover the signal this design’s score lets slip</w:t>
      </w:r>
      <w:r>
        <w:t xml:space="preserve"> </w:t>
      </w:r>
      <w:hyperlink w:anchor="ref-4">
        <w:r>
          <w:rPr>
            <w:rStyle w:val="Hyperlink"/>
          </w:rPr>
          <w:t xml:space="preserve">[4]</w:t>
        </w:r>
      </w:hyperlink>
      <w:r>
        <w:t xml:space="preserve">.</w:t>
      </w:r>
    </w:p>
    <w:bookmarkEnd w:id="112"/>
    <w:bookmarkEnd w:id="113"/>
    <w:bookmarkStart w:id="124" w:name="chapter-6-results"/>
    <w:p>
      <w:pPr>
        <w:pStyle w:val="Heading1"/>
        <w:spacing w:line="480" w:lineRule="auto"/>
      </w:pPr>
      <w:r>
        <w:t xml:space="preserve">Chapter 6: Results</w:t>
      </w:r>
    </w:p>
    <w:p>
      <w:pPr>
        <w:pStyle w:val="FirstParagraph"/>
        <w:spacing w:line="480" w:lineRule="auto"/>
      </w:pPr>
      <w:r>
        <w:t xml:space="preserve">This chapter reports what the two workbooks produced, exactly as they produced it, and then interprets the signs and magnitudes without inflating them. The numbers are stated first and interpreted second, so that no reader has to take the interpretation on faith. Precision is the whole game. Where a coefficient is imprecise, I say so and treat the imprecision as part of the finding rather than as a nuisance to be talked around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Start w:id="114" w:name="paper-1-the-cross-sectional-regression"/>
    <w:p>
      <w:pPr>
        <w:pStyle w:val="Heading2"/>
        <w:spacing w:line="480" w:lineRule="auto"/>
      </w:pPr>
      <w:r>
        <w:t xml:space="preserve">6.1 Paper 1: the cross-sectional regression</w:t>
      </w:r>
    </w:p>
    <w:p>
      <w:pPr>
        <w:pStyle w:val="FirstParagraph"/>
        <w:spacing w:line="480" w:lineRule="auto"/>
      </w:pPr>
      <w:r>
        <w:t xml:space="preserve">The first estimator is an ordinary least squares regression of the topic-signal score on the recency index, the citation count, and the venue score, with HC1 robust standard errors, estimated on all thirty records. The fit statistics are as follows. The sample size is N = 30. The coefficient of determination is R2 = 0.042714792752919006. The adjusted coefficient of determination is R2_adj = -0.0677411926986673. The omnibus F-statistic is F = 0.5868655649474872, with F_p = 0.6290449684342332. The term-level estimates are these. The constant has a coefficient of 1.861685576555308 with a standard error of 1.4311 and p = 0.1933102363155872. The recency index has a coefficient of 0.07058049045612727 with a standard error of 0.0689 and p = 0.30577067413785586. The citation count has a coefficient of -0.011479706134962922 with a standard error of 0.0379 and p = 0.7619483225337987. The venue score has a coefficient of -0.2815639784975117 with a standard error of 0.3997 and p = 0.48111109702697374. Read the fit first. An R2 of 0.0427 means the three predictors together account for roughly four percent of the variation in the topic-signal score. The adjusted R2 is negative, at -0.0677, which is the signature of a model whose predictors buy less explanatory power than their degrees of freedom cost; adjusting for the three parameters leaves the specification explaining less than a constant-only baseline would. The F-test confirms the reading. With F = 0.587 and a p-value of 0.629, the joint null that all three slope coefficients are zero cannot be rejected at any conventional threshold. Whatever structure the topic-signal score has, these three fingerprints do not jointly capture it in this corpus</w:t>
      </w:r>
      <w:r>
        <w:t xml:space="preserve"> </w:t>
      </w:r>
      <w:hyperlink w:anchor="ref-4">
        <w:r>
          <w:rPr>
            <w:rStyle w:val="Hyperlink"/>
          </w:rPr>
          <w:t xml:space="preserve">[4]</w:t>
        </w:r>
      </w:hyperlink>
      <w:r>
        <w:t xml:space="preserve">.</w:t>
      </w:r>
    </w:p>
    <w:bookmarkEnd w:id="114"/>
    <w:bookmarkStart w:id="115" w:name="interpreting-the-paper-1-signs"/>
    <w:p>
      <w:pPr>
        <w:pStyle w:val="Heading2"/>
        <w:spacing w:line="480" w:lineRule="auto"/>
      </w:pPr>
      <w:r>
        <w:t xml:space="preserve">6.2 Interpreting the Paper 1 signs</w:t>
      </w:r>
    </w:p>
    <w:p>
      <w:pPr>
        <w:pStyle w:val="FirstParagraph"/>
        <w:spacing w:line="480" w:lineRule="auto"/>
      </w:pPr>
      <w:r>
        <w:t xml:space="preserve">The individual coefficients tell a consistent story once the fit has set expectations.</w:t>
      </w:r>
    </w:p>
    <w:p>
      <w:pPr>
        <w:pStyle w:val="BodyText"/>
        <w:spacing w:line="480" w:lineRule="auto"/>
        <w:ind w:firstLine="720"/>
      </w:pPr>
      <w:r>
        <w:t xml:space="preserve">The recency coefficient is positive, at 0.0706, which points in the direction the maturation mechanism predicted: newer documents carry slightly more topic signal. The sign is right. The precision is not. With a p-value of 0.306, the recency association is well inside the range attributable to sampling noise in a thirty-row sample, so the correct statement is that the data are consistent with a small positive recency tilt but cannot establish one</w:t>
      </w:r>
      <w:r>
        <w:t xml:space="preserve"> </w:t>
      </w:r>
      <w:hyperlink w:anchor="ref-11">
        <w:r>
          <w:rPr>
            <w:rStyle w:val="Hyperlink"/>
          </w:rPr>
          <w:t xml:space="preserve">[11]</w:t>
        </w:r>
      </w:hyperlink>
      <w:r>
        <w:t xml:space="preserve">.</w:t>
      </w:r>
    </w:p>
    <w:p>
      <w:pPr>
        <w:pStyle w:val="BodyText"/>
        <w:spacing w:line="480" w:lineRule="auto"/>
        <w:ind w:firstLine="720"/>
      </w:pPr>
      <w:r>
        <w:t xml:space="preserve">The citation coefficient is negative and tiny, at -0.0115, with a p-value of 0.762.</w:t>
      </w:r>
    </w:p>
    <w:p>
      <w:pPr>
        <w:pStyle w:val="BodyText"/>
        <w:spacing w:line="480" w:lineRule="auto"/>
        <w:ind w:firstLine="720"/>
      </w:pPr>
      <w:r>
        <w:t xml:space="preserve">This runs against the attention prediction, which expected better-cited documents to carry more signal, but the magnitude is so small and the standard error so large relative to it that the negative sign should carry essentially no interpretive weight. That is the discipline at work. The honest reading is that citation attention and topic signal are effectively unrelated in this corpus, which is itself informative: the concentration of all citation variation in a handful of journal articles, documented in Chapter 5, leaves too little independent variation for the attention channel to register</w:t>
      </w:r>
      <w:r>
        <w:t xml:space="preserve"> </w:t>
      </w:r>
      <w:hyperlink w:anchor="ref-4">
        <w:r>
          <w:rPr>
            <w:rStyle w:val="Hyperlink"/>
          </w:rPr>
          <w:t xml:space="preserve">[4]</w:t>
        </w:r>
      </w:hyperlink>
      <w:r>
        <w:t xml:space="preserve"> </w:t>
      </w:r>
      <w:hyperlink w:anchor="ref-10">
        <w:r>
          <w:rPr>
            <w:rStyle w:val="Hyperlink"/>
          </w:rPr>
          <w:t xml:space="preserve">[10]</w:t>
        </w:r>
      </w:hyperlink>
      <w:r>
        <w:t xml:space="preserve">. The venue coefficient is negative and larger, at -0.2816, with a p-value of 0.481. Taken at face value it would suggest that higher venue-family scores associate with lower topic signal, the reverse of a simple migration story. The claim earns its narrowness. Two features of the data explain the sign without rescuing its significance. First, the policy documents that score three on venue tend to score low on topic signal, because their descriptive text triggers few theme hits. Second, with a p-value near one-half the coefficient is indistinguishable from zero. The venue channel, like the other two, shows no reliable structure</w:t>
      </w:r>
      <w:r>
        <w:t xml:space="preserve"> </w:t>
      </w:r>
      <w:hyperlink w:anchor="ref-9">
        <w:r>
          <w:rPr>
            <w:rStyle w:val="Hyperlink"/>
          </w:rPr>
          <w:t xml:space="preserve">[9]</w:t>
        </w:r>
      </w:hyperlink>
      <w:r>
        <w:t xml:space="preserve"> </w:t>
      </w:r>
      <w:hyperlink w:anchor="ref-14">
        <w:r>
          <w:rPr>
            <w:rStyle w:val="Hyperlink"/>
          </w:rPr>
          <w:t xml:space="preserve">[14]</w:t>
        </w:r>
      </w:hyperlink>
      <w:r>
        <w:t xml:space="preserve">.</w:t>
      </w:r>
    </w:p>
    <w:p>
      <w:pPr>
        <w:pStyle w:val="BodyText"/>
        <w:spacing w:line="480" w:lineRule="auto"/>
        <w:ind w:firstLine="720"/>
      </w:pPr>
      <w:r>
        <w:t xml:space="preserve">Pull the three together and Paper 1 lands on the lower rungs of the evidence ladder from Chapter 3. One coefficient carries the predicted sign, two do not, and none is precise. No step is taken on faith. The omnibus F-test cannot reject the null. The disciplined conclusion is that the retrieved corpus does not exhibit a strong, jointly measurable recency-attention-venue structure in its topic signal. That is a null result, and the design committed in advance to reporting it as a result rather than searching for a specification that would overturn it</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15"/>
    <w:bookmarkStart w:id="116" w:name="paper-2-the-learning-curve-regression"/>
    <w:p>
      <w:pPr>
        <w:pStyle w:val="Heading2"/>
        <w:spacing w:line="480" w:lineRule="auto"/>
      </w:pPr>
      <w:r>
        <w:t xml:space="preserve">6.3 Paper 2: the learning-curve regression</w:t>
      </w:r>
    </w:p>
    <w:p>
      <w:pPr>
        <w:pStyle w:val="FirstParagraph"/>
        <w:spacing w:line="480" w:lineRule="auto"/>
      </w:pPr>
      <w:r>
        <w:t xml:space="preserve">The second estimator is a log-log learning-curve model of citation accumulation, regressing the natural log of citations-plus-one on the natural log of the age index, with HC1 robust standard errors, estimated on the same thirty records. The fit statistics are these. The sample size is N = 30. The coefficient of determination is R2 = 0.0007246785466717975. The estimated elasticity is elasticity_b = 0.0416575620268819, and the implied progress ratio, computed as two raised to the elasticity, is progress_ratio_2^b = 1.0292957408864138. The term-level estimates are these. The constant has a coefficient of 0.5287012063201781 with a standard error of 0.3047 and p = 0.08266452604954397. The log age term has a coefficient of 0.0416575620268819 with a standard error of 0.1731 and p = 0.8098506086783396. The fit is even thinner than Paper 1’s. An R2 of 0.000725 means the age index explains under one-tenth of one percent of the variation in logged citation accumulation. Here the boundary is exact. For practical purposes the model explains nothing; article age, in this corpus, carries almost no information about how many citations a document has gathered</w:t>
      </w:r>
      <w:r>
        <w:t xml:space="preserve"> </w:t>
      </w:r>
      <w:hyperlink w:anchor="ref-8">
        <w:r>
          <w:rPr>
            <w:rStyle w:val="Hyperlink"/>
          </w:rPr>
          <w:t xml:space="preserve">[8]</w:t>
        </w:r>
      </w:hyperlink>
      <w:r>
        <w:t xml:space="preserve">.</w:t>
      </w:r>
    </w:p>
    <w:bookmarkEnd w:id="116"/>
    <w:bookmarkStart w:id="117" w:name="interpreting-the-paper-2-elasticity"/>
    <w:p>
      <w:pPr>
        <w:pStyle w:val="Heading2"/>
        <w:spacing w:line="480" w:lineRule="auto"/>
      </w:pPr>
      <w:r>
        <w:t xml:space="preserve">6.4 Interpreting the Paper 2 elasticity</w:t>
      </w:r>
    </w:p>
    <w:p>
      <w:pPr>
        <w:pStyle w:val="FirstParagraph"/>
        <w:spacing w:line="480" w:lineRule="auto"/>
      </w:pPr>
      <w:r>
        <w:t xml:space="preserve">The elasticity is the number the temporal hypothesis lives or dies on, and it is 0.0417. A positive elasticity carries the sign the accumulation mechanism predicted: older documents show marginally more citation accumulation. That caution is deliberate. The progress ratio of 1.0293 translates the elasticity into plain terms, saying that when article age doubles, citations-plus-one rise by roughly three percent. Three percent per doubling is a nearly flat curve. It is the numerical picture of accumulation that barely accumulates. Precision buries even that faint sign. The log-age coefficient has a standard error of 0.1731 against a point estimate of 0.0417, and its p-value is 0.810, so the elasticity cannot be distinguished from zero. The constant, at 0.5287 with a p-value of 0.083, is the only term that approaches conventional significance, and a significant constant in this model simply says that the average logged citation level is positive, which the plus-one transform guarantees and which carries no substantive news about accumulation</w:t>
      </w:r>
      <w:r>
        <w:t xml:space="preserve"> </w:t>
      </w:r>
      <w:hyperlink w:anchor="ref-4">
        <w:r>
          <w:rPr>
            <w:rStyle w:val="Hyperlink"/>
          </w:rPr>
          <w:t xml:space="preserve">[4]</w:t>
        </w:r>
      </w:hyperlink>
      <w:r>
        <w:t xml:space="preserve">.</w:t>
      </w:r>
    </w:p>
    <w:p>
      <w:pPr>
        <w:pStyle w:val="BodyText"/>
        <w:spacing w:line="480" w:lineRule="auto"/>
        <w:ind w:firstLine="720"/>
      </w:pPr>
      <w:r>
        <w:t xml:space="preserve">The reading is clean. Paper 2 finds no measurable age-based attention curve in the retrieved literature. The mechanical confound named in Chapter 4, that older documents have simply had more time to be cited, does not even manage to produce a detectable positive slope here, because the corpus is dominated by uncited records whose citations-plus-one equals one regardless of age. With twenty of thirty documents pinned at the floor, there is little accumulation for age to explain</w:t>
      </w:r>
      <w:r>
        <w:t xml:space="preserve"> </w:t>
      </w:r>
      <w:hyperlink w:anchor="ref-5">
        <w:r>
          <w:rPr>
            <w:rStyle w:val="Hyperlink"/>
          </w:rPr>
          <w:t xml:space="preserve">[5]</w:t>
        </w:r>
      </w:hyperlink>
      <w:r>
        <w:t xml:space="preserve"> </w:t>
      </w:r>
      <w:hyperlink w:anchor="ref-8">
        <w:r>
          <w:rPr>
            <w:rStyle w:val="Hyperlink"/>
          </w:rPr>
          <w:t xml:space="preserve">[8]</w:t>
        </w:r>
      </w:hyperlink>
      <w:r>
        <w:t xml:space="preserve">.</w:t>
      </w:r>
    </w:p>
    <w:bookmarkEnd w:id="117"/>
    <w:bookmarkStart w:id="118" w:name="Xbc9ac5ae49f2e11dd3d9fedb7625c3e8f5e9465"/>
    <w:p>
      <w:pPr>
        <w:pStyle w:val="Heading2"/>
        <w:spacing w:line="480" w:lineRule="auto"/>
      </w:pPr>
      <w:r>
        <w:t xml:space="preserve">6.4a The progress ratio in substantive terms</w:t>
      </w:r>
    </w:p>
    <w:p>
      <w:pPr>
        <w:pStyle w:val="FirstParagraph"/>
        <w:spacing w:line="480" w:lineRule="auto"/>
      </w:pPr>
      <w:r>
        <w:t xml:space="preserve">The progress ratio of 1.0293 rewards a moment of plain-language interpretation, because it is the number a program office would actually want to hear. A learning or accumulation curve is often summarized by asking what happens when the underlying quantity doubles. The instrument sees only so far. Here the underlying quantity is article age, and the progress ratio says that a doubling of age is associated with roughly a three percent rise in citations-plus-one. Set that against what a genuinely accumulating field would show. In a live subfield where foundational papers keep drawing citations as the literature grows, doubling a document’s age might multiply its citation count several times over, producing a progress ratio well above two. A ratio of 1.03 is almost perfectly flat; it is the numerical fingerprint of a corpus where age and citation have come nearly unhitched</w:t>
      </w:r>
      <w:r>
        <w:t xml:space="preserve"> </w:t>
      </w:r>
      <w:hyperlink w:anchor="ref-4">
        <w:r>
          <w:rPr>
            <w:rStyle w:val="Hyperlink"/>
          </w:rPr>
          <w:t xml:space="preserve">[4]</w:t>
        </w:r>
      </w:hyperlink>
      <w:r>
        <w:t xml:space="preserve">. Why they have come unhitched is legible in the data rather than mysterious. The corpus’s citations live almost entirely in a handful of recent journal articles, while its oldest records, including the 2008 survey, sit at the uncited floor</w:t>
      </w:r>
      <w:r>
        <w:t xml:space="preserve"> </w:t>
      </w:r>
      <w:hyperlink w:anchor="ref-5">
        <w:r>
          <w:rPr>
            <w:rStyle w:val="Hyperlink"/>
          </w:rPr>
          <w:t xml:space="preserve">[5]</w:t>
        </w:r>
      </w:hyperlink>
      <w:r>
        <w:t xml:space="preserve">. This is a small, firm result. Age therefore points in the wrong direction for accumulation: the older records are the less-cited ones, not the more-cited ones, which is the reverse of what a maturing field’s accumulation curve requires. The faint positive elasticity survives only because the plus-one flooring keeps every record in play and blunts the reversal. Read honestly, the progress ratio says the retrieved literature does not accumulate attention with age in any way this model can detect</w:t>
      </w:r>
      <w:r>
        <w:t xml:space="preserve"> </w:t>
      </w:r>
      <w:hyperlink w:anchor="ref-8">
        <w:r>
          <w:rPr>
            <w:rStyle w:val="Hyperlink"/>
          </w:rPr>
          <w:t xml:space="preserve">[8]</w:t>
        </w:r>
      </w:hyperlink>
      <w:r>
        <w:t xml:space="preserve">.</w:t>
      </w:r>
    </w:p>
    <w:bookmarkEnd w:id="118"/>
    <w:bookmarkStart w:id="119" w:name="what-the-two-results-say-together"/>
    <w:p>
      <w:pPr>
        <w:pStyle w:val="Heading2"/>
        <w:spacing w:line="480" w:lineRule="auto"/>
      </w:pPr>
      <w:r>
        <w:t xml:space="preserve">6.5 What the two results say together</w:t>
      </w:r>
    </w:p>
    <w:p>
      <w:pPr>
        <w:pStyle w:val="FirstParagraph"/>
        <w:spacing w:line="480" w:lineRule="auto"/>
      </w:pPr>
      <w:r>
        <w:t xml:space="preserve">The two estimators converge on the same verdict from different directions. Paper 1 asked whether the topic signal has cross-sectional structure across three fingerprints and found none that is jointly reliable. The numbers do the arguing. Paper 2 asked whether citation attention accumulates with age and found a curve too flat to distinguish from noise. Neither result confirms the alternative hypothesis. Both are consistent with the null.</w:t>
      </w:r>
    </w:p>
    <w:p>
      <w:pPr>
        <w:pStyle w:val="BodyText"/>
        <w:spacing w:line="480" w:lineRule="auto"/>
        <w:ind w:firstLine="720"/>
      </w:pPr>
      <w:r>
        <w:t xml:space="preserve">I want to be precise about what this convergence means, because it is easy to overread a pair of nulls as a claim that the topic does not matter. It is no such claim. That is the honest terms of it. The maturation this dissertation set out to detect may be entirely real and simply illegible to a thirty-row metadata screen whose signal score sees vocabulary rather than argument and whose attention channel is starved of variation by a corpus full of uncited conference papers. The results establish something narrower and firmer: in the corpus as retrieved and measured, the recency, attention, and venue fingerprints of governance maturation are not detectable at conventional precision</w:t>
      </w:r>
      <w:r>
        <w:t xml:space="preserve"> </w:t>
      </w:r>
      <w:hyperlink w:anchor="ref-3">
        <w:r>
          <w:rPr>
            <w:rStyle w:val="Hyperlink"/>
          </w:rPr>
          <w:t xml:space="preserve">[3]</w:t>
        </w:r>
      </w:hyperlink>
      <w:r>
        <w:t xml:space="preserve"> </w:t>
      </w:r>
      <w:hyperlink w:anchor="ref-6">
        <w:r>
          <w:rPr>
            <w:rStyle w:val="Hyperlink"/>
          </w:rPr>
          <w:t xml:space="preserve">[6]</w:t>
        </w:r>
      </w:hyperlink>
      <w:r>
        <w:t xml:space="preserve">. That is the exact finding the design was built to be able to report, and Chapter 7 takes up what follows from it, including the threats to validity that a pair of null results makes it especially important to confront.</w:t>
      </w:r>
    </w:p>
    <w:bookmarkEnd w:id="119"/>
    <w:bookmarkStart w:id="120" w:name="Xc5ead830a2e9e46cc511dc5069e3e888fa55e99"/>
    <w:p>
      <w:pPr>
        <w:pStyle w:val="Heading2"/>
        <w:spacing w:line="480" w:lineRule="auto"/>
      </w:pPr>
      <w:r>
        <w:t xml:space="preserve">6.6 Placing the estimates on the evidence ladder</w:t>
      </w:r>
    </w:p>
    <w:p>
      <w:pPr>
        <w:pStyle w:val="FirstParagraph"/>
        <w:spacing w:line="480" w:lineRule="auto"/>
      </w:pPr>
      <w:r>
        <w:t xml:space="preserve">Chapter 3 built a three-rung evidence ladder, and the numbers now let each estimate be placed on it explicitly. The recency coefficient in Paper 1, positive at 0.0706 but with a p-value of 0.306, sits on the lowest rung: correctly signed, so not a contradiction of the mechanism, but far too imprecise to climb toward corroboration</w:t>
      </w:r>
      <w:r>
        <w:t xml:space="preserve"> </w:t>
      </w:r>
      <w:hyperlink w:anchor="ref-11">
        <w:r>
          <w:rPr>
            <w:rStyle w:val="Hyperlink"/>
          </w:rPr>
          <w:t xml:space="preserve">[11]</w:t>
        </w:r>
      </w:hyperlink>
      <w:r>
        <w:t xml:space="preserve">. Modesty is the design choice. The citation coefficient, negative at -0.0115 with a p-value of 0.762, sits at the very bottom, its sign meaningless against a standard error many times its size. The venue coefficient, negative at -0.2816 with a p-value of 0.481, is larger in magnitude but equally unable to distinguish itself from zero</w:t>
      </w:r>
      <w:r>
        <w:t xml:space="preserve"> </w:t>
      </w:r>
      <w:hyperlink w:anchor="ref-9">
        <w:r>
          <w:rPr>
            <w:rStyle w:val="Hyperlink"/>
          </w:rPr>
          <w:t xml:space="preserve">[9]</w:t>
        </w:r>
      </w:hyperlink>
      <w:r>
        <w:t xml:space="preserve">. None of the three reaches the middle rung, and the omnibus F of 0.587 confirms that they do not reach it jointly either. Paper 2’s single elasticity of 0.0417, with a p-value of 0.810, lands in the same low territory. Correctly signed for accumulation, it is nonetheless indistinguishable from zero, and its R2 of 0.000725 marks it as explaining essentially none of the variation in accumulation</w:t>
      </w:r>
      <w:r>
        <w:t xml:space="preserve"> </w:t>
      </w:r>
      <w:hyperlink w:anchor="ref-8">
        <w:r>
          <w:rPr>
            <w:rStyle w:val="Hyperlink"/>
          </w:rPr>
          <w:t xml:space="preserve">[8]</w:t>
        </w:r>
      </w:hyperlink>
      <w:r>
        <w:t xml:space="preserve">. The trail runs unbroken. The overall picture, read against the ladder the theory built in advance, is a set of estimates that decline to contradict the maturation mechanism while providing no positive support for it. That is precisely the non-confirmation zone Chapter 3 described, as distinct from the contradiction zone that a significant wrong-signed coefficient would have marked</w:t>
      </w:r>
      <w:r>
        <w:t xml:space="preserve"> </w:t>
      </w:r>
      <w:hyperlink w:anchor="ref-2">
        <w:r>
          <w:rPr>
            <w:rStyle w:val="Hyperlink"/>
          </w:rPr>
          <w:t xml:space="preserve">[2]</w:t>
        </w:r>
      </w:hyperlink>
      <w:r>
        <w:t xml:space="preserve">. The mechanism survives the test; it simply is not corroborated by this corpus.</w:t>
      </w:r>
    </w:p>
    <w:bookmarkEnd w:id="120"/>
    <w:bookmarkStart w:id="121" w:name="a-note-on-why-nothing-was-re-specified"/>
    <w:p>
      <w:pPr>
        <w:pStyle w:val="Heading2"/>
        <w:spacing w:line="480" w:lineRule="auto"/>
      </w:pPr>
      <w:r>
        <w:t xml:space="preserve">6.7 A note on why nothing was re-specified</w:t>
      </w:r>
    </w:p>
    <w:p>
      <w:pPr>
        <w:pStyle w:val="FirstParagraph"/>
        <w:spacing w:line="480" w:lineRule="auto"/>
      </w:pPr>
      <w:r>
        <w:t xml:space="preserve">A reader schooled in applied work might wonder, seeing two nulls, whether an alternative specification would have produced something. Perhaps dropping the lonely 2008 record, or logging the citation predictor in Paper 1, or splitting the venue score into indicator variables, would have surfaced a significant coefficient somewhere. The point is narrow. The design’s answer is a firm refusal, and the refusal is itself part of the finding. Both models were specified in advance from the hypotheses, run once, and reported</w:t>
      </w:r>
      <w:r>
        <w:t xml:space="preserve"> </w:t>
      </w:r>
      <w:hyperlink w:anchor="ref-5">
        <w:r>
          <w:rPr>
            <w:rStyle w:val="Hyperlink"/>
          </w:rPr>
          <w:t xml:space="preserve">[5]</w:t>
        </w:r>
      </w:hyperlink>
      <w:r>
        <w:t xml:space="preserve">. Searching across alternative specifications until one crossed a significance threshold is exactly the practice that manufactures false positives in the applied literature, and a study built to be trustworthy cannot indulge it and remain trustworthy</w:t>
      </w:r>
      <w:r>
        <w:t xml:space="preserve"> </w:t>
      </w:r>
      <w:hyperlink w:anchor="ref-2">
        <w:r>
          <w:rPr>
            <w:rStyle w:val="Hyperlink"/>
          </w:rPr>
          <w:t xml:space="preserve">[2]</w:t>
        </w:r>
      </w:hyperlink>
      <w:r>
        <w:t xml:space="preserve">. What the reported numbers therefore carry is a guarantee that no confirmation-hunting produced them. The recency coefficient of 0.0706, the citation coefficient of -0.0115, the venue coefficient of -0.2816, and the elasticity of 0.0417 are the first and only estimates the pre-specified models produced. That distinction does real work. They are undramatic, and their being undramatic is the honest output of a design that would not let itself be tuned.</w:t>
      </w:r>
    </w:p>
    <w:bookmarkEnd w:id="121"/>
    <w:bookmarkStart w:id="122" w:name="X8f4294288f4010b5593aad69b73f26228a77b07"/>
    <w:p>
      <w:pPr>
        <w:pStyle w:val="Heading2"/>
        <w:spacing w:line="480" w:lineRule="auto"/>
      </w:pPr>
      <w:r>
        <w:t xml:space="preserve">6.8 The fit statistics as a diagnosis of the corpus</w:t>
      </w:r>
    </w:p>
    <w:p>
      <w:pPr>
        <w:pStyle w:val="FirstParagraph"/>
        <w:spacing w:line="480" w:lineRule="auto"/>
      </w:pPr>
      <w:r>
        <w:t xml:space="preserve">The two coefficients of determination, R2 = 0.0427 for Paper 1 and R2 = 0.000725 for Paper 2, deserve reading not merely as measures of model failure but as diagnoses of the corpus itself. A model explains variation only when its predictors carry information about the outcome, and these two R2 values report, almost quantitatively, how little information the chosen predictors carry here. Nothing here is hidden. Paper 1’s four percent says the three fingerprints jointly track a sliver of the topic-signal variation, consistent with a corpus where the signal score is compressed and the predictors are lumpy</w:t>
      </w:r>
      <w:r>
        <w:t xml:space="preserve"> </w:t>
      </w:r>
      <w:hyperlink w:anchor="ref-12">
        <w:r>
          <w:rPr>
            <w:rStyle w:val="Hyperlink"/>
          </w:rPr>
          <w:t xml:space="preserve">[12]</w:t>
        </w:r>
      </w:hyperlink>
      <w:r>
        <w:t xml:space="preserve">. Paper 2’s near-zero says article age tracks essentially none of the citation variation, consistent with a corpus whose citations live in recent journal articles while its older records sit uncited</w:t>
      </w:r>
      <w:r>
        <w:t xml:space="preserve"> </w:t>
      </w:r>
      <w:hyperlink w:anchor="ref-4">
        <w:r>
          <w:rPr>
            <w:rStyle w:val="Hyperlink"/>
          </w:rPr>
          <w:t xml:space="preserve">[4]</w:t>
        </w:r>
      </w:hyperlink>
      <w:r>
        <w:t xml:space="preserve">.</w:t>
      </w:r>
    </w:p>
    <w:p>
      <w:pPr>
        <w:pStyle w:val="BodyText"/>
        <w:spacing w:line="480" w:lineRule="auto"/>
        <w:ind w:firstLine="720"/>
      </w:pPr>
      <w:r>
        <w:t xml:space="preserve">Read this way, the fit statistics are not an embarrassment to be minimized but a measurement of the corpus’s internal structure, and they corroborate the distributional reading offered in Chapter 5. That the two independent models, one cross-sectional and one temporal, both return near-zero fit is itself a coherent finding: it says the corpus lacks the graded, structured variation that either the maturation fingerprints or an accumulation curve would require to show themselves</w:t>
      </w:r>
      <w:r>
        <w:t xml:space="preserve"> </w:t>
      </w:r>
      <w:hyperlink w:anchor="ref-8">
        <w:r>
          <w:rPr>
            <w:rStyle w:val="Hyperlink"/>
          </w:rPr>
          <w:t xml:space="preserve">[8]</w:t>
        </w:r>
      </w:hyperlink>
      <w:r>
        <w:t xml:space="preserve">. The arithmetic is checkable. A corpus with real structure would have produced at least one model with appreciable fit. Two near-zero fits, arrived at independently, describe a corpus that is genuinely diffuse across the dimensions this design can measure, whether because the topic is diffuse or because the instrument is coarse. The negative adjusted R2 in Paper 1, at -0.0677, completes the diagnosis: the predictors cost more in degrees of freedom than they return in explanation, the arithmetic signature of a specification asked to explain a corpus that will not be explained by these variables at this sample size</w:t>
      </w:r>
      <w:r>
        <w:t xml:space="preserve"> </w:t>
      </w:r>
      <w:hyperlink w:anchor="ref-5">
        <w:r>
          <w:rPr>
            <w:rStyle w:val="Hyperlink"/>
          </w:rPr>
          <w:t xml:space="preserve">[5]</w:t>
        </w:r>
      </w:hyperlink>
      <w:r>
        <w:t xml:space="preserve">.</w:t>
      </w:r>
    </w:p>
    <w:bookmarkEnd w:id="122"/>
    <w:bookmarkStart w:id="123" w:name="Xd5d510d3892b69a98fed2261ede4dfa5294bd90"/>
    <w:p>
      <w:pPr>
        <w:pStyle w:val="Heading2"/>
        <w:spacing w:line="480" w:lineRule="auto"/>
      </w:pPr>
      <w:r>
        <w:t xml:space="preserve">6.9 Reconciling the two estimators’ shared verdict</w:t>
      </w:r>
    </w:p>
    <w:p>
      <w:pPr>
        <w:pStyle w:val="FirstParagraph"/>
        <w:spacing w:line="480" w:lineRule="auto"/>
      </w:pPr>
      <w:r>
        <w:t xml:space="preserve">A skeptic might ask whether the two estimators are truly independent, given that they draw on the same thirty records and share the citation field. The answer sharpens the interpretation. The two models are not statistically independent in the strict sense, but they interrogate the corpus along genuinely different axes: Paper 1 asks whether the topic signal varies across records with three predictors, and Paper 2 asks whether citation accumulation varies with age alone</w:t>
      </w:r>
      <w:r>
        <w:t xml:space="preserve"> </w:t>
      </w:r>
      <w:hyperlink w:anchor="ref-4">
        <w:r>
          <w:rPr>
            <w:rStyle w:val="Hyperlink"/>
          </w:rPr>
          <w:t xml:space="preserve">[4]</w:t>
        </w:r>
      </w:hyperlink>
      <w:r>
        <w:t xml:space="preserve"> </w:t>
      </w:r>
      <w:hyperlink w:anchor="ref-8">
        <w:r>
          <w:rPr>
            <w:rStyle w:val="Hyperlink"/>
          </w:rPr>
          <w:t xml:space="preserve">[8]</w:t>
        </w:r>
      </w:hyperlink>
      <w:r>
        <w:t xml:space="preserve">. A corpus could easily satisfy one and fail the other. A field with strong cross-sectional signal structure but flat accumulation would show a significant Paper 1 and a null Paper 2; a field with steady accumulation but no cross-sectional signal structure would show the reverse. That both return nulls is therefore informative beyond what either alone would establish, because the two axes would have to conspire to produce a double null by chance. The more economical explanation is that the corpus simply lacks the graded variation both models require, and that single deficiency propagates into both results</w:t>
      </w:r>
      <w:r>
        <w:t xml:space="preserve"> </w:t>
      </w:r>
      <w:hyperlink w:anchor="ref-5">
        <w:r>
          <w:rPr>
            <w:rStyle w:val="Hyperlink"/>
          </w:rPr>
          <w:t xml:space="preserve">[5]</w:t>
        </w:r>
      </w:hyperlink>
      <w:r>
        <w:t xml:space="preserve">. Twenty uncited records flatten the citation predictor in Paper 1 and the citation outcome in Paper 2 simultaneously; a compressed one-to-six signal score limits Paper 1’s outcome variation; thirty rows widen every interval in both models. This matters more than it seems. The shared verdict is thus traceable to shared properties of the corpus rather than to two separate substantive failures, which is exactly why Chapter 7 concentrates its remedy on rebuilding the corpus and the instrument rather than on revising the two hypotheses</w:t>
      </w:r>
      <w:r>
        <w:t xml:space="preserve"> </w:t>
      </w:r>
      <w:hyperlink w:anchor="ref-12">
        <w:r>
          <w:rPr>
            <w:rStyle w:val="Hyperlink"/>
          </w:rPr>
          <w:t xml:space="preserve">[12]</w:t>
        </w:r>
      </w:hyperlink>
      <w:r>
        <w:t xml:space="preserve">. The estimators agree because they are reading the same impoverished variation from two angles, and the agreement is a statement about the data’s poverty rather than a doubled statement about the topic.</w:t>
      </w:r>
    </w:p>
    <w:p>
      <w:pPr>
        <w:pStyle w:val="BodyText"/>
        <w:spacing w:line="480" w:lineRule="auto"/>
        <w:ind w:firstLine="720"/>
      </w:pPr>
      <w:r>
        <w:t xml:space="preserve">Chapter 7 now takes up what a pair of honest nulls means and which threats to validity a reader must weigh before accepting them</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23"/>
    <w:bookmarkEnd w:id="124"/>
    <w:bookmarkStart w:id="134" w:name="chapter-7-discussion-and-limitations"/>
    <w:p>
      <w:pPr>
        <w:pStyle w:val="Heading1"/>
        <w:spacing w:line="480" w:lineRule="auto"/>
      </w:pPr>
      <w:r>
        <w:t xml:space="preserve">Chapter 7: Discussion and Limitations</w:t>
      </w:r>
    </w:p>
    <w:p>
      <w:pPr>
        <w:pStyle w:val="FirstParagraph"/>
        <w:spacing w:line="480" w:lineRule="auto"/>
      </w:pPr>
      <w:r>
        <w:t xml:space="preserve">A pair of null results asks more of a discussion chapter than a confirmation would. When a model produces the expected significant coefficient, the interpretive work is largely a matter of measuring how big and how robust. The reading stays bounded. When a model produces two flat, imprecise estimates, the harder questions arrive: what does the absence of signal mean, which threats to validity could have manufactured that absence, and what, if anything, has actually been learned. This chapter takes those questions in order, and it resists the two easy exits, declaring the topic unimportant on one hand or explaining the nulls away on the other.</w:t>
      </w:r>
    </w:p>
    <w:bookmarkStart w:id="125" w:name="what-the-findings-mean"/>
    <w:p>
      <w:pPr>
        <w:pStyle w:val="Heading2"/>
        <w:spacing w:line="480" w:lineRule="auto"/>
      </w:pPr>
      <w:r>
        <w:t xml:space="preserve">7.1 What the findings mean</w:t>
      </w:r>
    </w:p>
    <w:p>
      <w:pPr>
        <w:pStyle w:val="FirstParagraph"/>
        <w:spacing w:line="480" w:lineRule="auto"/>
      </w:pPr>
      <w:r>
        <w:t xml:space="preserve">The plainest statement of the finding is this. In the retrieved corpus, as measured, the topic signal of transgovernmental governance does not vary reliably with recency, citation attention, or venue family, and citation accumulation does not scale detectably with article age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maturation mechanism from Chapter 3 predicted fingerprints. The corpus does not show them at conventional precision.</w:t>
      </w:r>
    </w:p>
    <w:p>
      <w:pPr>
        <w:pStyle w:val="BodyText"/>
        <w:spacing w:line="480" w:lineRule="auto"/>
        <w:ind w:firstLine="720"/>
      </w:pPr>
      <w:r>
        <w:t xml:space="preserve">Two interpretations survive that statement, and the discipline of the design is to hold both rather than choosing the flattering one.</w:t>
      </w:r>
    </w:p>
    <w:p>
      <w:pPr>
        <w:pStyle w:val="BodyText"/>
        <w:spacing w:line="480" w:lineRule="auto"/>
        <w:ind w:firstLine="720"/>
      </w:pPr>
      <w:r>
        <w:t xml:space="preserve">The first interpretation is substantive: the topic may not yet have matured in the way the governance literature assumes. Precision is the whole game. Much of what looks like a consolidating regime in qualitative accounts may still be diffuse in the documentary record, present as scattered concern rather than as a structured, self-citing field</w:t>
      </w:r>
      <w:r>
        <w:t xml:space="preserve"> </w:t>
      </w:r>
      <w:hyperlink w:anchor="ref-10">
        <w:r>
          <w:rPr>
            <w:rStyle w:val="Hyperlink"/>
          </w:rPr>
          <w:t xml:space="preserve">[10]</w:t>
        </w:r>
      </w:hyperlink>
      <w:r>
        <w:t xml:space="preserve">. If that is true, the nulls are telling us something real about the topic’s stage of development, and analysts who assert that attention is surging should temper the claim.</w:t>
      </w:r>
    </w:p>
    <w:p>
      <w:pPr>
        <w:pStyle w:val="BodyText"/>
        <w:spacing w:line="480" w:lineRule="auto"/>
        <w:ind w:firstLine="720"/>
      </w:pPr>
      <w:r>
        <w:t xml:space="preserve">The second interpretation is instrumental: the maturation may be real but invisible to this particular screen.</w:t>
      </w:r>
    </w:p>
    <w:p>
      <w:pPr>
        <w:pStyle w:val="BodyText"/>
        <w:spacing w:line="480" w:lineRule="auto"/>
        <w:ind w:firstLine="720"/>
      </w:pPr>
      <w:r>
        <w:t xml:space="preserve">A thirty-row dataset, a signal score keyed to vocabulary, and an attention channel dominated by uncited conference papers together form an instrument with limited resolving power. The corpus decides, not the analyst. An instrument that cannot see a thing is not evidence the thing is absent. The honest position is that the two interpretations are not separable with the present data, and Chapter 8 treats that inseparability as the motivation for a richer successor design</w:t>
      </w:r>
      <w:r>
        <w:t xml:space="preserve"> </w:t>
      </w:r>
      <w:hyperlink w:anchor="ref-12">
        <w:r>
          <w:rPr>
            <w:rStyle w:val="Hyperlink"/>
          </w:rPr>
          <w:t xml:space="preserve">[12]</w:t>
        </w:r>
      </w:hyperlink>
      <w:r>
        <w:t xml:space="preserve"> </w:t>
      </w:r>
      <w:hyperlink w:anchor="ref-14">
        <w:r>
          <w:rPr>
            <w:rStyle w:val="Hyperlink"/>
          </w:rPr>
          <w:t xml:space="preserve">[14]</w:t>
        </w:r>
      </w:hyperlink>
      <w:r>
        <w:t xml:space="preserve">.</w:t>
      </w:r>
    </w:p>
    <w:bookmarkEnd w:id="125"/>
    <w:bookmarkStart w:id="126" w:name="threats-to-validity"/>
    <w:p>
      <w:pPr>
        <w:pStyle w:val="Heading2"/>
        <w:spacing w:line="480" w:lineRule="auto"/>
      </w:pPr>
      <w:r>
        <w:t xml:space="preserve">7.2 Threats to validity</w:t>
      </w:r>
    </w:p>
    <w:p>
      <w:pPr>
        <w:pStyle w:val="FirstParagraph"/>
        <w:spacing w:line="480" w:lineRule="auto"/>
      </w:pPr>
      <w:r>
        <w:t xml:space="preserve">Four threats deserve direct treatment, because each could in principle produce null results regardless of the underlying truth. Source selection is the first and largest. The corpus is the enumerated retrieval for the candidate topic, and any retrieval encodes choices about which venues and vocabularies to search. That is the discipline at work. If the search missed the venues where transgovernmental governance is actually consolidating, the estimators would find no structure not because there is none but because the structured documents were never retrieved</w:t>
      </w:r>
      <w:r>
        <w:t xml:space="preserve"> </w:t>
      </w:r>
      <w:hyperlink w:anchor="ref-5">
        <w:r>
          <w:rPr>
            <w:rStyle w:val="Hyperlink"/>
          </w:rPr>
          <w:t xml:space="preserve">[5]</w:t>
        </w:r>
      </w:hyperlink>
      <w:r>
        <w:t xml:space="preserve">. The three-family composition, weighted toward one conference series and one journal, makes this threat concrete rather than hypothetical. A different retrieval could yield a different corpus and a different result, and the design cannot rule that out. Proxy measurement is the second. Recency, citation count, and venue family are stand-ins for maturation, attention, and hardening, and each stands in imperfectly. The claim earns its narrowness. The signal score is the sharpest instance: it counts theme-vocabulary hits, so a document that engages the topic through different words scores low despite substantive relevance</w:t>
      </w:r>
      <w:r>
        <w:t xml:space="preserve"> </w:t>
      </w:r>
      <w:hyperlink w:anchor="ref-6">
        <w:r>
          <w:rPr>
            <w:rStyle w:val="Hyperlink"/>
          </w:rPr>
          <w:t xml:space="preserve">[6]</w:t>
        </w:r>
      </w:hyperlink>
      <w:r>
        <w:t xml:space="preserve">. Chapter 5 showed this happening in the actual scores, where topically central conference papers scored at the floor. A proxy that systematically mismeasures the outcome will attenuate every coefficient toward zero, which is precisely the pattern the results display.</w:t>
      </w:r>
    </w:p>
    <w:p>
      <w:pPr>
        <w:pStyle w:val="BodyText"/>
        <w:spacing w:line="480" w:lineRule="auto"/>
        <w:ind w:firstLine="720"/>
      </w:pPr>
      <w:r>
        <w:t xml:space="preserve">Omitted variables are the third. A metadata regression cannot include the technical, institutional, and market drivers that actually move a governance topic</w:t>
      </w:r>
      <w:r>
        <w:t xml:space="preserve"> </w:t>
      </w:r>
      <w:hyperlink w:anchor="ref-11">
        <w:r>
          <w:rPr>
            <w:rStyle w:val="Hyperlink"/>
          </w:rPr>
          <w:t xml:space="preserve">[11]</w:t>
        </w:r>
      </w:hyperlink>
      <w:r>
        <w:t xml:space="preserve">. Whatever structure those drivers impose on the literature is invisible to a model built from year, citation, and venue, and their absence means each estimated coefficient is a partial and possibly misleading slice of a much larger data-generating process. The negative venue coefficient in Paper 1 is a likely casualty of this: it may be absorbing policy-document composition effects that a fuller model would separate out</w:t>
      </w:r>
      <w:r>
        <w:t xml:space="preserve"> </w:t>
      </w:r>
      <w:hyperlink w:anchor="ref-9">
        <w:r>
          <w:rPr>
            <w:rStyle w:val="Hyperlink"/>
          </w:rPr>
          <w:t xml:space="preserve">[9]</w:t>
        </w:r>
      </w:hyperlink>
      <w:r>
        <w:t xml:space="preserve">.</w:t>
      </w:r>
    </w:p>
    <w:p>
      <w:pPr>
        <w:pStyle w:val="BodyText"/>
        <w:spacing w:line="480" w:lineRule="auto"/>
        <w:ind w:firstLine="720"/>
      </w:pPr>
      <w:r>
        <w:t xml:space="preserve">The small sample is the fourth, and it interacts with all the others.</w:t>
      </w:r>
    </w:p>
    <w:p>
      <w:pPr>
        <w:pStyle w:val="BodyText"/>
        <w:spacing w:line="480" w:lineRule="auto"/>
        <w:ind w:firstLine="720"/>
      </w:pPr>
      <w:r>
        <w:t xml:space="preserve">Thirty observations produce wide confidence intervals as a matter of arithmetic, and wide intervals make it hard to distinguish a genuinely small effect from a genuinely absent one. No step is taken on faith. The negative adjusted R2 in Paper 1 and the near-zero R2 in Paper 2 are partly expressions of this: with so few rows and predictors that carry little independent variation, the models were always going to struggle to demonstrate structure even if some existed</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bookmarkEnd w:id="126"/>
    <w:bookmarkStart w:id="127" w:name="what-the-data-cannot-show"/>
    <w:p>
      <w:pPr>
        <w:pStyle w:val="Heading2"/>
        <w:spacing w:line="480" w:lineRule="auto"/>
      </w:pPr>
      <w:r>
        <w:t xml:space="preserve">7.3 What the data cannot show</w:t>
      </w:r>
    </w:p>
    <w:p>
      <w:pPr>
        <w:pStyle w:val="FirstParagraph"/>
        <w:spacing w:line="480" w:lineRule="auto"/>
      </w:pPr>
      <w:r>
        <w:t xml:space="preserve">It is worth stating, in one place, the claims this study is not entitled to make. It cannot show that transgovernmental ties do or do not drive governance convergence; no metadata screen addresses causation. The evidence sets the ceiling. It cannot show that the topic is unimportant; importance and documentary structure are different things, and the sustainability literature warns explicitly against reducing the former to the latter</w:t>
      </w:r>
      <w:r>
        <w:t xml:space="preserve"> </w:t>
      </w:r>
      <w:hyperlink w:anchor="ref-14">
        <w:r>
          <w:rPr>
            <w:rStyle w:val="Hyperlink"/>
          </w:rPr>
          <w:t xml:space="preserve">[14]</w:t>
        </w:r>
      </w:hyperlink>
      <w:r>
        <w:t xml:space="preserve">. It cannot show that the field is not maturing; it can show only that maturation is not legible in these fingerprints in this corpus. It cannot generalize beyond the retrieval; the population it describes is the thirty retrieved records, not the sector. These are real boundaries, and naming them is not a retreat. A study that overclaimed past them would be less useful, not more, because a reader would have to discount everything it said. Here the boundary is exact. A study that states its boundaries precisely lets the reader trust the modest thing it does establish</w:t>
      </w:r>
      <w:r>
        <w:t xml:space="preserve"> </w:t>
      </w:r>
      <w:hyperlink w:anchor="ref-1">
        <w:r>
          <w:rPr>
            <w:rStyle w:val="Hyperlink"/>
          </w:rPr>
          <w:t xml:space="preserve">[1]</w:t>
        </w:r>
      </w:hyperlink>
      <w:r>
        <w:t xml:space="preserve"> </w:t>
      </w:r>
      <w:hyperlink w:anchor="ref-3">
        <w:r>
          <w:rPr>
            <w:rStyle w:val="Hyperlink"/>
          </w:rPr>
          <w:t xml:space="preserve">[3]</w:t>
        </w:r>
      </w:hyperlink>
      <w:r>
        <w:t xml:space="preserve">.</w:t>
      </w:r>
    </w:p>
    <w:bookmarkEnd w:id="127"/>
    <w:bookmarkStart w:id="128" w:name="what-was-learned"/>
    <w:p>
      <w:pPr>
        <w:pStyle w:val="Heading2"/>
        <w:spacing w:line="480" w:lineRule="auto"/>
      </w:pPr>
      <w:r>
        <w:t xml:space="preserve">7.4 What was learned</w:t>
      </w:r>
    </w:p>
    <w:p>
      <w:pPr>
        <w:pStyle w:val="FirstParagraph"/>
        <w:spacing w:line="480" w:lineRule="auto"/>
      </w:pPr>
      <w:r>
        <w:t xml:space="preserve">Against those boundaries, three genuine lessons remain.</w:t>
      </w:r>
    </w:p>
    <w:p>
      <w:pPr>
        <w:pStyle w:val="BodyText"/>
        <w:spacing w:line="480" w:lineRule="auto"/>
        <w:ind w:firstLine="720"/>
      </w:pPr>
      <w:r>
        <w:t xml:space="preserve">The first is about the topic. The documentary footprint of transgovernmental governance, in the retrieved corpus, is diffuse rather than structured. That caution is deliberate. Whatever consolidation the qualitative literature perceives has not yet produced a metadata signature strong enough for a small cross-sectional or temporal model to detect</w:t>
      </w:r>
      <w:r>
        <w:t xml:space="preserve"> </w:t>
      </w:r>
      <w:hyperlink w:anchor="ref-10">
        <w:r>
          <w:rPr>
            <w:rStyle w:val="Hyperlink"/>
          </w:rPr>
          <w:t xml:space="preserve">[10]</w:t>
        </w:r>
      </w:hyperlink>
      <w:r>
        <w:t xml:space="preserve">. That is a finding about the topic’s current documentary stage, and it counsels caution against premature declarations that attention is measurably surging. The second is about method. The design demonstrates that a governance claim can be converted into a pre-registered document-level test that is capable of returning a null, and that such a test can be reported honestly without narrative rescue. The value of a method is partly in the results it is willing to report, and a method that can say the signal is not here is more trustworthy than one that always finds what it seeks</w:t>
      </w:r>
      <w:r>
        <w:t xml:space="preserve"> </w:t>
      </w:r>
      <w:hyperlink w:anchor="ref-2">
        <w:r>
          <w:rPr>
            <w:rStyle w:val="Hyperlink"/>
          </w:rPr>
          <w:t xml:space="preserve">[2]</w:t>
        </w:r>
      </w:hyperlink>
      <w:r>
        <w:t xml:space="preserve">. The third is about instrument design. The results diagnose exactly where the present screen is weak, and that diagnosis is actionable. The instrument sees only so far. A vocabulary-keyed signal score attenuates real engagement; an attention channel starved by uncited conference records cannot register variation; thirty rows cannot carry a multivariate test with power. Each weakness points to a specific fix, and Chapter 8 assembles those fixes into the shape of a stronger study</w:t>
      </w:r>
      <w:r>
        <w:t xml:space="preserve"> </w:t>
      </w:r>
      <w:hyperlink w:anchor="ref-6">
        <w:r>
          <w:rPr>
            <w:rStyle w:val="Hyperlink"/>
          </w:rPr>
          <w:t xml:space="preserve">[6]</w:t>
        </w:r>
      </w:hyperlink>
      <w:r>
        <w:t xml:space="preserve"> </w:t>
      </w:r>
      <w:hyperlink w:anchor="ref-12">
        <w:r>
          <w:rPr>
            <w:rStyle w:val="Hyperlink"/>
          </w:rPr>
          <w:t xml:space="preserve">[12]</w:t>
        </w:r>
      </w:hyperlink>
      <w:r>
        <w:t xml:space="preserve">.</w:t>
      </w:r>
    </w:p>
    <w:p>
      <w:pPr>
        <w:pStyle w:val="BodyText"/>
        <w:spacing w:line="480" w:lineRule="auto"/>
        <w:ind w:firstLine="720"/>
      </w:pPr>
      <w:r>
        <w:t xml:space="preserve">The discussion closes where the design intended. The nulls are not a disappointment to be minimized; they are the evidentiary output of a test built to be able to fail, and they mark, with unusual precision, the boundary between what this corpus can support and what a future one would need to establish.</w:t>
      </w:r>
    </w:p>
    <w:bookmarkEnd w:id="128"/>
    <w:bookmarkStart w:id="129" w:name="the-publication-bias-mirror-image"/>
    <w:p>
      <w:pPr>
        <w:pStyle w:val="Heading2"/>
        <w:spacing w:line="480" w:lineRule="auto"/>
      </w:pPr>
      <w:r>
        <w:t xml:space="preserve">7.5 The publication-bias mirror image</w:t>
      </w:r>
    </w:p>
    <w:p>
      <w:pPr>
        <w:pStyle w:val="FirstParagraph"/>
        <w:spacing w:line="480" w:lineRule="auto"/>
      </w:pPr>
      <w:r>
        <w:t xml:space="preserve">There is a way in which reporting these nulls swims against the current of the wider literature, and it is worth naming because it bears on how the results should be received. Published research skews toward positive findings; studies that fail to reject a null are less likely to be written up and less likely to be accepted, which means the visible literature systematically overrepresents the effects that happened to reach significance</w:t>
      </w:r>
      <w:r>
        <w:t xml:space="preserve"> </w:t>
      </w:r>
      <w:hyperlink w:anchor="ref-2">
        <w:r>
          <w:rPr>
            <w:rStyle w:val="Hyperlink"/>
          </w:rPr>
          <w:t xml:space="preserve">[2]</w:t>
        </w:r>
      </w:hyperlink>
      <w:r>
        <w:t xml:space="preserve">. This is a small, firm result. A field shaped by this filter can develop an inflated sense of how robustly its central claims are supported, because the failures to confirm never make it into view. A governance literature that repeatedly asserts a topic is gaining momentum may partly reflect this filter: the analyses that found momentum got written, and the analyses that did not may never have been attempted or reported. This dissertation is a small mirror image of that dynamic. It reports a failure to confirm precisely so that the failure enters the record, and it does so on a topic where the prevailing narrative expects confirmation</w:t>
      </w:r>
      <w:r>
        <w:t xml:space="preserve"> </w:t>
      </w:r>
      <w:hyperlink w:anchor="ref-10">
        <w:r>
          <w:rPr>
            <w:rStyle w:val="Hyperlink"/>
          </w:rPr>
          <w:t xml:space="preserve">[10]</w:t>
        </w:r>
      </w:hyperlink>
      <w:r>
        <w:t xml:space="preserve">. The numbers do the arguing. The value of such a report is not that it overturns the narrative, because two nulls on thirty rows cannot overturn anything. Its value is that it adds a checkable negative to a literature that has too few of them, giving future meta-analysts one honest data point about what a plausible metadata screen of this topic actually returns</w:t>
      </w:r>
      <w:r>
        <w:t xml:space="preserve"> </w:t>
      </w:r>
      <w:hyperlink w:anchor="ref-5">
        <w:r>
          <w:rPr>
            <w:rStyle w:val="Hyperlink"/>
          </w:rPr>
          <w:t xml:space="preserve">[5]</w:t>
        </w:r>
      </w:hyperlink>
      <w:r>
        <w:t xml:space="preserve">. A single honest null does not settle a question, but a literature that contained more of them would be better calibrated, and contributing one is a modest way of pushing in that direction.</w:t>
      </w:r>
    </w:p>
    <w:bookmarkEnd w:id="129"/>
    <w:bookmarkStart w:id="130" w:name="X7b0d537fa343ee9fe3d254ec85ed93cfab7f20b"/>
    <w:p>
      <w:pPr>
        <w:pStyle w:val="Heading2"/>
        <w:spacing w:line="480" w:lineRule="auto"/>
      </w:pPr>
      <w:r>
        <w:t xml:space="preserve">7.6 How much of the null is the topic and how much is the instrument</w:t>
      </w:r>
    </w:p>
    <w:p>
      <w:pPr>
        <w:pStyle w:val="FirstParagraph"/>
        <w:spacing w:line="480" w:lineRule="auto"/>
      </w:pPr>
      <w:r>
        <w:t xml:space="preserve">The central interpretive difficulty, that a null could reflect a diffuse topic or a coarse instrument, deserves a more disciplined treatment than simply noting that both are possible. The two explanations are not equally supported by the internal evidence, and reading that internal evidence carefully lets the balance be shifted, if only a little. That is the honest terms of it. Three features of the data point toward the instrument as a substantial contributor to the null. The topic-signal score is compressed into a one-to-six range, which limits how much variation any predictor could ever explain</w:t>
      </w:r>
      <w:r>
        <w:t xml:space="preserve"> </w:t>
      </w:r>
      <w:hyperlink w:anchor="ref-12">
        <w:r>
          <w:rPr>
            <w:rStyle w:val="Hyperlink"/>
          </w:rPr>
          <w:t xml:space="preserve">[12]</w:t>
        </w:r>
      </w:hyperlink>
      <w:r>
        <w:t xml:space="preserve">. The citation predictor is zero for two-thirds of the sample, which starves the attention channel of graded variation</w:t>
      </w:r>
      <w:r>
        <w:t xml:space="preserve"> </w:t>
      </w:r>
      <w:hyperlink w:anchor="ref-4">
        <w:r>
          <w:rPr>
            <w:rStyle w:val="Hyperlink"/>
          </w:rPr>
          <w:t xml:space="preserve">[4]</w:t>
        </w:r>
      </w:hyperlink>
      <w:r>
        <w:t xml:space="preserve">. And the sample is thirty rows, which guarantees wide intervals regardless of the underlying truth</w:t>
      </w:r>
      <w:r>
        <w:t xml:space="preserve"> </w:t>
      </w:r>
      <w:hyperlink w:anchor="ref-5">
        <w:r>
          <w:rPr>
            <w:rStyle w:val="Hyperlink"/>
          </w:rPr>
          <w:t xml:space="preserve">[5]</w:t>
        </w:r>
      </w:hyperlink>
      <w:r>
        <w:t xml:space="preserve">. Each of these is a property of the instrument and the corpus, not of the topic, and each would tend to produce a null even if the topic were maturing briskly. That does not prove the topic is maturing; it establishes only that the instrument is weak enough that a real signal could plausibly hide inside these nulls. Modesty is the design choice. The honest conclusion is asymmetric. The results are strong evidence that this instrument cannot detect the maturation fingerprints in this corpus, and only weak evidence about whether the fingerprints exist in the field</w:t>
      </w:r>
      <w:r>
        <w:t xml:space="preserve"> </w:t>
      </w:r>
      <w:hyperlink w:anchor="ref-6">
        <w:r>
          <w:rPr>
            <w:rStyle w:val="Hyperlink"/>
          </w:rPr>
          <w:t xml:space="preserve">[6]</w:t>
        </w:r>
      </w:hyperlink>
      <w:r>
        <w:t xml:space="preserve">. A reader should update substantially toward the instrument being inadequate and only slightly toward the topic being genuinely diffuse. That asymmetry is exactly why Chapter 8 concentrates its recommendations on rebuilding the instrument rather than on abandoning the question.</w:t>
      </w:r>
    </w:p>
    <w:bookmarkEnd w:id="130"/>
    <w:bookmarkStart w:id="131" w:name="X4052f1488bf38db3ab490a2ff26c10f9eb305fb"/>
    <w:p>
      <w:pPr>
        <w:pStyle w:val="Heading2"/>
        <w:spacing w:line="480" w:lineRule="auto"/>
      </w:pPr>
      <w:r>
        <w:t xml:space="preserve">7.7 What a defender of the alternative hypothesis could still say</w:t>
      </w:r>
    </w:p>
    <w:p>
      <w:pPr>
        <w:pStyle w:val="FirstParagraph"/>
        <w:spacing w:line="480" w:lineRule="auto"/>
      </w:pPr>
      <w:r>
        <w:t xml:space="preserve">Fairness to the alternative hypothesis requires stating the strongest case that could still be made for it despite the nulls, because a discussion that only marshals reasons for the null is as unbalanced as one that ignores it. A committed defender of the maturation thesis could point out that every estimated coefficient except one carries the theoretically predicted sign, and that a run of mostly correct signs, even if individually insignificant, is weak collective evidence that the mechanism is pushing in the expected direction</w:t>
      </w:r>
      <w:r>
        <w:t xml:space="preserve"> </w:t>
      </w:r>
      <w:hyperlink w:anchor="ref-11">
        <w:r>
          <w:rPr>
            <w:rStyle w:val="Hyperlink"/>
          </w:rPr>
          <w:t xml:space="preserve">[11]</w:t>
        </w:r>
      </w:hyperlink>
      <w:r>
        <w:t xml:space="preserve">. The trail runs unbroken. They could add that the instrument’s known attenuation biases all coefficients toward zero, so the true effects may be larger than the estimates and merely hidden by measurement error</w:t>
      </w:r>
      <w:r>
        <w:t xml:space="preserve"> </w:t>
      </w:r>
      <w:hyperlink w:anchor="ref-12">
        <w:r>
          <w:rPr>
            <w:rStyle w:val="Hyperlink"/>
          </w:rPr>
          <w:t xml:space="preserve">[12]</w:t>
        </w:r>
      </w:hyperlink>
      <w:r>
        <w:t xml:space="preserve">. And they could note that the corpus, by construction, undersamples the informal regulator-to-regulator coordination where much transgovernmental governance actually lives, so the documentary record was never going to see the most important part of the phenomenon</w:t>
      </w:r>
      <w:r>
        <w:t xml:space="preserve"> </w:t>
      </w:r>
      <w:hyperlink w:anchor="ref-15">
        <w:r>
          <w:rPr>
            <w:rStyle w:val="Hyperlink"/>
          </w:rPr>
          <w:t xml:space="preserve">[15]</w:t>
        </w:r>
      </w:hyperlink>
      <w:r>
        <w:t xml:space="preserve">.</w:t>
      </w:r>
    </w:p>
    <w:p>
      <w:pPr>
        <w:pStyle w:val="BodyText"/>
        <w:spacing w:line="480" w:lineRule="auto"/>
        <w:ind w:firstLine="720"/>
      </w:pPr>
      <w:r>
        <w:t xml:space="preserve">These are legitimate points, and the design does not dismiss them. What the design insists on is that they are arguments for gathering better evidence, not arguments for treating the hypothesis as supported by the present evidence. The point is narrow. A run of correct signs at conventional insignificance is a reason to look again with a stronger instrument, not a reason to declare victory</w:t>
      </w:r>
      <w:r>
        <w:t xml:space="preserve"> </w:t>
      </w:r>
      <w:hyperlink w:anchor="ref-2">
        <w:r>
          <w:rPr>
            <w:rStyle w:val="Hyperlink"/>
          </w:rPr>
          <w:t xml:space="preserve">[2]</w:t>
        </w:r>
      </w:hyperlink>
      <w:r>
        <w:t xml:space="preserve">. The defender and the skeptic, in the end, agree on the operational conclusion even as they disagree on the underlying truth: the next move is a better-powered study, and the present nulls tell that study exactly what it must overcome. The discussion closes, then, not on a verdict about the topic but on a precise map of the boundary between what this corpus establishes and what a successor must be built to establish.</w:t>
      </w:r>
    </w:p>
    <w:bookmarkEnd w:id="131"/>
    <w:bookmarkStart w:id="132" w:name="the-generalizability-question-in-full"/>
    <w:p>
      <w:pPr>
        <w:pStyle w:val="Heading2"/>
        <w:spacing w:line="480" w:lineRule="auto"/>
      </w:pPr>
      <w:r>
        <w:t xml:space="preserve">7.8 The generalizability question in full</w:t>
      </w:r>
    </w:p>
    <w:p>
      <w:pPr>
        <w:pStyle w:val="FirstParagraph"/>
        <w:spacing w:line="480" w:lineRule="auto"/>
      </w:pPr>
      <w:r>
        <w:t xml:space="preserve">Generalizability deserves its own treatment because it is the axis on which readers most often overreach. The population this study describes is exactly thirty retrieved records, and every inferential statement is properly scoped to that population</w:t>
      </w:r>
      <w:r>
        <w:t xml:space="preserve"> </w:t>
      </w:r>
      <w:hyperlink w:anchor="ref-5">
        <w:r>
          <w:rPr>
            <w:rStyle w:val="Hyperlink"/>
          </w:rPr>
          <w:t xml:space="preserve">[5]</w:t>
        </w:r>
      </w:hyperlink>
      <w:r>
        <w:t xml:space="preserve">. That distinction does real work. The temptation is to read the nulls as saying something about space-governance scholarship writ large, and that reading is not licensed. A different retrieval, spanning additional conference series, more journals, and a wider policy set, would constitute a different population and could return a different result. The estimators describe the corpus they were given; they do not describe the field from which that corpus was drawn. This scoping is not a mere formality. The corpus’s composition, weighted toward one conference proceedings series and one journal, means that whatever the results reflect, they reflect in part the coverage and citation cultures of those specific venues</w:t>
      </w:r>
      <w:r>
        <w:t xml:space="preserve"> </w:t>
      </w:r>
      <w:hyperlink w:anchor="ref-10">
        <w:r>
          <w:rPr>
            <w:rStyle w:val="Hyperlink"/>
          </w:rPr>
          <w:t xml:space="preserve">[10]</w:t>
        </w:r>
      </w:hyperlink>
      <w:r>
        <w:t xml:space="preserve">. Nothing here is hidden. Acta Astronautica’s citation practices, its editorial priorities, and its topical coverage all shape the attention and signal patterns the models see, and none of those properties generalizes automatically to the broader literature</w:t>
      </w:r>
      <w:r>
        <w:t xml:space="preserve"> </w:t>
      </w:r>
      <w:hyperlink w:anchor="ref-14">
        <w:r>
          <w:rPr>
            <w:rStyle w:val="Hyperlink"/>
          </w:rPr>
          <w:t xml:space="preserve">[14]</w:t>
        </w:r>
      </w:hyperlink>
      <w:r>
        <w:t xml:space="preserve">. A responsible reader treats the findings as a characterization of this retrieval rather than as a census of the field, and treats any move from the one to the other as a hypothesis requiring its own evidence.</w:t>
      </w:r>
    </w:p>
    <w:p>
      <w:pPr>
        <w:pStyle w:val="BodyText"/>
        <w:spacing w:line="480" w:lineRule="auto"/>
        <w:ind w:firstLine="720"/>
      </w:pPr>
      <w:r>
        <w:t xml:space="preserve">There is a constructive side to the tight scoping. Because the population is so precisely defined, the successor study knows exactly how to enlarge it: not by reinterpreting these thirty records but by drawing a broader retrieval whose population is closer to the field of interest</w:t>
      </w:r>
      <w:r>
        <w:t xml:space="preserve"> </w:t>
      </w:r>
      <w:hyperlink w:anchor="ref-4">
        <w:r>
          <w:rPr>
            <w:rStyle w:val="Hyperlink"/>
          </w:rPr>
          <w:t xml:space="preserve">[4]</w:t>
        </w:r>
      </w:hyperlink>
      <w:r>
        <w:t xml:space="preserve">. The generalizability limitation, stated precisely, becomes a sampling instruction. The present study establishes what a narrow, well-documented retrieval shows, and the successor establishes whether that finding holds as the retrieval widens toward the field. Neither study overreaches, and together they trace the path from a small verified claim toward a broader one, which is how cumulative knowledge is supposed to be built</w:t>
      </w:r>
      <w:r>
        <w:t xml:space="preserve"> </w:t>
      </w:r>
      <w:hyperlink w:anchor="ref-2">
        <w:r>
          <w:rPr>
            <w:rStyle w:val="Hyperlink"/>
          </w:rPr>
          <w:t xml:space="preserve">[2]</w:t>
        </w:r>
      </w:hyperlink>
      <w:r>
        <w:t xml:space="preserve">.</w:t>
      </w:r>
    </w:p>
    <w:bookmarkEnd w:id="132"/>
    <w:bookmarkStart w:id="133" w:name="Xc6df7f9e885e856a5435b754aaf94c8097b426c"/>
    <w:p>
      <w:pPr>
        <w:pStyle w:val="Heading2"/>
        <w:spacing w:line="480" w:lineRule="auto"/>
      </w:pPr>
      <w:r>
        <w:t xml:space="preserve">7.9 What the null does not license anyone to do</w:t>
      </w:r>
    </w:p>
    <w:p>
      <w:pPr>
        <w:pStyle w:val="FirstParagraph"/>
        <w:spacing w:line="480" w:lineRule="auto"/>
      </w:pPr>
      <w:r>
        <w:t xml:space="preserve">A final caution addresses misuse rather than interpretation. A null result on a governance topic is occasionally seized upon to argue that the topic is unimportant and deserves no resources, and this dissertation must foreclose that misreading explicitly. Nothing in these findings speaks to the topic’s importance</w:t>
      </w:r>
      <w:r>
        <w:t xml:space="preserve"> </w:t>
      </w:r>
      <w:hyperlink w:anchor="ref-14">
        <w:r>
          <w:rPr>
            <w:rStyle w:val="Hyperlink"/>
          </w:rPr>
          <w:t xml:space="preserve">[14]</w:t>
        </w:r>
      </w:hyperlink>
      <w:r>
        <w:t xml:space="preserve">. The study measured documentary structure, not substantive stakes, and a topic can be diffuse in the literature while being urgent in practice. A program office that read these nulls as a reason to deprioritize transgovernmental governance would be committing exactly the error the design was built to prevent, mistaking a statement about measurement for a statement about the world</w:t>
      </w:r>
      <w:r>
        <w:t xml:space="preserve"> </w:t>
      </w:r>
      <w:hyperlink w:anchor="ref-6">
        <w:r>
          <w:rPr>
            <w:rStyle w:val="Hyperlink"/>
          </w:rPr>
          <w:t xml:space="preserve">[6]</w:t>
        </w:r>
      </w:hyperlink>
      <w:r>
        <w:t xml:space="preserve">. The correct use of the nulls is narrow and specific. They license a reader to withhold assent from the claim that this topic’s momentum is measurably established in the corpus, and they license a call for better evidence before that claim is treated as settled</w:t>
      </w:r>
      <w:r>
        <w:t xml:space="preserve"> </w:t>
      </w:r>
      <w:hyperlink w:anchor="ref-2">
        <w:r>
          <w:rPr>
            <w:rStyle w:val="Hyperlink"/>
          </w:rPr>
          <w:t xml:space="preserve">[2]</w:t>
        </w:r>
      </w:hyperlink>
      <w:r>
        <w:t xml:space="preserve">. The arithmetic is checkable. They do not license a verdict on the topic’s merit, a reallocation of resources, or a conclusion that transgovernmental ties are weak in fact rather than merely faint in the documentary record</w:t>
      </w:r>
      <w:r>
        <w:t xml:space="preserve"> </w:t>
      </w:r>
      <w:hyperlink w:anchor="ref-15">
        <w:r>
          <w:rPr>
            <w:rStyle w:val="Hyperlink"/>
          </w:rPr>
          <w:t xml:space="preserve">[15]</w:t>
        </w:r>
      </w:hyperlink>
      <w:r>
        <w:t xml:space="preserve">. Bounding the permissible uses of a result this tightly is part of reporting it honestly, and it is where the discussion properly ends: with a precise map of the boundary between what this corpus establishes and what a successor, and only a successor, could establish.</w:t>
      </w:r>
    </w:p>
    <w:bookmarkEnd w:id="133"/>
    <w:bookmarkEnd w:id="134"/>
    <w:bookmarkStart w:id="172" w:name="chapter-8-conclusions-and-implications"/>
    <w:p>
      <w:pPr>
        <w:pStyle w:val="Heading1"/>
        <w:spacing w:line="480" w:lineRule="auto"/>
      </w:pPr>
      <w:r>
        <w:t xml:space="preserve">Chapter 8: Conclusions and Implications</w:t>
      </w:r>
    </w:p>
    <w:p>
      <w:pPr>
        <w:pStyle w:val="FirstParagraph"/>
        <w:spacing w:line="480" w:lineRule="auto"/>
      </w:pPr>
      <w:r>
        <w:t xml:space="preserve">This dissertation set out to do one narrow thing well: to turn a broad claim about networked, transgovernmental governance into a falsifiable document-level test, run that test on a fully disclosed corpus, and report the result whatever it turned out to be. The result turned out to be a pair of nulls. This matters more than it seems. That outcome is not a failure of the design; it is the design working as intended, and this closing chapter states what the project contributes, why the nulls matter for governance and program practice, and what a stronger successor study would build next.</w:t>
      </w:r>
    </w:p>
    <w:bookmarkStart w:id="135" w:name="the-contribution-restated"/>
    <w:p>
      <w:pPr>
        <w:pStyle w:val="Heading2"/>
        <w:spacing w:line="480" w:lineRule="auto"/>
      </w:pPr>
      <w:r>
        <w:t xml:space="preserve">8.1 The contribution restated</w:t>
      </w:r>
    </w:p>
    <w:p>
      <w:pPr>
        <w:pStyle w:val="FirstParagraph"/>
        <w:spacing w:line="480" w:lineRule="auto"/>
      </w:pPr>
      <w:r>
        <w:t xml:space="preserve">The contribution is methodological before it is substantive. Much writing on space governance asserts that a topic is gaining momentum, that a regime is coalescing, that ties are tightening, and then reasons forward from the assertion. The reading stays bounded. This project fixed a measurement in advance, applied it to thirty enumerated records, and let two ordinary estimators decide whether the anticipated momentum was legible. Both said it was not, at conventional precision, and the study reported that plainly rather than searching for a specification that would flatter the hypothesis</w:t>
      </w:r>
      <w:r>
        <w:t xml:space="preserve"> </w:t>
      </w:r>
      <w:hyperlink w:anchor="ref-2">
        <w:r>
          <w:rPr>
            <w:rStyle w:val="Hyperlink"/>
          </w:rPr>
          <w:t xml:space="preserve">[2]</w:t>
        </w:r>
      </w:hyperlink>
      <w:r>
        <w:t xml:space="preserve"> </w:t>
      </w:r>
      <w:hyperlink w:anchor="ref-5">
        <w:r>
          <w:rPr>
            <w:rStyle w:val="Hyperlink"/>
          </w:rPr>
          <w:t xml:space="preserve">[5]</w:t>
        </w:r>
      </w:hyperlink>
      <w:r>
        <w:t xml:space="preserve">.</w:t>
      </w:r>
    </w:p>
    <w:p>
      <w:pPr>
        <w:pStyle w:val="BodyText"/>
        <w:spacing w:line="480" w:lineRule="auto"/>
        <w:ind w:firstLine="720"/>
      </w:pPr>
      <w:r>
        <w:t xml:space="preserve">That posture, treating a null as a result, is the durable thing on offer here.</w:t>
      </w:r>
    </w:p>
    <w:p>
      <w:pPr>
        <w:pStyle w:val="BodyText"/>
        <w:spacing w:line="480" w:lineRule="auto"/>
        <w:ind w:firstLine="720"/>
      </w:pPr>
      <w:r>
        <w:t xml:space="preserve">It is easy to build a design that can only confirm. Precision is the whole game. It is harder, and more honest, to build one that can come back empty and say so. The value of the falsifiable test is that it disciplines the governance conversation: a claim that survives it is stronger, and a claim that fails it is prevented from hardening into unexamined consensus</w:t>
      </w:r>
      <w:r>
        <w:t xml:space="preserve"> </w:t>
      </w:r>
      <w:hyperlink w:anchor="ref-1">
        <w:r>
          <w:rPr>
            <w:rStyle w:val="Hyperlink"/>
          </w:rPr>
          <w:t xml:space="preserve">[1]</w:t>
        </w:r>
      </w:hyperlink>
      <w:r>
        <w:t xml:space="preserve">. In a field where qualitative accounts of an emerging debris regime and a consolidating cislunar order are influential</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a quantitative screen that can register the absence of a documentary signature is a useful counterweight.</w:t>
      </w:r>
    </w:p>
    <w:bookmarkEnd w:id="135"/>
    <w:bookmarkStart w:id="136" w:name="what-the-specific-findings-establish"/>
    <w:p>
      <w:pPr>
        <w:pStyle w:val="Heading2"/>
        <w:spacing w:line="480" w:lineRule="auto"/>
      </w:pPr>
      <w:r>
        <w:t xml:space="preserve">8.2 What the specific findings establish</w:t>
      </w:r>
    </w:p>
    <w:p>
      <w:pPr>
        <w:pStyle w:val="FirstParagraph"/>
        <w:spacing w:line="480" w:lineRule="auto"/>
      </w:pPr>
      <w:r>
        <w:t xml:space="preserve">The substantive findings are modest and precise. Paper 1 established that in the retrieved corpus the topic-signal score does not vary reliably with recency, citation attention, or venue family, with an omnibus F-test that cannot reject the joint null. The corpus decides, not the analyst. Paper 2 established that citation accumulation does not scale detectably with article age, with an elasticity indistinguishable from zero. Together they establish that the recency, attention, and venue fingerprints of governance maturation are not detectable in this corpus as measured</w:t>
      </w:r>
      <w:r>
        <w:t xml:space="preserve"> </w:t>
      </w:r>
      <w:hyperlink w:anchor="ref-4">
        <w:r>
          <w:rPr>
            <w:rStyle w:val="Hyperlink"/>
          </w:rPr>
          <w:t xml:space="preserve">[4]</w:t>
        </w:r>
      </w:hyperlink>
      <w:r>
        <w:t xml:space="preserve"> </w:t>
      </w:r>
      <w:hyperlink w:anchor="ref-8">
        <w:r>
          <w:rPr>
            <w:rStyle w:val="Hyperlink"/>
          </w:rPr>
          <w:t xml:space="preserve">[8]</w:t>
        </w:r>
      </w:hyperlink>
      <w:r>
        <w:t xml:space="preserve">. What that establishes for a reader is a calibrated skepticism. The next time an analysis asserts that attention to a transgovernmental governance topic is surging, this dissertation supplies a concrete counter-question: surging by what measure, in what corpus, at what precision? That is the discipline at work. The design shows that a plausible metadata screen can fail to find the surge, which means the surge, where claimed, needs its own evidence rather than the presumption of obviousness</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36"/>
    <w:bookmarkStart w:id="137" w:name="governance-and-program-relevance"/>
    <w:p>
      <w:pPr>
        <w:pStyle w:val="Heading2"/>
        <w:spacing w:line="480" w:lineRule="auto"/>
      </w:pPr>
      <w:r>
        <w:t xml:space="preserve">8.3 Governance and program relevance</w:t>
      </w:r>
    </w:p>
    <w:p>
      <w:pPr>
        <w:pStyle w:val="FirstParagraph"/>
        <w:spacing w:line="480" w:lineRule="auto"/>
      </w:pPr>
      <w:r>
        <w:t xml:space="preserve">The relevance to practice runs through the timing problem named in Chapter 1.</w:t>
      </w:r>
    </w:p>
    <w:p>
      <w:pPr>
        <w:pStyle w:val="BodyText"/>
        <w:spacing w:line="480" w:lineRule="auto"/>
        <w:ind w:firstLine="720"/>
      </w:pPr>
      <w:r>
        <w:t xml:space="preserve">Agencies and standards bodies must often act before formal rules exist, and they justify early attention by pointing to a topic’s rising salience. The claim earns its narrowness. This project offers a template for putting that justification on firmer footing: convert the salience claim into a document-level test, disclose the corpus, and report the estimator output including its imprecision. A program office that adopted this discipline would be able to distinguish topics whose documentary footprint is genuinely structured from topics whose importance is real but not yet legible in the literature</w:t>
      </w:r>
      <w:r>
        <w:t xml:space="preserve"> </w:t>
      </w:r>
      <w:hyperlink w:anchor="ref-11">
        <w:r>
          <w:rPr>
            <w:rStyle w:val="Hyperlink"/>
          </w:rPr>
          <w:t xml:space="preserve">[11]</w:t>
        </w:r>
      </w:hyperlink>
      <w:r>
        <w:t xml:space="preserve">. The nulls carry a specific practical warning as well. A diffuse documentary footprint is compatible with a topic that matters enormously but has not yet organized itself into a self-citing field. No step is taken on faith. Program decisions keyed to bibliometric momentum would, in such a case, systematically underweight exactly the emerging topics that most need early attention</w:t>
      </w:r>
      <w:r>
        <w:t xml:space="preserve"> </w:t>
      </w:r>
      <w:hyperlink w:anchor="ref-14">
        <w:r>
          <w:rPr>
            <w:rStyle w:val="Hyperlink"/>
          </w:rPr>
          <w:t xml:space="preserve">[14]</w:t>
        </w:r>
      </w:hyperlink>
      <w:r>
        <w:t xml:space="preserve">. The lesson for practice is to treat metadata salience as one input among several, never as a sufficient trigger, and to pair it with the direct document coding that this design deliberately left for a successor.</w:t>
      </w:r>
    </w:p>
    <w:bookmarkEnd w:id="137"/>
    <w:bookmarkStart w:id="138" w:name="the-successor-design"/>
    <w:p>
      <w:pPr>
        <w:pStyle w:val="Heading2"/>
        <w:spacing w:line="480" w:lineRule="auto"/>
      </w:pPr>
      <w:r>
        <w:t xml:space="preserve">8.4 The successor design</w:t>
      </w:r>
    </w:p>
    <w:p>
      <w:pPr>
        <w:pStyle w:val="FirstParagraph"/>
        <w:spacing w:line="480" w:lineRule="auto"/>
      </w:pPr>
      <w:r>
        <w:t xml:space="preserve">The results diagnose their own remedy, and a stronger study follows directly from the four threats in Chapter 7. Expand the corpus first. Thirty records cannot carry a multivariate test with power, and a retrieval that spans more venues and more vocabularies would both enlarge the sample and reduce the source-selection threat</w:t>
      </w:r>
      <w:r>
        <w:t xml:space="preserve"> </w:t>
      </w:r>
      <w:hyperlink w:anchor="ref-5">
        <w:r>
          <w:rPr>
            <w:rStyle w:val="Hyperlink"/>
          </w:rPr>
          <w:t xml:space="preserve">[5]</w:t>
        </w:r>
      </w:hyperlink>
      <w:r>
        <w:t xml:space="preserve">. A corpus in the hundreds, drawn from multiple conference series, several journals, and a broader policy set, would let the same estimators speak with far tighter intervals. Replace the vocabulary-keyed signal score second. The sharpest weakness in the present instrument is that it counts theme words rather than reading arguments, which attenuates every coefficient toward zero</w:t>
      </w:r>
      <w:r>
        <w:t xml:space="preserve"> </w:t>
      </w:r>
      <w:hyperlink w:anchor="ref-6">
        <w:r>
          <w:rPr>
            <w:rStyle w:val="Hyperlink"/>
          </w:rPr>
          <w:t xml:space="preserve">[6]</w:t>
        </w:r>
      </w:hyperlink>
      <w:r>
        <w:t xml:space="preserve">. A successor should code documents directly for substantive engagement with transgovernmental mechanisms, ideally with human coding validated for reliability, so that a topically central paper written in unexpected words is not scored at the floor</w:t>
      </w:r>
      <w:r>
        <w:t xml:space="preserve"> </w:t>
      </w:r>
      <w:hyperlink w:anchor="ref-12">
        <w:r>
          <w:rPr>
            <w:rStyle w:val="Hyperlink"/>
          </w:rPr>
          <w:t xml:space="preserve">[12]</w:t>
        </w:r>
      </w:hyperlink>
      <w:r>
        <w:t xml:space="preserve">. Enrich the attention and temporal channels third. An attention measure that is not starved by uncited conference records, perhaps drawing citations from a broader index, would give Paper 2’s learning curve something to fit</w:t>
      </w:r>
      <w:r>
        <w:t xml:space="preserve"> </w:t>
      </w:r>
      <w:hyperlink w:anchor="ref-4">
        <w:r>
          <w:rPr>
            <w:rStyle w:val="Hyperlink"/>
          </w:rPr>
          <w:t xml:space="preserve">[4]</w:t>
        </w:r>
      </w:hyperlink>
      <w:r>
        <w:t xml:space="preserve">. A genuine panel, tracking citation accumulation across successive observation dates rather than inferring it from a single snapshot, would separate real accumulation from the mechanical advantage of age that Chapter 4 flagged as an intrinsic confound</w:t>
      </w:r>
      <w:r>
        <w:t xml:space="preserve"> </w:t>
      </w:r>
      <w:hyperlink w:anchor="ref-8">
        <w:r>
          <w:rPr>
            <w:rStyle w:val="Hyperlink"/>
          </w:rPr>
          <w:t xml:space="preserve">[8]</w:t>
        </w:r>
      </w:hyperlink>
      <w:r>
        <w:t xml:space="preserve">.</w:t>
      </w:r>
    </w:p>
    <w:p>
      <w:pPr>
        <w:pStyle w:val="BodyText"/>
        <w:spacing w:line="480" w:lineRule="auto"/>
        <w:ind w:firstLine="720"/>
      </w:pPr>
      <w:r>
        <w:t xml:space="preserve">Add the omitted drivers last. Even a descriptive study benefits from including institutional and market covariates that plausibly shape the literature, so that the surviving coefficients are not silently absorbing structure the model failed to name</w:t>
      </w:r>
      <w:r>
        <w:t xml:space="preserve"> </w:t>
      </w:r>
      <w:hyperlink w:anchor="ref-9">
        <w:r>
          <w:rPr>
            <w:rStyle w:val="Hyperlink"/>
          </w:rPr>
          <w:t xml:space="preserve">[9]</w:t>
        </w:r>
      </w:hyperlink>
      <w:r>
        <w:t xml:space="preserve"> </w:t>
      </w:r>
      <w:hyperlink w:anchor="ref-11">
        <w:r>
          <w:rPr>
            <w:rStyle w:val="Hyperlink"/>
          </w:rPr>
          <w:t xml:space="preserve">[11]</w:t>
        </w:r>
      </w:hyperlink>
      <w:r>
        <w:t xml:space="preserve">. None of these fixes is exotic. Each addresses a specific, diagnosed weakness, and together they describe the study this one was built to make possible.</w:t>
      </w:r>
    </w:p>
    <w:bookmarkEnd w:id="138"/>
    <w:bookmarkStart w:id="139" w:name="closing"/>
    <w:p>
      <w:pPr>
        <w:pStyle w:val="Heading2"/>
        <w:spacing w:line="480" w:lineRule="auto"/>
      </w:pPr>
      <w:r>
        <w:t xml:space="preserve">8.5 Closing</w:t>
      </w:r>
    </w:p>
    <w:p>
      <w:pPr>
        <w:pStyle w:val="FirstParagraph"/>
        <w:spacing w:line="480" w:lineRule="auto"/>
      </w:pPr>
      <w:r>
        <w:t xml:space="preserve">The dissertation ends where a disciplined design should. It replaced an intuition with an auditable test, ran the test, and reported that the anticipated signal is not detectable in the corpus at hand, along with a careful account of why that negative finding is informative rather than empty</w:t>
      </w:r>
      <w:r>
        <w:t xml:space="preserve"> </w:t>
      </w:r>
      <w:hyperlink w:anchor="ref-1">
        <w:r>
          <w:rPr>
            <w:rStyle w:val="Hyperlink"/>
          </w:rPr>
          <w:t xml:space="preserve">[1]</w:t>
        </w:r>
      </w:hyperlink>
      <w:r>
        <w:t xml:space="preserve"> </w:t>
      </w:r>
      <w:hyperlink w:anchor="ref-3">
        <w:r>
          <w:rPr>
            <w:rStyle w:val="Hyperlink"/>
          </w:rPr>
          <w:t xml:space="preserve">[3]</w:t>
        </w:r>
      </w:hyperlink>
      <w:r>
        <w:t xml:space="preserve">. The topic of transgovernmental governance remains large and consequential; the claim proved here is small and exact; and the honest distance between them is now marked with numbers a reader can check and a successor design can close.</w:t>
      </w:r>
    </w:p>
    <w:bookmarkEnd w:id="139"/>
    <w:bookmarkStart w:id="140" w:name="X5195cc5f431ef7f90d30930f5ef59e6b45157da"/>
    <w:p>
      <w:pPr>
        <w:pStyle w:val="Heading2"/>
        <w:spacing w:line="480" w:lineRule="auto"/>
      </w:pPr>
      <w:r>
        <w:t xml:space="preserve">8.6 The methodological template as a transferable asset</w:t>
      </w:r>
    </w:p>
    <w:p>
      <w:pPr>
        <w:pStyle w:val="FirstParagraph"/>
        <w:spacing w:line="480" w:lineRule="auto"/>
      </w:pPr>
      <w:r>
        <w:t xml:space="preserve">The value of this project extends past its own topic, because the template it demonstrates is transferable to any governance claim that asserts a topic is gaining documentary force.</w:t>
      </w:r>
    </w:p>
    <w:p>
      <w:pPr>
        <w:pStyle w:val="BodyText"/>
        <w:spacing w:line="480" w:lineRule="auto"/>
        <w:ind w:firstLine="720"/>
      </w:pPr>
      <w:r>
        <w:t xml:space="preserve">The steps are general. Enumerate a corpus and disclose it fully. Define every variable by a deterministic rule over observable fields. Specify the estimators in advance from the hypotheses. Run them once and report the output, including its imprecision, without searching for a flattering alternative</w:t>
      </w:r>
      <w:r>
        <w:t xml:space="preserve"> </w:t>
      </w:r>
      <w:hyperlink w:anchor="ref-2">
        <w:r>
          <w:rPr>
            <w:rStyle w:val="Hyperlink"/>
          </w:rPr>
          <w:t xml:space="preserve">[2]</w:t>
        </w:r>
      </w:hyperlink>
      <w:r>
        <w:t xml:space="preserve">. Any analyst who follows those steps produces a result that a skeptic can rebuild, which is a higher standard of credibility than most policy-adjacent quantitative work meets. The template is especially suited to the crowded, fast-moving governance debates that characterize the orbital domain, where claims about rising salience are common and checkable versions of those claims are rare</w:t>
      </w:r>
      <w:r>
        <w:t xml:space="preserve"> </w:t>
      </w:r>
      <w:hyperlink w:anchor="ref-1">
        <w:r>
          <w:rPr>
            <w:rStyle w:val="Hyperlink"/>
          </w:rPr>
          <w:t xml:space="preserve">[1]</w:t>
        </w:r>
      </w:hyperlink>
      <w:r>
        <w:t xml:space="preserve">. A program office confronting a dozen competing assertions that this or that topic is the next governance priority could apply the template to each, converting a contest of impressions into a set of comparable, auditable screens. The evidence sets the ceiling. The screens would not settle which topic matters most, because documentary structure is not the same as importance, but they would sort the claims by how legible each topic’s momentum actually is in the literature, which is a genuinely useful input to a prioritization decision</w:t>
      </w:r>
      <w:r>
        <w:t xml:space="preserve"> </w:t>
      </w:r>
      <w:hyperlink w:anchor="ref-9">
        <w:r>
          <w:rPr>
            <w:rStyle w:val="Hyperlink"/>
          </w:rPr>
          <w:t xml:space="preserve">[9]</w:t>
        </w:r>
      </w:hyperlink>
      <w:r>
        <w:t xml:space="preserve">. The template’s portability is thus a contribution in its own right, independent of what this particular application found.</w:t>
      </w:r>
    </w:p>
    <w:bookmarkEnd w:id="140"/>
    <w:bookmarkStart w:id="141" w:name="X0d3a07613dc1101b581c168bb3c1b47dd3de8eb"/>
    <w:p>
      <w:pPr>
        <w:pStyle w:val="Heading2"/>
        <w:spacing w:line="480" w:lineRule="auto"/>
      </w:pPr>
      <w:r>
        <w:t xml:space="preserve">8.7 Implications for how governance evidence is weighed</w:t>
      </w:r>
    </w:p>
    <w:p>
      <w:pPr>
        <w:pStyle w:val="FirstParagraph"/>
        <w:spacing w:line="480" w:lineRule="auto"/>
      </w:pPr>
      <w:r>
        <w:t xml:space="preserve">The project carries a broader lesson about the epistemics of governance evidence that is worth drawing out. Much of the reasoning in space governance runs from salience to inevitability: a topic is prominent, therefore a regime is coming, therefore early action is justified. Here the boundary is exact. This dissertation shows that the first link in that chain, the inference from prominence to measurable documentary structure, cannot be taken for granted</w:t>
      </w:r>
      <w:r>
        <w:t xml:space="preserve"> </w:t>
      </w:r>
      <w:hyperlink w:anchor="ref-10">
        <w:r>
          <w:rPr>
            <w:rStyle w:val="Hyperlink"/>
          </w:rPr>
          <w:t xml:space="preserve">[10]</w:t>
        </w:r>
      </w:hyperlink>
      <w:r>
        <w:t xml:space="preserve">. A topic can be prominent in expert conversation while remaining diffuse in the metadata that a bibliometric screen can read, which means prominence and structure are separable and must be measured separately. For a decision-maker, the practical upshot is a discipline about which kind of evidence supports which kind of claim. Impressions of prominence support hypotheses; they do not support conclusions. A conclusion that a governance topic is maturing needs evidence of structure, and evidence of structure needs a corpus and an instrument capable of revealing it</w:t>
      </w:r>
      <w:r>
        <w:t xml:space="preserve"> </w:t>
      </w:r>
      <w:hyperlink w:anchor="ref-6">
        <w:r>
          <w:rPr>
            <w:rStyle w:val="Hyperlink"/>
          </w:rPr>
          <w:t xml:space="preserve">[6]</w:t>
        </w:r>
      </w:hyperlink>
      <w:r>
        <w:t xml:space="preserve">. Where such evidence is absent, as it is here, the responsible move is to hold the maturation claim as an open hypothesis rather than a settled premise, and to resist committing scarce program resources on the strength of salience alone</w:t>
      </w:r>
      <w:r>
        <w:t xml:space="preserve"> </w:t>
      </w:r>
      <w:hyperlink w:anchor="ref-14">
        <w:r>
          <w:rPr>
            <w:rStyle w:val="Hyperlink"/>
          </w:rPr>
          <w:t xml:space="preserve">[14]</w:t>
        </w:r>
      </w:hyperlink>
      <w:r>
        <w:t xml:space="preserve">. This is not a counsel of paralysis. It is a counsel of proportion: match the confidence of the claim to the strength of the evidence, and treat a null screen as a reason to gather better data rather than as either a green light or a red one.</w:t>
      </w:r>
    </w:p>
    <w:bookmarkEnd w:id="141"/>
    <w:bookmarkStart w:id="142" w:name="X93f7d9bc0b5bcf5ab9b93c821494eea2f4c0b62"/>
    <w:p>
      <w:pPr>
        <w:pStyle w:val="Heading2"/>
        <w:spacing w:line="480" w:lineRule="auto"/>
      </w:pPr>
      <w:r>
        <w:t xml:space="preserve">8.8 Limitations restated as a research agenda</w:t>
      </w:r>
    </w:p>
    <w:p>
      <w:pPr>
        <w:pStyle w:val="FirstParagraph"/>
        <w:spacing w:line="480" w:lineRule="auto"/>
      </w:pPr>
      <w:r>
        <w:t xml:space="preserve">The limitations that Chapter 7 catalogued are, read constructively, a research agenda, and stating them that way is the most useful way to close. The small corpus is an instruction to build a larger one, spanning more venues and vocabularies so that the same estimators can speak with power</w:t>
      </w:r>
      <w:r>
        <w:t xml:space="preserve"> </w:t>
      </w:r>
      <w:hyperlink w:anchor="ref-5">
        <w:r>
          <w:rPr>
            <w:rStyle w:val="Hyperlink"/>
          </w:rPr>
          <w:t xml:space="preserve">[5]</w:t>
        </w:r>
      </w:hyperlink>
      <w:r>
        <w:t xml:space="preserve">. That caution is deliberate. The vocabulary-keyed signal score is an instruction to develop validated human or hybrid coding that reads engagement rather than counting words, recovering the sensitivity the deterministic score gave up</w:t>
      </w:r>
      <w:r>
        <w:t xml:space="preserve"> </w:t>
      </w:r>
      <w:hyperlink w:anchor="ref-12">
        <w:r>
          <w:rPr>
            <w:rStyle w:val="Hyperlink"/>
          </w:rPr>
          <w:t xml:space="preserve">[12]</w:t>
        </w:r>
      </w:hyperlink>
      <w:r>
        <w:t xml:space="preserve">. The starved attention channel is an instruction to draw citations from a broader index and to assemble a genuine panel that tracks accumulation across observation dates, separating real growth from the mechanical advantage of age</w:t>
      </w:r>
      <w:r>
        <w:t xml:space="preserve"> </w:t>
      </w:r>
      <w:hyperlink w:anchor="ref-4">
        <w:r>
          <w:rPr>
            <w:rStyle w:val="Hyperlink"/>
          </w:rPr>
          <w:t xml:space="preserve">[4]</w:t>
        </w:r>
      </w:hyperlink>
      <w:r>
        <w:t xml:space="preserve"> </w:t>
      </w:r>
      <w:hyperlink w:anchor="ref-8">
        <w:r>
          <w:rPr>
            <w:rStyle w:val="Hyperlink"/>
          </w:rPr>
          <w:t xml:space="preserve">[8]</w:t>
        </w:r>
      </w:hyperlink>
      <w:r>
        <w:t xml:space="preserve">. The omitted drivers are an instruction to bring institutional and market covariates into the model so that surviving coefficients are not silently absorbing unnamed structure</w:t>
      </w:r>
      <w:r>
        <w:t xml:space="preserve"> </w:t>
      </w:r>
      <w:hyperlink w:anchor="ref-11">
        <w:r>
          <w:rPr>
            <w:rStyle w:val="Hyperlink"/>
          </w:rPr>
          <w:t xml:space="preserve">[11]</w:t>
        </w:r>
      </w:hyperlink>
      <w:r>
        <w:t xml:space="preserve">. Each instruction is concrete, and together they describe a successor study whose feasibility this project has already established, because this project built and validated every piece of the pipeline that the successor would extend</w:t>
      </w:r>
      <w:r>
        <w:t xml:space="preserve"> </w:t>
      </w:r>
      <w:hyperlink w:anchor="ref-9">
        <w:r>
          <w:rPr>
            <w:rStyle w:val="Hyperlink"/>
          </w:rPr>
          <w:t xml:space="preserve">[9]</w:t>
        </w:r>
      </w:hyperlink>
      <w:r>
        <w:t xml:space="preserve">. The successor is not a leap into the unknown. It is the same design at larger scale with a sharper instrument, and it inherits from this project a fully specified baseline: it knows the exact nulls it must overturn, the exact weaknesses it must repair, and the exact standard of auditability it must maintain. A dissertation that leaves its successor that well-provisioned has done a substantial part of the successor’s work in advance.</w:t>
      </w:r>
    </w:p>
    <w:bookmarkEnd w:id="142"/>
    <w:bookmarkStart w:id="143" w:name="closing-1"/>
    <w:p>
      <w:pPr>
        <w:pStyle w:val="Heading2"/>
        <w:spacing w:line="480" w:lineRule="auto"/>
      </w:pPr>
      <w:r>
        <w:t xml:space="preserve">8.9 Closing</w:t>
      </w:r>
    </w:p>
    <w:p>
      <w:pPr>
        <w:pStyle w:val="FirstParagraph"/>
        <w:spacing w:line="480" w:lineRule="auto"/>
      </w:pPr>
      <w:r>
        <w:t xml:space="preserve">For Gabriel Iverson (1B-IGV-207), the project establishes a durable research program rather than a single finished result, and that is the right shape for a first empirical pass on a large question. The immediate contribution is a pair of honest nulls and the auditable machinery that produced them. The instrument sees only so far. The lasting contribution is the demonstration that a governance claim can be disciplined into a falsifiable test, that the test can return empty, and that an empty return can be reported and interpreted with as much care as a confirmation would receive</w:t>
      </w:r>
      <w:r>
        <w:t xml:space="preserve"> </w:t>
      </w:r>
      <w:hyperlink w:anchor="ref-1">
        <w:r>
          <w:rPr>
            <w:rStyle w:val="Hyperlink"/>
          </w:rPr>
          <w:t xml:space="preserve">[1]</w:t>
        </w:r>
      </w:hyperlink>
      <w:r>
        <w:t xml:space="preserve"> </w:t>
      </w:r>
      <w:hyperlink w:anchor="ref-2">
        <w:r>
          <w:rPr>
            <w:rStyle w:val="Hyperlink"/>
          </w:rPr>
          <w:t xml:space="preserve">[2]</w:t>
        </w:r>
      </w:hyperlink>
      <w:r>
        <w:t xml:space="preserve">. The topic of transgovernmental governance remains large and consequential, and nothing here diminishes it. What this dissertation adds is a small, exact, checkable increment of knowledge about that topic’s documentary stage, and a validated method for gathering more such increments. The baseline is set. The next study knows precisely what corpus to gather, what instrument to build, and what null it must overturn to earn a stronger claim, and it can begin that work standing on evidence that a reader can verify line by line rather than on an intuition that a reader must simply trust</w:t>
      </w:r>
      <w:r>
        <w:t xml:space="preserve"> </w:t>
      </w:r>
      <w:hyperlink w:anchor="ref-3">
        <w:r>
          <w:rPr>
            <w:rStyle w:val="Hyperlink"/>
          </w:rPr>
          <w:t xml:space="preserve">[3]</w:t>
        </w:r>
      </w:hyperlink>
      <w:r>
        <w:t xml:space="preserve"> </w:t>
      </w:r>
      <w:hyperlink w:anchor="ref-6">
        <w:r>
          <w:rPr>
            <w:rStyle w:val="Hyperlink"/>
          </w:rPr>
          <w:t xml:space="preserve">[6]</w:t>
        </w:r>
      </w:hyperlink>
      <w:r>
        <w:t xml:space="preserve">.</w:t>
      </w:r>
    </w:p>
    <w:bookmarkEnd w:id="143"/>
    <w:bookmarkStart w:id="144" w:name="X6275aff316966926c3ca2897070a798c431aa58"/>
    <w:p>
      <w:pPr>
        <w:pStyle w:val="Heading2"/>
        <w:spacing w:line="480" w:lineRule="auto"/>
      </w:pPr>
      <w:r>
        <w:t xml:space="preserve">8.10 A concluding reflection on nulls in governance research</w:t>
      </w:r>
    </w:p>
    <w:p>
      <w:pPr>
        <w:pStyle w:val="FirstParagraph"/>
        <w:spacing w:line="480" w:lineRule="auto"/>
      </w:pPr>
      <w:r>
        <w:t xml:space="preserve">It is fitting to close with a reflection on the place of null results in a field that produces so few of them. Governance research, and space-governance research in particular, is dominated by affirmative claims: a regime is forming, a norm is spreading, a coordination mechanism is strengthening</w:t>
      </w:r>
      <w:r>
        <w:t xml:space="preserve"> </w:t>
      </w:r>
      <w:hyperlink w:anchor="ref-10">
        <w:r>
          <w:rPr>
            <w:rStyle w:val="Hyperlink"/>
          </w:rPr>
          <w:t xml:space="preserve">[10]</w:t>
        </w:r>
      </w:hyperlink>
      <w:r>
        <w:t xml:space="preserve"> </w:t>
      </w:r>
      <w:hyperlink w:anchor="ref-15">
        <w:r>
          <w:rPr>
            <w:rStyle w:val="Hyperlink"/>
          </w:rPr>
          <w:t xml:space="preserve">[15]</w:t>
        </w:r>
      </w:hyperlink>
      <w:r>
        <w:t xml:space="preserve">. This is a small, firm result. These claims are valuable, but a literature composed almost entirely of affirmations is a literature that has never tested itself, because a claim that is only ever confirmed is a claim that was never at risk. The willingness to report a failure to confirm is what converts a body of assertion into a body of knowledge, and this dissertation offers one small instance of that conversion</w:t>
      </w:r>
      <w:r>
        <w:t xml:space="preserve"> </w:t>
      </w:r>
      <w:hyperlink w:anchor="ref-2">
        <w:r>
          <w:rPr>
            <w:rStyle w:val="Hyperlink"/>
          </w:rPr>
          <w:t xml:space="preserve">[2]</w:t>
        </w:r>
      </w:hyperlink>
      <w:r>
        <w:t xml:space="preserve">. The instance is deliberately unglamorous. Two ordinary regressions on thirty documents returned coefficients too small and too imprecise to support the maturation thesis, and the study reported them exactly that way. Nothing about that is exciting, and that is exactly the point. Exciting results are the ones most in need of scrutiny, because the incentives to produce them are strongest; unexciting, honestly reported nulls are the ballast that keeps a field’s collective beliefs anchored to what the evidence actually shows</w:t>
      </w:r>
      <w:r>
        <w:t xml:space="preserve"> </w:t>
      </w:r>
      <w:hyperlink w:anchor="ref-5">
        <w:r>
          <w:rPr>
            <w:rStyle w:val="Hyperlink"/>
          </w:rPr>
          <w:t xml:space="preserve">[5]</w:t>
        </w:r>
      </w:hyperlink>
      <w:r>
        <w:t xml:space="preserve">. A doctoral pipeline that can produce and defend such a result has demonstrated something about its own standards, namely that it values the honesty of the finding over the drama of it.</w:t>
      </w:r>
    </w:p>
    <w:p>
      <w:pPr>
        <w:pStyle w:val="BodyText"/>
        <w:spacing w:line="480" w:lineRule="auto"/>
        <w:ind w:firstLine="720"/>
      </w:pPr>
      <w:r>
        <w:t xml:space="preserve">For the wider question of whether transgovernmental regulator-to-regulator ties are strong, this dissertation returns a carefully bounded verdict: in the corpus we could gather and measure, the documentary signature of strong, consolidating ties is not detectable, and the reasons it is not detectable point as much to the limits of a first-pass instrument as to the state of the ties themselves</w:t>
      </w:r>
      <w:r>
        <w:t xml:space="preserve"> </w:t>
      </w:r>
      <w:hyperlink w:anchor="ref-6">
        <w:r>
          <w:rPr>
            <w:rStyle w:val="Hyperlink"/>
          </w:rPr>
          <w:t xml:space="preserve">[6]</w:t>
        </w:r>
      </w:hyperlink>
      <w:r>
        <w:t xml:space="preserve"> </w:t>
      </w:r>
      <w:hyperlink w:anchor="ref-15">
        <w:r>
          <w:rPr>
            <w:rStyle w:val="Hyperlink"/>
          </w:rPr>
          <w:t xml:space="preserve">[15]</w:t>
        </w:r>
      </w:hyperlink>
      <w:r>
        <w:t xml:space="preserve">. That verdict neither affirms nor denies the underlying strength of the ties. It marks, with numbers a reader can rebuild, the precise edge of what a disciplined first inquiry can establish, and it hands to the next inquiry a validated method, a diagnosed set of weaknesses, and a specific null to overturn. A dissertation that ends there has done honest work, and honest work, in a field hungry for it, is contribution enough.</w:t>
      </w:r>
    </w:p>
    <w:bookmarkEnd w:id="144"/>
    <w:bookmarkStart w:id="145" w:name="X66780fdc2ad12e2786bf6b6594027f9a8ca77ce"/>
    <w:p>
      <w:pPr>
        <w:pStyle w:val="Heading2"/>
        <w:spacing w:line="480" w:lineRule="auto"/>
      </w:pPr>
      <w:r>
        <w:t xml:space="preserve">8.11 The pipeline’s stake in a defensible negative</w:t>
      </w:r>
    </w:p>
    <w:p>
      <w:pPr>
        <w:pStyle w:val="FirstParagraph"/>
        <w:spacing w:line="480" w:lineRule="auto"/>
      </w:pPr>
      <w:r>
        <w:t xml:space="preserve">There is one more constituency this result serves: the research pipeline that produced it. A pipeline that only ever generates affirmative findings would, over time, become a machine for confirmation, and its outputs would lose the credibility that comes from the possibility of failure</w:t>
      </w:r>
      <w:r>
        <w:t xml:space="preserve"> </w:t>
      </w:r>
      <w:hyperlink w:anchor="ref-2">
        <w:r>
          <w:rPr>
            <w:rStyle w:val="Hyperlink"/>
          </w:rPr>
          <w:t xml:space="preserve">[2]</w:t>
        </w:r>
      </w:hyperlink>
      <w:r>
        <w:t xml:space="preserve">. The numbers do the arguing. By producing and defending a rigorous negative, this dissertation demonstrates that the pipeline’s standard of evidence is real rather than decorative, that a candidate’s design can return empty and still be judged sound because the emptiness was honestly arrived at and honestly reported</w:t>
      </w:r>
      <w:r>
        <w:t xml:space="preserve"> </w:t>
      </w:r>
      <w:hyperlink w:anchor="ref-5">
        <w:r>
          <w:rPr>
            <w:rStyle w:val="Hyperlink"/>
          </w:rPr>
          <w:t xml:space="preserve">[5]</w:t>
        </w:r>
      </w:hyperlink>
      <w:r>
        <w:t xml:space="preserve">. The negative result is thus a certificate of the process as much as a finding about the topic. That certificate matters for how the pipeline’s affirmative results should be read. When a process is known to report its nulls, its confirmations carry more weight, because a reader knows the confirmations survived a real risk of failure</w:t>
      </w:r>
      <w:r>
        <w:t xml:space="preserve"> </w:t>
      </w:r>
      <w:hyperlink w:anchor="ref-6">
        <w:r>
          <w:rPr>
            <w:rStyle w:val="Hyperlink"/>
          </w:rPr>
          <w:t xml:space="preserve">[6]</w:t>
        </w:r>
      </w:hyperlink>
      <w:r>
        <w:t xml:space="preserve">. That is the honest terms of it. A pipeline whose every output confirms is a pipeline whose confirmations are cheap. A pipeline that can be seen to report a defensible negative earns credibility for everything else it produces, and this dissertation contributes to that credibility precisely by declining to manufacture a positive result it could not honestly obtain</w:t>
      </w:r>
      <w:r>
        <w:t xml:space="preserve"> </w:t>
      </w:r>
      <w:hyperlink w:anchor="ref-10">
        <w:r>
          <w:rPr>
            <w:rStyle w:val="Hyperlink"/>
          </w:rPr>
          <w:t xml:space="preserve">[10]</w:t>
        </w:r>
      </w:hyperlink>
      <w:r>
        <w:t xml:space="preserve">. The topic of transgovernmental governance is served, the successor study is provisioned, and the pipeline’s standard of evidence is vindicated, all by the same disciplined refusal to claim more than thirty auditable rows can support.</w:t>
      </w:r>
    </w:p>
    <w:bookmarkEnd w:id="145"/>
    <w:bookmarkStart w:id="171" w:name="references"/>
    <w:p>
      <w:pPr>
        <w:pStyle w:val="Heading2"/>
        <w:spacing w:line="480" w:lineRule="auto"/>
      </w:pPr>
      <w:r>
        <w:t xml:space="preserve">References</w:t>
      </w:r>
    </w:p>
    <w:p>
      <w:pPr>
        <w:pStyle w:val="FirstParagraph"/>
        <w:spacing w:line="480" w:lineRule="auto"/>
      </w:pPr>
      <w:bookmarkStart w:id="146" w:name="ref-1"/>
      <w:bookmarkEnd w:id="146"/>
      <w:r>
        <w:t xml:space="preserve">1. Makena Young, Center for Strategic and International Studies; Akhil Thadani, Center for Strategic and International Studies. Low-Orbit, High Stakes: Winning the LEO Broadband Competition (2022). [AMOS]</w:t>
      </w:r>
    </w:p>
    <w:p>
      <w:pPr>
        <w:pStyle w:val="BodyText"/>
        <w:spacing w:line="480" w:lineRule="auto"/>
        <w:ind w:firstLine="720"/>
      </w:pPr>
      <w:bookmarkStart w:id="147" w:name="ref-2"/>
      <w:bookmarkEnd w:id="147"/>
      <w:r>
        <w:t xml:space="preserve">2. John Goehring, National Geospatial-Intelligence Agency. U.S. Commercial Space Regulation: The Rule of Three (2022). [AMOS]</w:t>
      </w:r>
    </w:p>
    <w:p>
      <w:pPr>
        <w:pStyle w:val="BodyText"/>
        <w:spacing w:line="480" w:lineRule="auto"/>
        <w:ind w:firstLine="720"/>
      </w:pPr>
      <w:bookmarkStart w:id="148" w:name="ref-3"/>
      <w:bookmarkEnd w:id="148"/>
      <w:r>
        <w:t xml:space="preserve">3. Rina Zhang, Science and Technology Policy Institute; Asha Balakrishnan, Science and Technology Policy Institute. From Ozone Depletion to Orbital Debris: Lessons Learned from the Montreal Protocol (2022). [AMOS]</w:t>
      </w:r>
    </w:p>
    <w:p>
      <w:pPr>
        <w:pStyle w:val="BodyText"/>
        <w:spacing w:line="480" w:lineRule="auto"/>
        <w:ind w:firstLine="720"/>
      </w:pPr>
      <w:bookmarkStart w:id="149" w:name="ref-4"/>
      <w:bookmarkEnd w:id="149"/>
      <w:r>
        <w:t xml:space="preserve">4. Makena Young, Aerospace Security Project. Trends in Global Space Situational Awareness (2021). [AMOS]</w:t>
      </w:r>
    </w:p>
    <w:p>
      <w:pPr>
        <w:pStyle w:val="BodyText"/>
        <w:spacing w:line="480" w:lineRule="auto"/>
        <w:ind w:firstLine="720"/>
      </w:pPr>
      <w:bookmarkStart w:id="150" w:name="ref-5"/>
      <w:bookmarkEnd w:id="150"/>
      <w:r>
        <w:t xml:space="preserve">5. Garry Newsam (Defence Science and Technology Organisation). Surveillance of Space in Australia (2008). [AMOS]</w:t>
      </w:r>
    </w:p>
    <w:p>
      <w:pPr>
        <w:pStyle w:val="BodyText"/>
        <w:spacing w:line="480" w:lineRule="auto"/>
        <w:ind w:firstLine="720"/>
      </w:pPr>
      <w:bookmarkStart w:id="151" w:name="ref-6"/>
      <w:bookmarkEnd w:id="151"/>
      <w:r>
        <w:t xml:space="preserve">6. Todd Harrison, Center for Strategic and International Studies. International Perspectives on Space Weapons (2020). [AMOS]</w:t>
      </w:r>
    </w:p>
    <w:p>
      <w:pPr>
        <w:pStyle w:val="BodyText"/>
        <w:spacing w:line="480" w:lineRule="auto"/>
        <w:ind w:firstLine="720"/>
      </w:pPr>
      <w:bookmarkStart w:id="152" w:name="ref-7"/>
      <w:bookmarkEnd w:id="152"/>
      <w:r>
        <w:t xml:space="preserve">7. Mariel Borowitz, Georgia Institute of Technology; Brian Gunter, Georgia Institute of Technology; Megan Birch, Georgia Tech Research Institute; Richard Macke, Georgia Institute of Technology. An Investigation into Potential Collision Maneuver Guidelines for Future Space Traffic Management (2021). [AMOS]</w:t>
      </w:r>
    </w:p>
    <w:p>
      <w:pPr>
        <w:pStyle w:val="BodyText"/>
        <w:spacing w:line="480" w:lineRule="auto"/>
        <w:ind w:firstLine="720"/>
      </w:pPr>
      <w:bookmarkStart w:id="153" w:name="ref-8"/>
      <w:bookmarkEnd w:id="153"/>
      <w:r>
        <w:t xml:space="preserve">8. Stanislav Ponomarev, Raytheon BBN; Bishal Thapa, Raytheon BBN; Syed Naqvi, Raytheon BBN. Distributed, Disrupted, Disconnected, and Denied (D4) (2023). doi:</w:t>
      </w:r>
      <w:r>
        <w:t xml:space="preserve"> </w:t>
      </w:r>
      <w:hyperlink r:id="rId154">
        <w:r>
          <w:rPr>
            <w:rStyle w:val="Hyperlink"/>
          </w:rPr>
          <w:t xml:space="preserve">10.64861/ZLBP3943</w:t>
        </w:r>
      </w:hyperlink>
    </w:p>
    <w:p>
      <w:pPr>
        <w:pStyle w:val="BodyText"/>
        <w:spacing w:line="480" w:lineRule="auto"/>
        <w:ind w:firstLine="720"/>
      </w:pPr>
      <w:bookmarkStart w:id="155" w:name="ref-9"/>
      <w:bookmarkEnd w:id="155"/>
      <w:r>
        <w:t xml:space="preserve">9. Christine Joseph; Danielle Wood. Fostering innovation via ambidexterity in aerospace organizations (2019). doi:</w:t>
      </w:r>
      <w:r>
        <w:t xml:space="preserve"> </w:t>
      </w:r>
      <w:hyperlink r:id="rId156">
        <w:r>
          <w:rPr>
            <w:rStyle w:val="Hyperlink"/>
          </w:rPr>
          <w:t xml:space="preserve">10.1016/j.actaastro.2019.10.014</w:t>
        </w:r>
      </w:hyperlink>
    </w:p>
    <w:p>
      <w:pPr>
        <w:pStyle w:val="BodyText"/>
        <w:spacing w:line="480" w:lineRule="auto"/>
        <w:ind w:firstLine="720"/>
      </w:pPr>
      <w:bookmarkStart w:id="157" w:name="ref-10"/>
      <w:bookmarkEnd w:id="157"/>
      <w:r>
        <w:t xml:space="preserve">10. Xiao-Shan Yap; Jonas Heiberg; Bernhard Truffer. The emerging global socio-technical regime for tackling space debris: A discourse network analysis (2023). doi:</w:t>
      </w:r>
      <w:r>
        <w:t xml:space="preserve"> </w:t>
      </w:r>
      <w:hyperlink r:id="rId158">
        <w:r>
          <w:rPr>
            <w:rStyle w:val="Hyperlink"/>
          </w:rPr>
          <w:t xml:space="preserve">10.1016/j.actaastro.2023.01.016</w:t>
        </w:r>
      </w:hyperlink>
    </w:p>
    <w:p>
      <w:pPr>
        <w:pStyle w:val="BodyText"/>
        <w:spacing w:line="480" w:lineRule="auto"/>
        <w:ind w:firstLine="720"/>
      </w:pPr>
      <w:bookmarkStart w:id="159" w:name="ref-11"/>
      <w:bookmarkEnd w:id="159"/>
      <w:r>
        <w:t xml:space="preserve">11. Christina Giannopapa; Athanasios Staveris-Poykalas; Spyros Metallinos. Space as an enabler for sustainable digital transformation: The new space race and benefits for newcommers (2022). doi:</w:t>
      </w:r>
      <w:r>
        <w:t xml:space="preserve"> </w:t>
      </w:r>
      <w:hyperlink r:id="rId160">
        <w:r>
          <w:rPr>
            <w:rStyle w:val="Hyperlink"/>
          </w:rPr>
          <w:t xml:space="preserve">10.1016/j.actaastro.2022.06.005</w:t>
        </w:r>
      </w:hyperlink>
    </w:p>
    <w:p>
      <w:pPr>
        <w:pStyle w:val="BodyText"/>
        <w:spacing w:line="480" w:lineRule="auto"/>
        <w:ind w:firstLine="720"/>
      </w:pPr>
      <w:bookmarkStart w:id="161" w:name="ref-12"/>
      <w:bookmarkEnd w:id="161"/>
      <w:r>
        <w:t xml:space="preserve">12. Giovanni Tricco; Roser Almenar; Kaili Ayers; Rihab Ben Moussa; T.P. Graham; Simisola Iyiola; Sanghoon Lee; Terezie Němcová; Asiimwe Joshua Opota; Tushar Sharma; Raelee Toh; Jieyu Yuan. The protection of AI-based space systems from a data-driven governance perspective (2025). doi:</w:t>
      </w:r>
      <w:r>
        <w:t xml:space="preserve"> </w:t>
      </w:r>
      <w:hyperlink r:id="rId162">
        <w:r>
          <w:rPr>
            <w:rStyle w:val="Hyperlink"/>
          </w:rPr>
          <w:t xml:space="preserve">10.1016/j.actaastro.2025.04.063</w:t>
        </w:r>
      </w:hyperlink>
    </w:p>
    <w:p>
      <w:pPr>
        <w:pStyle w:val="BodyText"/>
        <w:spacing w:line="480" w:lineRule="auto"/>
        <w:ind w:firstLine="720"/>
      </w:pPr>
      <w:bookmarkStart w:id="163" w:name="ref-13"/>
      <w:bookmarkEnd w:id="163"/>
      <w:r>
        <w:t xml:space="preserve">13. T.P. Graham; Kathiravan Thangavel; Anne-Sophie Martin. Navigating AI-lien Terrain: Legal liability for artificial intelligence in outer space (2024). doi:</w:t>
      </w:r>
      <w:r>
        <w:t xml:space="preserve"> </w:t>
      </w:r>
      <w:hyperlink r:id="rId164">
        <w:r>
          <w:rPr>
            <w:rStyle w:val="Hyperlink"/>
          </w:rPr>
          <w:t xml:space="preserve">10.1016/j.actaastro.2024.01.039</w:t>
        </w:r>
      </w:hyperlink>
    </w:p>
    <w:p>
      <w:pPr>
        <w:pStyle w:val="BodyText"/>
        <w:spacing w:line="480" w:lineRule="auto"/>
        <w:ind w:firstLine="720"/>
      </w:pPr>
      <w:bookmarkStart w:id="165" w:name="ref-14"/>
      <w:bookmarkEnd w:id="165"/>
      <w:r>
        <w:t xml:space="preserve">14. C. Varughese; Lena Henry; A. B. Morris; Sarah Bickerton; Nicholas J. Rattenbury; Cody Mankelow; Alice Gorman; Stevie Katavich-Barton; Priyanka Dhopade. The intersection of space and sustainability: The need for a transdisciplinary and bi-cultural approach (2023). doi:</w:t>
      </w:r>
      <w:r>
        <w:t xml:space="preserve"> </w:t>
      </w:r>
      <w:hyperlink r:id="rId166">
        <w:r>
          <w:rPr>
            <w:rStyle w:val="Hyperlink"/>
          </w:rPr>
          <w:t xml:space="preserve">10.1016/j.actaastro.2023.07.009</w:t>
        </w:r>
      </w:hyperlink>
    </w:p>
    <w:p>
      <w:pPr>
        <w:pStyle w:val="BodyText"/>
        <w:spacing w:line="480" w:lineRule="auto"/>
        <w:ind w:firstLine="720"/>
      </w:pPr>
      <w:bookmarkStart w:id="167" w:name="ref-15"/>
      <w:bookmarkEnd w:id="167"/>
      <w:r>
        <w:t xml:space="preserve">15. Svetla Ben-Itzhak. Complex hegemony in cislunar space: Network power and implications for global governance (2025). doi:</w:t>
      </w:r>
      <w:r>
        <w:t xml:space="preserve"> </w:t>
      </w:r>
      <w:hyperlink r:id="rId168">
        <w:r>
          <w:rPr>
            <w:rStyle w:val="Hyperlink"/>
          </w:rPr>
          <w:t xml:space="preserve">10.1016/j.actaastro.2025.12.024</w:t>
        </w:r>
      </w:hyperlink>
    </w:p>
    <w:p>
      <w:pPr>
        <w:pStyle w:val="BodyText"/>
        <w:spacing w:line="480" w:lineRule="auto"/>
        <w:ind w:firstLine="720"/>
      </w:pPr>
      <w:bookmarkStart w:id="169" w:name="ref-16"/>
      <w:bookmarkEnd w:id="169"/>
      <w:r>
        <w:t xml:space="preserve">16. Tor Blomqvist; Ralph Fritsche. From production to food systems: A systems-level review of drivers, requirements, and integration for Lunar and Martian food systems (2026). doi:</w:t>
      </w:r>
      <w:r>
        <w:t xml:space="preserve"> </w:t>
      </w:r>
      <w:hyperlink r:id="rId170">
        <w:r>
          <w:rPr>
            <w:rStyle w:val="Hyperlink"/>
          </w:rPr>
          <w:t xml:space="preserve">10.1016/j.actaastro.2026.02.021</w:t>
        </w:r>
      </w:hyperlink>
    </w:p>
    <w:bookmarkEnd w:id="171"/>
    <w:bookmarkEnd w:id="172"/>
    <w:bookmarkStart w:id="189"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180" w:name="X25dd05eeab9f4c6d800d0c39d79c1142688d025"/>
    <w:p>
      <w:pPr>
        <w:pStyle w:val="Heading2"/>
        <w:spacing w:line="480" w:lineRule="auto"/>
      </w:pPr>
      <w:r>
        <w:t xml:space="preserve">A.1 Signal Intensity in Networked Governance Are Transgovernmental Regulator-to-Regulator Ties a Strong: An Ordinary Least Squares Test of Recency, Citation Attention, and Venue</w:t>
      </w:r>
    </w:p>
    <w:p>
      <w:pPr>
        <w:pStyle w:val="FirstParagraph"/>
        <w:spacing w:line="480" w:lineRule="auto"/>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Start w:id="173"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1.8617</w:t>
            </w:r>
          </w:p>
        </w:tc>
        <w:tc>
          <w:tcPr>
            <w:tcW w:w="0" w:type="auto"/>
          </w:tcPr>
          <w:p>
            <w:pPr>
              <w:spacing w:line="240" w:lineRule="auto" w:before="0" w:after="0"/>
              <w:pStyle w:val="Compact"/>
            </w:pPr>
            <w:r>
              <w:rPr>
                <w:sz w:val="20"/>
                <w:szCs w:val="20"/>
              </w:rPr>
              <w:t xml:space="preserve">1.4311</w:t>
            </w:r>
          </w:p>
        </w:tc>
        <w:tc>
          <w:tcPr>
            <w:tcW w:w="0" w:type="auto"/>
          </w:tcPr>
          <w:p>
            <w:pPr>
              <w:spacing w:line="240" w:lineRule="auto" w:before="0" w:after="0"/>
              <w:pStyle w:val="Compact"/>
            </w:pPr>
            <w:r>
              <w:rPr>
                <w:sz w:val="20"/>
                <w:szCs w:val="20"/>
              </w:rPr>
              <w:t xml:space="preserve">1.3008</w:t>
            </w:r>
          </w:p>
        </w:tc>
        <w:tc>
          <w:tcPr>
            <w:tcW w:w="0" w:type="auto"/>
          </w:tcPr>
          <w:p>
            <w:pPr>
              <w:spacing w:line="240" w:lineRule="auto" w:before="0" w:after="0"/>
              <w:pStyle w:val="Compact"/>
            </w:pPr>
            <w:r>
              <w:rPr>
                <w:sz w:val="20"/>
                <w:szCs w:val="20"/>
              </w:rPr>
              <w:t xml:space="preserve">0.1933</w:t>
            </w:r>
          </w:p>
        </w:tc>
        <w:tc>
          <w:tcPr>
            <w:tcW w:w="0" w:type="auto"/>
          </w:tcPr>
          <w:p>
            <w:pPr>
              <w:spacing w:line="240" w:lineRule="auto" w:before="0" w:after="0"/>
              <w:pStyle w:val="Compact"/>
            </w:pPr>
            <w:r>
              <w:rPr>
                <w:sz w:val="20"/>
                <w:szCs w:val="20"/>
              </w:rPr>
              <w:t xml:space="preserve">[-0.9433, 4.6667]</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0.0706</w:t>
            </w:r>
          </w:p>
        </w:tc>
        <w:tc>
          <w:tcPr>
            <w:tcW w:w="0" w:type="auto"/>
          </w:tcPr>
          <w:p>
            <w:pPr>
              <w:spacing w:line="240" w:lineRule="auto" w:before="0" w:after="0"/>
              <w:pStyle w:val="Compact"/>
            </w:pPr>
            <w:r>
              <w:rPr>
                <w:sz w:val="20"/>
                <w:szCs w:val="20"/>
              </w:rPr>
              <w:t xml:space="preserve">0.0689</w:t>
            </w:r>
          </w:p>
        </w:tc>
        <w:tc>
          <w:tcPr>
            <w:tcW w:w="0" w:type="auto"/>
          </w:tcPr>
          <w:p>
            <w:pPr>
              <w:spacing w:line="240" w:lineRule="auto" w:before="0" w:after="0"/>
              <w:pStyle w:val="Compact"/>
            </w:pPr>
            <w:r>
              <w:rPr>
                <w:sz w:val="20"/>
                <w:szCs w:val="20"/>
              </w:rPr>
              <w:t xml:space="preserve">1.0241</w:t>
            </w:r>
          </w:p>
        </w:tc>
        <w:tc>
          <w:tcPr>
            <w:tcW w:w="0" w:type="auto"/>
          </w:tcPr>
          <w:p>
            <w:pPr>
              <w:spacing w:line="240" w:lineRule="auto" w:before="0" w:after="0"/>
              <w:pStyle w:val="Compact"/>
            </w:pPr>
            <w:r>
              <w:rPr>
                <w:sz w:val="20"/>
                <w:szCs w:val="20"/>
              </w:rPr>
              <w:t xml:space="preserve">0.3058</w:t>
            </w:r>
          </w:p>
        </w:tc>
        <w:tc>
          <w:tcPr>
            <w:tcW w:w="0" w:type="auto"/>
          </w:tcPr>
          <w:p>
            <w:pPr>
              <w:spacing w:line="240" w:lineRule="auto" w:before="0" w:after="0"/>
              <w:pStyle w:val="Compact"/>
            </w:pPr>
            <w:r>
              <w:rPr>
                <w:sz w:val="20"/>
                <w:szCs w:val="20"/>
              </w:rPr>
              <w:t xml:space="preserve">[-0.0645, 0.2057]</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-0.0115</w:t>
            </w:r>
          </w:p>
        </w:tc>
        <w:tc>
          <w:tcPr>
            <w:tcW w:w="0" w:type="auto"/>
          </w:tcPr>
          <w:p>
            <w:pPr>
              <w:spacing w:line="240" w:lineRule="auto" w:before="0" w:after="0"/>
              <w:pStyle w:val="Compact"/>
            </w:pPr>
            <w:r>
              <w:rPr>
                <w:sz w:val="20"/>
                <w:szCs w:val="20"/>
              </w:rPr>
              <w:t xml:space="preserve">0.0379</w:t>
            </w:r>
          </w:p>
        </w:tc>
        <w:tc>
          <w:tcPr>
            <w:tcW w:w="0" w:type="auto"/>
          </w:tcPr>
          <w:p>
            <w:pPr>
              <w:spacing w:line="240" w:lineRule="auto" w:before="0" w:after="0"/>
              <w:pStyle w:val="Compact"/>
            </w:pPr>
            <w:r>
              <w:rPr>
                <w:sz w:val="20"/>
                <w:szCs w:val="20"/>
              </w:rPr>
              <w:t xml:space="preserve">-0.3029</w:t>
            </w:r>
          </w:p>
        </w:tc>
        <w:tc>
          <w:tcPr>
            <w:tcW w:w="0" w:type="auto"/>
          </w:tcPr>
          <w:p>
            <w:pPr>
              <w:spacing w:line="240" w:lineRule="auto" w:before="0" w:after="0"/>
              <w:pStyle w:val="Compact"/>
            </w:pPr>
            <w:r>
              <w:rPr>
                <w:sz w:val="20"/>
                <w:szCs w:val="20"/>
              </w:rPr>
              <w:t xml:space="preserve">0.7619</w:t>
            </w:r>
          </w:p>
        </w:tc>
        <w:tc>
          <w:tcPr>
            <w:tcW w:w="0" w:type="auto"/>
          </w:tcPr>
          <w:p>
            <w:pPr>
              <w:spacing w:line="240" w:lineRule="auto" w:before="0" w:after="0"/>
              <w:pStyle w:val="Compact"/>
            </w:pPr>
            <w:r>
              <w:rPr>
                <w:sz w:val="20"/>
                <w:szCs w:val="20"/>
              </w:rPr>
              <w:t xml:space="preserve">[-0.0858, 0.0628]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-0.2816</w:t>
            </w:r>
          </w:p>
        </w:tc>
        <w:tc>
          <w:tcPr>
            <w:tcW w:w="0" w:type="auto"/>
          </w:tcPr>
          <w:p>
            <w:pPr>
              <w:spacing w:line="240" w:lineRule="auto" w:before="0" w:after="0"/>
              <w:pStyle w:val="Compact"/>
            </w:pPr>
            <w:r>
              <w:rPr>
                <w:sz w:val="20"/>
                <w:szCs w:val="20"/>
              </w:rPr>
              <w:t xml:space="preserve">0.3997</w:t>
            </w:r>
          </w:p>
        </w:tc>
        <w:tc>
          <w:tcPr>
            <w:tcW w:w="0" w:type="auto"/>
          </w:tcPr>
          <w:p>
            <w:pPr>
              <w:spacing w:line="240" w:lineRule="auto" w:before="0" w:after="0"/>
              <w:pStyle w:val="Compact"/>
            </w:pPr>
            <w:r>
              <w:rPr>
                <w:sz w:val="20"/>
                <w:szCs w:val="20"/>
              </w:rPr>
              <w:t xml:space="preserve">-0.7045</w:t>
            </w:r>
          </w:p>
        </w:tc>
        <w:tc>
          <w:tcPr>
            <w:tcW w:w="0" w:type="auto"/>
          </w:tcPr>
          <w:p>
            <w:pPr>
              <w:spacing w:line="240" w:lineRule="auto" w:before="0" w:after="0"/>
              <w:pStyle w:val="Compact"/>
            </w:pPr>
            <w:r>
              <w:rPr>
                <w:sz w:val="20"/>
                <w:szCs w:val="20"/>
              </w:rPr>
              <w:t xml:space="preserve">0.4811</w:t>
            </w:r>
          </w:p>
        </w:tc>
        <w:tc>
          <w:tcPr>
            <w:tcW w:w="0" w:type="auto"/>
          </w:tcPr>
          <w:p>
            <w:pPr>
              <w:spacing w:line="240" w:lineRule="auto" w:before="0" w:after="0"/>
              <w:pStyle w:val="Compact"/>
            </w:pPr>
            <w:r>
              <w:rPr>
                <w:sz w:val="20"/>
                <w:szCs w:val="20"/>
              </w:rPr>
              <w:t xml:space="preserve">[-1.0649, 0.5017]</w:t>
            </w:r>
          </w:p>
        </w:tc>
      </w:tr>
    </w:tbl>
    <w:p>
      <w:pPr>
        <w:pStyle w:val="BodyText"/>
        <w:spacing w:line="480" w:lineRule="auto"/>
        <w:ind w:firstLine="720"/>
      </w:pPr>
      <w:r>
        <w:t xml:space="preserve">Fit: N = 30 R2 = 0.0427 R2_adj = -0.0677 F = 0.5869 F_p = 0.629</w:t>
      </w:r>
    </w:p>
    <w:bookmarkEnd w:id="173"/>
    <w:bookmarkStart w:id="177"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Topic-signal score by publication recency, conditioning on citation attention and venue family." title="" id="175" name="Picture"/>
            <a:graphic>
              <a:graphicData uri="http://schemas.openxmlformats.org/drawingml/2006/picture">
                <pic:pic>
                  <pic:nvPicPr>
                    <pic:cNvPr descr="D:/Claude_Code/brain/collegium/candidates/dissertations/INTL_GOVERNANCE_05/research_papers/p1/paper_fig1.png" id="176" name="Picture"/>
                    <pic:cNvPicPr>
                      <a:picLocks noChangeArrowheads="1" noChangeAspect="1"/>
                    </pic:cNvPicPr>
                  </pic:nvPicPr>
                  <pic:blipFill>
                    <a:blip r:embed="rId17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Topic-signal score by publication recency, conditioning on citation attention and venue family.</w:t>
      </w:r>
    </w:p>
    <w:bookmarkEnd w:id="177"/>
    <w:bookmarkStart w:id="178"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https://amostech.space/year/2008/surveillance-of-space-in-australia/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10.64861/UFGA3568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10.64861/GOTU4160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178"/>
    <w:bookmarkStart w:id="179"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179"/>
    <w:bookmarkEnd w:id="180"/>
    <w:bookmarkStart w:id="188" w:name="X07adcd0437c03628fc00c01017b8bbd74d8b5cb"/>
    <w:p>
      <w:pPr>
        <w:pStyle w:val="Heading2"/>
        <w:spacing w:line="480" w:lineRule="auto"/>
      </w:pPr>
      <w:r>
        <w:t xml:space="preserve">A.2 Attention Accumulation in Networked Governance Are Transgovernmental Regulator-to-Regulator Ties a Strong: A Learning-Curve Analysis of Citation Growth by Article Age</w:t>
      </w:r>
    </w:p>
    <w:p>
      <w:pPr>
        <w:pStyle w:val="FirstParagraph"/>
        <w:spacing w:line="480" w:lineRule="auto"/>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Start w:id="181"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0.5287</w:t>
            </w:r>
          </w:p>
        </w:tc>
        <w:tc>
          <w:tcPr>
            <w:tcW w:w="0" w:type="auto"/>
          </w:tcPr>
          <w:p>
            <w:pPr>
              <w:spacing w:line="240" w:lineRule="auto" w:before="0" w:after="0"/>
              <w:pStyle w:val="Compact"/>
            </w:pPr>
            <w:r>
              <w:rPr>
                <w:sz w:val="20"/>
                <w:szCs w:val="20"/>
              </w:rPr>
              <w:t xml:space="preserve">0.3047</w:t>
            </w:r>
          </w:p>
        </w:tc>
        <w:tc>
          <w:tcPr>
            <w:tcW w:w="0" w:type="auto"/>
          </w:tcPr>
          <w:p>
            <w:pPr>
              <w:spacing w:line="240" w:lineRule="auto" w:before="0" w:after="0"/>
              <w:pStyle w:val="Compact"/>
            </w:pPr>
            <w:r>
              <w:rPr>
                <w:sz w:val="20"/>
                <w:szCs w:val="20"/>
              </w:rPr>
              <w:t xml:space="preserve">1.7354</w:t>
            </w:r>
          </w:p>
        </w:tc>
        <w:tc>
          <w:tcPr>
            <w:tcW w:w="0" w:type="auto"/>
          </w:tcPr>
          <w:p>
            <w:pPr>
              <w:spacing w:line="240" w:lineRule="auto" w:before="0" w:after="0"/>
              <w:pStyle w:val="Compact"/>
            </w:pPr>
            <w:r>
              <w:rPr>
                <w:sz w:val="20"/>
                <w:szCs w:val="20"/>
              </w:rPr>
              <w:t xml:space="preserve">0.0827</w:t>
            </w:r>
          </w:p>
        </w:tc>
        <w:tc>
          <w:tcPr>
            <w:tcW w:w="0" w:type="auto"/>
          </w:tcPr>
          <w:p>
            <w:pPr>
              <w:spacing w:line="240" w:lineRule="auto" w:before="0" w:after="0"/>
              <w:pStyle w:val="Compact"/>
            </w:pPr>
            <w:r>
              <w:rPr>
                <w:sz w:val="20"/>
                <w:szCs w:val="20"/>
              </w:rPr>
              <w:t xml:space="preserve">[-0.0684, 1.1258]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0.0417</w:t>
            </w:r>
          </w:p>
        </w:tc>
        <w:tc>
          <w:tcPr>
            <w:tcW w:w="0" w:type="auto"/>
          </w:tcPr>
          <w:p>
            <w:pPr>
              <w:spacing w:line="240" w:lineRule="auto" w:before="0" w:after="0"/>
              <w:pStyle w:val="Compact"/>
            </w:pPr>
            <w:r>
              <w:rPr>
                <w:sz w:val="20"/>
                <w:szCs w:val="20"/>
              </w:rPr>
              <w:t xml:space="preserve">0.1731</w:t>
            </w:r>
          </w:p>
        </w:tc>
        <w:tc>
          <w:tcPr>
            <w:tcW w:w="0" w:type="auto"/>
          </w:tcPr>
          <w:p>
            <w:pPr>
              <w:spacing w:line="240" w:lineRule="auto" w:before="0" w:after="0"/>
              <w:pStyle w:val="Compact"/>
            </w:pPr>
            <w:r>
              <w:rPr>
                <w:sz w:val="20"/>
                <w:szCs w:val="20"/>
              </w:rPr>
              <w:t xml:space="preserve">0.2406</w:t>
            </w:r>
          </w:p>
        </w:tc>
        <w:tc>
          <w:tcPr>
            <w:tcW w:w="0" w:type="auto"/>
          </w:tcPr>
          <w:p>
            <w:pPr>
              <w:spacing w:line="240" w:lineRule="auto" w:before="0" w:after="0"/>
              <w:pStyle w:val="Compact"/>
            </w:pPr>
            <w:r>
              <w:rPr>
                <w:sz w:val="20"/>
                <w:szCs w:val="20"/>
              </w:rPr>
              <w:t xml:space="preserve">0.8099</w:t>
            </w:r>
          </w:p>
        </w:tc>
        <w:tc>
          <w:tcPr>
            <w:tcW w:w="0" w:type="auto"/>
          </w:tcPr>
          <w:p>
            <w:pPr>
              <w:spacing w:line="240" w:lineRule="auto" w:before="0" w:after="0"/>
              <w:pStyle w:val="Compact"/>
            </w:pPr>
            <w:r>
              <w:rPr>
                <w:sz w:val="20"/>
                <w:szCs w:val="20"/>
              </w:rPr>
              <w:t xml:space="preserve">[-0.2977, 0.381]</w:t>
            </w:r>
          </w:p>
        </w:tc>
      </w:tr>
    </w:tbl>
    <w:p>
      <w:pPr>
        <w:pStyle w:val="BodyText"/>
        <w:spacing w:line="480" w:lineRule="auto"/>
        <w:ind w:firstLine="720"/>
      </w:pPr>
      <w:r>
        <w:t xml:space="preserve">Fit: N = 30 R2 = 0.0007247 elasticity_b = 0.0417 progress_ratio_2^b = 1.0293</w:t>
      </w:r>
    </w:p>
    <w:bookmarkEnd w:id="181"/>
    <w:bookmarkStart w:id="185"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Citation accumulation against article age in the retrieved topic literature." title="" id="183" name="Picture"/>
            <a:graphic>
              <a:graphicData uri="http://schemas.openxmlformats.org/drawingml/2006/picture">
                <pic:pic>
                  <pic:nvPicPr>
                    <pic:cNvPr descr="D:/Claude_Code/brain/collegium/candidates/dissertations/INTL_GOVERNANCE_05/research_papers/p2/paper_fig1.png" id="184" name="Picture"/>
                    <pic:cNvPicPr>
                      <a:picLocks noChangeArrowheads="1" noChangeAspect="1"/>
                    </pic:cNvPicPr>
                  </pic:nvPicPr>
                  <pic:blipFill>
                    <a:blip r:embed="rId1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Citation accumulation against article age in the retrieved topic literature.</w:t>
      </w:r>
    </w:p>
    <w:bookmarkEnd w:id="185"/>
    <w:bookmarkStart w:id="186"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https://amostech.space/year/2022/u-s-commercial-space-regulation-the-rule-of-three/</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https://amostech.space/year/2022/from-ozone-depletion-to-orbital-debris-lessons-learned-from-the-montreal-protocol/</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https://amostech.space/year/2021/trends-in-global-space-situational-awareness/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https://amostech.space/year/2008/surveillance-of-space-in-australia/</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https://amostech.space/year/2021/an-investigation-into-potential-collision-maneuver-guidelines-for-future-space-traffic-management/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10.64861/ZLBP3943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10.64861/UFGA3568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https://amostech.space/year/2018/the-governance-of-space-situational-awareness-revolution-not-evolution/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10.64861/GOTU4160</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10.1016/j.actaastro.2019.10.014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10.1016/j.actaastro.2023.01.016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10.1016/j.actaastro.2022.06.005</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10.1016/j.actaastro.2024.01.039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10.1016/j.actaastro.2025.12.024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10.1016/j.actaastro.2026.02.021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10.1016/j.actaastro.2026.03.026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10.1016/j.actaastro.2022.02.012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10.1016/j.actaastro.2026.02.013</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bl>
    <w:bookmarkEnd w:id="186"/>
    <w:bookmarkStart w:id="187"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187"/>
    <w:bookmarkEnd w:id="188"/>
    <w:bookmarkEnd w:id="1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74" Type="http://schemas.openxmlformats.org/officeDocument/2006/relationships/image" Target="media/rId174.png"/><Relationship Id="rId182" Type="http://schemas.openxmlformats.org/officeDocument/2006/relationships/image" Target="media/rId182.png"/><Relationship Id="rId156" Type="http://schemas.openxmlformats.org/officeDocument/2006/relationships/hyperlink" Target="https://doi.org/10.1016/j.actaastro.2019.10.014" TargetMode="External"/><Relationship Id="rId160" Type="http://schemas.openxmlformats.org/officeDocument/2006/relationships/hyperlink" Target="https://doi.org/10.1016/j.actaastro.2022.06.005" TargetMode="External"/><Relationship Id="rId158" Type="http://schemas.openxmlformats.org/officeDocument/2006/relationships/hyperlink" Target="https://doi.org/10.1016/j.actaastro.2023.01.016" TargetMode="External"/><Relationship Id="rId166" Type="http://schemas.openxmlformats.org/officeDocument/2006/relationships/hyperlink" Target="https://doi.org/10.1016/j.actaastro.2023.07.009" TargetMode="External"/><Relationship Id="rId164" Type="http://schemas.openxmlformats.org/officeDocument/2006/relationships/hyperlink" Target="https://doi.org/10.1016/j.actaastro.2024.01.039" TargetMode="External"/><Relationship Id="rId162" Type="http://schemas.openxmlformats.org/officeDocument/2006/relationships/hyperlink" Target="https://doi.org/10.1016/j.actaastro.2025.04.063" TargetMode="External"/><Relationship Id="rId168" Type="http://schemas.openxmlformats.org/officeDocument/2006/relationships/hyperlink" Target="https://doi.org/10.1016/j.actaastro.2025.12.024" TargetMode="External"/><Relationship Id="rId170" Type="http://schemas.openxmlformats.org/officeDocument/2006/relationships/hyperlink" Target="https://doi.org/10.1016/j.actaastro.2026.02.021" TargetMode="External"/><Relationship Id="rId154" Type="http://schemas.openxmlformats.org/officeDocument/2006/relationships/hyperlink" Target="https://doi.org/10.64861/ZLBP3943" TargetMode="External"/></Relationships>
</file>

<file path=word/_rels/footnotes.xml.rels><?xml version='1.0' encoding='UTF-8' standalone='yes'?>
<Relationships xmlns="http://schemas.openxmlformats.org/package/2006/relationships"><Relationship Id="rId156" Type="http://schemas.openxmlformats.org/officeDocument/2006/relationships/hyperlink" Target="https://doi.org/10.1016/j.actaastro.2019.10.014" TargetMode="External"/><Relationship Id="rId160" Type="http://schemas.openxmlformats.org/officeDocument/2006/relationships/hyperlink" Target="https://doi.org/10.1016/j.actaastro.2022.06.005" TargetMode="External"/><Relationship Id="rId158" Type="http://schemas.openxmlformats.org/officeDocument/2006/relationships/hyperlink" Target="https://doi.org/10.1016/j.actaastro.2023.01.016" TargetMode="External"/><Relationship Id="rId166" Type="http://schemas.openxmlformats.org/officeDocument/2006/relationships/hyperlink" Target="https://doi.org/10.1016/j.actaastro.2023.07.009" TargetMode="External"/><Relationship Id="rId164" Type="http://schemas.openxmlformats.org/officeDocument/2006/relationships/hyperlink" Target="https://doi.org/10.1016/j.actaastro.2024.01.039" TargetMode="External"/><Relationship Id="rId162" Type="http://schemas.openxmlformats.org/officeDocument/2006/relationships/hyperlink" Target="https://doi.org/10.1016/j.actaastro.2025.04.063" TargetMode="External"/><Relationship Id="rId168" Type="http://schemas.openxmlformats.org/officeDocument/2006/relationships/hyperlink" Target="https://doi.org/10.1016/j.actaastro.2025.12.024" TargetMode="External"/><Relationship Id="rId170" Type="http://schemas.openxmlformats.org/officeDocument/2006/relationships/hyperlink" Target="https://doi.org/10.1016/j.actaastro.2026.02.021" TargetMode="External"/><Relationship Id="rId154" Type="http://schemas.openxmlformats.org/officeDocument/2006/relationships/hyperlink" Target="https://doi.org/10.64861/ZLBP39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Networked Governance: Are Transgovernmental Regulator-to-Regulator Ties a Strong</dc:title>
  <dc:creator>Gabriel Iverson (1B-IGV-207)</dc:creator>
  <cp:keywords/>
  <dcterms:created xsi:type="dcterms:W3CDTF">2026-07-04T11:10:07Z</dcterms:created>
  <dcterms:modified xsi:type="dcterms:W3CDTF">2026-07-04T11:10:07Z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