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94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2" w:name="X7a4565008e428abba4f8e2cdb5f58cc54a8eb5f"/>
    <w:p>
      <w:pPr>
        <w:pStyle w:val="Heading1"/>
      </w:pPr>
      <w:r>
        <w:t xml:space="preserve">Binary Rivalry Response Under Cross-Domain Economic Dependence: A Logit Robustness Test</w:t>
      </w:r>
    </w:p>
    <w:bookmarkStart w:id="61" w:name="abstract"/>
    <w:p>
      <w:pPr>
        <w:pStyle w:val="Heading2"/>
      </w:pPr>
      <w:r>
        <w:t xml:space="preserve">Abstract</w:t>
      </w:r>
    </w:p>
    <w:p>
      <w:pPr>
        <w:pStyle w:val="FirstParagraph"/>
      </w:pPr>
      <w:r>
        <w:t xml:space="preserve">This paper estimates a binary response model on the same directed dyad-period panel. The outcome equals one when the origin state records any public rivalrous space response in the 36-month window. The key explanatory variable is cross-domain trade dependence. The logit coefficient on trade dependence is negative, which is consistent with the dissertation claim that economic ties can dampen subsequent space-rivalry behavior.</w:t>
      </w:r>
    </w:p>
    <w:bookmarkEnd w:id="61"/>
    <w:bookmarkStart w:id="62" w:name="why-a-binary-model"/>
    <w:p>
      <w:pPr>
        <w:pStyle w:val="Heading2"/>
      </w:pPr>
      <w:r>
        <w:t xml:space="preserve">Why a binary model</w:t>
      </w:r>
    </w:p>
    <w:p>
      <w:pPr>
        <w:pStyle w:val="FirstParagraph"/>
      </w:pPr>
      <w:r>
        <w:t xml:space="preserve">Counts are useful, but policy readers often ask a simpler question: did a response occur at all? The logit model tests that threshold version of the hypothesis. It retains the same real public data, the same source trail, and the same target-activity control. This keeps the robustness test interpretable.</w:t>
      </w:r>
    </w:p>
    <w:bookmarkEnd w:id="62"/>
    <w:bookmarkStart w:id="63" w:name="evidence-base"/>
    <w:p>
      <w:pPr>
        <w:pStyle w:val="Heading2"/>
      </w:pPr>
      <w:r>
        <w:t xml:space="preserve">Evidence base</w:t>
      </w:r>
    </w:p>
    <w:p>
      <w:pPr>
        <w:pStyle w:val="FirstParagraph"/>
      </w:pPr>
      <w:r>
        <w:t xml:space="preserve">The panel draws from open-source source families rather than private intelligence. Trade values come from public trade series, GDP denominators from World Bank WDI, orbital activity from OOSA, UCS, and catalog records, and response-event context from Secure World Foundation’s counterspace assessment</w:t>
      </w:r>
      <w:r>
        <w:t xml:space="preserve"> </w:t>
      </w:r>
      <w:hyperlink w:anchor="ref-13">
        <m:oMathPara>
          <m:oMathParaPr>
            <m:jc m:val="center"/>
          </m:oMathParaPr>
          <m:oMath>
            <m:r>
              <m:t>13</m:t>
            </m:r>
          </m:oMath>
        </m:oMathPara>
      </w:hyperlink>
      <w:r>
        <w:t xml:space="preserve">-</w:t>
      </w:r>
      <w:hyperlink w:anchor="ref-19">
        <m:oMathPara>
          <m:oMathParaPr>
            <m:jc m:val="center"/>
          </m:oMathParaPr>
          <m:oMath>
            <m:r>
              <m:t>19</m:t>
            </m:r>
          </m:oMath>
        </m:oMathPara>
      </w:hyperlink>
      <w:r>
        <w:t xml:space="preserve">. The row-level source column lets a reviewer replace any hand-coded value with a more precise official pull in a later expansion.</w:t>
      </w:r>
    </w:p>
    <w:bookmarkEnd w:id="63"/>
    <w:bookmarkStart w:id="64" w:name="finding"/>
    <w:p>
      <w:pPr>
        <w:pStyle w:val="Heading2"/>
      </w:pPr>
      <w:r>
        <w:t xml:space="preserve">Finding</w:t>
      </w:r>
    </w:p>
    <w:p>
      <w:pPr>
        <w:pStyle w:val="FirstParagraph"/>
      </w:pPr>
      <w:r>
        <w:t xml:space="preserve">The logit coefficient on trade dependence is negative. Higher cross-domain economic exposure is associated with a lower probability that any rivalrous response appears in the response window, controlling for target activity. The result does not convert correlation into causation. It gives the dissertation a second method that points in the same direction as the count model.</w:t>
      </w:r>
    </w:p>
    <w:bookmarkEnd w:id="64"/>
    <w:bookmarkStart w:id="65" w:name="use-in-the-dissertation"/>
    <w:p>
      <w:pPr>
        <w:pStyle w:val="Heading2"/>
      </w:pPr>
      <w:r>
        <w:t xml:space="preserve">Use in the dissertation</w:t>
      </w:r>
    </w:p>
    <w:p>
      <w:pPr>
        <w:pStyle w:val="FirstParagraph"/>
      </w:pPr>
      <w:r>
        <w:t xml:space="preserve">Together, the OLS and logit papers make the prospectus operational. They show how a dyadic panel can join trade, GDP, space activity, and public counterspace chronology. They also define the next data expansion: annual dyad-year rows, fixed effects, event-window sensitivity, and an instrumental-variable shift-share design using sectoral trade shares.</w:t>
      </w:r>
    </w:p>
    <w:bookmarkEnd w:id="65"/>
    <w:bookmarkStart w:id="92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6" w:name="ref-1"/>
      <w:bookmarkEnd w:id="66"/>
      <w:r>
        <w:t xml:space="preserve">1. T. Phan and M. Jah, Socio-Technical Configuration Analysis of Space Objects for Enhanced Space Domain Awareness, Advanced Maui Optical and Space Surveillance Technologies Conference, 2025, doi:</w:t>
      </w:r>
      <w:r>
        <w:t xml:space="preserve"> </w:t>
      </w:r>
      <w:hyperlink r:id="rId67">
        <w:r>
          <w:rPr>
            <w:rStyle w:val="Hyperlink"/>
          </w:rPr>
          <w:t xml:space="preserve">10.64861/GDIM2412</w:t>
        </w:r>
      </w:hyperlink>
      <w:r>
        <w:t xml:space="preserve"> </w:t>
      </w:r>
      <w:bookmarkStart w:id="68" w:name="ref-2"/>
      <w:bookmarkEnd w:id="68"/>
      <w:r>
        <w:t xml:space="preserve">2. N. Jain and M. Borowitz, A System-of-Systems Approach Towards Future Space Traffic Management Autonomy and Policy Co-Design, Advanced Maui Optical and Space Surveillance Technologies Conference, 2023, doi:</w:t>
      </w:r>
      <w:r>
        <w:t xml:space="preserve"> </w:t>
      </w:r>
      <w:hyperlink r:id="rId69">
        <w:r>
          <w:rPr>
            <w:rStyle w:val="Hyperlink"/>
          </w:rPr>
          <w:t xml:space="preserve">10.64861/CKGQ5448</w:t>
        </w:r>
      </w:hyperlink>
      <w:r>
        <w:t xml:space="preserve"> </w:t>
      </w:r>
      <w:bookmarkStart w:id="70" w:name="ref-3"/>
      <w:bookmarkEnd w:id="70"/>
      <w:r>
        <w:t xml:space="preserve">3. H. Reed, R. Stilwell, B. Weeden, N. Dailey, and N. Tsamis, Sharing Operational Risk Information in the Space Domain to Facilitate Norms Development and Compliance Monitoring, Advanced Maui Optical and Space Surveillance Technologies Conference, 2022.</w:t>
      </w:r>
      <w:r>
        <w:t xml:space="preserve"> </w:t>
      </w:r>
      <w:bookmarkStart w:id="71" w:name="ref-6"/>
      <w:bookmarkEnd w:id="71"/>
      <w:r>
        <w:t xml:space="preserve">6. A. Paravano, B. Rosseau, G. Locatelli, M. Weinzierl, and P. Trucco, Toward the LEO Economy: A Value Assessment of Commercial Space Stations for Space and Non-Space Users, Acta Astronautica, 2024, doi:</w:t>
      </w:r>
      <w:r>
        <w:t xml:space="preserve"> </w:t>
      </w:r>
      <w:hyperlink r:id="rId72">
        <w:r>
          <w:rPr>
            <w:rStyle w:val="Hyperlink"/>
          </w:rPr>
          <w:t xml:space="preserve">10.1016/j.actaastro.2024.11.060</w:t>
        </w:r>
      </w:hyperlink>
      <w:r>
        <w:t xml:space="preserve"> </w:t>
      </w:r>
      <w:bookmarkStart w:id="73" w:name="ref-7"/>
      <w:bookmarkEnd w:id="73"/>
      <w:r>
        <w:t xml:space="preserve">7. P. Trucco, A. Paravano, and G. Locatelli, Framing the Dynamics of Risk Landscape Amidst Space Economy Trends, Acta Astronautica, 2025, doi:</w:t>
      </w:r>
      <w:r>
        <w:t xml:space="preserve"> </w:t>
      </w:r>
      <w:hyperlink r:id="rId74">
        <w:r>
          <w:rPr>
            <w:rStyle w:val="Hyperlink"/>
          </w:rPr>
          <w:t xml:space="preserve">10.1016/j.actaastro.2025.06.067</w:t>
        </w:r>
      </w:hyperlink>
      <w:r>
        <w:t xml:space="preserve"> </w:t>
      </w:r>
      <w:bookmarkStart w:id="75" w:name="ref-8"/>
      <w:bookmarkEnd w:id="75"/>
      <w:r>
        <w:t xml:space="preserve">8. C. Poirier, Establishing a Governance for Cyber Operations in Outer Space: Exploring Challenges Faced by Space and Cyber Commands, Acta Astronautica, 2025, doi:</w:t>
      </w:r>
      <w:r>
        <w:t xml:space="preserve"> </w:t>
      </w:r>
      <w:hyperlink r:id="rId76">
        <w:r>
          <w:rPr>
            <w:rStyle w:val="Hyperlink"/>
          </w:rPr>
          <w:t xml:space="preserve">10.1016/j.actaastro.2025.08.048</w:t>
        </w:r>
      </w:hyperlink>
      <w:r>
        <w:t xml:space="preserve"> </w:t>
      </w:r>
      <w:bookmarkStart w:id="77" w:name="ref-9"/>
      <w:bookmarkEnd w:id="77"/>
      <w:r>
        <w:t xml:space="preserve">9. R. O. Keohane and J. S. Nye, Power and Interdependence, 4th ed., Longman, 2012.</w:t>
      </w:r>
      <w:r>
        <w:t xml:space="preserve"> </w:t>
      </w:r>
      <w:bookmarkStart w:id="78" w:name="ref-10"/>
      <w:bookmarkEnd w:id="78"/>
      <w:r>
        <w:t xml:space="preserve">10. J. R. Oneal and B. Russett, The Kantian Peace: The Pacific Benefits of Democracy, Interdependence, and International Organizations, World Politics, vol. 52, no. 1, pp. 1-37, 1999.</w:t>
      </w:r>
      <w:r>
        <w:t xml:space="preserve"> </w:t>
      </w:r>
      <w:bookmarkStart w:id="79" w:name="ref-11"/>
      <w:bookmarkEnd w:id="79"/>
      <w:r>
        <w:t xml:space="preserve">11. S. W. Polachek, Conflict and Trade, Journal of Conflict Resolution, vol. 24, no. 1, pp. 55-78, 1980.</w:t>
      </w:r>
      <w:r>
        <w:t xml:space="preserve"> </w:t>
      </w:r>
      <w:bookmarkStart w:id="80" w:name="ref-12"/>
      <w:bookmarkEnd w:id="80"/>
      <w:r>
        <w:t xml:space="preserve">12. E. Gartzke, The Capitalist Peace, American Journal of Political Science, vol. 51, no. 1, pp. 166-191, 2007.</w:t>
      </w:r>
      <w:r>
        <w:t xml:space="preserve"> </w:t>
      </w:r>
      <w:bookmarkStart w:id="81" w:name="ref-13"/>
      <w:bookmarkEnd w:id="81"/>
      <w:r>
        <w:t xml:space="preserve">13. B. Weeden and V. Samson, Global Counterspace Capabilities: An Open Source Assessment, Secure World Foundation, 2024.</w:t>
      </w:r>
      <w:r>
        <w:t xml:space="preserve"> </w:t>
      </w:r>
      <w:bookmarkStart w:id="82" w:name="ref-14"/>
      <w:bookmarkEnd w:id="82"/>
      <w:r>
        <w:t xml:space="preserve">14. United Nations Office for Outer Space Affairs, Online Index of Objects Launched into Outer Space, accessed June 28, 2026, https://www.unoosa.org/oosa/osoindex/index.jspx.</w:t>
      </w:r>
      <w:r>
        <w:t xml:space="preserve"> </w:t>
      </w:r>
      <w:bookmarkStart w:id="83" w:name="ref-15"/>
      <w:bookmarkEnd w:id="83"/>
      <w:r>
        <w:t xml:space="preserve">15. Space-Track.org, Satellite Catalog public data service, accessed June 28, 2026, https://www.space-track.org/.</w:t>
      </w:r>
      <w:r>
        <w:t xml:space="preserve"> </w:t>
      </w:r>
      <w:bookmarkStart w:id="84" w:name="ref-16"/>
      <w:bookmarkEnd w:id="84"/>
      <w:r>
        <w:t xml:space="preserve">16. Union of Concerned Scientists, UCS Satellite Database, accessed June 28, 2026, https://www.ucsusa.org/resources/satellite-database.</w:t>
      </w:r>
      <w:r>
        <w:t xml:space="preserve"> </w:t>
      </w:r>
      <w:bookmarkStart w:id="85" w:name="ref-17"/>
      <w:bookmarkEnd w:id="85"/>
      <w:r>
        <w:t xml:space="preserve">17. World Bank, World Development Indicators, GDP current US dollars, accessed June 28, 2026, https://databank.worldbank.org/source/world-development-indicators.</w:t>
      </w:r>
      <w:r>
        <w:t xml:space="preserve"> </w:t>
      </w:r>
      <w:bookmarkStart w:id="86" w:name="ref-18"/>
      <w:bookmarkEnd w:id="86"/>
      <w:r>
        <w:t xml:space="preserve">18. United States Census Bureau, Trade in Goods with selected countries, accessed June 28, 2026, https://www.census.gov/foreign-trade/balance/.</w:t>
      </w:r>
      <w:r>
        <w:t xml:space="preserve"> </w:t>
      </w:r>
      <w:bookmarkStart w:id="87" w:name="ref-19"/>
      <w:bookmarkEnd w:id="87"/>
      <w:r>
        <w:t xml:space="preserve">19. United Nations Comtrade Database, bilateral merchandise trade data, accessed June 28, 2026, https://comtradeplus.un.org/.</w:t>
      </w:r>
      <w:r>
        <w:t xml:space="preserve"> </w:t>
      </w:r>
      <w:bookmarkStart w:id="88" w:name="ref-20"/>
      <w:bookmarkEnd w:id="88"/>
      <w:r>
        <w:t xml:space="preserve">20. CEPII, BACI International Trade Database at the Product Level, accessed June 28, 2026, http://www.cepii.fr/CEPII/en/bdd_modele/bdd_modele_item.asp?id=37.</w:t>
      </w:r>
      <w:r>
        <w:t xml:space="preserve"> </w:t>
      </w:r>
      <w:bookmarkStart w:id="89" w:name="ref-21"/>
      <w:bookmarkEnd w:id="89"/>
      <w:r>
        <w:t xml:space="preserve">21. Correlates of War Project, Militarized Interstate Disputes dataset, accessed June 28, 2026, https://correlatesofwar.org/data-sets/MIDs/.</w:t>
      </w:r>
      <w:r>
        <w:t xml:space="preserve"> </w:t>
      </w:r>
      <w:bookmarkStart w:id="90" w:name="ref-22"/>
      <w:bookmarkEnd w:id="90"/>
      <w:r>
        <w:t xml:space="preserve">22. Correlates of War Project, Formal Alliances dataset, accessed June 28, 2026, https://correlatesofwar.org/data-sets/formal-alliances/.</w:t>
      </w:r>
      <w:r>
        <w:t xml:space="preserve"> </w:t>
      </w:r>
      <w:bookmarkStart w:id="91" w:name="ref-23"/>
      <w:bookmarkEnd w:id="91"/>
      <w:r>
        <w:t xml:space="preserve">23. SIPRI, Military Expenditure Database, accessed June 28, 2026, https://www.sipri.org/databases/milex.</w:t>
      </w:r>
    </w:p>
    <w:bookmarkEnd w:id="92"/>
    <w:bookmarkStart w:id="93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t>P</m:t>
          </m:r>
          <m:r>
            <m:t>r</m:t>
          </m:r>
          <m:r>
            <m:rPr>
              <m:sty m:val="p"/>
            </m:rPr>
            <m:t>(</m:t>
          </m:r>
          <m:r>
            <m:t>R</m:t>
          </m:r>
          <m:r>
            <m:t>e</m:t>
          </m:r>
          <m:r>
            <m:t>s</m:t>
          </m:r>
          <m:r>
            <m:t>p</m:t>
          </m:r>
          <m:r>
            <m:t>o</m:t>
          </m:r>
          <m:r>
            <m:t>n</m:t>
          </m:r>
          <m:r>
            <m:t>s</m:t>
          </m:r>
          <m:sSub>
            <m:e>
              <m:r>
                <m:t>e</m:t>
              </m:r>
            </m:e>
            <m:sub>
              <m:r>
                <m:t>i</m:t>
              </m:r>
              <m:r>
                <m:t>j</m:t>
              </m:r>
              <m:r>
                <m:t>t</m:t>
              </m:r>
            </m:sub>
          </m:sSub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l</m:t>
          </m:r>
          <m:r>
            <m:t>o</m:t>
          </m:r>
          <m:r>
            <m:t>g</m:t>
          </m:r>
          <m:r>
            <m:t>i</m:t>
          </m:r>
          <m:sSup>
            <m:e>
              <m:r>
                <m:t>t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(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t>T</m:t>
          </m:r>
          <m:r>
            <m:t>r</m:t>
          </m:r>
          <m:r>
            <m:t>a</m:t>
          </m:r>
          <m:r>
            <m:t>d</m:t>
          </m:r>
          <m:r>
            <m:t>e</m:t>
          </m:r>
          <m:r>
            <m:t>D</m:t>
          </m:r>
          <m:r>
            <m:t>e</m:t>
          </m:r>
          <m:sSub>
            <m:e>
              <m:r>
                <m:t>p</m:t>
              </m:r>
            </m:e>
            <m:sub>
              <m:r>
                <m:t>i</m:t>
              </m:r>
              <m:r>
                <m:t>j</m:t>
              </m:r>
              <m:r>
                <m:rPr>
                  <m:sty m:val="p"/>
                </m:rPr>
                <m:t>,</m:t>
              </m:r>
              <m:r>
                <m:t>t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ln</m:t>
          </m:r>
          <m:r>
            <m:rPr>
              <m:sty m:val="p"/>
            </m:rPr>
            <m:t>(</m:t>
          </m:r>
          <m:r>
            <m:t>1</m:t>
          </m:r>
          <m:r>
            <m:rPr>
              <m:sty m:val="p"/>
            </m:rPr>
            <m:t>+</m:t>
          </m:r>
          <m:r>
            <m:t>A</m:t>
          </m:r>
          <m:r>
            <m:t>c</m:t>
          </m:r>
          <m:r>
            <m:t>t</m:t>
          </m:r>
          <m:r>
            <m:t>i</m:t>
          </m:r>
          <m:r>
            <m:t>v</m:t>
          </m:r>
          <m:r>
            <m:t>i</m:t>
          </m:r>
          <m:r>
            <m:t>t</m:t>
          </m:r>
          <m:sSub>
            <m:e>
              <m:r>
                <m:t>y</m:t>
              </m:r>
            </m:e>
            <m:sub>
              <m:r>
                <m:t>j</m:t>
              </m:r>
              <m:r>
                <m:rPr>
                  <m:sty m:val="p"/>
                </m:rPr>
                <m:t>,</m:t>
              </m:r>
              <m:r>
                <m:t>t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)</m:t>
          </m:r>
        </m:oMath>
      </m:oMathPara>
    </w:p>
    <w:bookmarkEnd w:id="93"/>
    <w:bookmarkStart w:id="97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-0.5049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3.0845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-0.1637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[-6.5503, 5.5405]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trade_dependence_pct_smaller_gdp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0.4859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-2.5039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0.0123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[-2.1691, -0.2643]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ln_target_activity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2.2354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1.3638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1.6391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0.1012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[-0.4376, 4.9085]</w:t>
            </w:r>
          </w:p>
        </w:tc>
      </w:tr>
    </w:tbl>
    <w:p>
      <w:pPr>
        <w:pStyle w:val="BodyText"/>
      </w:pPr>
      <w:r>
        <w:t xml:space="preserve">Fit: N = 24 pseudo_R2 = 0.5128 LL = -7.9418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Binary rivalrous response by cross-domain trade dependence." title="" id="95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INTL_GOVERNANCE_04\research_papers\p2\paper_fig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Binary rivalrous response by cross-domain trade dependence.</w:t>
      </w:r>
    </w:p>
    <w:bookmarkEnd w:id="97"/>
    <w:bookmarkStart w:id="101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98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observation_id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origin_state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target_state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period_year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bilateral_goods_trade_usd_billion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smaller_member_gdp_usd_billion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trade_dependence_pct_smaller_gdp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target_government_military_space_activity_count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origin_same_regime_response_count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any_rivalry_response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months_to_response_or_censor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ln_target_activity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2.1972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US-Russia goods trade around 2014; World Bank GDP; SWF counterspace chronology;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2.3979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US-Russia goods trade around 2014; World Bank GDP; SWF counterspace chronology;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2.0794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US-Russia goods trade around 2021; World Bank GDP; SWF Russia direct-ascent ASAT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2.5649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US-Russia goods trade around 2021; World Bank GDP; SWF Russia direct-ascent ASAT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2.9444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US-China goods trade around 2015; World Bank GDP; SWF China counterspace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598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US-China goods trade around 2015; World Bank GDP; SWF China counterspace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17820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US-China goods trade around 2021; World Bank GDP; SWF counterspace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17820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3.0445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US-China goods trade around 2021; World Bank GDP; SWF counterspace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92.9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2.8332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India-China goods trade around 2019; World Bank GDP; SWF India Mission Shakti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92.9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1.9459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India-China goods trade around 2019; World Bank GDP; SWF India Mission Shakti record; OOSA and UCS launch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JPN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US-Japan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JPN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US-Japan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33.25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US-Canada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33.25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US-Canada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DEU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1.3863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US-Germany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DEU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US-Germany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US-France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US-France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GBR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1.3863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US-United Kingdom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GBR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2.7726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US-United Kingdom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2.0794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China-Russia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China-Russia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JPN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China-Japan goods trade around 2021; World Bank GDP; OOSA and UCS launch records; SWF counterspace chronology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igv24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JPN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3.2958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China-Japan goods trade around 2021; World Bank GDP; OOSA and UCS launch records; SWF counterspace chronology</w:t>
            </w:r>
          </w:p>
        </w:tc>
      </w:tr>
    </w:tbl>
    <w:bookmarkEnd w:id="98"/>
    <w:bookmarkStart w:id="99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origin_same_regime_response_count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Count outcome for origin-state response activity in the same broad orbital regime within the public response window.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Hand-coded from cited OOSA, UCS, Space-Track, and SWF source families.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any_rivalry_response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Binary response outcome.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if origin_same_regime_response_count is greater than zero, otherwise zero.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trade_dependence_pct_smaller_gdp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Cross-domain economic dependence measure.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Bilateral goods trade divided by the smaller dyad member GDP, multiplied by 100.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target_government_military_space_activity_count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Target-state government or military space activity count for the period context.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public OOSA, UCS, and Space-Track source families.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ln_target_activity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Log-scaled target activity control.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Natural log of one plus target_government_military_space_activity_count.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months_to_response_or_censor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Timing variable for future survival extensions.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Months to first public response where observed, otherwise 36-month censoring window.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 source trail.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Each row lists trade, GDP, space activity, and counterspace chronology source families.</w:t>
            </w:r>
          </w:p>
        </w:tc>
      </w:tr>
    </w:tbl>
    <w:bookmarkEnd w:id="99"/>
    <w:bookmarkStart w:id="100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-0.5049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3.0845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-0.1637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[-6.5503, 5.5405]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trade_dependence_pct_smaller_gdp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0.4859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-2.5039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0.0123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[-2.1691, -0.2643]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ln_target_activity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2.2354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1.3638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1.6391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0.1012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[-0.4376, 4.9085]</w:t>
            </w:r>
          </w:p>
        </w:tc>
      </w:tr>
    </w:tbl>
    <w:p>
      <w:pPr>
        <w:pStyle w:val="BodyText"/>
      </w:pPr>
      <w:r>
        <w:t xml:space="preserve">Fit: N = 24 pseudo_R2 = 0.5128 LL = -7.9418</w:t>
      </w:r>
    </w:p>
    <w:bookmarkEnd w:id="100"/>
    <w:bookmarkEnd w:id="101"/>
    <w:bookmarkEnd w:id="102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94" Target="media/rId94.png" /><Relationship Type="http://schemas.openxmlformats.org/officeDocument/2006/relationships/hyperlink" Id="rId72" Target="https://doi.org/10.1016/j.actaastro.2024.11.060" TargetMode="External" /><Relationship Type="http://schemas.openxmlformats.org/officeDocument/2006/relationships/hyperlink" Id="rId74" Target="https://doi.org/10.1016/j.actaastro.2025.06.067" TargetMode="External" /><Relationship Type="http://schemas.openxmlformats.org/officeDocument/2006/relationships/hyperlink" Id="rId76" Target="https://doi.org/10.1016/j.actaastro.2025.08.048" TargetMode="External" /><Relationship Type="http://schemas.openxmlformats.org/officeDocument/2006/relationships/hyperlink" Id="rId69" Target="https://doi.org/10.64861/CKGQ5448" TargetMode="External" /><Relationship Type="http://schemas.openxmlformats.org/officeDocument/2006/relationships/hyperlink" Id="rId67" Target="https://doi.org/10.64861/GDIM2412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2" Target="https://doi.org/10.1016/j.actaastro.2024.11.060" TargetMode="External" /><Relationship Type="http://schemas.openxmlformats.org/officeDocument/2006/relationships/hyperlink" Id="rId74" Target="https://doi.org/10.1016/j.actaastro.2025.06.067" TargetMode="External" /><Relationship Type="http://schemas.openxmlformats.org/officeDocument/2006/relationships/hyperlink" Id="rId76" Target="https://doi.org/10.1016/j.actaastro.2025.08.048" TargetMode="External" /><Relationship Type="http://schemas.openxmlformats.org/officeDocument/2006/relationships/hyperlink" Id="rId69" Target="https://doi.org/10.64861/CKGQ5448" TargetMode="External" /><Relationship Type="http://schemas.openxmlformats.org/officeDocument/2006/relationships/hyperlink" Id="rId67" Target="https://doi.org/10.64861/GDIM2412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2026-06-28T12:27:19Z</dcterms:created>
  <dcterms:modified xsi:type="dcterms:W3CDTF">2026-06-28T12:27:19Z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