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COMPLEX INTERDEPENDENCE IN ORBIT: DOES CROSS-DOMAIN ECONOMIC TIES DAMPEN SPACE R</w:t>
      </w:r>
    </w:p>
    <w:p>
      <w:pPr>
        <w:jc w:val="center"/>
      </w:pPr>
    </w:p>
    <w:p>
      <w:pPr>
        <w:jc w:val="center"/>
      </w:pPr>
      <w:r>
        <w:rPr>
          <w:rFonts w:ascii="Times New Roman" w:hAnsi="Times New Roman"/>
          <w:sz w:val="24"/>
        </w:rPr>
        <w:t>by</w:t>
      </w:r>
    </w:p>
    <w:p>
      <w:pPr>
        <w:jc w:val="center"/>
      </w:pPr>
      <w:r>
        <w:rPr>
          <w:rFonts w:ascii="Times New Roman" w:hAnsi="Times New Roman"/>
          <w:b/>
          <w:sz w:val="28"/>
        </w:rPr>
        <w:t>Astrid Mercer</w:t>
      </w:r>
    </w:p>
    <w:p>
      <w:pPr>
        <w:jc w:val="center"/>
      </w:pPr>
      <w:r>
        <w:rPr>
          <w:rFonts w:ascii="Times New Roman" w:hAnsi="Times New Roman"/>
          <w:sz w:val="24"/>
        </w:rPr>
        <w:t>1B-IGV-149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Xd5145e39ecb3e5eb8299181766a563f62563a12"/>
    <w:p>
      <w:pPr>
        <w:pStyle w:val="Heading1"/>
        <w:spacing w:line="480" w:lineRule="auto"/>
      </w:pPr>
      <w:r>
        <w:t xml:space="preserve">Chapter 1. Introduction and Central Claim</w:t>
      </w:r>
    </w:p>
    <w:p>
      <w:pPr>
        <w:pStyle w:val="FirstParagraph"/>
        <w:spacing w:line="480" w:lineRule="auto"/>
      </w:pPr>
      <w:r>
        <w:t xml:space="preserve">Space rivalry used to read as a military story. Two great powers built launchers, flew reconnaissance satellites, tested weapons that could reach orbit, and analysts scored the contest by counting hardware. That frame no longer fits the object it is meant to describe. Orbital activity now sits inside a dense socio-technical system of satellite operators, orbital regimes, traffic-management rules, commercial service providers, insurers, and an open-source observation community that can watch much of what happens above the atmosphere and publish it within days</w:t>
      </w:r>
      <w:r>
        <w:t xml:space="preserve"> </w:t>
      </w:r>
      <w:hyperlink w:anchor="ref-1">
        <w:r>
          <w:rPr>
            <w:rStyle w:val="Hyperlink"/>
          </w:rPr>
          <w:t xml:space="preserve">[1]</w:t>
        </w:r>
      </w:hyperlink>
      <w:r>
        <w:t xml:space="preserve"> </w:t>
      </w:r>
      <w:hyperlink w:anchor="ref-2">
        <w:r>
          <w:rPr>
            <w:rStyle w:val="Hyperlink"/>
          </w:rPr>
          <w:t xml:space="preserve">[2]</w:t>
        </w:r>
      </w:hyperlink>
      <w:r>
        <w:t xml:space="preserve">. A single launch can be scientific, commercial, military, and diplomatic at once. Reading it through capability alone throws away most of the information the event actually carries. This dissertation asks a political-economy question about that system. When two spacefaring states are economically tied to each other outside the space sector, do those ties dampen the rivalrous behavior they later display in orbit? The question is submitted on behalf of Astrid Mercer (1B-IGV-149) under the title Complex Interdependence in Orbit: Do Cross-Domain Economic Ties Dampen Space Rivalry. The central claim is bounded and falsifiable: higher cross-domain economic dependence between two states is associated with fewer subsequent rivalrous space responses in a hand-built, fully sourced public-record panel. The claim survives two estimators pointed at the same data. It is not offered as a universal law of orbital politics, and the reasons for that restraint are as important as the finding itself.</w:t>
      </w:r>
    </w:p>
    <w:bookmarkStart w:id="61" w:name="the-problem-this-dissertation-addresses"/>
    <w:p>
      <w:pPr>
        <w:pStyle w:val="Heading2"/>
        <w:spacing w:line="480" w:lineRule="auto"/>
      </w:pPr>
      <w:r>
        <w:t xml:space="preserve">The problem this dissertation addresses</w:t>
      </w:r>
    </w:p>
    <w:p>
      <w:pPr>
        <w:pStyle w:val="FirstParagraph"/>
        <w:spacing w:line="480" w:lineRule="auto"/>
      </w:pPr>
      <w:r>
        <w:t xml:space="preserve">Two research communities have circled this question without joining hands. The first is the space-governance and space-domain-awareness community, which has taught the field to treat orbital objects as configured social and technical entities rather than as bare ephemerides, and to treat space traffic management as a system-of-systems problem in which autonomy, policy design, and operational coordination interact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community has also shown that sharing operational risk information can seed norms development and compliance monitoring among rivals who otherwise share very little</w:t>
      </w:r>
      <w:r>
        <w:t xml:space="preserve"> </w:t>
      </w:r>
      <w:hyperlink w:anchor="ref-3">
        <w:r>
          <w:rPr>
            <w:rStyle w:val="Hyperlink"/>
          </w:rPr>
          <w:t xml:space="preserve">[3]</w:t>
        </w:r>
      </w:hyperlink>
      <w:r>
        <w:t xml:space="preserve">. These are deep contributions. None of them estimates whether an economic relationship that has nothing to do with satellites changes how two states behave toward each other in orbit. The second community studies the space economy and its risk landscape. Work on the low-Earth-orbit economy assesses the value that commercial space stations could deliver to space users and, more tellingly, to non-space users whose interest in orbit runs through supply chains, data services, and industrial policy rather than through missions of their own</w:t>
      </w:r>
      <w:r>
        <w:t xml:space="preserve"> </w:t>
      </w:r>
      <w:hyperlink w:anchor="ref-6">
        <w:r>
          <w:rPr>
            <w:rStyle w:val="Hyperlink"/>
          </w:rPr>
          <w:t xml:space="preserve">[6]</w:t>
        </w:r>
      </w:hyperlink>
      <w:r>
        <w:t xml:space="preserve">. Adjacent work frames how the risk environment itself shifts as space activity becomes more commercially heterogeneous and more economically embedded</w:t>
      </w:r>
      <w:r>
        <w:t xml:space="preserve"> </w:t>
      </w:r>
      <w:hyperlink w:anchor="ref-7">
        <w:r>
          <w:rPr>
            <w:rStyle w:val="Hyperlink"/>
          </w:rPr>
          <w:t xml:space="preserve">[7]</w:t>
        </w:r>
      </w:hyperlink>
      <w:r>
        <w:t xml:space="preserve">. A parallel strand on cross-domain governance, including the difficult problem of cyber operations against space systems, shows that the incentive structure around orbital behavior reaches well past the launch pad</w:t>
      </w:r>
      <w:r>
        <w:t xml:space="preserve"> </w:t>
      </w:r>
      <w:hyperlink w:anchor="ref-8">
        <w:r>
          <w:rPr>
            <w:rStyle w:val="Hyperlink"/>
          </w:rPr>
          <w:t xml:space="preserve">[8]</w:t>
        </w:r>
      </w:hyperlink>
      <w:r>
        <w:t xml:space="preserve">. This community establishes that space activity is economically embedded. It stops short of a dyadic test of whether that embeddedness produces restraint.</w:t>
      </w:r>
    </w:p>
    <w:p>
      <w:pPr>
        <w:pStyle w:val="BodyText"/>
        <w:spacing w:line="480" w:lineRule="auto"/>
        <w:ind w:firstLine="720"/>
      </w:pPr>
      <w:r>
        <w:t xml:space="preserve">The gap is precise. No one has built a directed-dyad measurement that joins public orbital-behavior records to public economic-dependence records and asked, with an estimator and a stated uncertainty, whether economic ties track lower rivalry. Filling that gap, even at pilot scale, is the work of this dissertation.</w:t>
      </w:r>
    </w:p>
    <w:bookmarkEnd w:id="61"/>
    <w:bookmarkStart w:id="62" w:name="the-single-contribution"/>
    <w:p>
      <w:pPr>
        <w:pStyle w:val="Heading2"/>
        <w:spacing w:line="480" w:lineRule="auto"/>
      </w:pPr>
      <w:r>
        <w:t xml:space="preserve">The single contribution</w:t>
      </w:r>
    </w:p>
    <w:p>
      <w:pPr>
        <w:pStyle w:val="FirstParagraph"/>
        <w:spacing w:line="480" w:lineRule="auto"/>
      </w:pPr>
      <w:r>
        <w:t xml:space="preserve">Here is the hinge of the whole project. Trade changes incentives, and incentives leave traces in public records that anyone can inspect. The contribution is one falsifiable proposition, tested rather than asserted. Let the outcome be a directed dyad-period count of rivalrous space responses: government or military orbital activity by an origin state in the same broad orbital regime, coded within a public response window after comparable activity by a target state. Let the treatment be cross-domain economic dependence, measured as bilateral goods trade divided by the smaller dyad member’s gross domestic product. The proposition is that the treatment carries a negative coefficient on the outcome. If cross-domain economic ties dampen rivalry, the sign is negative; if they do not, the sign is non-negative and the proposition fails. That is the entire wager, and it is designed so that a hostile reviewer could overturn it with the same public data. The dissertation delivers three things around that wager. It delivers a method that joins economic and orbital source families into a single auditable unit of observation. It delivers a dataset in which every row names the dyad, the year, the trade exposure, the target activity, the response count, and the source trail behind each value. And it delivers a finding: across a count model and a binary-response model, higher trade dependence is associated with lower observed rivalrous behavior, with the uncertainty reported openly rather than buried.</w:t>
      </w:r>
    </w:p>
    <w:bookmarkEnd w:id="62"/>
    <w:bookmarkStart w:id="63" w:name="why-the-evidence-is-bounded-on-purpose"/>
    <w:p>
      <w:pPr>
        <w:pStyle w:val="Heading2"/>
        <w:spacing w:line="480" w:lineRule="auto"/>
      </w:pPr>
      <w:r>
        <w:t xml:space="preserve">Why the evidence is bounded on purpose</w:t>
      </w:r>
    </w:p>
    <w:p>
      <w:pPr>
        <w:pStyle w:val="FirstParagraph"/>
        <w:spacing w:line="480" w:lineRule="auto"/>
      </w:pPr>
      <w:r>
        <w:t xml:space="preserve">The prospectus for this project imagined a global directed dyad-year panel with country-year fixed effects, dyad fixed effects, and a shift-share instrument built from pre-period sectoral trade composition. That design remains the right destination. It is not what this dissertation delivers, and the substitution is deliberate rather than a concession. A bounded, hand-verified pilot panel earns something the grand design cannot promise at the outset: every observation is inspectable. A skeptical reader can open the workbook, find the row for the United States and Russia in 2014, see the trade figure, the smaller-member gross domestic product, the coded response count, and the named source families behind each, and then decide whether the coding rule was fair before trusting any coefficient.</w:t>
      </w:r>
    </w:p>
    <w:p>
      <w:pPr>
        <w:pStyle w:val="BodyText"/>
        <w:spacing w:line="480" w:lineRule="auto"/>
        <w:ind w:firstLine="720"/>
      </w:pPr>
      <w:r>
        <w:t xml:space="preserve">That inspectability matters more in this domain than in almost any other.</w:t>
      </w:r>
    </w:p>
    <w:p>
      <w:pPr>
        <w:pStyle w:val="BodyText"/>
        <w:spacing w:line="480" w:lineRule="auto"/>
        <w:ind w:firstLine="720"/>
      </w:pPr>
      <w:r>
        <w:t xml:space="preserve">Space rivalry is dual-use to its core. A government satellite can serve reconnaissance, early warning, communications, or routine civil functions, and public records rarely resolve the ambiguity cleanly. An analyst who hides that ambiguity inside a large opaque panel produces precision without honesty. An analyst who exposes it inside a small transparent panel produces a bounded claim that a reader can actually evaluate. This dissertation chooses the second path. It reports an association in a pilot panel and refuses to inflate it into a law of orbital politics.</w:t>
      </w:r>
    </w:p>
    <w:p>
      <w:pPr>
        <w:pStyle w:val="BodyText"/>
        <w:spacing w:line="480" w:lineRule="auto"/>
        <w:ind w:firstLine="720"/>
      </w:pPr>
      <w:r>
        <w:t xml:space="preserve">The choice also protects the falsifiability of the contribution as the work scales.</w:t>
      </w:r>
    </w:p>
    <w:p>
      <w:pPr>
        <w:pStyle w:val="BodyText"/>
        <w:spacing w:line="480" w:lineRule="auto"/>
        <w:ind w:firstLine="720"/>
      </w:pPr>
      <w:r>
        <w:t xml:space="preserve">Because the pilot fixes the unit, the treatment, the outcome, and the source logic, every future expansion inherits the same architecture. Add annual dyad-year rows, swap a hand-coded trade value for a direct bilateral pull, widen or narrow the response window, split civil activity from military activity, and the test still means the same thing. The proposition does not have to be reinvented to be enlarged. That is what separates a reproducible pilot from a thematic essay that happens to mention satellites.</w:t>
      </w:r>
    </w:p>
    <w:bookmarkEnd w:id="63"/>
    <w:bookmarkStart w:id="64" w:name="stakes-for-governance-and-program-design"/>
    <w:p>
      <w:pPr>
        <w:pStyle w:val="Heading2"/>
        <w:spacing w:line="480" w:lineRule="auto"/>
      </w:pPr>
      <w:r>
        <w:t xml:space="preserve">Stakes for governance and program design</w:t>
      </w:r>
    </w:p>
    <w:p>
      <w:pPr>
        <w:pStyle w:val="FirstParagraph"/>
        <w:spacing w:line="480" w:lineRule="auto"/>
      </w:pPr>
      <w:r>
        <w:t xml:space="preserve">Suppose the association is real and survives a larger design. The implication for space governance is direct. Orbital security could no longer be read only through launch counts, doctrine documents, and military budgets, because a variable that lives entirely outside the space sector, namely the depth of two states’ ordinary goods trade, would carry information about how they behave toward each other above the atmosphere. Trade exposure, institutional co-participation, and non-space economic dependence would become part of the orbital security environment rather than background noise. That reframing has practical edges. A diplomat weighing which dyads are most likely to escalate in orbit would gain a cheap, public leading indicator. A program office deciding where operational risk-information sharing is most likely to take root would have a way to prioritize, since the norms-development channel documented in the risk-sharing literature may find more traction where economic interdependence already raises the cost of visible rivalry</w:t>
      </w:r>
      <w:r>
        <w:t xml:space="preserve"> </w:t>
      </w:r>
      <w:hyperlink w:anchor="ref-3">
        <w:r>
          <w:rPr>
            <w:rStyle w:val="Hyperlink"/>
          </w:rPr>
          <w:t xml:space="preserve">[3]</w:t>
        </w:r>
      </w:hyperlink>
      <w:r>
        <w:t xml:space="preserve"> </w:t>
      </w:r>
      <w:hyperlink w:anchor="ref-4">
        <w:r>
          <w:rPr>
            <w:rStyle w:val="Hyperlink"/>
          </w:rPr>
          <w:t xml:space="preserve">[4]</w:t>
        </w:r>
      </w:hyperlink>
      <w:r>
        <w:t xml:space="preserve">. An insurer or commercial operator assessing the stability of a given orbital neighborhood would have a variable to watch. None of this requires the pilot to be the final word. It requires only that the measurement be honest and the direction be legible, which is exactly what the dissertation is built to provide.</w:t>
      </w:r>
    </w:p>
    <w:p>
      <w:pPr>
        <w:pStyle w:val="BodyText"/>
        <w:spacing w:line="480" w:lineRule="auto"/>
        <w:ind w:firstLine="720"/>
      </w:pPr>
      <w:r>
        <w:t xml:space="preserve">The stakes also run the other way. If the sign had come back non-negative, that too would be governance-relevant, because it would warn against the comfortable assumption that commercial entanglement quietly buys restraint in orbit. A field that wants to use interdependence as a policy lever needs to know whether the lever connects to anything. The value of a falsifiable test is that it answers in either direction.</w:t>
      </w:r>
    </w:p>
    <w:p>
      <w:pPr>
        <w:pStyle w:val="BodyText"/>
        <w:spacing w:line="480" w:lineRule="auto"/>
        <w:ind w:firstLine="720"/>
      </w:pPr>
      <w:r>
        <w:t xml:space="preserve">There is a further stake for the credibility of open-source analysis itself.</w:t>
      </w:r>
    </w:p>
    <w:p>
      <w:pPr>
        <w:pStyle w:val="BodyText"/>
        <w:spacing w:line="480" w:lineRule="auto"/>
        <w:ind w:firstLine="720"/>
      </w:pPr>
      <w:r>
        <w:t xml:space="preserve">Space governance increasingly relies on public data because classified assessments cannot be shared across the diplomatic, commercial, and academic communities that must coordinate on orbital norms</w:t>
      </w:r>
      <w:r>
        <w:t xml:space="preserve"> </w:t>
      </w:r>
      <w:hyperlink w:anchor="ref-3">
        <w:r>
          <w:rPr>
            <w:rStyle w:val="Hyperlink"/>
          </w:rPr>
          <w:t xml:space="preserve">[3]</w:t>
        </w:r>
      </w:hyperlink>
      <w:r>
        <w:t xml:space="preserve"> </w:t>
      </w:r>
      <w:hyperlink w:anchor="ref-4">
        <w:r>
          <w:rPr>
            <w:rStyle w:val="Hyperlink"/>
          </w:rPr>
          <w:t xml:space="preserve">[4]</w:t>
        </w:r>
      </w:hyperlink>
      <w:r>
        <w:t xml:space="preserve">. If a proposition of real strategic interest can be tested honestly on public records, with the uncertainty stated and every value traceable, then open-source analysis earns a seat at tables where it is often treated as second-best to classified work. The dissertation is, among other things, a demonstration that a public-record pilot can carry a falsifiable argument. That demonstration matters beyond the specific finding, because it models a way of doing space-security research that the field’s own collaborative structure requires.</w:t>
      </w:r>
    </w:p>
    <w:bookmarkEnd w:id="64"/>
    <w:bookmarkStart w:id="65" w:name="what-the-reader-should-expect"/>
    <w:p>
      <w:pPr>
        <w:pStyle w:val="Heading2"/>
        <w:spacing w:line="480" w:lineRule="auto"/>
      </w:pPr>
      <w:r>
        <w:t xml:space="preserve">What the reader should expect</w:t>
      </w:r>
    </w:p>
    <w:p>
      <w:pPr>
        <w:pStyle w:val="FirstParagraph"/>
        <w:spacing w:line="480" w:lineRule="auto"/>
      </w:pPr>
      <w:r>
        <w:t xml:space="preserve">The measurement is modest. The evidence still matters, precisely because it is measurement rather than metaphor.</w:t>
      </w:r>
    </w:p>
    <w:p>
      <w:pPr>
        <w:pStyle w:val="BodyText"/>
        <w:spacing w:line="480" w:lineRule="auto"/>
        <w:ind w:firstLine="720"/>
      </w:pPr>
      <w:r>
        <w:t xml:space="preserve">This project deliberately joins three streams that are usually read apart. Public orbital-activity records describe who launched what, when, and into which regime. Public economic-exposure data describe how deeply two economies are tied outside space. Open-source counterspace chronologies describe how states signal, test, shadow, and answer one another in orbit, including the direct-ascent tests and proximity operations that mark the sharpest edges of rivalry</w:t>
      </w:r>
      <w:r>
        <w:t xml:space="preserve"> </w:t>
      </w:r>
      <w:hyperlink w:anchor="ref-13">
        <w:r>
          <w:rPr>
            <w:rStyle w:val="Hyperlink"/>
          </w:rPr>
          <w:t xml:space="preserve">[13]</w:t>
        </w:r>
      </w:hyperlink>
      <w:r>
        <w:t xml:space="preserve">. Held apart, each stream supports a different community talking past the others. A trade analyst sees exposure, a military analyst sees capability, a traffic specialist sees operational risk, and a norms specialist sees the slow accretion of shared expectations. The dissertation does not merge those views by assertion. It gives them a single empirical object that each can inspect, enlarge, and dispute.</w:t>
      </w:r>
    </w:p>
    <w:bookmarkEnd w:id="65"/>
    <w:bookmarkStart w:id="66" w:name="why-the-question-is-timely"/>
    <w:p>
      <w:pPr>
        <w:pStyle w:val="Heading2"/>
        <w:spacing w:line="480" w:lineRule="auto"/>
      </w:pPr>
      <w:r>
        <w:t xml:space="preserve">Why the question is timely</w:t>
      </w:r>
    </w:p>
    <w:p>
      <w:pPr>
        <w:pStyle w:val="FirstParagraph"/>
        <w:spacing w:line="480" w:lineRule="auto"/>
      </w:pPr>
      <w:r>
        <w:t xml:space="preserve">The question would have been unanswerable a generation ago and unavoidable now. Two shifts make it both. The first is observational. The open-source space-tracking ecosystem, built from public catalogs, amateur and commercial sensors, and standing counterspace assessments, has made a large fraction of orbital behavior legible to anyone willing to read it</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Behavior that once vanished into classified files now surfaces in public chronologies within days of the event. That legibility is the precondition for treating orbital rivalry as a measurable variable rather than an inference from doctrine. The second shift is economic. The orbital economy has crossed from a government-dominated enterprise into a commercially heterogeneous system whose stakeholders include firms, insurers, and downstream users who never launch a satellite of their own</w:t>
      </w:r>
      <w:r>
        <w:t xml:space="preserve"> </w:t>
      </w:r>
      <w:hyperlink w:anchor="ref-6">
        <w:r>
          <w:rPr>
            <w:rStyle w:val="Hyperlink"/>
          </w:rPr>
          <w:t xml:space="preserve">[6]</w:t>
        </w:r>
      </w:hyperlink>
      <w:r>
        <w:t xml:space="preserve">. As commercial stations, launch services, and space-derived data services proliferate, the economic stakes of orbital stability spread across constituencies that also participate in the terrestrial trade relationship between rival states</w:t>
      </w:r>
      <w:r>
        <w:t xml:space="preserve"> </w:t>
      </w:r>
      <w:hyperlink w:anchor="ref-7">
        <w:r>
          <w:rPr>
            <w:rStyle w:val="Hyperlink"/>
          </w:rPr>
          <w:t xml:space="preserve">[7]</w:t>
        </w:r>
      </w:hyperlink>
      <w:r>
        <w:t xml:space="preserve">. The two domains, ordinary commerce and orbital behavior, are more tightly coupled than at any point in the space age. A cross-domain question that would once have seemed contrived is now a natural description of how the system actually works.</w:t>
      </w:r>
    </w:p>
    <w:p>
      <w:pPr>
        <w:pStyle w:val="BodyText"/>
        <w:spacing w:line="480" w:lineRule="auto"/>
        <w:ind w:firstLine="720"/>
      </w:pPr>
      <w:r>
        <w:t xml:space="preserve">Together these shifts convert a theoretical curiosity into a live empirical problem. The theory of complex interdependence was available for decades; what was missing was a domain in which both the economic tie and the rivalrous behavior could be measured from public records and joined in a single observation. Space has quietly become that domain. The dissertation seizes the moment the data made possible.</w:t>
      </w:r>
    </w:p>
    <w:bookmarkEnd w:id="66"/>
    <w:bookmarkStart w:id="67" w:name="a-note-on-scope-and-register"/>
    <w:p>
      <w:pPr>
        <w:pStyle w:val="Heading2"/>
        <w:spacing w:line="480" w:lineRule="auto"/>
      </w:pPr>
      <w:r>
        <w:t xml:space="preserve">A note on scope and register</w:t>
      </w:r>
    </w:p>
    <w:p>
      <w:pPr>
        <w:pStyle w:val="FirstParagraph"/>
        <w:spacing w:line="480" w:lineRule="auto"/>
      </w:pPr>
      <w:r>
        <w:t xml:space="preserve">Two clarifications keep the reader oriented before the argument begins. The study is dyadic and directed. It does not model the full network of spacefaring states simultaneously, and it does not claim to. A directed dyad-period is a deliberately narrow window, chosen because it is the smallest unit in which the treatment and the outcome coexist, and the narrowness is a feature that keeps every inference inspectable rather than a limitation smuggled in unacknowledged. The register throughout is empirical rather than polemical. The dissertation takes no position on whether states should deepen economic ties to manage orbital rivalry; it asks only whether, in the observed record, the two move together. That distinction between description and prescription is held firmly, because a bounded pilot is entitled to report an association and is not entitled to recommend a policy lever. Readers looking for advocacy will not find it here. Readers looking for a falsifiable measurement, honestly bounded, will. The distinction is not pedantic. A study that slides from description into prescription tends to bend its measurement toward the recommendation it wants to make, and the surest defense against that bias is to refuse the recommendation entirely and report only what the record shows</w:t>
      </w:r>
      <w:r>
        <w:t xml:space="preserve"> </w:t>
      </w:r>
      <w:hyperlink w:anchor="ref-9">
        <w:r>
          <w:rPr>
            <w:rStyle w:val="Hyperlink"/>
          </w:rPr>
          <w:t xml:space="preserve">[9]</w:t>
        </w:r>
      </w:hyperlink>
      <w:r>
        <w:t xml:space="preserve">.</w:t>
      </w:r>
    </w:p>
    <w:bookmarkEnd w:id="67"/>
    <w:bookmarkStart w:id="68" w:name="the-argument-in-one-paragraph"/>
    <w:p>
      <w:pPr>
        <w:pStyle w:val="Heading2"/>
        <w:spacing w:line="480" w:lineRule="auto"/>
      </w:pPr>
      <w:r>
        <w:t xml:space="preserve">The argument in one paragraph</w:t>
      </w:r>
    </w:p>
    <w:p>
      <w:pPr>
        <w:pStyle w:val="FirstParagraph"/>
        <w:spacing w:line="480" w:lineRule="auto"/>
      </w:pPr>
      <w:r>
        <w:t xml:space="preserve">Reduced to its spine, the argument runs as follows. Complex interdependence and its commercial-peace descendants predict that states with more to lose commercially display more restraint toward each other, because visible hostility rebounds through multiple economic channels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Orbit has become a domain where both the economic tie and the rivalrous behavior are measurable from public records: trade dependence from public trade and product data, rivalrous response from satellite catalogs and counterspace chronologies</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Joining the two in a directed dyad-period observation and conditioning on the rival’s own activity, the dissertation asks whether the predicted negative sign appears. It does, across a count model and a binary model, on twenty-four fully sourced observations. The finding is an association in a bounded panel, not a causal law, and its value lies in being a falsifiable first test that could have failed and did not. The reader will find, throughout, that the dissertation prefers a smaller claim it can defend to a larger one it cannot, and treats every qualifier as load-bearing rather than as a rhetorical softening</w:t>
      </w:r>
      <w:r>
        <w:t xml:space="preserve"> </w:t>
      </w:r>
      <w:hyperlink w:anchor="ref-9">
        <w:r>
          <w:rPr>
            <w:rStyle w:val="Hyperlink"/>
          </w:rPr>
          <w:t xml:space="preserve">[9]</w:t>
        </w:r>
      </w:hyperlink>
      <w:r>
        <w:t xml:space="preserve">.</w:t>
      </w:r>
    </w:p>
    <w:p>
      <w:pPr>
        <w:pStyle w:val="BodyText"/>
        <w:spacing w:line="480" w:lineRule="auto"/>
        <w:ind w:firstLine="720"/>
      </w:pPr>
      <w:r>
        <w:t xml:space="preserve">The remainder proceeds in a conventional doctoral arc. Chapter 2 situates the argument against complex-interdependence theory, commercial-peace scholarship, and the space-governance literature that makes this domain distinctive. Chapter 3 states the mechanism and the testable hypotheses, tracing how bilateral exposure could raise the opportunity cost of visible orbital rivalry. Chapter 4 develops the methodology and identification, explaining what the ordinary-least-squares count model and the logit model can and cannot recover from a bounded panel. Chapter 5 documents the data and measurement in full, from the twenty-four directed dyad-period observations to the source families behind each variable. Chapter 6 reports both estimators exactly as they were run, including coefficients, standard errors, significance, and fit, and interprets the signs and magnitudes. Chapter 7 confronts the threats to validity and states plainly what the data cannot show. Chapter 8 draws the contribution together, connects it to governance and program relevance, and lays out the expansion path the pilot was built to enable.</w:t>
      </w:r>
    </w:p>
    <w:p>
      <w:pPr>
        <w:pStyle w:val="BodyText"/>
        <w:spacing w:line="480" w:lineRule="auto"/>
        <w:ind w:firstLine="720"/>
      </w:pPr>
      <w:r>
        <w:t xml:space="preserve">One final orientation. The dissertation’s claim depends on a chain that is easy to flatten if it is rushed. Bilateral trade creates measurable exposure. Exposure can raise the opportunity cost of visible rivalry. Public satellite and counterspace records reveal some subset of orbital behavior. The analyst must then judge whether the observed pattern is strong enough to license a bounded inference rather than a sweeping theory. That chain is the spine of the whole document. A reader who follows the source family, inspects a coded row, evaluates the estimator, and weighs the qualifier will be in a position to decide whether the argument earns its conclusion. The chapters that follow are written to make that judgment possible, not to foreclose it. The economic embeddedness of the modern orbital economy, documented across the commercial-station and risk-landscape literatures, is what makes the question worth asking in the first place</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68"/>
    <w:bookmarkEnd w:id="69"/>
    <w:bookmarkStart w:id="79" w:name="Xefaa1711ac2b2a21b19b7836ed1bf0bacaf65ad"/>
    <w:p>
      <w:pPr>
        <w:pStyle w:val="Heading1"/>
        <w:spacing w:line="480" w:lineRule="auto"/>
      </w:pPr>
      <w:r>
        <w:t xml:space="preserve">Chapter 2. Literature and Intellectual Situation</w:t>
      </w:r>
    </w:p>
    <w:p>
      <w:pPr>
        <w:pStyle w:val="FirstParagraph"/>
        <w:spacing w:line="480" w:lineRule="auto"/>
      </w:pPr>
      <w:r>
        <w:t xml:space="preserve">The argument of this dissertation lives at the meeting point of three literatures that rarely cite one another.</w:t>
      </w:r>
    </w:p>
    <w:p>
      <w:pPr>
        <w:pStyle w:val="BodyText"/>
        <w:spacing w:line="480" w:lineRule="auto"/>
        <w:ind w:firstLine="720"/>
      </w:pPr>
      <w:r>
        <w:t xml:space="preserve">One explains why economic ties might restrain conflict. A second explains why space is a distinctive strategic domain. A third explains why space is now economically embedded rather than sealed off from ordinary commerce. This chapter reads each in turn, marks what it supplies to the project, and names the seam that none of them has yet stitched. The goal is not a survey for its own sake. It is to show that the dissertation’s proposition is the missing joint between mature bodies of work, not a novelty invented in isolation.</w:t>
      </w:r>
    </w:p>
    <w:bookmarkStart w:id="70" w:name="complex-interdependence-as-the-spine"/>
    <w:p>
      <w:pPr>
        <w:pStyle w:val="Heading2"/>
        <w:spacing w:line="480" w:lineRule="auto"/>
      </w:pPr>
      <w:r>
        <w:t xml:space="preserve">Complex interdependence as the spine</w:t>
      </w:r>
    </w:p>
    <w:p>
      <w:pPr>
        <w:pStyle w:val="FirstParagraph"/>
        <w:spacing w:line="480" w:lineRule="auto"/>
      </w:pPr>
      <w:r>
        <w:t xml:space="preserve">Complex interdependence supplies the load-bearing frame. Keohane and Nye describe a world in which states connect through multiple channels, in which the old hierarchy among issue areas erodes, and in which military force becomes a less usable instrument as issues cross-link and constituencies with a stake in the relationship multiply</w:t>
      </w:r>
      <w:r>
        <w:t xml:space="preserve"> </w:t>
      </w:r>
      <w:hyperlink w:anchor="ref-9">
        <w:r>
          <w:rPr>
            <w:rStyle w:val="Hyperlink"/>
          </w:rPr>
          <w:t xml:space="preserve">[9]</w:t>
        </w:r>
      </w:hyperlink>
      <w:r>
        <w:t xml:space="preserve">. The claim is not that force disappears. It is that the cost of using it, or of behaving in ways that threaten to trigger it, rises as the two societies become entangled across many issues at once. Applied to orbit, the frame predicts something concrete. Two states that are deeply tied outside the space sector face more channels through which visible rivalry in orbit can rebound on them, and so should, on average, behave with more restraint.</w:t>
      </w:r>
    </w:p>
    <w:p>
      <w:pPr>
        <w:pStyle w:val="BodyText"/>
        <w:spacing w:line="480" w:lineRule="auto"/>
        <w:ind w:firstLine="720"/>
      </w:pPr>
      <w:r>
        <w:t xml:space="preserve">The frame does not travel to space unmodified, and the dissertation is careful not to pretend it does.</w:t>
      </w:r>
    </w:p>
    <w:p>
      <w:pPr>
        <w:pStyle w:val="BodyText"/>
        <w:spacing w:line="480" w:lineRule="auto"/>
        <w:ind w:firstLine="720"/>
      </w:pPr>
      <w:r>
        <w:t xml:space="preserve">Keohane and Nye wrote about issue areas that were already recognized as political. Orbit adds a domain where the same event is simultaneously technical, commercial, and strategic, where the actors include private operators as well as governments, and where much of the behavior is observable only through open-source proxies. The interdependence frame tells the analyst where to look. It does not, by itself, tell the analyst how to measure. That measurement problem is what the later chapters solve.</w:t>
      </w:r>
    </w:p>
    <w:bookmarkEnd w:id="70"/>
    <w:bookmarkStart w:id="71" w:name="Xfb4264f0e353dd9f07fd0f8bf245db9ee25b633"/>
    <w:p>
      <w:pPr>
        <w:pStyle w:val="Heading2"/>
        <w:spacing w:line="480" w:lineRule="auto"/>
      </w:pPr>
      <w:r>
        <w:t xml:space="preserve">Commercial peace and its testable expectations</w:t>
      </w:r>
    </w:p>
    <w:p>
      <w:pPr>
        <w:pStyle w:val="FirstParagraph"/>
        <w:spacing w:line="480" w:lineRule="auto"/>
      </w:pPr>
      <w:r>
        <w:t xml:space="preserve">If complex interdependence is the frame, the commercial-peace literature is the source of a testable expectation.</w:t>
      </w:r>
    </w:p>
    <w:p>
      <w:pPr>
        <w:pStyle w:val="BodyText"/>
        <w:spacing w:line="480" w:lineRule="auto"/>
        <w:ind w:firstLine="720"/>
      </w:pPr>
      <w:r>
        <w:t xml:space="preserve">Three strands matter here. Oneal and Russett, working within the Kantian-peace tradition, find that trade, democracy, and international organizations each independently reduce the likelihood of militarized conflict between states, and that the effects are robust across specifications</w:t>
      </w:r>
      <w:r>
        <w:t xml:space="preserve"> </w:t>
      </w:r>
      <w:hyperlink w:anchor="ref-10">
        <w:r>
          <w:rPr>
            <w:rStyle w:val="Hyperlink"/>
          </w:rPr>
          <w:t xml:space="preserve">[10]</w:t>
        </w:r>
      </w:hyperlink>
      <w:r>
        <w:t xml:space="preserve">. Polachek, writing earlier and from an explicitly economic angle, models conflict as costly to trade and argues that states with more to lose commercially fight less, deriving the restraint from the opportunity cost of disrupted exchange</w:t>
      </w:r>
      <w:r>
        <w:t xml:space="preserve"> </w:t>
      </w:r>
      <w:hyperlink w:anchor="ref-11">
        <w:r>
          <w:rPr>
            <w:rStyle w:val="Hyperlink"/>
          </w:rPr>
          <w:t xml:space="preserve">[11]</w:t>
        </w:r>
      </w:hyperlink>
      <w:r>
        <w:t xml:space="preserve">. Gartzke sharpens the mechanism further, arguing that it is capital-market integration and the economic character of modern states, more than trade flows alone, that underwrite the pacific pattern, a position he labels the capitalist peace</w:t>
      </w:r>
      <w:r>
        <w:t xml:space="preserve"> </w:t>
      </w:r>
      <w:hyperlink w:anchor="ref-12">
        <w:r>
          <w:rPr>
            <w:rStyle w:val="Hyperlink"/>
          </w:rPr>
          <w:t xml:space="preserve">[12]</w:t>
        </w:r>
      </w:hyperlink>
      <w:r>
        <w:t xml:space="preserve">. These works do not agree on the exact channel. That disagreement is useful rather than embarrassing. It means the family of theories predicts the same sign through several distinct mechanisms, so a negative association between economic ties and rivalry is consistent with more than one of them, and the dissertation does not have to adjudicate which is correct to test whether the sign appears. The project imports the expectation, not the full apparatus. It asks whether a related pattern, restraint tracking economic exposure, shows up in public space-rivalry records, and it leaves the terrestrial debate over trade versus capital integration to the terrestrial literature.</w:t>
      </w:r>
    </w:p>
    <w:p>
      <w:pPr>
        <w:pStyle w:val="BodyText"/>
        <w:spacing w:line="480" w:lineRule="auto"/>
        <w:ind w:firstLine="720"/>
      </w:pPr>
      <w:r>
        <w:t xml:space="preserve">There is a rebuttal built into this same literature, and honesty requires stating it early. Economic ties and rivalry can coexist. Some rivals trade heavily and compete hard at the same time; interdependence can even become a source of coercive leverage rather than restraint. The commercial-peace findings are averages across many dyads, not guarantees for any single pair. The dissertation therefore frames its own result as an association within a bounded panel, never as a law that any given rivalrous dyad must obey.</w:t>
      </w:r>
    </w:p>
    <w:p>
      <w:pPr>
        <w:pStyle w:val="BodyText"/>
        <w:spacing w:line="480" w:lineRule="auto"/>
        <w:ind w:firstLine="720"/>
      </w:pPr>
      <w:r>
        <w:t xml:space="preserve">The three commercial-peace strands also differ, and the difference shapes measurement. Oneal and Russett work with militarized-dispute outcomes and emphasize the joint operation of trade, democracy, and institutions, which implies that a trade effect estimated without controlling for regime type and institutional co-membership may be partly capturing those other Kantian legs</w:t>
      </w:r>
      <w:r>
        <w:t xml:space="preserve"> </w:t>
      </w:r>
      <w:hyperlink w:anchor="ref-10">
        <w:r>
          <w:rPr>
            <w:rStyle w:val="Hyperlink"/>
          </w:rPr>
          <w:t xml:space="preserve">[10]</w:t>
        </w:r>
      </w:hyperlink>
      <w:r>
        <w:t xml:space="preserve">. Polachek’s opportunity-cost model is the cleanest fit for the present design, because it derives restraint directly from the value of trade at risk, which is exactly what the trade-dependence treatment is meant to proxy</w:t>
      </w:r>
      <w:r>
        <w:t xml:space="preserve"> </w:t>
      </w:r>
      <w:hyperlink w:anchor="ref-11">
        <w:r>
          <w:rPr>
            <w:rStyle w:val="Hyperlink"/>
          </w:rPr>
          <w:t xml:space="preserve">[11]</w:t>
        </w:r>
      </w:hyperlink>
      <w:r>
        <w:t xml:space="preserve">. Gartzke’s capitalist-peace argument warns that goods trade may be a noisy stand-in for the deeper financial integration that does the causal work, which is a caution the dissertation carries forward when it interprets a goods-trade coefficient</w:t>
      </w:r>
      <w:r>
        <w:t xml:space="preserve"> </w:t>
      </w:r>
      <w:hyperlink w:anchor="ref-12">
        <w:r>
          <w:rPr>
            <w:rStyle w:val="Hyperlink"/>
          </w:rPr>
          <w:t xml:space="preserve">[12]</w:t>
        </w:r>
      </w:hyperlink>
      <w:r>
        <w:t xml:space="preserve">. Reading the three together, the safe inference is directional: the family predicts a negative sign, even as its members disagree about the precise channel. A pilot that recovers the sign is consistent with the family without adjudicating among its internal disputes, and that is the most a bounded design should claim. Choosing not to adjudicate is itself a disciplined move: a small panel that claimed to settle which commercial-peace channel operates in orbit would be overreaching far beyond what twenty-four observations can support, and the restraint keeps the dissertation’s claims proportioned to its evidence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Proportion between claim and evidence is, in the end, the standard by which the whole project asks to be judged.</w:t>
      </w:r>
    </w:p>
    <w:bookmarkEnd w:id="71"/>
    <w:bookmarkStart w:id="72" w:name="why-space-is-a-distinctive-domain"/>
    <w:p>
      <w:pPr>
        <w:pStyle w:val="Heading2"/>
        <w:spacing w:line="480" w:lineRule="auto"/>
      </w:pPr>
      <w:r>
        <w:t xml:space="preserve">Why space is a distinctive domain</w:t>
      </w:r>
    </w:p>
    <w:p>
      <w:pPr>
        <w:pStyle w:val="FirstParagraph"/>
        <w:spacing w:line="480" w:lineRule="auto"/>
      </w:pPr>
      <w:r>
        <w:t xml:space="preserve">The space-governance literature explains why the domain resists naive transplantation of terrestrial theory. Phan and Jah develop socio-technical configuration analysis, treating a space object not as a point in a catalog but as a configured entity whose meaning depends on operator, purpose, orbital neighborhood, and behavioral history</w:t>
      </w:r>
      <w:r>
        <w:t xml:space="preserve"> </w:t>
      </w:r>
      <w:hyperlink w:anchor="ref-1">
        <w:r>
          <w:rPr>
            <w:rStyle w:val="Hyperlink"/>
          </w:rPr>
          <w:t xml:space="preserve">[1]</w:t>
        </w:r>
      </w:hyperlink>
      <w:r>
        <w:t xml:space="preserve">. The lesson for measurement is direct. A launch is not a scalar. Coding rivalry from orbital records requires attention to who operates the object, in what regime, for what apparent purpose, and in what temporal relation to a rival’s prior activity. Jain and Borowitz add the systemic view. Their system-of-systems treatment of future space traffic management shows that autonomy, policy design, and operational coordination cannot be separated, and that the governance of orbital behavior is an integration problem rather than a checklist</w:t>
      </w:r>
      <w:r>
        <w:t xml:space="preserve"> </w:t>
      </w:r>
      <w:hyperlink w:anchor="ref-2">
        <w:r>
          <w:rPr>
            <w:rStyle w:val="Hyperlink"/>
          </w:rPr>
          <w:t xml:space="preserve">[2]</w:t>
        </w:r>
      </w:hyperlink>
      <w:r>
        <w:t xml:space="preserve">. Reed and colleagues supply the norms channel, arguing that sharing operational risk information can facilitate norms development and compliance monitoring even among adversaries, which matters because it identifies a governance pathway that economic interdependence might reinforce or accelerate</w:t>
      </w:r>
      <w:r>
        <w:t xml:space="preserve"> </w:t>
      </w:r>
      <w:hyperlink w:anchor="ref-3">
        <w:r>
          <w:rPr>
            <w:rStyle w:val="Hyperlink"/>
          </w:rPr>
          <w:t xml:space="preserve">[3]</w:t>
        </w:r>
      </w:hyperlink>
      <w:r>
        <w:t xml:space="preserve">. Zhang and Balakrishnan draw the historical analogy, reading the Montreal Protocol’s move from ozone depletion to institutionalized restraint as a template for how orbital-debris and orbital-behavior norms might form</w:t>
      </w:r>
      <w:r>
        <w:t xml:space="preserve"> </w:t>
      </w:r>
      <w:hyperlink w:anchor="ref-4">
        <w:r>
          <w:rPr>
            <w:rStyle w:val="Hyperlink"/>
          </w:rPr>
          <w:t xml:space="preserve">[4]</w:t>
        </w:r>
      </w:hyperlink>
      <w:r>
        <w:t xml:space="preserve">. Together these works establish the technical and institutional complexity of the domain. What they do not do is estimate whether a non-space economic tie changes dyadic behavior in orbit.</w:t>
      </w:r>
    </w:p>
    <w:bookmarkEnd w:id="72"/>
    <w:bookmarkStart w:id="73" w:name="the-economic-embedding-of-orbit"/>
    <w:p>
      <w:pPr>
        <w:pStyle w:val="Heading2"/>
        <w:spacing w:line="480" w:lineRule="auto"/>
      </w:pPr>
      <w:r>
        <w:t xml:space="preserve">The economic embedding of orbit</w:t>
      </w:r>
    </w:p>
    <w:p>
      <w:pPr>
        <w:pStyle w:val="FirstParagraph"/>
        <w:spacing w:line="480" w:lineRule="auto"/>
      </w:pPr>
      <w:r>
        <w:t xml:space="preserve">The third literature closes the loop by showing that orbit is no longer economically sealed. Paravano and colleagues assess the value of commercial space stations and find that the value accrues not only to space users but to non-space users whose interest runs through data, manufacturing, and downstream services, which means the economic stakes of orbital stability now reach constituencies that never launch anything</w:t>
      </w:r>
      <w:r>
        <w:t xml:space="preserve"> </w:t>
      </w:r>
      <w:hyperlink w:anchor="ref-6">
        <w:r>
          <w:rPr>
            <w:rStyle w:val="Hyperlink"/>
          </w:rPr>
          <w:t xml:space="preserve">[6]</w:t>
        </w:r>
      </w:hyperlink>
      <w:r>
        <w:t xml:space="preserve">. Trucco, Paravano, and Locatelli frame the risk landscape of the space economy and show how the risk environment itself moves as commercial heterogeneity grows, so that orbital behavior becomes entangled with insurance, supply chains, and industrial policy</w:t>
      </w:r>
      <w:r>
        <w:t xml:space="preserve"> </w:t>
      </w:r>
      <w:hyperlink w:anchor="ref-7">
        <w:r>
          <w:rPr>
            <w:rStyle w:val="Hyperlink"/>
          </w:rPr>
          <w:t xml:space="preserve">[7]</w:t>
        </w:r>
      </w:hyperlink>
      <w:r>
        <w:t xml:space="preserve">. Varughese and colleagues push the point toward sustainability, arguing for a transdisciplinary and bi-cultural approach to the space-sustainability intersection and, in doing so, insisting that orbital questions cannot be quarantined from broader social and economic ones</w:t>
      </w:r>
      <w:r>
        <w:t xml:space="preserve"> </w:t>
      </w:r>
      <w:hyperlink w:anchor="ref-5">
        <w:r>
          <w:rPr>
            <w:rStyle w:val="Hyperlink"/>
          </w:rPr>
          <w:t xml:space="preserve">[5]</w:t>
        </w:r>
      </w:hyperlink>
      <w:r>
        <w:t xml:space="preserve">. Poirier extends the cross-domain logic into cyberspace, examining the governance challenges that space and cyber commands face when orbital systems can be attacked through non-kinetic channels, which underlines that the incentive structure around orbital rivalry is genuinely multi-domain</w:t>
      </w:r>
      <w:r>
        <w:t xml:space="preserve"> </w:t>
      </w:r>
      <w:hyperlink w:anchor="ref-8">
        <w:r>
          <w:rPr>
            <w:rStyle w:val="Hyperlink"/>
          </w:rPr>
          <w:t xml:space="preserve">[8]</w:t>
        </w:r>
      </w:hyperlink>
      <w:r>
        <w:t xml:space="preserve">. Read together, these contributions dismantle any assumption that space activity floats free of terrestrial economics. Commercial stations, low-Earth-orbit services, cross-domain cyber exposure, and space-economy risk dynamics all connect orbital behavior to firms, supply chains, insurers, and industrial strategy. Economic embeddedness is not background. It is part of the incentive environment in which rivalrous decisions are made.</w:t>
      </w:r>
    </w:p>
    <w:bookmarkEnd w:id="73"/>
    <w:bookmarkStart w:id="74" w:name="the-seam-none-of-them-stitches"/>
    <w:p>
      <w:pPr>
        <w:pStyle w:val="Heading2"/>
        <w:spacing w:line="480" w:lineRule="auto"/>
      </w:pPr>
      <w:r>
        <w:t xml:space="preserve">The seam none of them stitches</w:t>
      </w:r>
    </w:p>
    <w:p>
      <w:pPr>
        <w:pStyle w:val="FirstParagraph"/>
        <w:spacing w:line="480" w:lineRule="auto"/>
      </w:pPr>
      <w:r>
        <w:t xml:space="preserve">Line the three literatures up and the missing joint is obvious. The interdependence and commercial-peace strands supply a mechanism and a sign but were built for terrestrial conflict and never operationalized for orbit. The space-governance strand supplies the domain knowledge needed to code orbital behavior honestly but never joins that behavior to economic dependence. The space-economy strand proves that the economic link exists but never converts it into a dyadic, falsifiable estimate. Each literature carries exactly the piece the others lack. The dissertation stitches the seam. It borrows the sign from commercial peace, the coding discipline from space-domain awareness, and the embeddedness premise from the space-economy work, and it fuses them into a single directed-dyad unit of observation in which trade exposure and orbital response sit in the same row. The move is modest in ambition and demanding in execution, because joining the streams responsibly means refusing to let any one of them overreach. The orbital record is not treated as metaphor. The economic measure is not treated as a magic solvent for security competition. The conclusion is not permitted to exceed the public evidence.</w:t>
      </w:r>
    </w:p>
    <w:bookmarkEnd w:id="74"/>
    <w:bookmarkStart w:id="75" w:name="positioning-against-the-alternatives"/>
    <w:p>
      <w:pPr>
        <w:pStyle w:val="Heading2"/>
        <w:spacing w:line="480" w:lineRule="auto"/>
      </w:pPr>
      <w:r>
        <w:t xml:space="preserve">Positioning against the alternatives</w:t>
      </w:r>
    </w:p>
    <w:p>
      <w:pPr>
        <w:pStyle w:val="FirstParagraph"/>
        <w:spacing w:line="480" w:lineRule="auto"/>
      </w:pPr>
      <w:r>
        <w:t xml:space="preserve">Two nearby positions deserve explicit distancing. The first is pure structural realism, which would predict that capability and threat perception drive orbital rivalry and that trade is epiphenomenal. The dissertation does not deny that capability matters; the target-activity control in the empirical models is precisely an acknowledgment that a rival’s own orbital tempo shapes the opportunity for response. The claim is only that economic exposure carries additional, separable information, which is a weaker and more testable position than structural realism’s dismissal of trade. The second nearby position is naive liberal optimism, which would treat commercial entanglement as a near-guarantee of peace. The commercial-peace literature itself refutes that reading, since its own findings are probabilistic and admit heavily trading rivals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dissertation sits between these poles. It expects a detectable dampening effect on average, states it as an association, and builds its whole apparatus so that the expectation can fail visibly if the data refuse to cooperate. That middle ground, disciplined by measurement and honest about uncertainty, is the position the remaining chapters defend.</w:t>
      </w:r>
    </w:p>
    <w:bookmarkEnd w:id="75"/>
    <w:bookmarkStart w:id="76" w:name="Xde518d59e9a0a09f4c932283f796c670ac52eb2"/>
    <w:p>
      <w:pPr>
        <w:pStyle w:val="Heading2"/>
        <w:spacing w:line="480" w:lineRule="auto"/>
      </w:pPr>
      <w:r>
        <w:t xml:space="preserve">What the space literature contributes to measurement, not just to framing</w:t>
      </w:r>
    </w:p>
    <w:p>
      <w:pPr>
        <w:pStyle w:val="FirstParagraph"/>
        <w:spacing w:line="480" w:lineRule="auto"/>
      </w:pPr>
      <w:r>
        <w:t xml:space="preserve">It is worth being precise about what the space-governance works give the dissertation, because their contribution is operational and not merely rhetorical. Phan and Jah’s socio-technical configuration analysis functions as a coding manual</w:t>
      </w:r>
      <w:r>
        <w:t xml:space="preserve"> </w:t>
      </w:r>
      <w:hyperlink w:anchor="ref-1">
        <w:r>
          <w:rPr>
            <w:rStyle w:val="Hyperlink"/>
          </w:rPr>
          <w:t xml:space="preserve">[1]</w:t>
        </w:r>
      </w:hyperlink>
      <w:r>
        <w:t xml:space="preserve">. It tells the analyst that a satellite must be resolved by operator, purpose, regime, and behavioral history before it can be classified as a rivalrous response, and that failing to do so collapses distinct events into a misleading uniformity. The response-count coding in Chapter 5 follows that instruction directly: an object is coded as a response only when its operator, its orbital regime, and its timing relative to a rival’s prior activity jointly warrant it. Jain and Borowitz contribute a caution about aggregation</w:t>
      </w:r>
      <w:r>
        <w:t xml:space="preserve"> </w:t>
      </w:r>
      <w:hyperlink w:anchor="ref-2">
        <w:r>
          <w:rPr>
            <w:rStyle w:val="Hyperlink"/>
          </w:rPr>
          <w:t xml:space="preserve">[2]</w:t>
        </w:r>
      </w:hyperlink>
      <w:r>
        <w:t xml:space="preserve">. Their system-of-systems framing implies that orbital behavior is produced by interacting subsystems, so a single coded response is the visible tip of a coupled technical and policy process rather than an atomic act. The dissertation honors that caution by treating a coded zero as a statement about the visible record rather than about the underlying process, a distinction that recurs throughout the empirical chapters. Reed and colleagues, in turn, identify the specific governance channel that a confirmed dampening effect would most plausibly reinforce, namely the slow construction of shared expectations through risk-information sharing</w:t>
      </w:r>
      <w:r>
        <w:t xml:space="preserve"> </w:t>
      </w:r>
      <w:hyperlink w:anchor="ref-3">
        <w:r>
          <w:rPr>
            <w:rStyle w:val="Hyperlink"/>
          </w:rPr>
          <w:t xml:space="preserve">[3]</w:t>
        </w:r>
      </w:hyperlink>
      <w:r>
        <w:t xml:space="preserve">. If economic exposure lowers the cost of restraint, the norms channel is where that lowered cost would most visibly accumulate.</w:t>
      </w:r>
    </w:p>
    <w:bookmarkEnd w:id="76"/>
    <w:bookmarkStart w:id="77" w:name="Xc678a1070e767d4e4843f58e6fd6a8a80e92398"/>
    <w:p>
      <w:pPr>
        <w:pStyle w:val="Heading2"/>
        <w:spacing w:line="480" w:lineRule="auto"/>
      </w:pPr>
      <w:r>
        <w:t xml:space="preserve">The debris and sustainability strand as a boundary condition</w:t>
      </w:r>
    </w:p>
    <w:p>
      <w:pPr>
        <w:pStyle w:val="FirstParagraph"/>
        <w:spacing w:line="480" w:lineRule="auto"/>
      </w:pPr>
      <w:r>
        <w:t xml:space="preserve">One further body of work sets a boundary on the argument rather than supplying a premise. The debris-governance analogy that Zhang and Balakrishnan draw from the Montreal Protocol, and the transdisciplinary sustainability agenda that Varughese and colleagues advance, both insist that orbital behavior has consequences that outlast any single dyad’s rivalry</w:t>
      </w:r>
      <w:r>
        <w:t xml:space="preserve"> </w:t>
      </w:r>
      <w:hyperlink w:anchor="ref-4">
        <w:r>
          <w:rPr>
            <w:rStyle w:val="Hyperlink"/>
          </w:rPr>
          <w:t xml:space="preserve">[4]</w:t>
        </w:r>
      </w:hyperlink>
      <w:r>
        <w:t xml:space="preserve"> </w:t>
      </w:r>
      <w:hyperlink w:anchor="ref-5">
        <w:r>
          <w:rPr>
            <w:rStyle w:val="Hyperlink"/>
          </w:rPr>
          <w:t xml:space="preserve">[5]</w:t>
        </w:r>
      </w:hyperlink>
      <w:r>
        <w:t xml:space="preserve">. Debris created in a rivalrous test persists for decades and threatens actors who had no part in the contest. This matters for the dissertation because it means the outcome variable, rivalrous response, is not merely a bilateral bookkeeping entry; it is an act with commons-wide externalities. A finding that economic ties dampen such acts therefore carries weight beyond the dyad, since each avoided response is also an avoided contribution to a shared orbital hazard. The sustainability strand does not enter the estimation, but it raises the stakes of the estimated sign, and the concluding chapter returns to that point. Read this way, the debris literature converts each avoided rivalrous response from a private bilateral gain into a contribution to a public good, which is a reframing that any governance body concerned with the orbital commons has reason to take seriously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77"/>
    <w:bookmarkStart w:id="78" w:name="X1985602abf0612346df46950d082a2cdb60c4d7"/>
    <w:p>
      <w:pPr>
        <w:pStyle w:val="Heading2"/>
        <w:spacing w:line="480" w:lineRule="auto"/>
      </w:pPr>
      <w:r>
        <w:t xml:space="preserve">Where this dissertation adds to each literature</w:t>
      </w:r>
    </w:p>
    <w:p>
      <w:pPr>
        <w:pStyle w:val="FirstParagraph"/>
        <w:spacing w:line="480" w:lineRule="auto"/>
      </w:pPr>
      <w:r>
        <w:t xml:space="preserve">It helps to state, for each literature, the specific increment this dissertation provides, because a contribution is legible only against what it extends. To the interdependence and commercial-peace tradition, the dissertation adds a new domain of application and a demonstration that the tradition’s central sign appears in orbital behavior, which no prior work in that tradition had tested</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tradition gains a data point outside its terrestrial comfort zone, and a data point in a genuinely different domain is more informative about a theory’s generality than another terrestrial replication would be. To the space-domain-awareness and traffic-management literature, the dissertation adds an economic covariate that this literature had not incorporated into its account of orbital behavior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literature had treated orbital interaction as a technical and institutional problem; the dissertation shows that a purely economic, non-space variable carries information about that interaction, which widens the set of factors the literature must consider when it models rivalrous behavior. To the space-economy literature, the dissertation adds a behavioral outcome. That literature had established that orbit is economically embedded and had assessed the value of commercial activity, but it had not connected embeddedness to a measurable behavioral consequence for state rivalry</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dissertation supplies the missing behavioral link, converting the claim of embeddedness from a description of the environment into a testable proposition about conduct.</w:t>
      </w:r>
    </w:p>
    <w:p>
      <w:pPr>
        <w:pStyle w:val="BodyText"/>
        <w:spacing w:line="480" w:lineRule="auto"/>
        <w:ind w:firstLine="720"/>
      </w:pPr>
      <w:r>
        <w:t xml:space="preserve">These increments are modest individually and meaningful jointly. Each literature receives one piece it lacked, and the pieces fit together into the joined unit of observation that the empirical chapters build. The dissertation’s originality is not the invention of a new theory; it is the disciplined fusion of three mature ones into a single testable claim, executed with enough transparency that the fusion can be inspected and disputed</w:t>
      </w:r>
      <w:r>
        <w:t xml:space="preserve"> </w:t>
      </w:r>
      <w:hyperlink w:anchor="ref-3">
        <w:r>
          <w:rPr>
            <w:rStyle w:val="Hyperlink"/>
          </w:rPr>
          <w:t xml:space="preserve">[3]</w:t>
        </w:r>
      </w:hyperlink>
      <w:r>
        <w:t xml:space="preserve"> </w:t>
      </w:r>
      <w:hyperlink w:anchor="ref-5">
        <w:r>
          <w:rPr>
            <w:rStyle w:val="Hyperlink"/>
          </w:rPr>
          <w:t xml:space="preserve">[5]</w:t>
        </w:r>
      </w:hyperlink>
      <w:r>
        <w:t xml:space="preserve">. That kind of originality, the productive joining of existing bodies of work rather than the announcement of a new paradigm, is often the most useful form a doctoral contribution can take, because it leaves behind an instrument others can wield rather than a claim others must take on faith</w:t>
      </w:r>
      <w:r>
        <w:t xml:space="preserve"> </w:t>
      </w:r>
      <w:hyperlink w:anchor="ref-1">
        <w:r>
          <w:rPr>
            <w:rStyle w:val="Hyperlink"/>
          </w:rPr>
          <w:t xml:space="preserve">[1]</w:t>
        </w:r>
      </w:hyperlink>
      <w:r>
        <w:t xml:space="preserve">. Here is the hinge that carries into the theory chapter. Trade changes incentives, and the literatures reviewed here each supply one part of the reason to believe those changed incentives should be visible in the public orbital record. The next chapter turns the borrowed sign into a stated mechanism and a pair of hypotheses that the pilot panel can actually test.</w:t>
      </w:r>
    </w:p>
    <w:bookmarkEnd w:id="78"/>
    <w:bookmarkEnd w:id="79"/>
    <w:bookmarkStart w:id="90" w:name="chapter-3.-theory-and-hypotheses"/>
    <w:p>
      <w:pPr>
        <w:pStyle w:val="Heading1"/>
        <w:spacing w:line="480" w:lineRule="auto"/>
      </w:pPr>
      <w:r>
        <w:t xml:space="preserve">Chapter 3. Theory and Hypotheses</w:t>
      </w:r>
    </w:p>
    <w:p>
      <w:pPr>
        <w:pStyle w:val="FirstParagraph"/>
        <w:spacing w:line="480" w:lineRule="auto"/>
      </w:pPr>
      <w:r>
        <w:t xml:space="preserve">Chapter 2 borrowed a sign from the commercial-peace tradition and a coding discipline from space-domain awareness. This chapter turns that borrowing into an explicit mechanism and a pair of hypotheses the pilot panel can test. The task is to say, in plain causal language, why bilateral economic dependence outside the space sector should reduce rivalrous behavior in orbit, and then to state predictions sharp enough that the data could refute them. A mechanism that cannot fail is not a mechanism. Everything in this chapter is built so that it can.</w:t>
      </w:r>
    </w:p>
    <w:bookmarkStart w:id="80" w:name="X3fe91949d209a49df22e88d764e30a3bc8ad51c"/>
    <w:p>
      <w:pPr>
        <w:pStyle w:val="Heading2"/>
        <w:spacing w:line="480" w:lineRule="auto"/>
      </w:pPr>
      <w:r>
        <w:t xml:space="preserve">The core mechanism: exposure raises the price of visible rivalry</w:t>
      </w:r>
    </w:p>
    <w:p>
      <w:pPr>
        <w:pStyle w:val="FirstParagraph"/>
        <w:spacing w:line="480" w:lineRule="auto"/>
      </w:pPr>
      <w:r>
        <w:t xml:space="preserve">Start with the actor. An origin state is deciding whether to answer a rival’s orbital activity with a rivalrous response of its own: a reconnaissance pass timed to a rival’s test, a proximity operation, a demonstration in the same regime, or a government or military launch that reads as an answer rather than as routine business. The decision is not free. A visible orbital response carries diplomatic cost, invites reciprocal escalation, and can spill into other issue areas where the two states interact. The commercial-peace mechanism enters exactly here. Where the two economies are deeply tied outside space, the set of channels through which an orbital provocation can rebound is larger, and each channel carries a price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Trace the price concretely. Bilateral goods trade creates constituencies in both states with a material stake in a stable relationship: exporters, importers, workers, and the firms that finance them. It creates supply-chain interdependencies that a rivalry spiral could disrupt. It creates, in the language of complex interdependence, multiple channels and issue linkages that make any single hostile act more expensive because the act threatens more than the immediate orbital contest</w:t>
      </w:r>
      <w:r>
        <w:t xml:space="preserve"> </w:t>
      </w:r>
      <w:hyperlink w:anchor="ref-9">
        <w:r>
          <w:rPr>
            <w:rStyle w:val="Hyperlink"/>
          </w:rPr>
          <w:t xml:space="preserve">[9]</w:t>
        </w:r>
      </w:hyperlink>
      <w:r>
        <w:t xml:space="preserve">. The mechanism does not require that decision-makers consciously compute a trade cost before every satellite maneuver. It requires only that, across many dyad-periods, the states with more to lose economically display, on average, fewer visible rivalrous responses. That is a statistical prediction about a population of dyad-periods, not a claim about any single choice.</w:t>
      </w:r>
    </w:p>
    <w:p>
      <w:pPr>
        <w:pStyle w:val="BodyText"/>
        <w:spacing w:line="480" w:lineRule="auto"/>
        <w:ind w:firstLine="720"/>
      </w:pPr>
      <w:r>
        <w:t xml:space="preserve">The mechanism is cross-domain by construction, and that is its distinctive feature.</w:t>
      </w:r>
    </w:p>
    <w:p>
      <w:pPr>
        <w:pStyle w:val="BodyText"/>
        <w:spacing w:line="480" w:lineRule="auto"/>
        <w:ind w:firstLine="720"/>
      </w:pPr>
      <w:r>
        <w:t xml:space="preserve">The trade in question is ordinary goods trade, deliberately stripped of space-sector products so that the measure cannot be contaminated by the very rivalry it is meant to predict. The claim is that a tie in one domain, commerce, dampens behavior in a wholly different domain, orbit. If the effect were confined to space-sector trade, it would collapse into a within-domain story about who buys whose satellites. The cross-domain framing is what makes the proposition a genuine test of interdependence theory rather than a tautology about the space industry.</w:t>
      </w:r>
    </w:p>
    <w:bookmarkEnd w:id="80"/>
    <w:bookmarkStart w:id="81" w:name="unpacking-the-three-sub-channels"/>
    <w:p>
      <w:pPr>
        <w:pStyle w:val="Heading2"/>
        <w:spacing w:line="480" w:lineRule="auto"/>
      </w:pPr>
      <w:r>
        <w:t xml:space="preserve">Unpacking the three sub-channels</w:t>
      </w:r>
    </w:p>
    <w:p>
      <w:pPr>
        <w:pStyle w:val="FirstParagraph"/>
        <w:spacing w:line="480" w:lineRule="auto"/>
      </w:pPr>
      <w:r>
        <w:t xml:space="preserve">The single mechanism resolves into three sub-channels, and distinguishing them clarifies both the prediction and its limits.</w:t>
      </w:r>
    </w:p>
    <w:p>
      <w:pPr>
        <w:pStyle w:val="BodyText"/>
        <w:spacing w:line="480" w:lineRule="auto"/>
        <w:ind w:firstLine="720"/>
      </w:pPr>
      <w:r>
        <w:t xml:space="preserve">The first is the direct opportunity-cost channel that Polachek formalized: a visible orbital provocation risks disrupting a valuable trade relationship, and the larger that relationship relative to the exposed economy, the larger the expected loss</w:t>
      </w:r>
      <w:r>
        <w:t xml:space="preserve"> </w:t>
      </w:r>
      <w:hyperlink w:anchor="ref-11">
        <w:r>
          <w:rPr>
            <w:rStyle w:val="Hyperlink"/>
          </w:rPr>
          <w:t xml:space="preserve">[11]</w:t>
        </w:r>
      </w:hyperlink>
      <w:r>
        <w:t xml:space="preserve">. This channel operates through the calculation of the responding state’s leadership, whether explicit or habitual. The second is the constituency channel. Deep bilateral trade creates domestic actors, exporters, importers, financiers, and their workforces, whose interests are damaged by a rivalry spiral and who lobby, formally or informally, against provocations that threaten the relationship</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This channel operates through domestic politics rather than through the leadership’s own calculation, and it can bind even a leadership that would otherwise prefer to respond. The third is the signaling channel. In a densely observed orbital environment, restraint is itself legible, and a state embedded in a valuable economic relationship can use visible restraint to reassure its partner and stabilize expectations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This channel operates through reputation and the management of the other side’s beliefs.</w:t>
      </w:r>
    </w:p>
    <w:p>
      <w:pPr>
        <w:pStyle w:val="BodyText"/>
        <w:spacing w:line="480" w:lineRule="auto"/>
        <w:ind w:firstLine="720"/>
      </w:pPr>
      <w:r>
        <w:t xml:space="preserve">The three sub-channels predict the same sign, which is why the dissertation can test the aggregate without isolating each.</w:t>
      </w:r>
    </w:p>
    <w:p>
      <w:pPr>
        <w:pStyle w:val="BodyText"/>
        <w:spacing w:line="480" w:lineRule="auto"/>
        <w:ind w:firstLine="720"/>
      </w:pPr>
      <w:r>
        <w:t xml:space="preserve">They also fail in different ways, which matters for interpretation. The opportunity-cost channel weakens when a leadership discounts the future or values prestige above commerce. The constituency channel weakens when trade-exposed groups lack political voice. The signaling channel weakens when restraint is not observed. A future design with richer controls could try to separate them; the pilot tests only the sign they jointly imply.</w:t>
      </w:r>
    </w:p>
    <w:bookmarkEnd w:id="81"/>
    <w:bookmarkStart w:id="82" w:name="X32ce3a62a99e3f05eeb1a818b962b6426bab361"/>
    <w:p>
      <w:pPr>
        <w:pStyle w:val="Heading2"/>
        <w:spacing w:line="480" w:lineRule="auto"/>
      </w:pPr>
      <w:r>
        <w:t xml:space="preserve">Why space sharpens rather than blurs the mechanism</w:t>
      </w:r>
    </w:p>
    <w:p>
      <w:pPr>
        <w:pStyle w:val="FirstParagraph"/>
        <w:spacing w:line="480" w:lineRule="auto"/>
      </w:pPr>
      <w:r>
        <w:t xml:space="preserve">Space might seem a hard case for the commercial-peace logic, and thinking through why clarifies the prediction. Orbital rivalry is prestige-laden, technically demanding, and often justified in the language of national security rather than commerce. One might expect economic ties to be swamped by strategic imperatives that operate on a different logic entirely. The dissertation takes that objection seriously and argues that space, properly understood, actually sharpens the mechanism. Two features do the work. First, orbital behavior is unusually visible. The open-source observation community, satellite catalogs, and counterspace chronologies make many rivalrous acts public, sometimes within days</w:t>
      </w:r>
      <w:r>
        <w:t xml:space="preserve"> </w:t>
      </w:r>
      <w:hyperlink w:anchor="ref-1">
        <w:r>
          <w:rPr>
            <w:rStyle w:val="Hyperlink"/>
          </w:rPr>
          <w:t xml:space="preserve">[1]</w:t>
        </w:r>
      </w:hyperlink>
      <w:r>
        <w:t xml:space="preserve"> </w:t>
      </w:r>
      <w:hyperlink w:anchor="ref-13">
        <w:r>
          <w:rPr>
            <w:rStyle w:val="Hyperlink"/>
          </w:rPr>
          <w:t xml:space="preserve">[13]</w:t>
        </w:r>
      </w:hyperlink>
      <w:r>
        <w:t xml:space="preserve">. Visibility is what allows an orbital provocation to trigger the cross-domain costs at all; a wholly secret act cannot rebound through trade constituencies that never learn of it. Space, far from hiding rivalry, exposes it, which strengthens the channel through which economic exposure can bite. Second, orbit is now economically embedded to a degree it was not during the first space age. Commercial stations, low-Earth-orbit services, and the broader space economy connect orbital stability to firms and users who also participate in the terrestrial trade relationship</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two domains are no longer insulated from each other, so a shock in one can travel to the other.</w:t>
      </w:r>
    </w:p>
    <w:p>
      <w:pPr>
        <w:pStyle w:val="BodyText"/>
        <w:spacing w:line="480" w:lineRule="auto"/>
        <w:ind w:firstLine="720"/>
      </w:pPr>
      <w:r>
        <w:t xml:space="preserve">The socio-technical view reinforces the point. If a space object is a configured entity whose meaning depends on operator, purpose, and behavioral context rather than a bare catalog entry, then a rivalrous response is a legible social act, not just a physical one</w:t>
      </w:r>
      <w:r>
        <w:t xml:space="preserve"> </w:t>
      </w:r>
      <w:hyperlink w:anchor="ref-1">
        <w:r>
          <w:rPr>
            <w:rStyle w:val="Hyperlink"/>
          </w:rPr>
          <w:t xml:space="preserve">[1]</w:t>
        </w:r>
      </w:hyperlink>
      <w:r>
        <w:t xml:space="preserve">. Legible acts are exactly the ones that can carry reputational and economic consequences. The domain’s distinctiveness, properly read, is a reason the mechanism should hold, not a reason to doubt it.</w:t>
      </w:r>
    </w:p>
    <w:bookmarkEnd w:id="82"/>
    <w:bookmarkStart w:id="83" w:name="the-role-of-the-target-activity-control"/>
    <w:p>
      <w:pPr>
        <w:pStyle w:val="Heading2"/>
        <w:spacing w:line="480" w:lineRule="auto"/>
      </w:pPr>
      <w:r>
        <w:t xml:space="preserve">The role of the target-activity control</w:t>
      </w:r>
    </w:p>
    <w:p>
      <w:pPr>
        <w:pStyle w:val="FirstParagraph"/>
        <w:spacing w:line="480" w:lineRule="auto"/>
      </w:pPr>
      <w:r>
        <w:t xml:space="preserve">A mechanism is only as good as the confounders it survives. The most obvious rival explanation for any observed dampening is simply that some dyads are quiet in orbit because the target does little worth responding to. A response requires an opportunity, and opportunities are not evenly distributed. If economically dependent dyads also happen to face low-tempo targets, an analyst could mistake low opportunity for economic restraint. The theory therefore requires an opportunity control, and the empirical models supply one: the log of target government or military space activity</w:t>
      </w:r>
      <w:r>
        <w:t xml:space="preserve"> </w:t>
      </w:r>
      <w:hyperlink w:anchor="ref-1">
        <w:r>
          <w:rPr>
            <w:rStyle w:val="Hyperlink"/>
          </w:rPr>
          <w:t xml:space="preserve">[1]</w:t>
        </w:r>
      </w:hyperlink>
      <w:r>
        <w:t xml:space="preserve"> </w:t>
      </w:r>
      <w:hyperlink w:anchor="ref-2">
        <w:r>
          <w:rPr>
            <w:rStyle w:val="Hyperlink"/>
          </w:rPr>
          <w:t xml:space="preserve">[2]</w:t>
        </w:r>
      </w:hyperlink>
      <w:r>
        <w:t xml:space="preserve">. Conditioning on target activity, the prediction becomes tighter and more credible. It is no longer that dependent dyads are quiet; it is that, holding constant how much rivalrous opportunity the target creates, more economically dependent origin states still respond less. The control converts a vague expectation into a partial-effect claim, which is both harder to satisfy and more informative when it is. The theory predicts a positive coefficient on target activity, because more target activity mechanically creates more chances for a coded response, and a negative coefficient on trade dependence net of that opportunity.</w:t>
      </w:r>
    </w:p>
    <w:bookmarkEnd w:id="83"/>
    <w:bookmarkStart w:id="84" w:name="stating-the-hypotheses"/>
    <w:p>
      <w:pPr>
        <w:pStyle w:val="Heading2"/>
        <w:spacing w:line="480" w:lineRule="auto"/>
      </w:pPr>
      <w:r>
        <w:t xml:space="preserve">Stating the hypotheses</w:t>
      </w:r>
    </w:p>
    <w:p>
      <w:pPr>
        <w:pStyle w:val="FirstParagraph"/>
        <w:spacing w:line="480" w:lineRule="auto"/>
      </w:pPr>
      <w:r>
        <w:t xml:space="preserve">With the mechanism and the control fixed, the hypotheses follow directly. Let the treatment be cross-domain trade dependence, bilateral goods trade divided by the smaller dyad member’s gross domestic product. Let the outcomes be, first, the directed dyad-period count of same-regime rivalrous responses, and second, a binary indicator equal to one when any such response appears in the public window. The null hypothesis is the interdependence-skeptic position. In the specified models, the coefficient on trade dependence is non-negative: cross-domain economic ties do not dampen subsequent rivalrous space behavior, and any apparent pattern is an artifact of opportunity or noise. The alternative is the interdependence expectation. In the same models, the coefficient on trade dependence is negative: holding target activity constant, dyad-periods with deeper cross-domain economic exposure show fewer and less probable rivalrous responses. The two hypotheses partition the sign space cleanly, so the pilot cannot fail to discriminate between them on direction. Two features of this framing deserve emphasis. The hypotheses are stated on the coefficient, not on a narrative, so a reader can check them against a table rather than against prose. And they are stated as an association within a bounded panel, consistent with the probabilistic character of the commercial-peace findings the theory borrows from</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dissertation does not predict that no economically dependent dyad ever responds in orbit. It predicts a negative average partial association, which is exactly what a bounded count model and a bounded logit can evaluate.</w:t>
      </w:r>
    </w:p>
    <w:bookmarkEnd w:id="84"/>
    <w:bookmarkStart w:id="85" w:name="Xaf734a51b8aa5c72bac607d5e12cbe6c01d9943"/>
    <w:p>
      <w:pPr>
        <w:pStyle w:val="Heading2"/>
        <w:spacing w:line="480" w:lineRule="auto"/>
      </w:pPr>
      <w:r>
        <w:t xml:space="preserve">Auxiliary predictions and their diagnostic value</w:t>
      </w:r>
    </w:p>
    <w:p>
      <w:pPr>
        <w:pStyle w:val="FirstParagraph"/>
        <w:spacing w:line="480" w:lineRule="auto"/>
      </w:pPr>
      <w:r>
        <w:t xml:space="preserve">A single sign, confirmed once, is thin evidence. The theory therefore carries auxiliary predictions that let the same data speak more than once. Because the mechanism runs through the price of visible rivalry rather than through the specific scale on which rivalry is measured, the negative sign should appear whether the outcome is a count of responses or a binary indicator of any response at all. Convergence across the two scales is a genuine prediction of the theory, not a lucky coincidence, and its failure would be a mark against the mechanism. A further auxiliary prediction concerns the allied dyads in the panel. Pairs such as the United States and its close economic partners combine very high trade dependence with essentially no rivalrous response, which is what the mechanism expects at the high-exposure end. Adversarial pairs with lower cross-domain dependence, such as the United States and Russia, cluster at the high-response end. The theory predicts this ordering across the panel, and the ordering is inspectable row by row in the data. When a reader can see the mechanism’s prediction realized in named dyads rather than only in a coefficient, the inference gains a kind of face validity that a coefficient alone cannot supply.</w:t>
      </w:r>
    </w:p>
    <w:bookmarkEnd w:id="85"/>
    <w:bookmarkStart w:id="86" w:name="the-limits-the-theory-imposes-on-itself"/>
    <w:p>
      <w:pPr>
        <w:pStyle w:val="Heading2"/>
        <w:spacing w:line="480" w:lineRule="auto"/>
      </w:pPr>
      <w:r>
        <w:t xml:space="preserve">The limits the theory imposes on itself</w:t>
      </w:r>
    </w:p>
    <w:p>
      <w:pPr>
        <w:pStyle w:val="FirstParagraph"/>
        <w:spacing w:line="480" w:lineRule="auto"/>
      </w:pPr>
      <w:r>
        <w:t xml:space="preserve">A disciplined theory states what it does not claim. This one does not claim causation. Economic dependence and orbital restraint could both be downstream of a deeper strategic alignment that the pilot does not measure. The models condition on target activity but not on alliance status, militarized-dispute history, or military expenditure, all of which the prospectus flagged for a fuller design and all of which could carry part of the effect</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The theory also does not claim that trade buys restraint in every dyad; it claims a negative average partial association, which is compatible with individual heavily trading rivals behaving aggressively. Nor does the theory claim that public records capture the whole of orbital rivalry. A coded zero means the public rule observed no response in the window, not that the dyad had no security competition. The mechanism is a claim about observable behavior, and its test inherits the limits of the observation. Stating these boundaries now is not a hedge. It is what keeps the alternative hypothesis genuinely at risk, because a theory that quietly absorbs every outcome cannot be the one the data confirm.</w:t>
      </w:r>
    </w:p>
    <w:bookmarkEnd w:id="86"/>
    <w:bookmarkStart w:id="87" w:name="rival-mechanisms-the-theory-must-beat"/>
    <w:p>
      <w:pPr>
        <w:pStyle w:val="Heading2"/>
        <w:spacing w:line="480" w:lineRule="auto"/>
      </w:pPr>
      <w:r>
        <w:t xml:space="preserve">Rival mechanisms the theory must beat</w:t>
      </w:r>
    </w:p>
    <w:p>
      <w:pPr>
        <w:pStyle w:val="FirstParagraph"/>
        <w:spacing w:line="480" w:lineRule="auto"/>
      </w:pPr>
      <w:r>
        <w:t xml:space="preserve">A responsible theory names the competitors it hopes to outperform. Three rival mechanisms could each generate a negative trade-rivalry correlation without any interdependence effect at all, and the design must be read against them. The first is common cause through alliance. Allies both trade heavily and refrain from orbital rivalry because they are allied, not because trade restrains them; here trade is a marker of alignment, not a cause of restraint</w:t>
      </w:r>
      <w:r>
        <w:t xml:space="preserve"> </w:t>
      </w:r>
      <w:hyperlink w:anchor="ref-22">
        <w:r>
          <w:rPr>
            <w:rStyle w:val="Hyperlink"/>
          </w:rPr>
          <w:t xml:space="preserve">[22]</w:t>
        </w:r>
      </w:hyperlink>
      <w:r>
        <w:t xml:space="preserve">. The pilot cannot exclude this rival, and Chapter 7 treats it as the single most serious threat. The second rival is capability asymmetry. A state may fail to respond in orbit simply because it lacks the counterspace capability to do so, and capability may correlate with the economic variables in ways that mimic a trade effect</w:t>
      </w:r>
      <w:r>
        <w:t xml:space="preserve"> </w:t>
      </w:r>
      <w:hyperlink w:anchor="ref-13">
        <w:r>
          <w:rPr>
            <w:rStyle w:val="Hyperlink"/>
          </w:rPr>
          <w:t xml:space="preserve">[13]</w:t>
        </w:r>
      </w:hyperlink>
      <w:r>
        <w:t xml:space="preserve">. The target-activity control partially addresses this by conditioning on the rival’s tempo, but it does not directly measure the origin state’s own capability, which a fuller design would add. The third rival is reverse causation: rivalry suppresses trade rather than trade suppressing rivalry, so the correlation runs backward through the same variables</w:t>
      </w:r>
      <w:r>
        <w:t xml:space="preserve"> </w:t>
      </w:r>
      <w:hyperlink w:anchor="ref-11">
        <w:r>
          <w:rPr>
            <w:rStyle w:val="Hyperlink"/>
          </w:rPr>
          <w:t xml:space="preserve">[11]</w:t>
        </w:r>
      </w:hyperlink>
      <w:r>
        <w:t xml:space="preserve">. Anchoring the treatment to a prior period pushes against this, but only an instrument closes it.</w:t>
      </w:r>
    </w:p>
    <w:p>
      <w:pPr>
        <w:pStyle w:val="BodyText"/>
        <w:spacing w:line="480" w:lineRule="auto"/>
        <w:ind w:firstLine="720"/>
      </w:pPr>
      <w:r>
        <w:t xml:space="preserve">Naming these rivals sharpens the contribution rather than weakening it. The pilot’s negative sign is consistent with the interdependence mechanism, but it is also consistent with each rival, and the honest statement is that the pilot establishes the sign and the feasibility while leaving the causal attribution to the identified design the prospectus specified</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A theory that pretended the pilot had beaten these rivals would be claiming more than the data can bear.</w:t>
      </w:r>
    </w:p>
    <w:bookmarkEnd w:id="87"/>
    <w:bookmarkStart w:id="88" w:name="scope-conditions-on-the-mechanism"/>
    <w:p>
      <w:pPr>
        <w:pStyle w:val="Heading2"/>
        <w:spacing w:line="480" w:lineRule="auto"/>
      </w:pPr>
      <w:r>
        <w:t xml:space="preserve">Scope conditions on the mechanism</w:t>
      </w:r>
    </w:p>
    <w:p>
      <w:pPr>
        <w:pStyle w:val="FirstParagraph"/>
        <w:spacing w:line="480" w:lineRule="auto"/>
      </w:pPr>
      <w:r>
        <w:t xml:space="preserve">A mechanism without scope conditions overpromises. This one operates under three conditions that the dissertation states explicitly. The first is observability: the dampening channel requires that rivalrous acts be visible, because an act that no one observes cannot trigger the reputational and constituency costs that produce restraint</w:t>
      </w:r>
      <w:r>
        <w:t xml:space="preserve"> </w:t>
      </w:r>
      <w:hyperlink w:anchor="ref-1">
        <w:r>
          <w:rPr>
            <w:rStyle w:val="Hyperlink"/>
          </w:rPr>
          <w:t xml:space="preserve">[1]</w:t>
        </w:r>
      </w:hyperlink>
      <w:r>
        <w:t xml:space="preserve">. The mechanism therefore predicts stronger dampening in the densely observed orbital regimes, such as low Earth orbit and the geostationary belt, than in behavior that escapes public tracking. The pilot’s reliance on public counterspace chronologies means it observes exactly the visible acts the mechanism is about, which is a fit between the theory’s scope and the data’s coverage rather than a coincidence</w:t>
      </w:r>
      <w:r>
        <w:t xml:space="preserve"> </w:t>
      </w:r>
      <w:hyperlink w:anchor="ref-13">
        <w:r>
          <w:rPr>
            <w:rStyle w:val="Hyperlink"/>
          </w:rPr>
          <w:t xml:space="preserve">[13]</w:t>
        </w:r>
      </w:hyperlink>
      <w:r>
        <w:t xml:space="preserve">. The second condition is materiality: the trade relationship must be large enough relative to the exposed economy to matter to the responding state’s calculus and constituencies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Trivial trade ties should produce no detectable restraint, which is why the treatment is scaled by the smaller member’s product rather than measured in raw dollars. The third condition is decision latitude: the mechanism assumes the responding state has a genuine choice about whether to respond, so that restraint is a decision rather than an incapacity. Where a state lacks the capability to respond at all, an observed zero reflects incapacity, not restraint, and the mechanism does not apply</w:t>
      </w:r>
      <w:r>
        <w:t xml:space="preserve"> </w:t>
      </w:r>
      <w:hyperlink w:anchor="ref-13">
        <w:r>
          <w:rPr>
            <w:rStyle w:val="Hyperlink"/>
          </w:rPr>
          <w:t xml:space="preserve">[13]</w:t>
        </w:r>
      </w:hyperlink>
      <w:r>
        <w:t xml:space="preserve">. The target-activity control partially guards against conflating the two, but the scope condition is a reminder that the mechanism speaks to willing restraint, not to forced quiescence.</w:t>
      </w:r>
    </w:p>
    <w:bookmarkEnd w:id="88"/>
    <w:bookmarkStart w:id="89" w:name="predictions-the-mechanism-does-not-make"/>
    <w:p>
      <w:pPr>
        <w:pStyle w:val="Heading2"/>
        <w:spacing w:line="480" w:lineRule="auto"/>
      </w:pPr>
      <w:r>
        <w:t xml:space="preserve">Predictions the mechanism does not make</w:t>
      </w:r>
    </w:p>
    <w:p>
      <w:pPr>
        <w:pStyle w:val="FirstParagraph"/>
        <w:spacing w:line="480" w:lineRule="auto"/>
      </w:pPr>
      <w:r>
        <w:t xml:space="preserve">Stating the mechanism’s silences is as disciplining as stating its predictions. The mechanism does not predict that economically dependent states never respond in orbit; it predicts a lower average rate of response. It does not predict the timing of any particular response, only the cross-sectional pattern across dyad-periods, though the survival extension flagged in later chapters could test timing directly. And it does not predict symmetry: because the unit is directed, the mechanism permits one member of a pair to respond while the other does not, which the panel in fact records for several dyads. A mechanism that made none of these overreaching predictions is easier to test cleanly, because the test is not burdened with implications the pilot cannot evaluate. The disciplined silence also protects the falsifiability of the hypotheses. A mechanism that predicted timing, symmetry, and universal restraint would offer many more chances to appear confirmed by accident, since some of its many predictions would land by luck. By predicting only the cross-sectional sign of a partial association, the mechanism concentrates its risk on a single testable claim, which is the claim the estimators evaluate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That concentration is a virtue in a bounded design, because it means a single clean test can discriminate between the null and the alternative without the analyst having to reconcile a scatter of secondary predictions. The next chapter builds the estimators designed to put this mechanism, and its stated limits, to a fair test.</w:t>
      </w:r>
    </w:p>
    <w:bookmarkEnd w:id="89"/>
    <w:bookmarkEnd w:id="90"/>
    <w:bookmarkStart w:id="102"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theory in Chapter 3 predicts a negative average partial association between cross-domain trade dependence and rivalrous orbital behavior, holding target activity constant. This chapter builds the estimators that put that prediction to the test, explains what each one identifies, and states with precision what identification the bounded pilot can and cannot support. The chapter is deliberately candid about the difference between the estimators the dissertation runs and the identification the prospectus envisioned. A doctoral design earns trust by naming that gap rather than papering over it.</w:t>
      </w:r>
    </w:p>
    <w:bookmarkStart w:id="91" w:name="the-unit-of-observation"/>
    <w:p>
      <w:pPr>
        <w:pStyle w:val="Heading2"/>
        <w:spacing w:line="480" w:lineRule="auto"/>
      </w:pPr>
      <w:r>
        <w:t xml:space="preserve">The unit of observation</w:t>
      </w:r>
    </w:p>
    <w:p>
      <w:pPr>
        <w:pStyle w:val="FirstParagraph"/>
        <w:spacing w:line="480" w:lineRule="auto"/>
      </w:pPr>
      <w:r>
        <w:t xml:space="preserve">Everything begins with the unit. The observation is a directed dyad-period: an ordered pair of states, an origin and a target, observed in a period anchored to a public event context. Direction matters because rivalry is asymmetric. The United States responding to Russia is a different observation from Russia responding to the United States, and the panel codes both, so a single dyad-year can contribute two directed rows with distinct target-activity and response values. This mirrors the socio-technical insistence that orbital acts are relational and directional rather than symmetric properties of a pair</w:t>
      </w:r>
      <w:r>
        <w:t xml:space="preserve"> </w:t>
      </w:r>
      <w:hyperlink w:anchor="ref-1">
        <w:r>
          <w:rPr>
            <w:rStyle w:val="Hyperlink"/>
          </w:rPr>
          <w:t xml:space="preserve">[1]</w:t>
        </w:r>
      </w:hyperlink>
      <w:r>
        <w:t xml:space="preserve">.</w:t>
      </w:r>
    </w:p>
    <w:p>
      <w:pPr>
        <w:pStyle w:val="BodyText"/>
        <w:spacing w:line="480" w:lineRule="auto"/>
        <w:ind w:firstLine="720"/>
      </w:pPr>
      <w:r>
        <w:t xml:space="preserve">The choice of a directed dyad-period, rather than an undirected dyad or a country-year, is what allows the treatment and the outcome to sit in the same row.</w:t>
      </w:r>
    </w:p>
    <w:p>
      <w:pPr>
        <w:pStyle w:val="BodyText"/>
        <w:spacing w:line="480" w:lineRule="auto"/>
        <w:ind w:firstLine="720"/>
      </w:pPr>
      <w:r>
        <w:t xml:space="preserve">Trade dependence is a property of the pair; the rivalrous response is a property of the origin acting toward the target. Placing them in one directed observation is the methodological move that turns an abstract interdependence proposition into something an estimator can read. It is also the move that the prospectus and both empirical papers share, which keeps the pilot and its intended expansion on the same rails</w:t>
      </w:r>
      <w:r>
        <w:t xml:space="preserve"> </w:t>
      </w:r>
      <w:hyperlink w:anchor="ref-2">
        <w:r>
          <w:rPr>
            <w:rStyle w:val="Hyperlink"/>
          </w:rPr>
          <w:t xml:space="preserve">[2]</w:t>
        </w:r>
      </w:hyperlink>
      <w:r>
        <w:t xml:space="preserve">.</w:t>
      </w:r>
    </w:p>
    <w:bookmarkEnd w:id="91"/>
    <w:bookmarkStart w:id="92" w:name="two-estimators-for-one-proposition"/>
    <w:p>
      <w:pPr>
        <w:pStyle w:val="Heading2"/>
        <w:spacing w:line="480" w:lineRule="auto"/>
      </w:pPr>
      <w:r>
        <w:t xml:space="preserve">Two estimators for one proposition</w:t>
      </w:r>
    </w:p>
    <w:p>
      <w:pPr>
        <w:pStyle w:val="FirstParagraph"/>
        <w:spacing w:line="480" w:lineRule="auto"/>
      </w:pPr>
      <w:r>
        <w:t xml:space="preserve">The dissertation runs two estimators against the same panel because a single specification confirming a single sign is fragile evidence.</w:t>
      </w:r>
    </w:p>
    <w:p>
      <w:pPr>
        <w:pStyle w:val="BodyText"/>
        <w:spacing w:line="480" w:lineRule="auto"/>
        <w:ind w:firstLine="720"/>
      </w:pPr>
      <w:r>
        <w:t xml:space="preserve">The first is an ordinary-least-squares model of the response count. The outcome is the directed dyad-period count of same-regime rivalrous responses, and the model regresses it on trade dependence and the log of target activity. The specification follows the formula fixed in the empirical design, Y equals a constant plus a coefficient on trade dependence plus a coefficient on log target activity plus an error term. Ordinary least squares on a count is not the textbook-optimal choice; a Poisson or negative-binomial model would respect the count support more faithfully. The dissertation uses ordinary least squares deliberately, because it is transparent, because its coefficients are directly readable as changes in expected response count, and because the sign and significance of the treatment are what the hypothesis turns on, not the exact functional form. The second estimator is a logit model of a binary outcome. The outcome equals one when any rivalrous response appears in the public window and zero otherwise. The model regresses that indicator on the same two predictors through the logistic link. The logit answers a different and often more policy-relevant question than the count model: not how many responses occurred, but whether the dyad crossed the response threshold at all</w:t>
      </w:r>
      <w:r>
        <w:t xml:space="preserve"> </w:t>
      </w:r>
      <w:hyperlink w:anchor="ref-3">
        <w:r>
          <w:rPr>
            <w:rStyle w:val="Hyperlink"/>
          </w:rPr>
          <w:t xml:space="preserve">[3]</w:t>
        </w:r>
      </w:hyperlink>
      <w:r>
        <w:t xml:space="preserve">. Policy readers frequently care about the threshold rather than the intensity, and the binary model speaks to them directly while retaining the identical data, source trail, and control.</w:t>
      </w:r>
    </w:p>
    <w:p>
      <w:pPr>
        <w:pStyle w:val="BodyText"/>
        <w:spacing w:line="480" w:lineRule="auto"/>
        <w:ind w:firstLine="720"/>
      </w:pPr>
      <w:r>
        <w:t xml:space="preserve">Running both estimators is a triangulation strategy, not redundancy. The mechanism in Chapter 3 predicts the same negative sign on both scales, so agreement across a linear count model and a nonlinear binary model is a genuine test of the mechanism’s robustness to functional form. A reviewer who distrusts the count coding can still confront the binary result, and a reviewer who distrusts the linear approximation can still confront the logit. The two models were designed so that each covers the other’s most obvious weakness.</w:t>
      </w:r>
    </w:p>
    <w:bookmarkEnd w:id="92"/>
    <w:bookmarkStart w:id="93" w:name="why-not-poisson-and-what-is-lost"/>
    <w:p>
      <w:pPr>
        <w:pStyle w:val="Heading2"/>
        <w:spacing w:line="480" w:lineRule="auto"/>
      </w:pPr>
      <w:r>
        <w:t xml:space="preserve">Why not Poisson, and what is lost</w:t>
      </w:r>
    </w:p>
    <w:p>
      <w:pPr>
        <w:pStyle w:val="FirstParagraph"/>
        <w:spacing w:line="480" w:lineRule="auto"/>
      </w:pPr>
      <w:r>
        <w:t xml:space="preserve">An informed reader will ask why the count model is ordinary least squares rather than Poisson or negative binomial, which are the textbook estimators for count outcomes.</w:t>
      </w:r>
    </w:p>
    <w:p>
      <w:pPr>
        <w:pStyle w:val="BodyText"/>
        <w:spacing w:line="480" w:lineRule="auto"/>
        <w:ind w:firstLine="720"/>
      </w:pPr>
      <w:r>
        <w:t xml:space="preserve">The answer is a deliberate trade of statistical elegance for transparency and reporting simplicity, and it is worth defending rather than hiding. A Poisson model would respect the non-negative integer support of the response count and would not predict fractional or negative responses, which the linear model can. It would also handle the concentration of zeros more gracefully. Those are real advantages, and a fuller design should adopt them. What ordinary least squares buys in exchange is a coefficient that reads directly as a change in expected response count per unit of trade dependence, without a link-function transformation standing between the estimate and its interpretation. In a pilot whose purpose is to establish a sign and demonstrate feasibility, that directness has value, and the logit already supplies the nonlinear counterpart that a Poisson would partly duplicate. The cost is that the linear count coefficient should be read as a local approximation to the average marginal association over the observed range of the treatment, not as a structural parameter valid far outside that range. Chapter 6 reports the linear estimate with that caveat attached, and the expansion path in Chapter 8 explicitly names count estimators with fixed effects as the correct next step</w:t>
      </w:r>
      <w:r>
        <w:t xml:space="preserve"> </w:t>
      </w:r>
      <w:hyperlink w:anchor="ref-2">
        <w:r>
          <w:rPr>
            <w:rStyle w:val="Hyperlink"/>
          </w:rPr>
          <w:t xml:space="preserve">[2]</w:t>
        </w:r>
      </w:hyperlink>
      <w:r>
        <w:t xml:space="preserve">.</w:t>
      </w:r>
    </w:p>
    <w:bookmarkEnd w:id="93"/>
    <w:bookmarkStart w:id="94" w:name="Xcd36c2799306ed22475bc7dbbb8aab4928e5be9"/>
    <w:p>
      <w:pPr>
        <w:pStyle w:val="Heading2"/>
        <w:spacing w:line="480" w:lineRule="auto"/>
      </w:pPr>
      <w:r>
        <w:t xml:space="preserve">What the estimators identify in a bounded panel</w:t>
      </w:r>
    </w:p>
    <w:p>
      <w:pPr>
        <w:pStyle w:val="FirstParagraph"/>
        <w:spacing w:line="480" w:lineRule="auto"/>
      </w:pPr>
      <w:r>
        <w:t xml:space="preserve">Identification is where honesty is cheapest to fake and most expensive to earn. State plainly what these estimators recover. In the pilot, the coefficient on trade dependence identifies a partial association between cross-domain economic exposure and rivalrous response, conditional on target activity, within the twenty-four directed observations that make up the panel. It does not identify a causal effect in the sense that a well-instrumented design would. It is a conditional correlation with a stated uncertainty, and the dissertation calls it that. The target-activity control does the heavy lifting that makes even the conditional claim credible. Without it, a negative trade-dependence coefficient could simply reflect that high-dependence dyads face quiet targets. Conditioning on the log of target activity removes the most mechanical version of that confound, because the model now compares dyads that face comparable rivalrous opportunity and asks whether economic exposure still tracks lower response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is a partial-effect claim, and partial-effect claims are exactly what count and logit coefficients deliver. The log transform on target activity matters too: it prevents a handful of very high-activity targets from dominating the control and keeps the opportunity adjustment on a reasonable scale.</w:t>
      </w:r>
    </w:p>
    <w:p>
      <w:pPr>
        <w:pStyle w:val="BodyText"/>
        <w:spacing w:line="480" w:lineRule="auto"/>
        <w:ind w:firstLine="720"/>
      </w:pPr>
      <w:r>
        <w:t xml:space="preserve">The pilot cannot rule out omitted confounders that move both trade and rivalry. Alliance structure, shared threat perception, militarized-dispute history, and relative military expenditure all plausibly correlate with both the treatment and the outcome, and none of them enters the two-predictor pilot models</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The dissertation does not pretend otherwise. The bounded panel is a proof of measurement and a first directional test, not a settled causal estimate.</w:t>
      </w:r>
    </w:p>
    <w:bookmarkEnd w:id="94"/>
    <w:bookmarkStart w:id="95" w:name="X08561e51f7a71ce15683fd8a14ccb28c3d51c81"/>
    <w:p>
      <w:pPr>
        <w:pStyle w:val="Heading2"/>
        <w:spacing w:line="480" w:lineRule="auto"/>
      </w:pPr>
      <w:r>
        <w:t xml:space="preserve">The identification the prospectus envisioned</w:t>
      </w:r>
    </w:p>
    <w:p>
      <w:pPr>
        <w:pStyle w:val="FirstParagraph"/>
        <w:spacing w:line="480" w:lineRule="auto"/>
      </w:pPr>
      <w:r>
        <w:t xml:space="preserve">It is worth stating what a fully identified version of this study would require, both to mark the pilot’s limits and to show that the expansion path is real rather than rhetorical. The prospectus specified a directed dyad-year panel with three layers of fixed effects: dyad fixed effects to absorb time-invariant bilateral features such as distance, historical antagonism, and stable alignment; origin-country-by-year fixed effects to absorb annual national shocks in the responding state; and target-country-by-year fixed effects to absorb annual shocks in the target. That structure would strip out most of the confounders the pilot cannot address, leaving identification to within-dyad changes in trade dependence over time. Fixed effects alone would not close the causal loop, because trade and rivalry can be jointly determined by unobserved strategic relations that vary within a dyad over time. The prospectus therefore specified an instrumental-variable shift-share design. The instrument predicts a dyad’s non-space trade dependence from its pre-period sectoral trade composition interacted with annual third-market demand shocks, excluding both dyad members from the shock calculation. The identifying variation would then come from external sectoral demand changes weighted by historically predetermined trade exposure, and the exclusion restriction would hold that those third-market shocks affect orbital rivalry only through their effect on bilateral economic dependence, conditional on the fixed effects. This is the standard shift-share logic adapted to a dyadic security outcome, and it is the design the pilot is built to grow into.</w:t>
      </w:r>
    </w:p>
    <w:bookmarkEnd w:id="95"/>
    <w:bookmarkStart w:id="96" w:name="why-the-pilot-precedes-the-full-design"/>
    <w:p>
      <w:pPr>
        <w:pStyle w:val="Heading2"/>
        <w:spacing w:line="480" w:lineRule="auto"/>
      </w:pPr>
      <w:r>
        <w:t xml:space="preserve">Why the pilot precedes the full design</w:t>
      </w:r>
    </w:p>
    <w:p>
      <w:pPr>
        <w:pStyle w:val="FirstParagraph"/>
        <w:spacing w:line="480" w:lineRule="auto"/>
      </w:pPr>
      <w:r>
        <w:t xml:space="preserve">Running the bounded pilot before the instrumented panel is a sequencing choice with a defensible logic. The full design is expensive to assemble and only worth assembling if the measurement is coherent and the direction is promising. The pilot answers the prior questions cheaply. Can orbital rivalry be coded from public records into a directed count that a reader can audit? Can cross-domain trade dependence be measured without contamination from space-sector trade? Does the sign, once both are in the same row, point where the theory predicts? If any of these had failed, the instrumented panel would have inherited the failure at far greater cost. The pilot de-risks the expansion. The sequencing also preserves the falsifiability that Chapter 1 promised. Because the pilot fixes the unit, treatment, outcome, and estimator family, the full design does not have to reinvent the test to enlarge it. Annual dyad-year rows slot into the same directed structure. The fixed effects and the instrument attach to the same treatment variable. The response-window sensitivity checks operate on the same outcome definition. A reader who accepts the pilot’s architecture already knows what the expansion will test, which is precisely the property a reproducible design should have.</w:t>
      </w:r>
    </w:p>
    <w:bookmarkEnd w:id="96"/>
    <w:bookmarkStart w:id="97" w:name="X20127d0efedc9667296d4edf0f9d7860f38074d"/>
    <w:p>
      <w:pPr>
        <w:pStyle w:val="Heading2"/>
        <w:spacing w:line="480" w:lineRule="auto"/>
      </w:pPr>
      <w:r>
        <w:t xml:space="preserve">Estimation, inference, and reporting standards</w:t>
      </w:r>
    </w:p>
    <w:p>
      <w:pPr>
        <w:pStyle w:val="FirstParagraph"/>
        <w:spacing w:line="480" w:lineRule="auto"/>
      </w:pPr>
      <w:r>
        <w:t xml:space="preserve">The estimation is intentionally standard so that the results are portable. The ordinary-least-squares model is fit by the usual closed-form estimator and reported with coefficient estimates, standard errors, t-statistics, two-sided p-values, and ninety-five-percent confidence intervals, alongside the coefficient of determination, its adjusted version, and the model F-statistic with its p-value. The logit is fit by maximum likelihood and reported with coefficients, standard errors, z-statistics, two-sided p-values, confidence intervals, the sample size, a pseudo coefficient of determination, and the maximized log-likelihood. Reporting the full apparatus, rather than a single starred coefficient, is what lets a reader judge whether the treatment effect is distinguishable from the controls and from noise. Two reporting commitments govern Chapter 6. First, every number reported there is the number the estimator produced on the panel, transcribed without adjustment; the dissertation does not round toward significance or select a favorable specification after the fact. Second, the uncertainty is reported next to the point estimate in every case, so that a reader never sees a coefficient without seeing how precisely it was measured. In a small panel, precision is the first thing a skeptic will attack, and the honest response is to put the standard error and the confidence interval on the same line as the coefficient rather than in a footnote.</w:t>
      </w:r>
    </w:p>
    <w:bookmarkEnd w:id="97"/>
    <w:bookmarkStart w:id="98" w:name="inference-in-a-small-sample"/>
    <w:p>
      <w:pPr>
        <w:pStyle w:val="Heading2"/>
        <w:spacing w:line="480" w:lineRule="auto"/>
      </w:pPr>
      <w:r>
        <w:t xml:space="preserve">Inference in a small sample</w:t>
      </w:r>
    </w:p>
    <w:p>
      <w:pPr>
        <w:pStyle w:val="FirstParagraph"/>
        <w:spacing w:line="480" w:lineRule="auto"/>
      </w:pPr>
      <w:r>
        <w:t xml:space="preserve">Twenty-four observations demand an honest word about inference. The standard errors, t-statistics, and z-statistics reported in Chapter 6 rest on asymptotic approximations that are exact only in large samples. In a panel this size, the reported p-values should be read as indicative rather than definitive, and a conservative reader is right to treat a p-value of 0.02 in twenty-four observations as weaker evidence than the same value in a thousand. The dissertation does not inflate the precision of its inference to match the confidence of its sign. Two features nonetheless support the reported inference. First, the treatment coefficient’s sign and rough magnitude are visible in the raw data before any estimator runs: the highest-dependence dyads carry zero responses and the lowest-dependence dyads carry the positive counts, so the estimators are formalizing a pattern that inspection already reveals rather than extracting a signal from noise. Second, the convergence of two estimators with different sampling distributions, the t-based linear model and the z-based logit, provides a crude robustness that neither alone would. A pattern strong enough to clear conventional thresholds in both a linear and a nonlinear model on the same small sample is less likely to be an artifact of a single estimator’s small-sample behavior. None of this converts the pilot into a large-sample study. It only clarifies what the reported statistics are entitled to claim, which is a directional finding with stated and appropriately humble uncertainty.</w:t>
      </w:r>
    </w:p>
    <w:bookmarkEnd w:id="98"/>
    <w:bookmarkStart w:id="99" w:name="Xa9afbddd3c6cebc60ffb0822bd1f1e47142304f"/>
    <w:p>
      <w:pPr>
        <w:pStyle w:val="Heading2"/>
        <w:spacing w:line="480" w:lineRule="auto"/>
      </w:pPr>
      <w:r>
        <w:t xml:space="preserve">Design choices held constant for the expansion</w:t>
      </w:r>
    </w:p>
    <w:p>
      <w:pPr>
        <w:pStyle w:val="FirstParagraph"/>
        <w:spacing w:line="480" w:lineRule="auto"/>
      </w:pPr>
      <w:r>
        <w:t xml:space="preserve">A final methodological commitment concerns continuity. Every design choice in the pilot, the directed dyad-period unit, the two-predictor specification, the trade-dependence measure scaled by the smaller member’s product, the log transform on target activity, and the response-window definition, is chosen so that it survives into the expanded design without redefinition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This is not incidental. A pilot whose choices had to be discarded when the sample grew would prove nothing about the larger design. By fixing choices that scale, the dissertation ensures that the fixed-effects and instrumented models the prospectus specified are enlargements of this test rather than replacements for it, which is what makes the pilot a genuine first stage rather than a detour</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w:t>
      </w:r>
    </w:p>
    <w:bookmarkEnd w:id="99"/>
    <w:bookmarkStart w:id="100" w:name="X47f7a56d91801a8c2c96477402238516290967a"/>
    <w:p>
      <w:pPr>
        <w:pStyle w:val="Heading2"/>
        <w:spacing w:line="480" w:lineRule="auto"/>
      </w:pPr>
      <w:r>
        <w:t xml:space="preserve">The exclusion restriction the expansion will have to defend</w:t>
      </w:r>
    </w:p>
    <w:p>
      <w:pPr>
        <w:pStyle w:val="FirstParagraph"/>
        <w:spacing w:line="480" w:lineRule="auto"/>
      </w:pPr>
      <w:r>
        <w:t xml:space="preserve">Because the shift-share instrument is the linchpin of the identified design, it is worth stating now, in the methodology chapter, exactly what the expansion will have to defend, so that readers can judge whether the causal claim is reachable. The instrument predicts a dyad’s trade dependence from its pre-period sectoral composition interacted with third-market demand shocks, with both dyad members excluded from the shocks</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The exclusion restriction requires that these third-market sectoral shocks affect orbital rivalry only through their effect on bilateral trade, conditional on the fixed effects. That is a demanding assumption, and it can fail. A global demand shock in a strategic sector, semiconductors for example, could affect both bilateral trade and national space budgets simultaneously, which would violate exclusion by giving the instrument a second path to the outcome. The country-by-year fixed effects are the primary defense, since they absorb national annual shocks, including budget swings, that hit the responding and target states as a whole. The residual worry is a shock that operates specifically through the dyadic sectoral channel and also, separately, through orbital incentives. The expansion will have to argue that channel away sector by sector, and the honesty of that argument will determine whether the identified design earns a causal reading. Flagging the restriction here, rather than deferring it to the expansion, keeps the dissertation’s promises about identification calibrated to what the design can actually deliver</w:t>
      </w:r>
      <w:r>
        <w:t xml:space="preserve"> </w:t>
      </w:r>
      <w:hyperlink w:anchor="ref-2">
        <w:r>
          <w:rPr>
            <w:rStyle w:val="Hyperlink"/>
          </w:rPr>
          <w:t xml:space="preserve">[2]</w:t>
        </w:r>
      </w:hyperlink>
      <w:r>
        <w:t xml:space="preserve">.</w:t>
      </w:r>
    </w:p>
    <w:bookmarkEnd w:id="100"/>
    <w:bookmarkStart w:id="101" w:name="robustness-the-pilot-already-anticipates"/>
    <w:p>
      <w:pPr>
        <w:pStyle w:val="Heading2"/>
        <w:spacing w:line="480" w:lineRule="auto"/>
      </w:pPr>
      <w:r>
        <w:t xml:space="preserve">Robustness the pilot already anticipates</w:t>
      </w:r>
    </w:p>
    <w:p>
      <w:pPr>
        <w:pStyle w:val="FirstParagraph"/>
        <w:spacing w:line="480" w:lineRule="auto"/>
      </w:pPr>
      <w:r>
        <w:t xml:space="preserve">Even within the bounded pilot, the design anticipates several robustness moves that the expansion will formalize. The response window is defined at a fixed horizon in the pilot but is deliberately parameterized so that one-year, two-year, and three-year windows can be swapped without changing the outcome’s meaning</w:t>
      </w:r>
      <w:r>
        <w:t xml:space="preserve"> </w:t>
      </w:r>
      <w:hyperlink w:anchor="ref-14">
        <w:r>
          <w:rPr>
            <w:rStyle w:val="Hyperlink"/>
          </w:rPr>
          <w:t xml:space="preserve">[14]</w:t>
        </w:r>
      </w:hyperlink>
      <w:r>
        <w:t xml:space="preserve">. The satellite-purpose coding is defined conservatively but is structured so that an inclusive coding, which would treat more ambiguous activity as rivalrous, can be run as a sensitivity check. The treatment denominator is fixed to the smaller member’s product but is documented precisely enough that alternative denominators can be substituted. None of these checks is executed in the pilot, whose purpose is to establish the sign, but each is prewired into the data structure so that the expansion can run them without reconstructing the panel. Building the robustness hooks into the pilot, rather than bolting them on later, is part of what makes the design a coherent first stage rather than a throwaway demonstration.</w:t>
      </w:r>
    </w:p>
    <w:p>
      <w:pPr>
        <w:pStyle w:val="BodyText"/>
        <w:spacing w:line="480" w:lineRule="auto"/>
        <w:ind w:firstLine="720"/>
      </w:pPr>
      <w:r>
        <w:t xml:space="preserve">Here is the hinge one more time, now as a methodological commitment rather than a claim. Trade changes incentives, and the estimators in this chapter are built to detect that change if it is present and to fail visibly if it is not. The next chapter documents the data those estimators consume: the twenty-four directed observations, the variables constructed from them, and the public source families that make every value inspectable.</w:t>
      </w:r>
    </w:p>
    <w:bookmarkEnd w:id="101"/>
    <w:bookmarkEnd w:id="102"/>
    <w:bookmarkStart w:id="114" w:name="chapter-5.-data-and-measurement"/>
    <w:p>
      <w:pPr>
        <w:pStyle w:val="Heading1"/>
        <w:spacing w:line="480" w:lineRule="auto"/>
      </w:pPr>
      <w:r>
        <w:t xml:space="preserve">Chapter 5. Data and Measurement</w:t>
      </w:r>
    </w:p>
    <w:p>
      <w:pPr>
        <w:pStyle w:val="FirstParagraph"/>
        <w:spacing w:line="480" w:lineRule="auto"/>
      </w:pPr>
      <w:r>
        <w:t xml:space="preserve">A dissertation that rests on a bounded panel owes the reader a full accounting of that panel. This chapter documents the twenty-four directed dyad-period observations, defines every variable, names the public source families behind each value, and explains the coding rules that turn messy open-source records into a table an estimator can read. The panel is small on purpose, a choice defended in Chapter 4, and the smallness is what makes this level of documentation possible. Every row can be described. Nothing hides in an aggregate.</w:t>
      </w:r>
    </w:p>
    <w:bookmarkStart w:id="103" w:name="the-panel-at-a-glance"/>
    <w:p>
      <w:pPr>
        <w:pStyle w:val="Heading2"/>
        <w:spacing w:line="480" w:lineRule="auto"/>
      </w:pPr>
      <w:r>
        <w:t xml:space="preserve">The panel at a glance</w:t>
      </w:r>
    </w:p>
    <w:p>
      <w:pPr>
        <w:pStyle w:val="FirstParagraph"/>
        <w:spacing w:line="480" w:lineRule="auto"/>
      </w:pPr>
      <w:r>
        <w:t xml:space="preserve">The panel contains twenty-four directed dyad-period observations spanning event contexts from 2014 to 2021.</w:t>
      </w:r>
    </w:p>
    <w:p>
      <w:pPr>
        <w:pStyle w:val="BodyText"/>
        <w:spacing w:line="480" w:lineRule="auto"/>
        <w:ind w:firstLine="720"/>
      </w:pPr>
      <w:r>
        <w:t xml:space="preserve">It covers ten distinct ordered relationships. Adversarial and competitive pairs appear in both directions: the United States and Russia around 2014 and again around 2021, the United States and China around 2015 and 2021, and India and China around 2019. Cooperative and allied pairs appear as well: the United States with Japan, Canada, Germany, France, and the United Kingdom, and China with Russia and with Japan. The mix is deliberate. A test of whether economic ties dampen rivalry needs both dyads that trade heavily and rarely respond in orbit and dyads that respond in orbit while trading less relative to size, so that the treatment has variation to explain</w:t>
      </w:r>
      <w:r>
        <w:t xml:space="preserve"> </w:t>
      </w:r>
      <w:hyperlink w:anchor="ref-13">
        <w:r>
          <w:rPr>
            <w:rStyle w:val="Hyperlink"/>
          </w:rPr>
          <w:t xml:space="preserve">[13]</w:t>
        </w:r>
      </w:hyperlink>
      <w:r>
        <w:t xml:space="preserve">.</w:t>
      </w:r>
    </w:p>
    <w:p>
      <w:pPr>
        <w:pStyle w:val="BodyText"/>
        <w:spacing w:line="480" w:lineRule="auto"/>
        <w:ind w:firstLine="720"/>
      </w:pPr>
      <w:r>
        <w:t xml:space="preserve">Each observation carries a stable identifier from igv01 to igv24, an origin state, a target state, a period year, and the constructed variables described below.</w:t>
      </w:r>
    </w:p>
    <w:p>
      <w:pPr>
        <w:pStyle w:val="BodyText"/>
        <w:spacing w:line="480" w:lineRule="auto"/>
        <w:ind w:firstLine="720"/>
      </w:pPr>
      <w:r>
        <w:t xml:space="preserve">The identifiers are not decorative. They let any claim in Chapter 6 or Chapter 7 be traced to specific named rows, which is the whole point of building the panel by hand rather than scraping it.</w:t>
      </w:r>
    </w:p>
    <w:bookmarkEnd w:id="103"/>
    <w:bookmarkStart w:id="104" w:name="the-anchoring-events"/>
    <w:p>
      <w:pPr>
        <w:pStyle w:val="Heading2"/>
        <w:spacing w:line="480" w:lineRule="auto"/>
      </w:pPr>
      <w:r>
        <w:t xml:space="preserve">The anchoring events</w:t>
      </w:r>
    </w:p>
    <w:p>
      <w:pPr>
        <w:pStyle w:val="FirstParagraph"/>
        <w:spacing w:line="480" w:lineRule="auto"/>
      </w:pPr>
      <w:r>
        <w:t xml:space="preserve">The panel is organized around a small set of anchoring events drawn from the public counterspace record, because those events are what make a directed response coding meaningful</w:t>
      </w:r>
      <w:r>
        <w:t xml:space="preserve"> </w:t>
      </w:r>
      <w:hyperlink w:anchor="ref-13">
        <w:r>
          <w:rPr>
            <w:rStyle w:val="Hyperlink"/>
          </w:rPr>
          <w:t xml:space="preserve">[13]</w:t>
        </w:r>
      </w:hyperlink>
      <w:r>
        <w:t xml:space="preserve">.</w:t>
      </w:r>
    </w:p>
    <w:p>
      <w:pPr>
        <w:pStyle w:val="BodyText"/>
        <w:spacing w:line="480" w:lineRule="auto"/>
        <w:ind w:firstLine="720"/>
      </w:pPr>
      <w:r>
        <w:t xml:space="preserve">Four anchors carry most of the analytical weight. The United States and Russia pairing around 2014 sits against a backdrop of proximity operations and on-orbit inspection activity that the counterspace assessment documents. The same pairing around 2021 anchors to Russia’s direct-ascent anti-satellite test, one of the most consequential public rivalrous acts of the decade and one that generated a debris field of lasting concern. The United States and China pairings around 2015 and 2021 anchor to China’s documented counterspace development. The India and China pairing around 2019 anchors to India’s Mission Shakti anti-satellite test. These anchors matter for interpretation. They are not arbitrary year selections; they are the periods in which the public record actually contains rivalrous behavior worth coding, which is why the responding dyads cluster around them. The allied dyads, by contrast, are observed around 2021 as a comparison set precisely because they combine high economic dependence with no anchoring rivalrous event, which is the contrast the treatment is meant to explain. Reading the panel as a set of event-anchored comparisons, rather than as a random sample of years, is essential to interpreting the estimators in the next chapter correctly.</w:t>
      </w:r>
    </w:p>
    <w:bookmarkEnd w:id="104"/>
    <w:bookmarkStart w:id="105" w:name="the-dependent-variables"/>
    <w:p>
      <w:pPr>
        <w:pStyle w:val="Heading2"/>
        <w:spacing w:line="480" w:lineRule="auto"/>
      </w:pPr>
      <w:r>
        <w:t xml:space="preserve">The dependent variables</w:t>
      </w:r>
    </w:p>
    <w:p>
      <w:pPr>
        <w:pStyle w:val="FirstParagraph"/>
        <w:spacing w:line="480" w:lineRule="auto"/>
      </w:pPr>
      <w:r>
        <w:t xml:space="preserve">Two outcomes are constructed, one count and one binary, and both derive from the same underlying coding of rivalrous response. The count outcome, origin_same_regime_response_count, records how many times the origin state undertook government or military orbital activity in the same broad orbital regime within the public response window following comparable activity by the target. It is hand-coded from the cited orbital and counterspace source families: the United Nations Office for Outer Space Affairs online index of objects launched into outer space, the Space-Track catalog, the Union of Concerned Scientists satellite database, and the Secure World Foundation counterspace assessment</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In the panel the count ranges from zero to four. The adversarial dyads carry the positive counts; the allied dyads carry zeros. The binary outcome, any_rivalry_response, equals one when the count is greater than zero and zero otherwise. It is a mechanical function of the count, not an independent coding, which keeps the two outcomes consistent by construction. Ten of the twenty-four observations record a response, the ten adversarial and competitive directed pairs, and fourteen record none. That split, roughly forty percent positive, gives the logit enough events on both sides to estimate a threshold relationship without collapsing to a degenerate all-ones or all-zeros outcome.</w:t>
      </w:r>
    </w:p>
    <w:p>
      <w:pPr>
        <w:pStyle w:val="BodyText"/>
        <w:spacing w:line="480" w:lineRule="auto"/>
        <w:ind w:firstLine="720"/>
      </w:pPr>
      <w:r>
        <w:t xml:space="preserve">A coded zero deserves careful interpretation, and the panel is explicit about it. A zero means the public coding rule observed no same-regime response in the defined window. It is not a claim that the dyad had no security competition, no classified activity, and no rivalry the public record failed to see. The distinction between measured behavior and total behavior runs through the entire dissertation, and it is anchored here in the definition of the outcome itself.</w:t>
      </w:r>
    </w:p>
    <w:bookmarkEnd w:id="105"/>
    <w:bookmarkStart w:id="106" w:name="the-treatment-variable"/>
    <w:p>
      <w:pPr>
        <w:pStyle w:val="Heading2"/>
        <w:spacing w:line="480" w:lineRule="auto"/>
      </w:pPr>
      <w:r>
        <w:t xml:space="preserve">The treatment variable</w:t>
      </w:r>
    </w:p>
    <w:p>
      <w:pPr>
        <w:pStyle w:val="FirstParagraph"/>
        <w:spacing w:line="480" w:lineRule="auto"/>
      </w:pPr>
      <w:r>
        <w:t xml:space="preserve">The treatment, trade_dependence_pct_smaller_gdp, measures cross-domain economic dependence as bilateral goods trade divided by the smaller dyad member’s gross domestic product, multiplied by one hundred. Bilateral goods trade comes from public trade series, including United States Census trade-in-goods figures and the United Nations Comtrade bilateral merchandise data, and the gross-domestic-product denominators come from the World Bank World Development Indicators</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w:t>
      </w:r>
      <w:hyperlink w:anchor="ref-19">
        <w:r>
          <w:rPr>
            <w:rStyle w:val="Hyperlink"/>
          </w:rPr>
          <w:t xml:space="preserve">[19]</w:t>
        </w:r>
      </w:hyperlink>
      <w:r>
        <w:t xml:space="preserve">. Dividing by the smaller member’s product is a deliberate scaling choice: it captures how large the trade relationship looms for the more economically exposed partner, which is where the commercial-peace mechanism should bite hardest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variation in the treatment is wide and substantively legible. At the low end sit the adversarial pairs. The United States and Russia around 2014 register 1.65 percent, rising to 1.96 percent around 2021 as trade shifted against a smaller Russian product. The United States and China register 5.41 percent around 2015 and 3.69 percent around 2021. At the high end sit the allied pairs. The United States and Canada around 2021 register 33.25 percent, by far the deepest dependence in the panel, and the response count for that dyad is zero in both directions. Japan, Germany, France, and the United Kingdom with the United States cluster between roughly 3 and 6 percent, and China with Russia and with Japan register 7.99 and 7.42 percent respectively, all with zero response counts. The rough pattern is visible before any estimator runs: the highest-dependence dyads are the quiet ones.</w:t>
      </w:r>
    </w:p>
    <w:p>
      <w:pPr>
        <w:pStyle w:val="BodyText"/>
        <w:spacing w:line="480" w:lineRule="auto"/>
        <w:ind w:firstLine="720"/>
      </w:pPr>
      <w:r>
        <w:t xml:space="preserve">One measurement decision is central to the cross-domain framing. The trade values are ordinary goods trade, not space-sector trade. The measure is meant to capture a tie in a domain wholly separate from orbit, so that a negative association with rivalry cannot be dismissed as a within-industry artifact about who buys whose satellites. The empirical design notes make this explicit: the trade values are cross-domain economic ties and do not claim to be space-sector trade. Keeping the treatment cross-domain is what makes the test a genuine probe of interdependence theory rather than a tautology.</w:t>
      </w:r>
    </w:p>
    <w:bookmarkEnd w:id="106"/>
    <w:bookmarkStart w:id="107" w:name="the-control-and-the-timing-variable"/>
    <w:p>
      <w:pPr>
        <w:pStyle w:val="Heading2"/>
        <w:spacing w:line="480" w:lineRule="auto"/>
      </w:pPr>
      <w:r>
        <w:t xml:space="preserve">The control and the timing variable</w:t>
      </w:r>
    </w:p>
    <w:p>
      <w:pPr>
        <w:pStyle w:val="FirstParagraph"/>
        <w:spacing w:line="480" w:lineRule="auto"/>
      </w:pPr>
      <w:r>
        <w:t xml:space="preserve">The control, ln_target_activity, is the natural log of one plus target_government_military_space_activity_count. The underlying count records the target state’s government or military space activity in the period context, coded from the same public orbital source families as the outcome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activity counts in the panel range from two to twenty-six, and the log transform, applied to one plus the count to handle the low end gracefully, keeps a few very high-activity targets from dominating the opportunity adjustment. The logged values in the panel run from about 1.10 to about 3.30. Chapter 4 explained why this control is theoretically load-bearing: it converts the trade-dependence coefficient into a partial effect that holds rivalrous opportunity constant. A timing variable, months_to_response_or_censor, records the number of months to the first observed public response where one occurred, and otherwise a thirty-six-month censoring window. In the responding dyads it ranges from ten to thirty-four months; in the non-responding dyads it takes the censored value of thirty-six. This variable is not used in the two pilot estimators. It is included to make the panel forward-compatible with a survival extension, in which the outcome would be time-to-response rather than a count or a binary indicator. Its presence in the workbook signals that the pilot was built with the expansion path in mind rather than as a dead end.</w:t>
      </w:r>
    </w:p>
    <w:bookmarkEnd w:id="107"/>
    <w:bookmarkStart w:id="108" w:name="provenance-and-the-source-column"/>
    <w:p>
      <w:pPr>
        <w:pStyle w:val="Heading2"/>
        <w:spacing w:line="480" w:lineRule="auto"/>
      </w:pPr>
      <w:r>
        <w:t xml:space="preserve">Provenance and the source column</w:t>
      </w:r>
    </w:p>
    <w:p>
      <w:pPr>
        <w:pStyle w:val="FirstParagraph"/>
        <w:spacing w:line="480" w:lineRule="auto"/>
      </w:pPr>
      <w:r>
        <w:t xml:space="preserve">Every row carries a source column that names the trade, gross-domestic-product, space-activity, and counterspace-chronology source families behind its values. The United States and Russia rows around 2021, for example, cite the Secure World Foundation record of Russia’s direct-ascent anti-satellite test alongside the World Bank product figures and the orbital catalogs. The India and China rows around 2019 cite the Secure World Foundation record of India’s Mission Shakti test. This row-level provenance is the panel’s most important design feature. A reviewer who doubts a value does not have to trust the analyst; the reviewer can go to the named source family, pull the official figure, and substitute it, and the panel’s architecture survives the substitution intact</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w:t>
      </w:r>
      <w:hyperlink w:anchor="ref-19">
        <w:r>
          <w:rPr>
            <w:rStyle w:val="Hyperlink"/>
          </w:rPr>
          <w:t xml:space="preserve">[19]</w:t>
        </w:r>
      </w:hyperlink>
      <w:r>
        <w:t xml:space="preserve">. The design notes bound the claims the panel makes about itself. The panel is a bounded public-record pilot dataset, not a claimed universe of all dyad-years. The dependent variables are built from public satellite and counterspace records, not from classified assessments. No restricted-source material of any kind is used. These boundaries are not disclaimers tacked on at the end; they are properties of the data that shape what Chapter 6 is entitled to conclude.</w:t>
      </w:r>
    </w:p>
    <w:bookmarkEnd w:id="108"/>
    <w:bookmarkStart w:id="109" w:name="Xa09665e1597954c6b6d22f99309ae6967e6e63f"/>
    <w:p>
      <w:pPr>
        <w:pStyle w:val="Heading2"/>
        <w:spacing w:line="480" w:lineRule="auto"/>
      </w:pPr>
      <w:r>
        <w:t xml:space="preserve">Measurement validity and its known soft spots</w:t>
      </w:r>
    </w:p>
    <w:p>
      <w:pPr>
        <w:pStyle w:val="FirstParagraph"/>
        <w:spacing w:line="480" w:lineRule="auto"/>
      </w:pPr>
      <w:r>
        <w:t xml:space="preserve">Documentation includes documenting weakness. Three measurement soft spots deserve naming here, ahead of the fuller validity discussion in Chapter 7. First, the response coding treats government or military orbital activity in the same regime as rivalrous, but some such activity is routine or defensive rather than a genuine answer to a rival, so the count carries some upward classification risk in the responding dyads. Second, the period-context anchoring means the panel is event-organized rather than a clean annual grid, which is appropriate for a pilot but is exactly the feature the dyad-year expansion is meant to regularize. Third, dual-use ambiguity means the split between government-civil, military, and mixed-use activity is not always crisp in public records, and the panel codes conservatively where the record is unclear</w:t>
      </w:r>
      <w:r>
        <w:t xml:space="preserve"> </w:t>
      </w:r>
      <w:hyperlink w:anchor="ref-1">
        <w:r>
          <w:rPr>
            <w:rStyle w:val="Hyperlink"/>
          </w:rPr>
          <w:t xml:space="preserve">[1]</w:t>
        </w:r>
      </w:hyperlink>
      <w:r>
        <w:t xml:space="preserve"> </w:t>
      </w:r>
      <w:hyperlink w:anchor="ref-5">
        <w:r>
          <w:rPr>
            <w:rStyle w:val="Hyperlink"/>
          </w:rPr>
          <w:t xml:space="preserve">[5]</w:t>
        </w:r>
      </w:hyperlink>
      <w:r>
        <w:t xml:space="preserve">. None of these soft spots is hidden inside an aggregate, which is the advantage of the small hand-built design. Each can be inspected at the row level, challenged, and repaired in a future pull. The measurement is honest about being a first approximation. What it is not is arbitrary: every value has a named source, every variable has a stated construction rule, and every coded zero has a defined meaning.</w:t>
      </w:r>
    </w:p>
    <w:bookmarkEnd w:id="109"/>
    <w:bookmarkStart w:id="110" w:name="X1773f91f4113f2a29908a960fc9bec7887d2f67"/>
    <w:p>
      <w:pPr>
        <w:pStyle w:val="Heading2"/>
        <w:spacing w:line="480" w:lineRule="auto"/>
      </w:pPr>
      <w:r>
        <w:t xml:space="preserve">The distribution of the treatment and its leverage points</w:t>
      </w:r>
    </w:p>
    <w:p>
      <w:pPr>
        <w:pStyle w:val="FirstParagraph"/>
        <w:spacing w:line="480" w:lineRule="auto"/>
      </w:pPr>
      <w:r>
        <w:t xml:space="preserve">Before the estimators run, the treatment’s distribution deserves a closer look, because a small panel is sensitive to where its variation concentrates. The trade-dependence values cluster in two regions. A dense band of adversarial and mid-dependence observations sits between roughly 1.6 and 8 percent, covering all the responding dyads and several allied ones. Then a single observation, the United States and Canada pair at 33.25 percent, sits far above the rest. That outlier is genuine, not an error: it reflects a very large trade relationship measured against a mid-sized Canadian product. Its response count is zero, which is consistent with the mechanism, but its distance from the rest of the panel gives it real leverage on any linear estimate. The honest reading is that the treatment coefficient is identified partly by the contrast between the low-dependence responding dyads and the high-dependence quiet dyads, and that the Canada observation contributes disproportionately to the high end. This does not invalidate the finding; the pattern survives even setting aside the extreme point, because the mid-dependence allied dyads between 3 and 8 percent also carry zeros against the adversarial dyads’ positive counts. It does mean a careful reader should note the leverage and that the expansion, with many more high-dependence dyads, would settle whether the relationship is driven by a handful of influential rows or holds broadly</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Chapter 7 returns to this leverage question directly.</w:t>
      </w:r>
    </w:p>
    <w:bookmarkEnd w:id="110"/>
    <w:bookmarkStart w:id="111" w:name="reproducibility-as-a-data-property"/>
    <w:p>
      <w:pPr>
        <w:pStyle w:val="Heading2"/>
        <w:spacing w:line="480" w:lineRule="auto"/>
      </w:pPr>
      <w:r>
        <w:t xml:space="preserve">Reproducibility as a data property</w:t>
      </w:r>
    </w:p>
    <w:p>
      <w:pPr>
        <w:pStyle w:val="FirstParagraph"/>
        <w:spacing w:line="480" w:lineRule="auto"/>
      </w:pPr>
      <w:r>
        <w:t xml:space="preserve">The panel’s reproducibility is not a claim about intentions; it is a property built into the table. Because every value carries a named source family and every construction rule is stated, a second analyst could rebuild the panel from public sources and check each cell</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Discrepancies would be visible at the row level and attributable to specific coding decisions rather than lost in an aggregate. This is the standard the space-governance literature increasingly demands of open-source work, where the credibility of a public-record analysis depends on whether an independent party can retrace it</w:t>
      </w:r>
      <w:r>
        <w:t xml:space="preserve"> </w:t>
      </w:r>
      <w:hyperlink w:anchor="ref-3">
        <w:r>
          <w:rPr>
            <w:rStyle w:val="Hyperlink"/>
          </w:rPr>
          <w:t xml:space="preserve">[3]</w:t>
        </w:r>
      </w:hyperlink>
      <w:r>
        <w:t xml:space="preserve">. The pilot meets that standard by construction.</w:t>
      </w:r>
    </w:p>
    <w:bookmarkEnd w:id="111"/>
    <w:bookmarkStart w:id="112" w:name="Xdcf423165ab3eda2e3dbae8fe2f0f644540db21"/>
    <w:p>
      <w:pPr>
        <w:pStyle w:val="Heading2"/>
        <w:spacing w:line="480" w:lineRule="auto"/>
      </w:pPr>
      <w:r>
        <w:t xml:space="preserve">The directed structure and its within-dyad pairs</w:t>
      </w:r>
    </w:p>
    <w:p>
      <w:pPr>
        <w:pStyle w:val="FirstParagraph"/>
        <w:spacing w:line="480" w:lineRule="auto"/>
      </w:pPr>
      <w:r>
        <w:t xml:space="preserve">A feature of the panel worth dwelling on is that many dyads appear in both directions, which the directed structure requires and which carries interpretive weight. The United States and Russia around 2021 appear as an origin-target pair in each ordering, with the United States recording three responses against Russia and Russia recording two against the United States, at identical trade dependence of 1.96 percent but different target-activity values. The United States and China around 2021 appear both ways, with counts of three and four. These within-dyad pairs are not redundant. They let the panel hold the bilateral trade tie constant while the target activity and the response vary by direction, which is exactly the variation the target-activity control is meant to exploit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allied dyads show the mirror pattern: both directions record zero responses despite different target-activity values, because the shared high trade dependence sits above the range where responses appear. That the China and Russia pair and the China and Japan pair, both mid-to-high in dependence and both non-responding, sit alongside the allied Western pairs is a useful sign that the pattern is not merely a Western-alliance artifact but tracks the economic variable across politically dissimilar dyads</w:t>
      </w:r>
      <w:r>
        <w:t xml:space="preserve"> </w:t>
      </w:r>
      <w:hyperlink w:anchor="ref-13">
        <w:r>
          <w:rPr>
            <w:rStyle w:val="Hyperlink"/>
          </w:rPr>
          <w:t xml:space="preserve">[13]</w:t>
        </w:r>
      </w:hyperlink>
      <w:r>
        <w:t xml:space="preserve">. Reading the panel as a set of directed pairs rather than as undirected relationships clarifies why the estimators can separate the trade effect from the opportunity effect at all. If the panel collapsed each dyad to a single undirected row, half the variation the models use would vanish. The directed structure is a measurement decision with direct consequences for what the estimators can identify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2"/>
    <w:bookmarkStart w:id="113" w:name="comparability-across-the-period-span"/>
    <w:p>
      <w:pPr>
        <w:pStyle w:val="Heading2"/>
        <w:spacing w:line="480" w:lineRule="auto"/>
      </w:pPr>
      <w:r>
        <w:t xml:space="preserve">Comparability across the period span</w:t>
      </w:r>
    </w:p>
    <w:p>
      <w:pPr>
        <w:pStyle w:val="FirstParagraph"/>
        <w:spacing w:line="480" w:lineRule="auto"/>
      </w:pPr>
      <w:r>
        <w:t xml:space="preserve">One further measurement consideration concerns comparability across the 2014-to-2021 span. Trade values and gross-domestic-product denominators are nominal figures drawn from the period context of each observation, not deflated to a common base year</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For a pilot organized around event anchors rather than a continuous time series, this is defensible: the treatment is a ratio measured within each period, so the nominal levels largely cancel, and the cross-sectional contrasts that identify the coefficient are between dyads observed in comparable years. The expansion to a full annual panel would need to address deflation and any secular drift in trade-to-product ratios more carefully, since a long time series is more exposed to those trends. The pilot’s event-anchored design limits the exposure, and the source column records the period context for each value so that a later analyst can apply deflators consistently. This is one more instance of the panel’s governing principle: where a measurement decision could be contested, the panel records enough to let a later analyst revisit it rather than hiding the decision inside a finished number</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That combination of stated sources, stated rules, and defined outcomes is what allows the estimators in the next chapter to be read as evidence rather than as decoration. Chapter 6 now reports what those estimators found when run on exactly this panel.</w:t>
      </w:r>
    </w:p>
    <w:bookmarkEnd w:id="113"/>
    <w:bookmarkEnd w:id="114"/>
    <w:bookmarkStart w:id="123" w:name="chapter-6.-results"/>
    <w:p>
      <w:pPr>
        <w:pStyle w:val="Heading1"/>
        <w:spacing w:line="480" w:lineRule="auto"/>
      </w:pPr>
      <w:r>
        <w:t xml:space="preserve">Chapter 6. Results</w:t>
      </w:r>
    </w:p>
    <w:p>
      <w:pPr>
        <w:pStyle w:val="FirstParagraph"/>
        <w:spacing w:line="480" w:lineRule="auto"/>
      </w:pPr>
      <w:r>
        <w:t xml:space="preserve">This chapter reports what the two estimators produced when run on the twenty-four-observation panel documented in Chapter 5. It reports the numbers exactly as the estimation produced them, transcribed without adjustment, and then interprets the signs and magnitudes against the hypotheses fixed in Chapter 3. The chapter reports both the count model of Paper 1 and the binary model of Paper 2, because the dissertation’s inference rests on their agreement, not on either alone. Where a number appears here, it is the number the model returned; nothing is rounded toward significance and no favorable specification is selected after the fact.</w:t>
      </w:r>
    </w:p>
    <w:bookmarkStart w:id="115" w:name="paper-1-the-count-model"/>
    <w:p>
      <w:pPr>
        <w:pStyle w:val="Heading2"/>
        <w:spacing w:line="480" w:lineRule="auto"/>
      </w:pPr>
      <w:r>
        <w:t xml:space="preserve">Paper 1: the count model</w:t>
      </w:r>
    </w:p>
    <w:p>
      <w:pPr>
        <w:pStyle w:val="FirstParagraph"/>
        <w:spacing w:line="480" w:lineRule="auto"/>
      </w:pPr>
      <w:r>
        <w:t xml:space="preserve">Paper 1 estimates the response count by ordinary least squares. The outcome is origin_same_regime_response_count, and the predictors are trade_dependence_pct_smaller_gdp and ln_target_activity. The estimating equation is fixed by the design:</w:t>
      </w:r>
    </w:p>
    <w:p>
      <w:pPr>
        <w:pStyle w:val="BodyText"/>
        <w:spacing w:line="480" w:lineRule="auto"/>
        <w:ind w:firstLine="720"/>
      </w:pPr>
      <w:r>
        <w:t xml:space="preserve">Y_ijt = alpha + beta_1 TradeDep_ij,t + beta_2 ln(1 + Activity_j,t) + epsilon_ijt</w:t>
      </w:r>
    </w:p>
    <w:p>
      <w:pPr>
        <w:pStyle w:val="BodyText"/>
        <w:spacing w:line="480" w:lineRule="auto"/>
        <w:ind w:firstLine="720"/>
      </w:pPr>
      <w:r>
        <w:t xml:space="preserve">The estimator output on the panel is as follows.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0.084</w:t>
            </w:r>
          </w:p>
        </w:tc>
        <w:tc>
          <w:tcPr>
            <w:tcW w:w="0" w:type="auto"/>
          </w:tcPr>
          <w:p>
            <w:pPr>
              <w:spacing w:line="240" w:lineRule="auto" w:before="0" w:after="0"/>
              <w:pStyle w:val="Compact"/>
            </w:pPr>
            <w:r>
              <w:rPr>
                <w:sz w:val="20"/>
                <w:szCs w:val="20"/>
              </w:rPr>
              <w:t xml:space="preserve">0.8403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[-1.563, 1.731]</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-0.0482</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-2.3686</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[-0.0881, -0.0083]</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0.3701</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[-0.2015, 1.249]</w:t>
            </w:r>
          </w:p>
        </w:tc>
      </w:tr>
    </w:tbl>
    <w:p>
      <w:pPr>
        <w:pStyle w:val="BodyText"/>
        <w:spacing w:line="480" w:lineRule="auto"/>
        <w:ind w:firstLine="720"/>
      </w:pPr>
      <w:r>
        <w:t xml:space="preserve">Fit: N = 24, R2 = 0.1834, R2_adj = 0.1056, F = 3.7971, F_p = 0.0391. Read the treatment first, because it carries the hypothesis. The coefficient on trade dependence is negative, at minus 0.0482, with a standard error of 0.0203, a t-statistic of minus 2.3686, and a two-sided p-value of 0.0179. The ninety-five-percent confidence interval runs from minus 0.0881 to minus 0.0083 and excludes zero. This is the sign the alternative hypothesis predicted and the null hypothesis forbade. In the pilot panel, holding target activity constant, dyad-periods with higher cross-domain trade dependence show fewer rivalrous response counts, and the association is distinguishable from zero at conventional levels. The magnitude is legible in the units of the variables. The treatment is measured in percentage points of the smaller member’s gross domestic product, and the outcome is a raw count of responses. A coefficient of minus 0.0482 means that a one-percentage-point increase in trade dependence is associated with roughly 0.048 fewer responses, holding target activity fixed. The variation across the panel makes this concrete. Moving from the adversarial low end near 1.65 percent to the allied high end near 33.25 percent spans about thirty-one and a half percentage points, which the coefficient scales to a predicted difference of roughly 1.5 responses, a substantial fraction of the outcome’s zero-to-four range. The effect is small per point and meaningful across the observed spread.</w:t>
      </w:r>
    </w:p>
    <w:p>
      <w:pPr>
        <w:pStyle w:val="BodyText"/>
        <w:spacing w:line="480" w:lineRule="auto"/>
        <w:ind w:firstLine="720"/>
      </w:pPr>
      <w:r>
        <w:t xml:space="preserve">The control behaves as the theory expected. The coefficient on log target activity is positive, at 0.5238, with a standard error of 0.3701, a t-statistic of 1.4153, and a p-value of 0.157. The positive sign matches the opportunity logic: more target activity creates more chances for a coded response. The control is not itself significant at conventional levels in this small panel, which is unsurprising given the sample size and the correlation structure, but its sign is correct and its inclusion is what converts the treatment coefficient into the partial effect the hypothesis actually concerns. The constant, at 0.084, is statistically indistinguishable from zero, with a p-value of 0.9204, which is appropriate for a model whose predictors carry the systematic variation. The overall fit is modest and honestly reported. The model explains an R-squared of 0.1834, an adjusted R-squared of 0.1056, with an F-statistic of 3.7971 and an associated p-value of 0.0391. The model as a whole is distinguishable from a no-predictor baseline at the five-percent level, and the fit figures are exactly what one should expect from a two-predictor linear model on twenty-four noisy observations. A high R-squared here would be a warning sign of overfitting, not a triumph. The point of the count model is the sign and significance of the treatment, and both land where the theory predicted. The gap between the R-squared of 0.1834 and the adjusted R-squared of 0.1056 is itself informative.</w:t>
      </w:r>
    </w:p>
    <w:p>
      <w:pPr>
        <w:pStyle w:val="BodyText"/>
        <w:spacing w:line="480" w:lineRule="auto"/>
        <w:ind w:firstLine="720"/>
      </w:pPr>
      <w:r>
        <w:t xml:space="preserve">The adjusted figure penalizes the model for its two predictors against twenty-four observations, and the roughly eight-point drop reflects that penalty in a small sample. That the adjusted figure remains positive, and that the F-test still clears the five-percent threshold, indicates the predictors carry systematic information rather than fitting noise. The linear model leaves most of the variance in the response count unexplained, which is honest: rivalry has many drivers the two-predictor pilot does not measure, and a model claiming to explain most of the variance from trade and target activity alone would be suspect. The claim the model supports is narrow and it is exactly the claim the fit statistics license: the treatment carries a distinguishable negative partial association, not that trade dependence explains orbital rivalry in full.</w:t>
      </w:r>
    </w:p>
    <w:bookmarkEnd w:id="115"/>
    <w:bookmarkStart w:id="116" w:name="paper-2-the-binary-model"/>
    <w:p>
      <w:pPr>
        <w:pStyle w:val="Heading2"/>
        <w:spacing w:line="480" w:lineRule="auto"/>
      </w:pPr>
      <w:r>
        <w:t xml:space="preserve">Paper 2: the binary model</w:t>
      </w:r>
    </w:p>
    <w:p>
      <w:pPr>
        <w:pStyle w:val="FirstParagraph"/>
        <w:spacing w:line="480" w:lineRule="auto"/>
      </w:pPr>
      <w:r>
        <w:t xml:space="preserve">Paper 2 re-estimates the relationship on a binary outcome using logit, as a robustness test that changes the functional form and the question. The outcome is any_rivalry_response, equal to one when any rivalrous response appears in the window. The predictors are unchanged. The estimating equation is:</w:t>
      </w:r>
    </w:p>
    <w:p>
      <w:pPr>
        <w:pStyle w:val="BodyText"/>
        <w:spacing w:line="480" w:lineRule="auto"/>
        <w:ind w:firstLine="720"/>
      </w:pPr>
      <w:r>
        <w:t xml:space="preserve">Pr(Response_ijt = 1) = logit^{-1}(alpha + beta_1 TradeDep_ij,t + beta_2 ln(1 + Activity_j,t))</w:t>
      </w:r>
    </w:p>
    <w:p>
      <w:pPr>
        <w:pStyle w:val="BodyText"/>
        <w:spacing w:line="480" w:lineRule="auto"/>
        <w:ind w:firstLine="720"/>
      </w:pPr>
      <w:r>
        <w:t xml:space="preserve">The estimator output on the panel is as follows.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-0.5049</w:t>
            </w:r>
          </w:p>
        </w:tc>
        <w:tc>
          <w:tcPr>
            <w:tcW w:w="0" w:type="auto"/>
          </w:tcPr>
          <w:p>
            <w:pPr>
              <w:spacing w:line="240" w:lineRule="auto" w:before="0" w:after="0"/>
              <w:pStyle w:val="Compact"/>
            </w:pPr>
            <w:r>
              <w:rPr>
                <w:sz w:val="20"/>
                <w:szCs w:val="20"/>
              </w:rPr>
              <w:t xml:space="preserve">3.0845</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[-6.5503, 5.5405]</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-1.2167</w:t>
            </w:r>
          </w:p>
        </w:tc>
        <w:tc>
          <w:tcPr>
            <w:tcW w:w="0" w:type="auto"/>
          </w:tcPr>
          <w:p>
            <w:pPr>
              <w:spacing w:line="240" w:lineRule="auto" w:before="0" w:after="0"/>
              <w:pStyle w:val="Compact"/>
            </w:pPr>
            <w:r>
              <w:rPr>
                <w:sz w:val="20"/>
                <w:szCs w:val="20"/>
              </w:rPr>
              <w:t xml:space="preserve">0.4859</w:t>
            </w:r>
          </w:p>
        </w:tc>
        <w:tc>
          <w:tcPr>
            <w:tcW w:w="0" w:type="auto"/>
          </w:tcPr>
          <w:p>
            <w:pPr>
              <w:spacing w:line="240" w:lineRule="auto" w:before="0" w:after="0"/>
              <w:pStyle w:val="Compact"/>
            </w:pPr>
            <w:r>
              <w:rPr>
                <w:sz w:val="20"/>
                <w:szCs w:val="20"/>
              </w:rPr>
              <w:t xml:space="preserve">-2.5039</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[-2.1691, -0.2643]</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2.2354</w:t>
            </w:r>
          </w:p>
        </w:tc>
        <w:tc>
          <w:tcPr>
            <w:tcW w:w="0" w:type="auto"/>
          </w:tcPr>
          <w:p>
            <w:pPr>
              <w:spacing w:line="240" w:lineRule="auto" w:before="0" w:after="0"/>
              <w:pStyle w:val="Compact"/>
            </w:pPr>
            <w:r>
              <w:rPr>
                <w:sz w:val="20"/>
                <w:szCs w:val="20"/>
              </w:rPr>
              <w:t xml:space="preserve">1.3638</w:t>
            </w:r>
          </w:p>
        </w:tc>
        <w:tc>
          <w:tcPr>
            <w:tcW w:w="0" w:type="auto"/>
          </w:tcPr>
          <w:p>
            <w:pPr>
              <w:spacing w:line="240" w:lineRule="auto" w:before="0" w:after="0"/>
              <w:pStyle w:val="Compact"/>
            </w:pPr>
            <w:r>
              <w:rPr>
                <w:sz w:val="20"/>
                <w:szCs w:val="20"/>
              </w:rPr>
              <w:t xml:space="preserve">1.6391</w:t>
            </w:r>
          </w:p>
        </w:tc>
        <w:tc>
          <w:tcPr>
            <w:tcW w:w="0" w:type="auto"/>
          </w:tcPr>
          <w:p>
            <w:pPr>
              <w:spacing w:line="240" w:lineRule="auto" w:before="0" w:after="0"/>
              <w:pStyle w:val="Compact"/>
            </w:pPr>
            <w:r>
              <w:rPr>
                <w:sz w:val="20"/>
                <w:szCs w:val="20"/>
              </w:rPr>
              <w:t xml:space="preserve">0.1012</w:t>
            </w:r>
          </w:p>
        </w:tc>
        <w:tc>
          <w:tcPr>
            <w:tcW w:w="0" w:type="auto"/>
          </w:tcPr>
          <w:p>
            <w:pPr>
              <w:spacing w:line="240" w:lineRule="auto" w:before="0" w:after="0"/>
              <w:pStyle w:val="Compact"/>
            </w:pPr>
            <w:r>
              <w:rPr>
                <w:sz w:val="20"/>
                <w:szCs w:val="20"/>
              </w:rPr>
              <w:t xml:space="preserve">[-0.4376, 4.9085]</w:t>
            </w:r>
          </w:p>
        </w:tc>
      </w:tr>
    </w:tbl>
    <w:p>
      <w:pPr>
        <w:pStyle w:val="BodyText"/>
        <w:spacing w:line="480" w:lineRule="auto"/>
        <w:ind w:firstLine="720"/>
      </w:pPr>
      <w:r>
        <w:t xml:space="preserve">Fit: N = 24, pseudo_R2 = 0.5128, LL = -7.9418.</w:t>
      </w:r>
    </w:p>
    <w:p>
      <w:pPr>
        <w:pStyle w:val="BodyText"/>
        <w:spacing w:line="480" w:lineRule="auto"/>
        <w:ind w:firstLine="720"/>
      </w:pPr>
      <w:r>
        <w:t xml:space="preserve">The treatment again carries the hypothesis, and again the sign is negative. The logit coefficient on trade dependence is minus 1.2167, with a standard error of 0.4859, a z-statistic of minus 2.5039, and a two-sided p-value of 0.0123. The ninety-five-percent confidence interval runs from minus 2.1691 to minus 0.2643 and excludes zero. Higher cross-domain economic exposure is associated with a lower probability that any rivalrous response appears in the window, controlling for target activity, and the association is significant at the five-percent level. The binary model reaches the same directional conclusion as the count model through an entirely different link function. Because logit coefficients are on the log-odds scale, the magnitude reads differently from the count model and deserves its own interpretation. A coefficient of minus 1.2167 means that each additional percentage point of trade dependence multiplies the odds of any response by the exponential of minus 1.2167, roughly 0.30, holding target activity constant. The odds fall steeply with exposure. That steepness is consistent with the raw pattern in the panel, where the highest-dependence dyads record no responses at all, and it should be read with the sample size in mind rather than extrapolated to dyads far outside the observed range of the treatment.</w:t>
      </w:r>
    </w:p>
    <w:p>
      <w:pPr>
        <w:pStyle w:val="BodyText"/>
        <w:spacing w:line="480" w:lineRule="auto"/>
        <w:ind w:firstLine="720"/>
      </w:pPr>
      <w:r>
        <w:t xml:space="preserve">The control again shows the expected positive sign. The coefficient on log target activity is 2.2354, with a standard error of 1.3638, a z-statistic of 1.6391, and a p-value of 0.1012. More target activity raises the modeled probability of a response, which matches the opportunity mechanism, and while the control falls just short of conventional significance, its sign and role mirror the count model. The constant, at minus 0.5049 with a p-value of 0.87, is indistinguishable from zero, as expected. The logit’s fit statistics tell a coherent story. The pseudo R-squared is 0.5128 and the maximized log-likelihood is minus 7.9418 on the twenty-four observations. The pseudo R-squared should not be read as a linear-model R-squared; it is a likelihood-based analog, and a value near 0.51 indicates that the two predictors carry substantial information about the binary threshold in this panel. As with the count model, the headline is not the fit figure but the treatment coefficient, and the treatment coefficient is negative, sizable on the odds scale, and significant.</w:t>
      </w:r>
    </w:p>
    <w:bookmarkEnd w:id="116"/>
    <w:bookmarkStart w:id="117" w:name="what-the-two-models-say-together"/>
    <w:p>
      <w:pPr>
        <w:pStyle w:val="Heading2"/>
        <w:spacing w:line="480" w:lineRule="auto"/>
      </w:pPr>
      <w:r>
        <w:t xml:space="preserve">What the two models say together</w:t>
      </w:r>
    </w:p>
    <w:p>
      <w:pPr>
        <w:pStyle w:val="FirstParagraph"/>
        <w:spacing w:line="480" w:lineRule="auto"/>
      </w:pPr>
      <w:r>
        <w:t xml:space="preserve">The dissertation’s inference rests on the convergence of the two estimators, and the convergence is clean. Paper 1 returns a treatment coefficient of minus 0.0482, significant at p equal to 0.0179. Paper 2 returns a treatment coefficient of minus 1.2167, significant at p equal to 0.0123. Two different outcomes, a count and a binary indicator, estimated through two different links, ordinary least squares and logit, both reject the non-negative null and both place the trade-dependence coefficient clearly below zero with an interval that excludes it. In both models the target-activity control carries the theoretically correct positive sign. This is the triangulation Chapter 4 promised: a reviewer who distrusts the count coding still faces the binary result, and a reviewer who distrusts the linear approximation still faces the logit. The agreement matters because the mechanism in Chapter 3 predicted it. The commercial-peace logic runs through the price of visible rivalry, not through any particular scale of measurement, so the negative sign should survive a change from counting responses to registering whether any response occurred at all. It does survive that change. The convergence is a property the theory anticipated rather than a coincidence the analyst stumbled onto, which strengthens the reading of both coefficients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17"/>
    <w:bookmarkStart w:id="118" w:name="Xaac4842378aecbd00a086322dee86c38c86e0ce"/>
    <w:p>
      <w:pPr>
        <w:pStyle w:val="Heading2"/>
        <w:spacing w:line="480" w:lineRule="auto"/>
      </w:pPr>
      <w:r>
        <w:t xml:space="preserve">Reading the coefficients against named dyads</w:t>
      </w:r>
    </w:p>
    <w:p>
      <w:pPr>
        <w:pStyle w:val="FirstParagraph"/>
        <w:spacing w:line="480" w:lineRule="auto"/>
      </w:pPr>
      <w:r>
        <w:t xml:space="preserve">The estimators become more legible when read against the named rows they summarize. Consider the two ends of the treatment distribution. The United States and Russia around 2014, at 1.65 percent dependence, carry response counts of two and three in the two directions, with any-response indicators of one. The United States and Canada around 2021, at 33.25 percent dependence, carry response counts of zero in both directions, with any-response indicators of zero. The count coefficient of minus 0.0482 and the logit coefficient of minus 1.2167 are formalizations of the contrast between rows like these. The estimators do not conjure a relationship the data lack; they quantify one the row-level pattern already displays. The reader should note, however, that the target-activity control complicates the raw contrast in a productive way. The Canada rows pair very high dependence with low target activity in one direction and high target activity in the other, and both still record zero responses. The Russia rows pair low dependence with mid-range target activity and record positive responses. The models weigh these against each other, which is why the trade coefficient is a partial rather than a raw association. The positive control coefficient, 0.5238 in the count model and 2.2354 in the logit, absorbs the mechanical tendency of high-activity targets to generate more coded responses, leaving the negative trade coefficient to carry the interdependence signal net of opportunity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8"/>
    <w:bookmarkStart w:id="119" w:name="X1efec63a1dd9a799e28d10b3089e2f4f2dc5595"/>
    <w:p>
      <w:pPr>
        <w:pStyle w:val="Heading2"/>
        <w:spacing w:line="480" w:lineRule="auto"/>
      </w:pPr>
      <w:r>
        <w:t xml:space="preserve">What a null result would have looked like</w:t>
      </w:r>
    </w:p>
    <w:p>
      <w:pPr>
        <w:pStyle w:val="FirstParagraph"/>
        <w:spacing w:line="480" w:lineRule="auto"/>
      </w:pPr>
      <w:r>
        <w:t xml:space="preserve">It clarifies the finding to state what would have refuted it. Had the trade-dependence coefficient come back near zero or positive in either model, with a confidence interval spanning zero, the alternative hypothesis would have failed and the null of no dampening would have stood. That outcome was live: with twenty-four observations and an outlier at the high-dependence end, a different coding of a few responses, or a denominator choice that compressed the treatment’s variation, could have pushed the interval across zero. The finding is meaningful precisely because that failure was possible and did not occur. Both intervals, minus 0.0881 to minus 0.0083 in the count model and minus 2.1691 to minus 0.2643 in the logit, sit entirely below zero, which is the result the alternative hypothesis staked itself on</w:t>
      </w:r>
      <w:r>
        <w:t xml:space="preserve"> </w:t>
      </w:r>
      <w:hyperlink w:anchor="ref-9">
        <w:r>
          <w:rPr>
            <w:rStyle w:val="Hyperlink"/>
          </w:rPr>
          <w:t xml:space="preserve">[9]</w:t>
        </w:r>
      </w:hyperlink>
      <w:r>
        <w:t xml:space="preserve">.</w:t>
      </w:r>
    </w:p>
    <w:bookmarkEnd w:id="119"/>
    <w:bookmarkStart w:id="120" w:name="the-bounds-on-the-reading"/>
    <w:p>
      <w:pPr>
        <w:pStyle w:val="Heading2"/>
        <w:spacing w:line="480" w:lineRule="auto"/>
      </w:pPr>
      <w:r>
        <w:t xml:space="preserve">The bounds on the reading</w:t>
      </w:r>
    </w:p>
    <w:p>
      <w:pPr>
        <w:pStyle w:val="FirstParagraph"/>
        <w:spacing w:line="480" w:lineRule="auto"/>
      </w:pPr>
      <w:r>
        <w:t xml:space="preserve">The results support the dissertation’s bounded claim and no more. The claim is that, in this public-record pilot panel, higher cross-domain trade dependence is associated with fewer and less probable rivalrous space responses, conditional on target activity, with both estimators significant at the five-percent level. The claim is an association, not a demonstrated causal effect, because the two-predictor pilot conditions on opportunity but not on alliance structure, dispute history, or military expenditure, any of which could carry part of the pattern</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The claim covers twenty-four directed observations, not the universe of dyad-years, and it inherits the limits of public coding, in which a zero means an unobserved response rather than a guaranteed absence of competition.</w:t>
      </w:r>
    </w:p>
    <w:bookmarkEnd w:id="120"/>
    <w:bookmarkStart w:id="121" w:name="comparing-the-two-treatment-coefficients"/>
    <w:p>
      <w:pPr>
        <w:pStyle w:val="Heading2"/>
        <w:spacing w:line="480" w:lineRule="auto"/>
      </w:pPr>
      <w:r>
        <w:t xml:space="preserve">Comparing the two treatment coefficients</w:t>
      </w:r>
    </w:p>
    <w:p>
      <w:pPr>
        <w:pStyle w:val="FirstParagraph"/>
        <w:spacing w:line="480" w:lineRule="auto"/>
      </w:pPr>
      <w:r>
        <w:t xml:space="preserve">A reader may wonder why the two treatment coefficients differ so much in magnitude, minus 0.0482 in the count model and minus 1.2167 in the logit, and whether the difference signals inconsistency. It does not. The two coefficients live on different scales and are not directly comparable as numbers. The count coefficient is a change in expected response count per percentage point of dependence, on the raw scale of the outcome. The logit coefficient is a change in the log-odds of any response per percentage point of dependence, on the logistic scale. A large log-odds coefficient and a small count coefficient can describe the same underlying relationship, because the logistic link compresses a probability that is already near zero or one, and most of the panel’s non-responding dyads sit near the zero-probability floor. What is comparable across the two models is the sign, the significance, and the exclusion of zero from the confidence interval, and on all three the models agree. Both coefficients are negative. Both clear the five-percent threshold, at p equal to 0.0179 and p equal to 0.0123. Both intervals lie entirely below zero. The magnitude difference is an artifact of the link functions, not a substantive disagreement, and reading it as inconsistency would be a scale error. The dissertation’s inference rests on the three comparable features, which converge, not on the two incomparable magnitudes, which are not meant to match.</w:t>
      </w:r>
    </w:p>
    <w:bookmarkEnd w:id="121"/>
    <w:bookmarkStart w:id="122" w:name="Xcf2e6d79c1f7dc2082a56965a874058c9d319a8"/>
    <w:p>
      <w:pPr>
        <w:pStyle w:val="Heading2"/>
        <w:spacing w:line="480" w:lineRule="auto"/>
      </w:pPr>
      <w:r>
        <w:t xml:space="preserve">The control’s near-significance and what it implies</w:t>
      </w:r>
    </w:p>
    <w:p>
      <w:pPr>
        <w:pStyle w:val="FirstParagraph"/>
        <w:spacing w:line="480" w:lineRule="auto"/>
      </w:pPr>
      <w:r>
        <w:t xml:space="preserve">The target-activity control falls just short of conventional significance in both models, at p equal to 0.157 in the count model and p equal to 0.1012 in the logit, and this pattern is worth reading rather than dismissing. The control’s sign is positive and stable across both models, which is the theoretically required direction: more target activity creates more rivalrous opportunity and thus more coded responses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the control is not itself significant reflects the small sample and the correlation between target activity and the treatment, not a failure of the opportunity logic. In a larger panel the control would very likely sharpen. Its role in the pilot is not to be a headline finding but to condition the treatment coefficient, and it performs that role regardless of its own significance, because including a correctly signed opportunity control is what converts the trade coefficient into the partial effect the hypothesis concerns. A reader who wanted the control itself to be significant is asking the pilot for more than a two-predictor model on twenty-four observations can deliver, and the honest report is the near-significant positive coefficient exactly as estimated. No adjustment was made to move the control across a threshold; the coefficient is reported as the estimator returned it, near-significance and all, which is the only defensible way to present an estimate a reader is meant to trust</w:t>
      </w:r>
      <w:r>
        <w:t xml:space="preserve"> </w:t>
      </w:r>
      <w:hyperlink w:anchor="ref-2">
        <w:r>
          <w:rPr>
            <w:rStyle w:val="Hyperlink"/>
          </w:rPr>
          <w:t xml:space="preserve">[2]</w:t>
        </w:r>
      </w:hyperlink>
      <w:r>
        <w:t xml:space="preserve">.</w:t>
      </w:r>
    </w:p>
    <w:p>
      <w:pPr>
        <w:pStyle w:val="BodyText"/>
        <w:spacing w:line="480" w:lineRule="auto"/>
        <w:ind w:firstLine="720"/>
      </w:pPr>
      <w:r>
        <w:t xml:space="preserve">Stated with those bounds, the finding is exactly what the falsifiable contribution promised in Chapter 1. The sign could have come back non-negative and refuted the alternative hypothesis. It did not. Across a count model and a binary model, on real values traceable to named public sources, cross-domain economic ties track dampened rivalrous behavior in orbit. Chapter 7 now subjects that finding to the threats it must survive to mean anything, and states plainly what this panel cannot show.</w:t>
      </w:r>
    </w:p>
    <w:bookmarkEnd w:id="122"/>
    <w:bookmarkEnd w:id="123"/>
    <w:bookmarkStart w:id="135" w:name="chapter-7.-discussion-and-limitations"/>
    <w:p>
      <w:pPr>
        <w:pStyle w:val="Heading1"/>
        <w:spacing w:line="480" w:lineRule="auto"/>
      </w:pPr>
      <w:r>
        <w:t xml:space="preserve">Chapter 7. Discussion and Limitations</w:t>
      </w:r>
    </w:p>
    <w:p>
      <w:pPr>
        <w:pStyle w:val="FirstParagraph"/>
        <w:spacing w:line="480" w:lineRule="auto"/>
      </w:pPr>
      <w:r>
        <w:t xml:space="preserve">The results in Chapter 6 point in one direction. Across a count model and a binary model, on real values traceable to named public sources, cross-domain economic ties track dampened rivalrous behavior in orbit. This chapter asks what that finding means, how far it can be trusted, and where it must stop. A doctoral discussion is not a victory lap. Its job is to say what the evidence supports, to line up every serious threat to that support, and to state plainly what the data cannot show no matter how the reader squints. The finding is worth defending precisely because the defense is bounded.</w:t>
      </w:r>
    </w:p>
    <w:bookmarkStart w:id="124" w:name="what-the-finding-means"/>
    <w:p>
      <w:pPr>
        <w:pStyle w:val="Heading2"/>
        <w:spacing w:line="480" w:lineRule="auto"/>
      </w:pPr>
      <w:r>
        <w:t xml:space="preserve">What the finding means</w:t>
      </w:r>
    </w:p>
    <w:p>
      <w:pPr>
        <w:pStyle w:val="FirstParagraph"/>
        <w:spacing w:line="480" w:lineRule="auto"/>
      </w:pPr>
      <w:r>
        <w:t xml:space="preserve">Read at face value, the two estimators say that economic exposure and orbital restraint move together in the observed panel. The negative treatment coefficients, minus 0.0482 in the count model and minus 1.2167 in the logit, are consistent with the central prediction of complex-interdependence and commercial-peace theory carried into a new domain: states with more to lose commercially display fewer visible rivalrous responses in orbit, holding rivalrous opportunity constant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result gives that theory an operational foothold in space governance, where before it had a plausible analogy and no measurement.</w:t>
      </w:r>
    </w:p>
    <w:p>
      <w:pPr>
        <w:pStyle w:val="BodyText"/>
        <w:spacing w:line="480" w:lineRule="auto"/>
        <w:ind w:firstLine="720"/>
      </w:pPr>
      <w:r>
        <w:t xml:space="preserve">The finding also carries a methodological meaning that is easy to undervalue.</w:t>
      </w:r>
    </w:p>
    <w:p>
      <w:pPr>
        <w:pStyle w:val="BodyText"/>
        <w:spacing w:line="480" w:lineRule="auto"/>
        <w:ind w:firstLine="720"/>
      </w:pPr>
      <w:r>
        <w:t xml:space="preserve">It demonstrates that a political-economy proposition about orbit can be made quantitative with entirely public records. Orbital behavior can be coded from satellite catalogs and counterspace chronologies into a directed count; cross-domain economic dependence can be measured from public trade and product data without contamination from space-sector trade; and the two can be joined in a single row that an estimator reads</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w:t>
      </w:r>
      <w:hyperlink w:anchor="ref-19">
        <w:r>
          <w:rPr>
            <w:rStyle w:val="Hyperlink"/>
          </w:rPr>
          <w:t xml:space="preserve">[19]</w:t>
        </w:r>
      </w:hyperlink>
      <w:r>
        <w:t xml:space="preserve">. That the sign then lands where theory predicted is a bonus on top of the more basic demonstration that the measurement is possible at all. For a field that has struggled to connect its economic and technical literatures, the joined unit of observation is itself a contribution. There is a substantive reading worth stating carefully. The steep odds decline in the logit, together with the row-level pattern in which the highest-dependence dyads record no responses, suggests that the dampening is concentrated among deeply interdependent pairs rather than spread evenly across the treatment’s range. Allied economic partners with dependence above thirty percent sit at zero responses; adversarial pairs with dependence near two percent carry the positive counts. The mechanism, if real, may operate as a threshold as much as a gradient, which is a hypothesis the expansion could test directly</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4"/>
    <w:bookmarkStart w:id="125" w:name="threats-to-internal-validity"/>
    <w:p>
      <w:pPr>
        <w:pStyle w:val="Heading2"/>
        <w:spacing w:line="480" w:lineRule="auto"/>
      </w:pPr>
      <w:r>
        <w:t xml:space="preserve">Threats to internal validity</w:t>
      </w:r>
    </w:p>
    <w:p>
      <w:pPr>
        <w:pStyle w:val="FirstParagraph"/>
        <w:spacing w:line="480" w:lineRule="auto"/>
      </w:pPr>
      <w:r>
        <w:t xml:space="preserve">The first and heaviest threat is confounding. Economic dependence and orbital restraint could both be downstream of a deeper strategic alignment that the pilot never measures. Allies trade heavily and also refrain from orbital rivalry for reasons that have little to do with the trade itself, and the two-predictor models condition on target activity but not on alliance status, militarized-dispute history, or military expenditure</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If alignment drives both variables, the trade-dependence coefficient is picking up alignment rather than an independent economic effect. The pilot cannot separate the two, and this is the single most important reason the finding is stated as an association rather than a causal effect. A second threat is reverse causality. The theory says trade dampens rivalry, but rivalry can also suppress trade: states that compete hard in orbit may trade less as a consequence, which would produce the same negative correlation through the opposite causal arrow. The empirical design anchors the treatment in a period context prior to the coded response window, which pushes against the reverse arrow, but a bounded pilot without an instrument cannot close it. The prospectus reserved a shift-share instrument precisely for this threat, and its absence in the pilot is a known and stated limit.</w:t>
      </w:r>
    </w:p>
    <w:p>
      <w:pPr>
        <w:pStyle w:val="BodyText"/>
        <w:spacing w:line="480" w:lineRule="auto"/>
        <w:ind w:firstLine="720"/>
      </w:pPr>
      <w:r>
        <w:t xml:space="preserve">A third threat is functional-form dependence in a very small sample. Ordinary least squares on a count is an approximation, and twenty-four observations leave the estimates sensitive to individual rows. The logit robustness check addresses part of this concern by reaching the same sign through a different link, but both models share the same twenty-four rows, so an influential dyad could move both. A single mis-coded response in the United States and China rows, for instance, would shift both estimators together. The convergence across models guards against form dependence but not against shared-data dependence.</w:t>
      </w:r>
    </w:p>
    <w:bookmarkEnd w:id="125"/>
    <w:bookmarkStart w:id="126" w:name="threats-to-measurement-validity"/>
    <w:p>
      <w:pPr>
        <w:pStyle w:val="Heading2"/>
        <w:spacing w:line="480" w:lineRule="auto"/>
      </w:pPr>
      <w:r>
        <w:t xml:space="preserve">Threats to measurement validity</w:t>
      </w:r>
    </w:p>
    <w:p>
      <w:pPr>
        <w:pStyle w:val="FirstParagraph"/>
        <w:spacing w:line="480" w:lineRule="auto"/>
      </w:pPr>
      <w:r>
        <w:t xml:space="preserve">Measurement carries its own family of threats, flagged in Chapter 5 and confronted here.</w:t>
      </w:r>
    </w:p>
    <w:p>
      <w:pPr>
        <w:pStyle w:val="BodyText"/>
        <w:spacing w:line="480" w:lineRule="auto"/>
        <w:ind w:firstLine="720"/>
      </w:pPr>
      <w:r>
        <w:t xml:space="preserve">The sharpest is the validity of the rivalry proxy. The response count treats same-regime government or military orbital activity as rivalrous, but some such activity is routine, defensive, or scientific rather than a genuine answer to a rival</w:t>
      </w:r>
      <w:r>
        <w:t xml:space="preserve"> </w:t>
      </w:r>
      <w:hyperlink w:anchor="ref-1">
        <w:r>
          <w:rPr>
            <w:rStyle w:val="Hyperlink"/>
          </w:rPr>
          <w:t xml:space="preserve">[1]</w:t>
        </w:r>
      </w:hyperlink>
      <w:r>
        <w:t xml:space="preserve">. This introduces upward classification risk in the responding dyads: a launch coded as a rivalrous response might be an unrelated program that happened to fall in the window and regime. The panel codes conservatively where the record is ambiguous, but the proxy remains imperfect, and a stricter coding that separated clearly rivalrous acts from routine activity could move the count outcome. Dual-use ambiguity compounds the proxy problem. Public records do not always resolve whether a satellite is military, government-civil, or mixed-use, and the socio-technical literature is explicit that an object’s meaning depends on context that catalogs do not fully capture</w:t>
      </w:r>
      <w:r>
        <w:t xml:space="preserve"> </w:t>
      </w:r>
      <w:hyperlink w:anchor="ref-1">
        <w:r>
          <w:rPr>
            <w:rStyle w:val="Hyperlink"/>
          </w:rPr>
          <w:t xml:space="preserve">[1]</w:t>
        </w:r>
      </w:hyperlink>
      <w:r>
        <w:t xml:space="preserve"> </w:t>
      </w:r>
      <w:hyperlink w:anchor="ref-5">
        <w:r>
          <w:rPr>
            <w:rStyle w:val="Hyperlink"/>
          </w:rPr>
          <w:t xml:space="preserve">[5]</w:t>
        </w:r>
      </w:hyperlink>
      <w:r>
        <w:t xml:space="preserve">. Where the record is unclear, the coding rule must make a call, and different defensible rules could yield different counts. The dissertation’s response is transparency rather than false precision: the source column names the family behind each coded value so a reviewer can re-adjudicate any row, but the ambiguity is real and is not resolved by the pilot.</w:t>
      </w:r>
    </w:p>
    <w:p>
      <w:pPr>
        <w:pStyle w:val="BodyText"/>
        <w:spacing w:line="480" w:lineRule="auto"/>
        <w:ind w:firstLine="720"/>
      </w:pPr>
      <w:r>
        <w:t xml:space="preserve">A subtler measurement threat concerns the treatment. Scaling bilateral trade by the smaller member’s gross domestic product is a defensible choice, but it is a choice, and an alternative denominator, such as each state’s own product or total trade, would produce a different treatment distribution and possibly a different coefficient. The Canada dyad’s thirty-three-percent dependence, an outlier in the panel, is partly an artifact of a large trade relationship relative to a mid-sized product, and its leverage on the estimates deserves the reader’s attention. The finding should be read as robust in sign, given the two-model convergence, but not as pinned to a single number.</w:t>
      </w:r>
    </w:p>
    <w:bookmarkEnd w:id="126"/>
    <w:bookmarkStart w:id="127" w:name="the-leverage-question-examined-directly"/>
    <w:p>
      <w:pPr>
        <w:pStyle w:val="Heading2"/>
        <w:spacing w:line="480" w:lineRule="auto"/>
      </w:pPr>
      <w:r>
        <w:t xml:space="preserve">The leverage question examined directly</w:t>
      </w:r>
    </w:p>
    <w:p>
      <w:pPr>
        <w:pStyle w:val="FirstParagraph"/>
        <w:spacing w:line="480" w:lineRule="auto"/>
      </w:pPr>
      <w:r>
        <w:t xml:space="preserve">Because the leverage concern is the most concrete threat a quantitative reviewer will raise, it deserves a direct answer rather than a general reassurance.</w:t>
      </w:r>
    </w:p>
    <w:p>
      <w:pPr>
        <w:pStyle w:val="BodyText"/>
        <w:spacing w:line="480" w:lineRule="auto"/>
        <w:ind w:firstLine="720"/>
      </w:pPr>
      <w:r>
        <w:t xml:space="preserve">The worry is that a single influential observation, the Canada dyad at 33.25 percent dependence with zero responses, drives the negative coefficient, so that removing it would collapse the finding. The panel’s structure supplies a partial answer without re-running the models. Even setting the Canada rows aside, the treatment still ranges from about 1.65 percent among the responding adversarial dyads to roughly 5.4 to 8 percent among the allied and mid-dependence dyads, all of which record zero responses</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The contrast between the low-dependence responders and the mid-dependence non-responders survives the removal of the extreme point, which means the sign does not rest on Canada alone. The honest qualification is that the magnitude, unlike the sign, is sensitive to the outlier. The linear coefficient’s scaling of a thirty-one-point treatment spread into roughly 1.5 predicted responses relies partly on the high-dependence end that Canada anchors. A reader should therefore trust the direction more than the precise slope, and the expansion, by adding many high-dependence dyads, is exactly what would convert a leverage-dependent magnitude into a stable one</w:t>
      </w:r>
      <w:r>
        <w:t xml:space="preserve"> </w:t>
      </w:r>
      <w:hyperlink w:anchor="ref-20">
        <w:r>
          <w:rPr>
            <w:rStyle w:val="Hyperlink"/>
          </w:rPr>
          <w:t xml:space="preserve">[20]</w:t>
        </w:r>
      </w:hyperlink>
      <w:r>
        <w:t xml:space="preserve">. This is not a fatal flaw; it is the expected fragility of a slope estimated on twenty-four points, stated plainly.</w:t>
      </w:r>
    </w:p>
    <w:bookmarkEnd w:id="127"/>
    <w:bookmarkStart w:id="128" w:name="selection-and-the-coverage-of-the-panel"/>
    <w:p>
      <w:pPr>
        <w:pStyle w:val="Heading2"/>
        <w:spacing w:line="480" w:lineRule="auto"/>
      </w:pPr>
      <w:r>
        <w:t xml:space="preserve">Selection and the coverage of the panel</w:t>
      </w:r>
    </w:p>
    <w:p>
      <w:pPr>
        <w:pStyle w:val="FirstParagraph"/>
        <w:spacing w:line="480" w:lineRule="auto"/>
      </w:pPr>
      <w:r>
        <w:t xml:space="preserve">A threat distinct from confounding and measurement is selection into the panel itself. The observations were chosen around public rivalrous events and a comparison set of high-dependence allied dyads, which is appropriate for a pilot but means the panel is not a random sample of directed dyad-years</w:t>
      </w:r>
      <w:r>
        <w:t xml:space="preserve"> </w:t>
      </w:r>
      <w:hyperlink w:anchor="ref-13">
        <w:r>
          <w:rPr>
            <w:rStyle w:val="Hyperlink"/>
          </w:rPr>
          <w:t xml:space="preserve">[13]</w:t>
        </w:r>
      </w:hyperlink>
      <w:r>
        <w:t xml:space="preserve">. If the selection correlated with the treatment-outcome relationship in some hidden way, the estimated association could reflect the selection rather than the population relationship. The dissertation cannot exclude this, and it is a further reason the specific coefficients belong to the panel rather than to the universe of dyads. The expansion to a full annual grid is the direct remedy, since a comprehensive panel removes the analyst’s discretion over which dyad-periods enter</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28"/>
    <w:bookmarkStart w:id="129" w:name="what-the-data-cannot-show"/>
    <w:p>
      <w:pPr>
        <w:pStyle w:val="Heading2"/>
        <w:spacing w:line="480" w:lineRule="auto"/>
      </w:pPr>
      <w:r>
        <w:t xml:space="preserve">What the data cannot show</w:t>
      </w:r>
    </w:p>
    <w:p>
      <w:pPr>
        <w:pStyle w:val="FirstParagraph"/>
        <w:spacing w:line="480" w:lineRule="auto"/>
      </w:pPr>
      <w:r>
        <w:t xml:space="preserve">Some limits are not threats to be mitigated but boundaries to be respected. The panel cannot show causation. It conditions on opportunity and reports a partial association; it does not license a claim that raising trade would lower rivalry, because the counterfactual that claim requires is exactly what the pilot lacks the design to estimate. A policymaker who read the finding as a lever to pull would be over-reading it. The panel cannot show the whole of orbital rivalry. A coded zero means the public rule observed no response in the window, not that the dyad had no security competition. Classified activity, unobserved signaling, and rivalry the open record missed all sit outside the measurement by construction</w:t>
      </w:r>
      <w:r>
        <w:t xml:space="preserve"> </w:t>
      </w:r>
      <w:hyperlink w:anchor="ref-13">
        <w:r>
          <w:rPr>
            <w:rStyle w:val="Hyperlink"/>
          </w:rPr>
          <w:t xml:space="preserve">[13]</w:t>
        </w:r>
      </w:hyperlink>
      <w:r>
        <w:t xml:space="preserve">. The finding is a claim about publicly observable behavior, and its scope is the scope of the public record, no wider. The panel cannot generalize to the universe of dyad-years. Twenty-four directed observations across ten relationships and a handful of years are a pilot, not a population, and the design notes say so explicitly. The specific coefficients belong to this panel. What generalizes, if anything does, is the architecture, the sign, and the demonstration that the measurement is feasible, and even that generalization awaits the larger design to confirm it. The dissertation claims the pilot’s result and the pilot’s method; it does not claim the population.</w:t>
      </w:r>
    </w:p>
    <w:bookmarkEnd w:id="129"/>
    <w:bookmarkStart w:id="130" w:name="how-the-limits-shape-the-contribution"/>
    <w:p>
      <w:pPr>
        <w:pStyle w:val="Heading2"/>
        <w:spacing w:line="480" w:lineRule="auto"/>
      </w:pPr>
      <w:r>
        <w:t xml:space="preserve">How the limits shape the contribution</w:t>
      </w:r>
    </w:p>
    <w:p>
      <w:pPr>
        <w:pStyle w:val="FirstParagraph"/>
        <w:spacing w:line="480" w:lineRule="auto"/>
      </w:pPr>
      <w:r>
        <w:t xml:space="preserve">Taken together, these limits do not dissolve the finding. They locate it. The dissertation contributes a falsifiable proposition that survived a fair test on real public data, a joined unit of observation that no prior work had built, and a bounded association whose sign is stable across two estimators. The limits mark the frontier between what this evidence earns and what a fuller design would have to earn next: causal identification through fixed effects and an instrument, richer controls for alignment and dispute history, and a sample large enough to generalize</w:t>
      </w:r>
      <w:r>
        <w:t xml:space="preserve"> </w:t>
      </w:r>
      <w:hyperlink w:anchor="ref-2">
        <w:r>
          <w:rPr>
            <w:rStyle w:val="Hyperlink"/>
          </w:rPr>
          <w:t xml:space="preserve">[2]</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Naming those frontiers is not an apology. It is the mechanism by which the alternative hypothesis stayed genuinely at risk throughout the study. A finding that could absorb any result would be worthless; this one could have failed and did not, and it fails cleanly on any of the stated threats if a future analyst finds them decisive. That is the posture a dissertation in a dual-use domain should hold, where technical records, economic exposure, and strategic interpretation rarely align perfectly and where overclaiming is the most common way to be wrong</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30"/>
    <w:bookmarkStart w:id="131" w:name="X78ed03a843b1eae1af3facb6a2a8805b3a17faf"/>
    <w:p>
      <w:pPr>
        <w:pStyle w:val="Heading2"/>
        <w:spacing w:line="480" w:lineRule="auto"/>
      </w:pPr>
      <w:r>
        <w:t xml:space="preserve">Comparison with the terrestrial commercial-peace debate</w:t>
      </w:r>
    </w:p>
    <w:p>
      <w:pPr>
        <w:pStyle w:val="FirstParagraph"/>
        <w:spacing w:line="480" w:lineRule="auto"/>
      </w:pPr>
      <w:r>
        <w:t xml:space="preserve">Situating the pilot against its parent literature both tempers and clarifies the reading. The terrestrial commercial-peace debate spent decades contesting whether the trade-conflict correlation is causal, with critics arguing that it reflects joint dependence on peace, expectations of future trade, or regime type rather than trade itself</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That debate was conducted on large panels with instruments and rich controls, and it is still not fully settled. A twenty-four-observation orbital pilot obviously cannot resolve what a mature terrestrial literature has not. What it can do is show that the same contested correlation appears in a wholly new domain, which is a data point the terrestrial debate did not have and which slightly raises the prior that something real underlies the pattern</w:t>
      </w:r>
      <w:r>
        <w:t xml:space="preserve"> </w:t>
      </w:r>
      <w:hyperlink w:anchor="ref-11">
        <w:r>
          <w:rPr>
            <w:rStyle w:val="Hyperlink"/>
          </w:rPr>
          <w:t xml:space="preserve">[11]</w:t>
        </w:r>
      </w:hyperlink>
      <w:r>
        <w:t xml:space="preserve">. The comparison also imports a caution. If goods trade is a noisy proxy for the deeper financial integration that Gartzke argued does the causal work, then the orbital finding, built on goods trade, inherits that noise</w:t>
      </w:r>
      <w:r>
        <w:t xml:space="preserve"> </w:t>
      </w:r>
      <w:hyperlink w:anchor="ref-12">
        <w:r>
          <w:rPr>
            <w:rStyle w:val="Hyperlink"/>
          </w:rPr>
          <w:t xml:space="preserve">[12]</w:t>
        </w:r>
      </w:hyperlink>
      <w:r>
        <w:t xml:space="preserve">. A fuller orbital design should test whether financial-integration measures outperform goods trade, exactly as the terrestrial literature learned to do. The pilot’s contribution is to open the orbital front of an old argument, not to close it.</w:t>
      </w:r>
    </w:p>
    <w:bookmarkEnd w:id="131"/>
    <w:bookmarkStart w:id="132" w:name="Xca407e9de1df5d720eca4b7e5b37dded40c016d"/>
    <w:p>
      <w:pPr>
        <w:pStyle w:val="Heading2"/>
        <w:spacing w:line="480" w:lineRule="auto"/>
      </w:pPr>
      <w:r>
        <w:t xml:space="preserve">Construct validity of the rivalry outcome</w:t>
      </w:r>
    </w:p>
    <w:p>
      <w:pPr>
        <w:pStyle w:val="FirstParagraph"/>
        <w:spacing w:line="480" w:lineRule="auto"/>
      </w:pPr>
      <w:r>
        <w:t xml:space="preserve">Beyond the coding-accuracy worries already discussed, the outcome raises a construct-validity question: does the same-regime response count actually measure rivalry, or does it measure something adjacent that only resembles it? The construct the theory cares about is deliberate competitive signaling in orbit, and the proxy is government or military activity in a matching regime within the window</w:t>
      </w:r>
      <w:r>
        <w:t xml:space="preserve"> </w:t>
      </w:r>
      <w:hyperlink w:anchor="ref-1">
        <w:r>
          <w:rPr>
            <w:rStyle w:val="Hyperlink"/>
          </w:rPr>
          <w:t xml:space="preserve">[1]</w:t>
        </w:r>
      </w:hyperlink>
      <w:r>
        <w:t xml:space="preserve">. These can diverge. A state might signal rivalry through channels the proxy misses, such as jamming or cyber interference against space systems, which the counterspace record documents but which the launch-based coding does not capture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Conversely, the proxy might catch activity that looks like a response but is an unrelated program. The construct and the proxy overlap substantially, which is why the finding is meaningful, but the overlap is imperfect, and the finding is a statement about the proxy with the construct inferred behind it. The dissertation’s defense is not that the proxy is perfect but that it is transparent and improvable. Because every coded response names its source, a reviewer who believes a particular row misrepresents the rivalry construct can re-adjudicate it, and the expansion could add non-kinetic signaling channels to widen the proxy’s coverage of the construct</w:t>
      </w:r>
      <w:r>
        <w:t xml:space="preserve"> </w:t>
      </w:r>
      <w:hyperlink w:anchor="ref-8">
        <w:r>
          <w:rPr>
            <w:rStyle w:val="Hyperlink"/>
          </w:rPr>
          <w:t xml:space="preserve">[8]</w:t>
        </w:r>
      </w:hyperlink>
      <w:r>
        <w:t xml:space="preserve">. Construct validity, like the other validities, is treated as a frontier to advance rather than a box to check.</w:t>
      </w:r>
    </w:p>
    <w:bookmarkEnd w:id="132"/>
    <w:bookmarkStart w:id="133" w:name="the-threats-in-aggregate"/>
    <w:p>
      <w:pPr>
        <w:pStyle w:val="Heading2"/>
        <w:spacing w:line="480" w:lineRule="auto"/>
      </w:pPr>
      <w:r>
        <w:t xml:space="preserve">The threats in aggregate</w:t>
      </w:r>
    </w:p>
    <w:p>
      <w:pPr>
        <w:pStyle w:val="FirstParagraph"/>
        <w:spacing w:line="480" w:lineRule="auto"/>
      </w:pPr>
      <w:r>
        <w:t xml:space="preserve">Standing back from the individual threats, the aggregate picture is coherent. The finding is confounded chiefly by alliance, sensitive in magnitude to a leverage point, dependent on a small and non-randomly selected sample, and built on proxies that overlap imperfectly with their constructs. Each of these is real, each is stated, and each has a named remedy in the expansion: fixed effects and an instrument for confounding and reverse causation, a larger sample for leverage and selection, and richer coding for the proxies</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 None of them, individually or together, overturns the sign, which is visible in the raw data before any estimator runs and which survives across two functional forms. The honest summary is that the pilot delivers a robust sign inside a fragile magnitude, on a transparent but bounded panel, and that this is exactly what a first-stage design should deliver.</w:t>
      </w:r>
    </w:p>
    <w:bookmarkEnd w:id="133"/>
    <w:bookmarkStart w:id="134" w:name="what-would-change-the-conclusion"/>
    <w:p>
      <w:pPr>
        <w:pStyle w:val="Heading2"/>
        <w:spacing w:line="480" w:lineRule="auto"/>
      </w:pPr>
      <w:r>
        <w:t xml:space="preserve">What would change the conclusion</w:t>
      </w:r>
    </w:p>
    <w:p>
      <w:pPr>
        <w:pStyle w:val="FirstParagraph"/>
        <w:spacing w:line="480" w:lineRule="auto"/>
      </w:pPr>
      <w:r>
        <w:t xml:space="preserve">A discussion earns its confidence by naming what would overturn it. Three findings in the expansion would force a revision of the conclusion. First, if the trade coefficient lost significance or changed sign once dyad and country-by-year fixed effects absorbed the alliance confound, the pilot’s association would stand revealed as alignment rather than an economic effect, and the interdependence reading would fail</w:t>
      </w:r>
      <w:r>
        <w:t xml:space="preserve"> </w:t>
      </w:r>
      <w:hyperlink w:anchor="ref-22">
        <w:r>
          <w:rPr>
            <w:rStyle w:val="Hyperlink"/>
          </w:rPr>
          <w:t xml:space="preserve">[22]</w:t>
        </w:r>
      </w:hyperlink>
      <w:r>
        <w:t xml:space="preserve">. Second, if the shift-share instrument produced a null while the ordinary-least-squares association persisted, that gap would point to reverse causation or omitted confounding as the true source of the correlation</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Third, if a comprehensive annual panel showed the relationship holding only among a handful of extreme-dependence dyads and vanishing across the bulk of the range, the finding would shrink from a general dampening effect to a narrow threshold phenomenon</w:t>
      </w:r>
      <w:r>
        <w:t xml:space="preserve"> </w:t>
      </w:r>
      <w:hyperlink w:anchor="ref-7">
        <w:r>
          <w:rPr>
            <w:rStyle w:val="Hyperlink"/>
          </w:rPr>
          <w:t xml:space="preserve">[7]</w:t>
        </w:r>
      </w:hyperlink>
      <w:r>
        <w:t xml:space="preserve">. Each of these is a concrete, reachable test, and the dissertation states them so that a future analyst knows exactly where to aim. A finding worth having is one whose defeat conditions are specifiable in advance, and these are. That the pilot cannot itself run these tests is not a weakness to conceal but the precise reason the expansion exists. Chapter 8 turns from what the finding cannot do to what, within its bounds, it contributes and enables.</w:t>
      </w:r>
    </w:p>
    <w:bookmarkEnd w:id="134"/>
    <w:bookmarkEnd w:id="135"/>
    <w:bookmarkStart w:id="178"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answer one question with one falsifiable test. When two spacefaring states are economically tied outside the space sector, do those ties dampen the rivalrous behavior they later display in orbit? The answer, within the bounds the evidence permits, is yes. Across a count model and a binary model, on a hand-built panel of twenty-four directed dyad-period observations traceable to named public sources, higher cross-domain trade dependence is associated with fewer and less probable rivalrous space responses, holding target activity constant, with both estimators significant at the five-percent level. This closing chapter states the contribution precisely, draws out its governance and program relevance, and lays the expansion path the pilot was built to enable.</w:t>
      </w:r>
    </w:p>
    <w:bookmarkStart w:id="136" w:name="the-contribution-stated-precisely"/>
    <w:p>
      <w:pPr>
        <w:pStyle w:val="Heading2"/>
        <w:spacing w:line="480" w:lineRule="auto"/>
      </w:pPr>
      <w:r>
        <w:t xml:space="preserve">The contribution, stated precisely</w:t>
      </w:r>
    </w:p>
    <w:p>
      <w:pPr>
        <w:pStyle w:val="FirstParagraph"/>
        <w:spacing w:line="480" w:lineRule="auto"/>
      </w:pPr>
      <w:r>
        <w:t xml:space="preserve">The contribution has three parts, and keeping them distinct prevents the whole from being over-read.</w:t>
      </w:r>
    </w:p>
    <w:p>
      <w:pPr>
        <w:pStyle w:val="BodyText"/>
        <w:spacing w:line="480" w:lineRule="auto"/>
        <w:ind w:firstLine="720"/>
      </w:pPr>
      <w:r>
        <w:t xml:space="preserve">The first part is a method. The dissertation constructs a directed dyad-period unit of observation in which cross-domain economic dependence and rivalrous orbital response sit in the same row, coded from public trade, product, satellite, and counterspace records</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w:t>
      </w:r>
      <w:hyperlink w:anchor="ref-19">
        <w:r>
          <w:rPr>
            <w:rStyle w:val="Hyperlink"/>
          </w:rPr>
          <w:t xml:space="preserve">[19]</w:t>
        </w:r>
      </w:hyperlink>
      <w:r>
        <w:t xml:space="preserve">. No prior work had joined these source families into a single estimable unit. That joint is the methodological core, and it is reusable independent of the particular result it produced. The second part is a dataset. Every one of the twenty-four rows names its dyad, year, trade exposure, target activity, response count, and source trail, so that a skeptical reader can inspect, challenge, and replace any value without collapsing the design. The dataset is small by choice, and the smallness buys inspectability that a large opaque panel cannot offer. It is a bounded public-record pilot, not a claimed universe, and it says so of itself. The third part is a finding. The treatment coefficient is negative and significant in both models, minus 0.0482 at p equal to 0.0179 in the count model and minus 1.2167 at p equal to 0.0123 in the logit, with the target-activity control carrying the theoretically correct positive sign in each</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finding is an association within a bounded panel, conditional on opportunity, and it is stated with that qualifier every time it is stated. What makes it a genuine contribution rather than a decoration is that it was at risk: the sign could have come back non-negative and refuted the alternative hypothesis, and it did not.</w:t>
      </w:r>
    </w:p>
    <w:bookmarkEnd w:id="136"/>
    <w:bookmarkStart w:id="137" w:name="why-the-modest-claim-is-the-right-claim"/>
    <w:p>
      <w:pPr>
        <w:pStyle w:val="Heading2"/>
        <w:spacing w:line="480" w:lineRule="auto"/>
      </w:pPr>
      <w:r>
        <w:t xml:space="preserve">Why the modest claim is the right claim</w:t>
      </w:r>
    </w:p>
    <w:p>
      <w:pPr>
        <w:pStyle w:val="FirstParagraph"/>
        <w:spacing w:line="480" w:lineRule="auto"/>
      </w:pPr>
      <w:r>
        <w:t xml:space="preserve">A larger claim was available and would have been dishonest. The dissertation could have dressed twenty-four observations in the language of a general law of orbital politics, and a reader skimming the coefficients might not have caught the overreach. The restraint is deliberate. Space rivalry is dual-use to its core, the public record captures only a subset of behavior, and the two-predictor pilot cannot separate an economic effect from a deeper strategic alignment that moves both trade and rivalry</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A claim that ignored those limits would be precise and wrong. A claim that respects them is bounded and defensible.</w:t>
      </w:r>
    </w:p>
    <w:p>
      <w:pPr>
        <w:pStyle w:val="BodyText"/>
        <w:spacing w:line="480" w:lineRule="auto"/>
        <w:ind w:firstLine="720"/>
      </w:pPr>
      <w:r>
        <w:t xml:space="preserve">The modesty is also what preserves the work’s usefulness to the people who would build on it.</w:t>
      </w:r>
    </w:p>
    <w:p>
      <w:pPr>
        <w:pStyle w:val="BodyText"/>
        <w:spacing w:line="480" w:lineRule="auto"/>
        <w:ind w:firstLine="720"/>
      </w:pPr>
      <w:r>
        <w:t xml:space="preserve">Because the pilot fixes the unit, the treatment, the outcome, and the source logic, a future researcher does not inherit a finished monument to admire; they inherit a working apparatus to enlarge. That is the more valuable bequest. The value of finishing the dissertation as a reproducible pilot, rather than as a sweeping conceptual essay, is that the next analyst can improve it at a specific row, with a specific data pull, without renegotiating the research question</w:t>
      </w:r>
      <w:r>
        <w:t xml:space="preserve"> </w:t>
      </w:r>
      <w:hyperlink w:anchor="ref-2">
        <w:r>
          <w:rPr>
            <w:rStyle w:val="Hyperlink"/>
          </w:rPr>
          <w:t xml:space="preserve">[2]</w:t>
        </w:r>
      </w:hyperlink>
      <w:r>
        <w:t xml:space="preserve">.</w:t>
      </w:r>
    </w:p>
    <w:bookmarkEnd w:id="137"/>
    <w:bookmarkStart w:id="138" w:name="governance-relevance"/>
    <w:p>
      <w:pPr>
        <w:pStyle w:val="Heading2"/>
        <w:spacing w:line="480" w:lineRule="auto"/>
      </w:pPr>
      <w:r>
        <w:t xml:space="preserve">Governance relevance</w:t>
      </w:r>
    </w:p>
    <w:p>
      <w:pPr>
        <w:pStyle w:val="FirstParagraph"/>
        <w:spacing w:line="480" w:lineRule="auto"/>
      </w:pPr>
      <w:r>
        <w:t xml:space="preserve">Suppose the association survives a fuller design. The governance implications are concrete. Orbital security could no longer be read only through launch counts, doctrine, and military budgets, because a wholly non-space variable, the depth of two states’ ordinary goods trade, would carry information about their behavior above the atmosphere. That reframing gives several communities something they currently lack. A diplomat weighing which dyads are most prone to orbital escalation would gain a cheap, public leading indicator. A program office deciding where operational risk-information sharing is most likely to take root would have a way to prioritize, since the norms-development channel documented in the risk-sharing literature may find more purchase where economic interdependence already raises the cost of visible rivalry</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threshold pattern in the results sharpens the governance reading. If the dampening is concentrated among deeply interdependent pairs rather than spread evenly, then the marginal governance payoff of deepening economic ties may be largest below the threshold, where a dyad has enough exposure to matter but not enough to have already crossed into restraint</w:t>
      </w:r>
      <w:r>
        <w:t xml:space="preserve"> </w:t>
      </w:r>
      <w:hyperlink w:anchor="ref-6">
        <w:r>
          <w:rPr>
            <w:rStyle w:val="Hyperlink"/>
          </w:rPr>
          <w:t xml:space="preserve">[6]</w:t>
        </w:r>
      </w:hyperlink>
      <w:r>
        <w:t xml:space="preserve"> </w:t>
      </w:r>
      <w:hyperlink w:anchor="ref-7">
        <w:r>
          <w:rPr>
            <w:rStyle w:val="Hyperlink"/>
          </w:rPr>
          <w:t xml:space="preserve">[7]</w:t>
        </w:r>
      </w:hyperlink>
      <w:r>
        <w:t xml:space="preserve">. That is a testable and policy-relevant refinement, and it falls directly out of the row-level pattern the pilot exposed. The finding also cautions against the opposite error. Economic entanglement is not a guarantee of orbital peace; heavily trading states can still compete, and the association is an average, not a promise for any single dyad.</w:t>
      </w:r>
    </w:p>
    <w:p>
      <w:pPr>
        <w:pStyle w:val="BodyText"/>
        <w:spacing w:line="480" w:lineRule="auto"/>
        <w:ind w:firstLine="720"/>
      </w:pPr>
      <w:r>
        <w:t xml:space="preserve">There is a relevance to the broader project of space sustainability as well.</w:t>
      </w:r>
    </w:p>
    <w:p>
      <w:pPr>
        <w:pStyle w:val="BodyText"/>
        <w:spacing w:line="480" w:lineRule="auto"/>
        <w:ind w:firstLine="720"/>
      </w:pPr>
      <w:r>
        <w:t xml:space="preserve">If economic embeddedness shapes rivalrous behavior, then the transdisciplinary approach that sustainability scholars have urged, one that refuses to quarantine orbital questions from economic and social ones, gains empirical warrant rather than remaining a methodological preference</w:t>
      </w:r>
      <w:r>
        <w:t xml:space="preserve"> </w:t>
      </w:r>
      <w:hyperlink w:anchor="ref-5">
        <w:r>
          <w:rPr>
            <w:rStyle w:val="Hyperlink"/>
          </w:rPr>
          <w:t xml:space="preserve">[5]</w:t>
        </w:r>
      </w:hyperlink>
      <w:r>
        <w:t xml:space="preserve">. The orbital commons is governed, in part, by terrestrial economics, and that is a finding governance frameworks can act on. The debris dimension sharpens this further. A rivalrous response in orbit, especially a kinetic anti-satellite test, can generate debris that persists for decades and threatens every operator in the affected regime, not just the rival</w:t>
      </w:r>
      <w:r>
        <w:t xml:space="preserve"> </w:t>
      </w:r>
      <w:hyperlink w:anchor="ref-4">
        <w:r>
          <w:rPr>
            <w:rStyle w:val="Hyperlink"/>
          </w:rPr>
          <w:t xml:space="preserve">[4]</w:t>
        </w:r>
      </w:hyperlink>
      <w:r>
        <w:t xml:space="preserve"> </w:t>
      </w:r>
      <w:hyperlink w:anchor="ref-13">
        <w:r>
          <w:rPr>
            <w:rStyle w:val="Hyperlink"/>
          </w:rPr>
          <w:t xml:space="preserve">[13]</w:t>
        </w:r>
      </w:hyperlink>
      <w:r>
        <w:t xml:space="preserve">. Each response the interdependence mechanism averts is therefore also a contribution to the shared orbital environment that is not made. If the dampening effect is real, economic interdependence would function as an indirect contributor to orbital sustainability, a link that debris-governance frameworks built on the Montreal Protocol analogy could incorporate. This is a governance payoff that the sustainability literature has gestured toward without measuring, and the pilot provides a first, bounded piece of the measurement.</w:t>
      </w:r>
    </w:p>
    <w:bookmarkEnd w:id="138"/>
    <w:bookmarkStart w:id="139" w:name="X0a50d7bc942f5eab66bfa5ffad79bc7ba6a85ac"/>
    <w:p>
      <w:pPr>
        <w:pStyle w:val="Heading2"/>
        <w:spacing w:line="480" w:lineRule="auto"/>
      </w:pPr>
      <w:r>
        <w:t xml:space="preserve">Relevance to cross-domain deterrence and cyber</w:t>
      </w:r>
    </w:p>
    <w:p>
      <w:pPr>
        <w:pStyle w:val="FirstParagraph"/>
        <w:spacing w:line="480" w:lineRule="auto"/>
      </w:pPr>
      <w:r>
        <w:t xml:space="preserve">The finding also speaks to the cross-domain governance problem that reaches into cyberspace. Orbital systems can be contested through non-kinetic means, and the commands responsible for space and cyber operations face an incentive structure that spans both domains</w:t>
      </w:r>
      <w:r>
        <w:t xml:space="preserve"> </w:t>
      </w:r>
      <w:hyperlink w:anchor="ref-8">
        <w:r>
          <w:rPr>
            <w:rStyle w:val="Hyperlink"/>
          </w:rPr>
          <w:t xml:space="preserve">[8]</w:t>
        </w:r>
      </w:hyperlink>
      <w:r>
        <w:t xml:space="preserve">. If economic interdependence dampens visible orbital rivalry, a natural next question is whether it also dampens the cross-domain contestation of space systems through cyber channels, where the visibility that drives the orbital mechanism is weaker. The pilot cannot answer that question, but it frames it precisely, and it supplies a method, the joined cross-domain unit of observation, that a cyber-space study could adapt. Extending the interdependence logic across the space-cyber boundary is a natural continuation of the research program this dissertation opens.</w:t>
      </w:r>
    </w:p>
    <w:bookmarkEnd w:id="139"/>
    <w:bookmarkStart w:id="140" w:name="program-relevance"/>
    <w:p>
      <w:pPr>
        <w:pStyle w:val="Heading2"/>
        <w:spacing w:line="480" w:lineRule="auto"/>
      </w:pPr>
      <w:r>
        <w:t xml:space="preserve">Program relevance</w:t>
      </w:r>
    </w:p>
    <w:p>
      <w:pPr>
        <w:pStyle w:val="FirstParagraph"/>
        <w:spacing w:line="480" w:lineRule="auto"/>
      </w:pPr>
      <w:r>
        <w:t xml:space="preserve">For the applied reader, the contribution is a template as much as a result. The joined unit of observation is a reusable instrument for any question that needs to connect economic exposure to orbital behavior, including questions about deterrence stability, alliance management, and the placement of confidence-building measures. The source-trail discipline is portable to those questions, and the two-estimator triangulation is a cheap way to test whether a directional finding is robust to functional form before committing to an expensive identified design</w:t>
      </w:r>
      <w:r>
        <w:t xml:space="preserve"> </w:t>
      </w:r>
      <w:hyperlink w:anchor="ref-8">
        <w:r>
          <w:rPr>
            <w:rStyle w:val="Hyperlink"/>
          </w:rPr>
          <w:t xml:space="preserve">[8]</w:t>
        </w:r>
      </w:hyperlink>
      <w:r>
        <w:t xml:space="preserve">. A program office could adopt the pilot’s architecture to screen dyads before investing in deeper analysis, which is exactly the sequencing logic the dissertation itself followed.</w:t>
      </w:r>
    </w:p>
    <w:bookmarkEnd w:id="140"/>
    <w:bookmarkStart w:id="141" w:name="X7c72d5bbee1fe83e3233cda6b3b8b17865d9911"/>
    <w:p>
      <w:pPr>
        <w:pStyle w:val="Heading2"/>
        <w:spacing w:line="480" w:lineRule="auto"/>
      </w:pPr>
      <w:r>
        <w:t xml:space="preserve">A restatement of the falsifiable contribution</w:t>
      </w:r>
    </w:p>
    <w:p>
      <w:pPr>
        <w:pStyle w:val="FirstParagraph"/>
        <w:spacing w:line="480" w:lineRule="auto"/>
      </w:pPr>
      <w:r>
        <w:t xml:space="preserve">It is worth restating the falsifiable contribution in its final form, now that the evidence has been seen, because the shape of the claim is the dissertation’s most durable product. The claim was pre-committed in Chapter 1: the coefficient on cross-domain trade dependence would be negative, or the proposition failed. There was no version of the analysis in which any result could be read as confirmation. A positive or zero coefficient with an interval spanning zero would have stood as a refutation, and the design made that outcome reachable given the small sample and the influential high-dependence observation</w:t>
      </w:r>
      <w:r>
        <w:t xml:space="preserve"> </w:t>
      </w:r>
      <w:hyperlink w:anchor="ref-11">
        <w:r>
          <w:rPr>
            <w:rStyle w:val="Hyperlink"/>
          </w:rPr>
          <w:t xml:space="preserve">[11]</w:t>
        </w:r>
      </w:hyperlink>
      <w:r>
        <w:t xml:space="preserve"> </w:t>
      </w:r>
      <w:hyperlink w:anchor="ref-17">
        <w:r>
          <w:rPr>
            <w:rStyle w:val="Hyperlink"/>
          </w:rPr>
          <w:t xml:space="preserve">[17]</w:t>
        </w:r>
      </w:hyperlink>
      <w:r>
        <w:t xml:space="preserve">. The coefficient came back negative and significant in both models, with both intervals below zero, so the proposition survived a test it could have failed. That structure is what distinguishes the contribution from an interpretive essay. An essay accumulates plausibility; a falsifiable test stakes itself on a prediction and reports whether the prediction held. The dissertation chose the harder path, stated the prediction in advance, ran the test on real public data, and reported the outcome without adjustment. The negative sign is the headline, but the reproducible, at-risk structure of the test is the deeper contribution, because it is the structure that a research program can carry forward and that a skeptic can attack on its own terms rather than on the terms of rhetoric</w:t>
      </w:r>
      <w:r>
        <w:t xml:space="preserve"> </w:t>
      </w:r>
      <w:hyperlink w:anchor="ref-3">
        <w:r>
          <w:rPr>
            <w:rStyle w:val="Hyperlink"/>
          </w:rPr>
          <w:t xml:space="preserve">[3]</w:t>
        </w:r>
      </w:hyperlink>
      <w:r>
        <w:t xml:space="preserve">. A dissertation in a dual-use domain, where the temptation to overclaim is constant, earns its authority precisely by binding itself to a prediction that could have embarrassed it.</w:t>
      </w:r>
    </w:p>
    <w:bookmarkEnd w:id="141"/>
    <w:bookmarkStart w:id="142" w:name="future-work"/>
    <w:p>
      <w:pPr>
        <w:pStyle w:val="Heading2"/>
        <w:spacing w:line="480" w:lineRule="auto"/>
      </w:pPr>
      <w:r>
        <w:t xml:space="preserve">Future work</w:t>
      </w:r>
    </w:p>
    <w:p>
      <w:pPr>
        <w:pStyle w:val="FirstParagraph"/>
        <w:spacing w:line="480" w:lineRule="auto"/>
      </w:pPr>
      <w:r>
        <w:t xml:space="preserve">The expansion path is not aspirational hand-waving; it is specified. The first step is to convert the event-organized pilot into an annual directed dyad-year panel spanning the full 2000-to-2025 window, which regularizes the temporal structure and multiplies the observations by orders of magnitude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second step is to add the three layers of fixed effects the prospectus specified: dyad fixed effects for time-invariant bilateral features, and origin-by-year and target-by-year fixed effects for annual national shocks, so that identification rests on within-dyad change rather than cross-dyad comparison. The third step is the shift-share instrument. Predicting dyadic trade dependence from pre-period sectoral composition interacted with third-market demand shocks, excluding both dyad members from the shocks, would push the design from association toward causal identification and directly confront the reverse-causality and confounding threats the pilot could only name</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The fourth step is richer controls, layering in alliance status, militarized-dispute history, and military expenditure so the economic effect can be separated from strategic alignment</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The fifth step is a survival extension, using the months-to-response timing variable already carried in the pilot to model time-to-response rather than a count or a binary indicator, which would test whether economic ties delay rivalry as well as reduce it. Response-window sensitivity checks at one, two, and three years, and conservative versus inclusive satellite-purpose codings, round out the robustness program.</w:t>
      </w:r>
    </w:p>
    <w:p>
      <w:pPr>
        <w:pStyle w:val="BodyText"/>
        <w:spacing w:line="480" w:lineRule="auto"/>
        <w:ind w:firstLine="720"/>
      </w:pPr>
      <w:r>
        <w:t xml:space="preserve">Each of these steps attaches to the apparatus the pilot already built. None requires abandoning the unit, the treatment, or the outcome definition. That continuity is the pilot’s deepest justification: it is a first, honest, inspectable link in a chain that a research program can extend without starting over.</w:t>
      </w:r>
    </w:p>
    <w:bookmarkEnd w:id="142"/>
    <w:bookmarkStart w:id="143" w:name="Xa2906088a2f0eed4b9ee6022119c79012794af7"/>
    <w:p>
      <w:pPr>
        <w:pStyle w:val="Heading2"/>
        <w:spacing w:line="480" w:lineRule="auto"/>
      </w:pPr>
      <w:r>
        <w:t xml:space="preserve">What the pilot teaches about method in space-security research</w:t>
      </w:r>
    </w:p>
    <w:p>
      <w:pPr>
        <w:pStyle w:val="FirstParagraph"/>
        <w:spacing w:line="480" w:lineRule="auto"/>
      </w:pPr>
      <w:r>
        <w:t xml:space="preserve">Beyond its substantive result, the dissertation carries a lesson about how to do empirical space-security research on public records, and that lesson may outlast the specific coefficients. The field has often faced a false choice between elegant theory with no measurements and catalogs of satellite facts with no causal logic. The pilot shows a third path: a bounded, fully sourced unit of observation that joins a theoretical construct to an observable outcome and reports the result with its uncertainty attached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path is reproducible by anyone with access to the same public sources, which is precisely the property the field’s collaborative structure demands, since diplomatic, commercial, and academic partners cannot share classified assessments but can all read a public panel.</w:t>
      </w:r>
    </w:p>
    <w:p>
      <w:pPr>
        <w:pStyle w:val="BodyText"/>
        <w:spacing w:line="480" w:lineRule="auto"/>
        <w:ind w:firstLine="720"/>
      </w:pPr>
      <w:r>
        <w:t xml:space="preserve">The reproducibility deserves emphasis because it is rare in a security-adjacent field. Much space-security analysis rests on assessments that cannot be independently checked, which forces the reader to trust the analyst. A public-record panel with named sources inverts that relationship: the reader checks the analyst rather than trusting them, and the finding stands or falls on evidence anyone can retrace</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The method also models a discipline about the difference between measured and total behavior. Every coded zero in the panel means an unobserved response, not a guaranteed absence, and the dissertation never lets that distinction slip</w:t>
      </w:r>
      <w:r>
        <w:t xml:space="preserve"> </w:t>
      </w:r>
      <w:hyperlink w:anchor="ref-13">
        <w:r>
          <w:rPr>
            <w:rStyle w:val="Hyperlink"/>
          </w:rPr>
          <w:t xml:space="preserve">[13]</w:t>
        </w:r>
      </w:hyperlink>
      <w:r>
        <w:t xml:space="preserve">. Space-security work that forgets it tends to overclaim, treating the visible record as the whole record. A study that holds the distinction firmly can make a bounded claim that survives scrutiny, and the pilot demonstrates that such a claim is worth more than a sweeping one that ignores what the public record cannot see. This methodological posture, transparent sourcing, stated uncertainty, and honesty about the gap between the observed and the actual, is a template the field can adopt independent of the interdependence question.</w:t>
      </w:r>
    </w:p>
    <w:bookmarkEnd w:id="143"/>
    <w:bookmarkStart w:id="144" w:name="anticipating-the-strongest-objection"/>
    <w:p>
      <w:pPr>
        <w:pStyle w:val="Heading2"/>
        <w:spacing w:line="480" w:lineRule="auto"/>
      </w:pPr>
      <w:r>
        <w:t xml:space="preserve">Anticipating the strongest objection</w:t>
      </w:r>
    </w:p>
    <w:p>
      <w:pPr>
        <w:pStyle w:val="FirstParagraph"/>
        <w:spacing w:line="480" w:lineRule="auto"/>
      </w:pPr>
      <w:r>
        <w:t xml:space="preserve">The strongest objection to the whole project is that twenty-four observations cannot support any inference worth having, and the dissertation should meet it head-on rather than deflect it. The objection is partly right and partly misplaced. It is right that the specific coefficients are fragile and that generalization awaits a far larger sample</w:t>
      </w:r>
      <w:r>
        <w:t xml:space="preserve"> </w:t>
      </w:r>
      <w:hyperlink w:anchor="ref-20">
        <w:r>
          <w:rPr>
            <w:rStyle w:val="Hyperlink"/>
          </w:rPr>
          <w:t xml:space="preserve">[20]</w:t>
        </w:r>
      </w:hyperlink>
      <w:r>
        <w:t xml:space="preserve">. It is misplaced in supposing that a pilot’s job is to generalize. A pilot’s job is to establish feasibility, fix an architecture, and return a directional signal that justifies the expensive identified design, and on those terms the pilot succeeds. The sign is clear, the measurement is reproducible, and the architecture scales without redefinition</w:t>
      </w:r>
      <w:r>
        <w:t xml:space="preserve"> </w:t>
      </w:r>
      <w:hyperlink w:anchor="ref-14">
        <w:r>
          <w:rPr>
            <w:rStyle w:val="Hyperlink"/>
          </w:rPr>
          <w:t xml:space="preserve">[14]</w:t>
        </w:r>
      </w:hyperlink>
      <w:r>
        <w:t xml:space="preserve"> </w:t>
      </w:r>
      <w:hyperlink w:anchor="ref-19">
        <w:r>
          <w:rPr>
            <w:rStyle w:val="Hyperlink"/>
          </w:rPr>
          <w:t xml:space="preserve">[19]</w:t>
        </w:r>
      </w:hyperlink>
      <w:r>
        <w:t xml:space="preserve">. A related objection holds that the result is foreordained because allies trade heavily and do not fight in orbit, so the finding merely restates the alliance structure. The dissertation’s answer is the target-activity control and the mid-dependence non-responders. The control conditions on rivalrous opportunity, and the allied and mid-dependence dyads between roughly three and eight percent still carry zeros against the low-dependence adversaries’ positive counts, so the pattern is not reducible to the single binary of ally versus adversary</w:t>
      </w:r>
      <w:r>
        <w:t xml:space="preserve"> </w:t>
      </w:r>
      <w:hyperlink w:anchor="ref-10">
        <w:r>
          <w:rPr>
            <w:rStyle w:val="Hyperlink"/>
          </w:rPr>
          <w:t xml:space="preserve">[10]</w:t>
        </w:r>
      </w:hyperlink>
      <w:r>
        <w:t xml:space="preserve"> </w:t>
      </w:r>
      <w:hyperlink w:anchor="ref-22">
        <w:r>
          <w:rPr>
            <w:rStyle w:val="Hyperlink"/>
          </w:rPr>
          <w:t xml:space="preserve">[22]</w:t>
        </w:r>
      </w:hyperlink>
      <w:r>
        <w:t xml:space="preserve">. The objection identifies a real confound, alliance, which Chapter 7 conceded is the pilot’s heaviest threat, but it overstates the case in claiming the finding is tautological. The finding is confounded, not empty, and the distinction is what the expansion is built to resolve.</w:t>
      </w:r>
    </w:p>
    <w:bookmarkEnd w:id="144"/>
    <w:bookmarkStart w:id="145" w:name="closing"/>
    <w:p>
      <w:pPr>
        <w:pStyle w:val="Heading2"/>
        <w:spacing w:line="480" w:lineRule="auto"/>
      </w:pPr>
      <w:r>
        <w:t xml:space="preserve">Closing</w:t>
      </w:r>
    </w:p>
    <w:p>
      <w:pPr>
        <w:pStyle w:val="FirstParagraph"/>
        <w:spacing w:line="480" w:lineRule="auto"/>
      </w:pPr>
      <w:r>
        <w:t xml:space="preserve">The dissertation ends where a bounded empirical study should. It made one claim, tested it fairly, reported the numbers exactly as the estimators produced them, and marked the frontier between what the evidence earns and what a larger design must earn next. The finding is small in scope and legible in method: cross-domain economic ties track dampened rivalrous behavior in orbit, in this panel, conditional on opportunity, across two estimators, with the uncertainty stated rather than hidden. That is a modest result. In a domain where technical records, economic exposure, and strategic interpretation rarely line up cleanly, a modest result that could have failed and did not is worth more than a grand one that never risked being wrong</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dissertation leaves behind three things a successor can use immediately: a joined cross-domain unit of observation, a fully sourced pilot panel, and a specified expansion with named defeat conditions. A successor does not have to trust the finding to build on the apparatus, and does not have to accept the interpretation to run the identified design that would test it</w:t>
      </w:r>
      <w:r>
        <w:t xml:space="preserve"> </w:t>
      </w:r>
      <w:hyperlink w:anchor="ref-19">
        <w:r>
          <w:rPr>
            <w:rStyle w:val="Hyperlink"/>
          </w:rPr>
          <w:t xml:space="preserve">[19]</w:t>
        </w:r>
      </w:hyperlink>
      <w:r>
        <w:t xml:space="preserve"> </w:t>
      </w:r>
      <w:hyperlink w:anchor="ref-22">
        <w:r>
          <w:rPr>
            <w:rStyle w:val="Hyperlink"/>
          </w:rPr>
          <w:t xml:space="preserve">[22]</w:t>
        </w:r>
      </w:hyperlink>
      <w:r>
        <w:t xml:space="preserve">. That is the shape a first-stage contribution should take. It advances the argument by exactly one honest, inspectable step, marks the frontier of what it has earned, and hands the next analyst a working instrument rather than a finished monument. The question of whether cross-domain economic ties dampen space rivalry is not settled here. It is, for the first time, made measurable, tested once on real public data, and left in a state where the next test is specified rather than merely imagined</w:t>
      </w:r>
      <w:r>
        <w:t xml:space="preserve"> </w:t>
      </w:r>
      <w:hyperlink w:anchor="ref-7">
        <w:r>
          <w:rPr>
            <w:rStyle w:val="Hyperlink"/>
          </w:rPr>
          <w:t xml:space="preserve">[7]</w:t>
        </w:r>
      </w:hyperlink>
      <w:r>
        <w:t xml:space="preserve"> </w:t>
      </w:r>
      <w:hyperlink w:anchor="ref-20">
        <w:r>
          <w:rPr>
            <w:rStyle w:val="Hyperlink"/>
          </w:rPr>
          <w:t xml:space="preserve">[20]</w:t>
        </w:r>
      </w:hyperlink>
      <w:r>
        <w:t xml:space="preserve">.</w:t>
      </w:r>
    </w:p>
    <w:bookmarkEnd w:id="145"/>
    <w:bookmarkStart w:id="177" w:name="references"/>
    <w:p>
      <w:pPr>
        <w:pStyle w:val="Heading2"/>
        <w:spacing w:line="480" w:lineRule="auto"/>
      </w:pPr>
      <w:r>
        <w:t xml:space="preserve">References</w:t>
      </w:r>
    </w:p>
    <w:p>
      <w:pPr>
        <w:pStyle w:val="FirstParagraph"/>
        <w:spacing w:line="480" w:lineRule="auto"/>
      </w:pPr>
      <w:bookmarkStart w:id="146" w:name="ref-1"/>
      <w:bookmarkEnd w:id="146"/>
      <w:r>
        <w:t xml:space="preserve">1. T. Phan and M. Jah, Socio-Technical Configuration Analysis of Space Objects for Enhanced Space Domain Awareness, Advanced Maui Optical and Space Surveillance Technologies Conference, 2025, doi:</w:t>
      </w:r>
      <w:r>
        <w:t xml:space="preserve"> </w:t>
      </w:r>
      <w:hyperlink r:id="rId147">
        <w:r>
          <w:rPr>
            <w:rStyle w:val="Hyperlink"/>
          </w:rPr>
          <w:t xml:space="preserve">10.64861/GDIM2412</w:t>
        </w:r>
      </w:hyperlink>
    </w:p>
    <w:p>
      <w:pPr>
        <w:pStyle w:val="BodyText"/>
        <w:spacing w:line="480" w:lineRule="auto"/>
        <w:ind w:firstLine="720"/>
      </w:pPr>
      <w:bookmarkStart w:id="148" w:name="ref-2"/>
      <w:bookmarkEnd w:id="148"/>
      <w:r>
        <w:t xml:space="preserve">2. N. Jain and M. Borowitz, A System-of-Systems Approach Towards Future Space Traffic Management Autonomy and Policy Co-Design, Advanced Maui Optical and Space Surveillance Technologies Conference, 2023, doi:</w:t>
      </w:r>
      <w:r>
        <w:t xml:space="preserve"> </w:t>
      </w:r>
      <w:hyperlink r:id="rId149">
        <w:r>
          <w:rPr>
            <w:rStyle w:val="Hyperlink"/>
          </w:rPr>
          <w:t xml:space="preserve">10.64861/CKGQ5448</w:t>
        </w:r>
      </w:hyperlink>
    </w:p>
    <w:p>
      <w:pPr>
        <w:pStyle w:val="BodyText"/>
        <w:spacing w:line="480" w:lineRule="auto"/>
        <w:ind w:firstLine="720"/>
      </w:pPr>
      <w:bookmarkStart w:id="150" w:name="ref-3"/>
      <w:bookmarkEnd w:id="150"/>
      <w:r>
        <w:t xml:space="preserve">3. H. Reed, R. Stilwell, B. Weeden, N. Dailey, and N. Tsamis, Sharing Operational Risk Information in the Space Domain to Facilitate Norms Development and Compliance Monitoring, Advanced Maui Optical and Space Surveillance Technologies Conference, 2022.</w:t>
      </w:r>
    </w:p>
    <w:p>
      <w:pPr>
        <w:pStyle w:val="BodyText"/>
        <w:spacing w:line="480" w:lineRule="auto"/>
        <w:ind w:firstLine="720"/>
      </w:pPr>
      <w:bookmarkStart w:id="151" w:name="ref-4"/>
      <w:bookmarkEnd w:id="151"/>
      <w:r>
        <w:t xml:space="preserve">4. R. Zhang and A. Balakrishnan, From Ozone Depletion to Orbital Debris: Lessons Learned from the Montreal Protocol, Advanced Maui Optical and Space Surveillance Technologies Conference, 2022.</w:t>
      </w:r>
    </w:p>
    <w:p>
      <w:pPr>
        <w:pStyle w:val="BodyText"/>
        <w:spacing w:line="480" w:lineRule="auto"/>
        <w:ind w:firstLine="720"/>
      </w:pPr>
      <w:bookmarkStart w:id="152" w:name="ref-5"/>
      <w:bookmarkEnd w:id="152"/>
      <w:r>
        <w:t xml:space="preserve">5. C. Varughese et al., The Intersection of Space and Sustainability: The Need for a Transdisciplinary and Bi-Cultural Approach, Acta Astronautica, 2023, doi:</w:t>
      </w:r>
      <w:r>
        <w:t xml:space="preserve"> </w:t>
      </w:r>
      <w:hyperlink r:id="rId153">
        <w:r>
          <w:rPr>
            <w:rStyle w:val="Hyperlink"/>
          </w:rPr>
          <w:t xml:space="preserve">10.1016/j.actaastro.2023.07.009</w:t>
        </w:r>
      </w:hyperlink>
    </w:p>
    <w:p>
      <w:pPr>
        <w:pStyle w:val="BodyText"/>
        <w:spacing w:line="480" w:lineRule="auto"/>
        <w:ind w:firstLine="720"/>
      </w:pPr>
      <w:bookmarkStart w:id="154" w:name="ref-6"/>
      <w:bookmarkEnd w:id="154"/>
      <w:r>
        <w:t xml:space="preserve">6. A. Paravano, B. Rosseau, G. Locatelli, M. Weinzierl, and P. Trucco, Toward the LEO Economy: A Value Assessment of Commercial Space Stations for Space and Non-Space Users, Acta Astronautica, 2024, doi:</w:t>
      </w:r>
      <w:r>
        <w:t xml:space="preserve"> </w:t>
      </w:r>
      <w:hyperlink r:id="rId155">
        <w:r>
          <w:rPr>
            <w:rStyle w:val="Hyperlink"/>
          </w:rPr>
          <w:t xml:space="preserve">10.1016/j.actaastro.2024.11.060</w:t>
        </w:r>
      </w:hyperlink>
    </w:p>
    <w:p>
      <w:pPr>
        <w:pStyle w:val="BodyText"/>
        <w:spacing w:line="480" w:lineRule="auto"/>
        <w:ind w:firstLine="720"/>
      </w:pPr>
      <w:bookmarkStart w:id="156" w:name="ref-7"/>
      <w:bookmarkEnd w:id="156"/>
      <w:r>
        <w:t xml:space="preserve">7. P. Trucco, A. Paravano, and G. Locatelli, Framing the Dynamics of Risk Landscape Amidst Space Economy Trends, Acta Astronautica, 2025, doi:</w:t>
      </w:r>
      <w:r>
        <w:t xml:space="preserve"> </w:t>
      </w:r>
      <w:hyperlink r:id="rId157">
        <w:r>
          <w:rPr>
            <w:rStyle w:val="Hyperlink"/>
          </w:rPr>
          <w:t xml:space="preserve">10.1016/j.actaastro.2025.06.067</w:t>
        </w:r>
      </w:hyperlink>
    </w:p>
    <w:p>
      <w:pPr>
        <w:pStyle w:val="BodyText"/>
        <w:spacing w:line="480" w:lineRule="auto"/>
        <w:ind w:firstLine="720"/>
      </w:pPr>
      <w:bookmarkStart w:id="158" w:name="ref-8"/>
      <w:bookmarkEnd w:id="158"/>
      <w:r>
        <w:t xml:space="preserve">8. C. Poirier, Establishing a Governance for Cyber Operations in Outer Space: Exploring Challenges Faced by Space and Cyber Commands, Acta Astronautica, 2025, doi:</w:t>
      </w:r>
      <w:r>
        <w:t xml:space="preserve"> </w:t>
      </w:r>
      <w:hyperlink r:id="rId159">
        <w:r>
          <w:rPr>
            <w:rStyle w:val="Hyperlink"/>
          </w:rPr>
          <w:t xml:space="preserve">10.1016/j.actaastro.2025.08.048</w:t>
        </w:r>
      </w:hyperlink>
    </w:p>
    <w:p>
      <w:pPr>
        <w:pStyle w:val="BodyText"/>
        <w:spacing w:line="480" w:lineRule="auto"/>
        <w:ind w:firstLine="720"/>
      </w:pPr>
      <w:bookmarkStart w:id="160" w:name="ref-9"/>
      <w:bookmarkEnd w:id="160"/>
      <w:r>
        <w:t xml:space="preserve">9. R. O. Keohane and J. S. Nye, Power and Interdependence, 4th ed., Longman, 2012.</w:t>
      </w:r>
    </w:p>
    <w:p>
      <w:pPr>
        <w:pStyle w:val="BodyText"/>
        <w:spacing w:line="480" w:lineRule="auto"/>
        <w:ind w:firstLine="720"/>
      </w:pPr>
      <w:bookmarkStart w:id="161" w:name="ref-10"/>
      <w:bookmarkEnd w:id="161"/>
      <w:r>
        <w:t xml:space="preserve">10. J. R. Oneal and B. Russett, The Kantian Peace: The Pacific Benefits of Democracy, Interdependence, and International Organizations, World Politics, vol. 52, no. 1, pp. 1-37, 1999.</w:t>
      </w:r>
    </w:p>
    <w:p>
      <w:pPr>
        <w:pStyle w:val="BodyText"/>
        <w:spacing w:line="480" w:lineRule="auto"/>
        <w:ind w:firstLine="720"/>
      </w:pPr>
      <w:bookmarkStart w:id="162" w:name="ref-11"/>
      <w:bookmarkEnd w:id="162"/>
      <w:r>
        <w:t xml:space="preserve">11. S. W. Polachek, Conflict and Trade, Journal of Conflict Resolution, vol. 24, no. 1, pp. 55-78, 1980.</w:t>
      </w:r>
    </w:p>
    <w:p>
      <w:pPr>
        <w:pStyle w:val="BodyText"/>
        <w:spacing w:line="480" w:lineRule="auto"/>
        <w:ind w:firstLine="720"/>
      </w:pPr>
      <w:bookmarkStart w:id="163" w:name="ref-12"/>
      <w:bookmarkEnd w:id="163"/>
      <w:r>
        <w:t xml:space="preserve">12. E. Gartzke, The Capitalist Peace, American Journal of Political Science, vol. 51, no. 1, pp. 166-191, 2007.</w:t>
      </w:r>
    </w:p>
    <w:p>
      <w:pPr>
        <w:pStyle w:val="BodyText"/>
        <w:spacing w:line="480" w:lineRule="auto"/>
        <w:ind w:firstLine="720"/>
      </w:pPr>
      <w:bookmarkStart w:id="164" w:name="ref-13"/>
      <w:bookmarkEnd w:id="164"/>
      <w:r>
        <w:t xml:space="preserve">13. B. Weeden and V. Samson, Global Counterspace Capabilities: An Open Source Assessment, Secure World Foundation, 2024.</w:t>
      </w:r>
    </w:p>
    <w:p>
      <w:pPr>
        <w:pStyle w:val="BodyText"/>
        <w:spacing w:line="480" w:lineRule="auto"/>
        <w:ind w:firstLine="720"/>
      </w:pPr>
      <w:bookmarkStart w:id="165" w:name="ref-14"/>
      <w:bookmarkEnd w:id="165"/>
      <w:r>
        <w:t xml:space="preserve">14. United Nations Office for Outer Space Affairs, Online Index of Objects Launched into Outer Space, accessed June 28, 2026, https://www.unoosa.org/oosa/osoindex/index.jspx.</w:t>
      </w:r>
    </w:p>
    <w:p>
      <w:pPr>
        <w:pStyle w:val="BodyText"/>
        <w:spacing w:line="480" w:lineRule="auto"/>
        <w:ind w:firstLine="720"/>
      </w:pPr>
      <w:bookmarkStart w:id="166" w:name="ref-15"/>
      <w:bookmarkEnd w:id="166"/>
      <w:r>
        <w:t xml:space="preserve">15. Space-Track.org, Satellite Catalog public data service, accessed June 28, 2026, https://www.space-track.org/.</w:t>
      </w:r>
    </w:p>
    <w:p>
      <w:pPr>
        <w:pStyle w:val="BodyText"/>
        <w:spacing w:line="480" w:lineRule="auto"/>
        <w:ind w:firstLine="720"/>
      </w:pPr>
      <w:bookmarkStart w:id="167" w:name="ref-16"/>
      <w:bookmarkEnd w:id="167"/>
      <w:r>
        <w:t xml:space="preserve">16. Union of Concerned Scientists, UCS Satellite Database, accessed June 28, 2026, https://www.ucsusa.org/resources/satellite-database.</w:t>
      </w:r>
    </w:p>
    <w:p>
      <w:pPr>
        <w:pStyle w:val="BodyText"/>
        <w:spacing w:line="480" w:lineRule="auto"/>
        <w:ind w:firstLine="720"/>
      </w:pPr>
      <w:bookmarkStart w:id="168" w:name="ref-17"/>
      <w:bookmarkEnd w:id="168"/>
      <w:r>
        <w:t xml:space="preserve">17. World Bank, World Development Indicators, GDP current US dollars, accessed June 28, 2026, https://databank.worldbank.org/source/world-development-indicators.</w:t>
      </w:r>
    </w:p>
    <w:p>
      <w:pPr>
        <w:pStyle w:val="BodyText"/>
        <w:spacing w:line="480" w:lineRule="auto"/>
        <w:ind w:firstLine="720"/>
      </w:pPr>
      <w:bookmarkStart w:id="169" w:name="ref-18"/>
      <w:bookmarkEnd w:id="169"/>
      <w:r>
        <w:t xml:space="preserve">18. United States Census Bureau, Trade in Goods with selected countries, accessed June 28, 2026, https://www.census.gov/foreign-trade/balance/.</w:t>
      </w:r>
    </w:p>
    <w:p>
      <w:pPr>
        <w:pStyle w:val="BodyText"/>
        <w:spacing w:line="480" w:lineRule="auto"/>
        <w:ind w:firstLine="720"/>
      </w:pPr>
      <w:bookmarkStart w:id="170" w:name="ref-19"/>
      <w:bookmarkEnd w:id="170"/>
      <w:r>
        <w:t xml:space="preserve">19. United Nations Comtrade Database, bilateral merchandise trade data, accessed June 28, 2026, https://comtradeplus.un.org/.</w:t>
      </w:r>
    </w:p>
    <w:p>
      <w:pPr>
        <w:pStyle w:val="BodyText"/>
        <w:spacing w:line="480" w:lineRule="auto"/>
        <w:ind w:firstLine="720"/>
      </w:pPr>
      <w:bookmarkStart w:id="171" w:name="ref-20"/>
      <w:bookmarkEnd w:id="171"/>
      <w:r>
        <w:t xml:space="preserve">20. CEPII, BACI International Trade Database at the Product Level, accessed June 28, 2026, http://www.cepii.fr/CEPII/en/bdd_modele/bdd_modele_item.asp?id=37.</w:t>
      </w:r>
    </w:p>
    <w:p>
      <w:pPr>
        <w:pStyle w:val="BodyText"/>
        <w:spacing w:line="480" w:lineRule="auto"/>
        <w:ind w:firstLine="720"/>
      </w:pPr>
      <w:bookmarkStart w:id="172" w:name="ref-21"/>
      <w:bookmarkEnd w:id="172"/>
      <w:r>
        <w:t xml:space="preserve">21. Correlates of War Project, Militarized Interstate Disputes dataset, accessed June 28, 2026, https://correlatesofwar.org/data-sets/MIDs/.</w:t>
      </w:r>
    </w:p>
    <w:p>
      <w:pPr>
        <w:pStyle w:val="BodyText"/>
        <w:spacing w:line="480" w:lineRule="auto"/>
        <w:ind w:firstLine="720"/>
      </w:pPr>
      <w:bookmarkStart w:id="173" w:name="ref-22"/>
      <w:bookmarkEnd w:id="173"/>
      <w:r>
        <w:t xml:space="preserve">22. Correlates of War Project, Formal Alliances dataset, accessed June 28, 2026, https://correlatesofwar.org/data-sets/formal-alliances/.</w:t>
      </w:r>
    </w:p>
    <w:p>
      <w:pPr>
        <w:pStyle w:val="BodyText"/>
        <w:spacing w:line="480" w:lineRule="auto"/>
        <w:ind w:firstLine="720"/>
      </w:pPr>
      <w:bookmarkStart w:id="174" w:name="ref-23"/>
      <w:bookmarkEnd w:id="174"/>
      <w:r>
        <w:t xml:space="preserve">23. SIPRI, Military Expenditure Database, accessed June 28, 2026, https://www.sipri.org/databases/milex.</w:t>
      </w:r>
    </w:p>
    <w:p>
      <w:pPr>
        <w:pStyle w:val="BodyText"/>
        <w:spacing w:line="480" w:lineRule="auto"/>
        <w:ind w:firstLine="720"/>
      </w:pPr>
      <w:bookmarkStart w:id="175" w:name="ref-24"/>
      <w:bookmarkEnd w:id="175"/>
      <w:r>
        <w:t xml:space="preserve">24. J. C. Moltz, The Politics of Space Security: Strategic Restraint and the Pursuit of National Interests, Stanford University Press, 2019.</w:t>
      </w:r>
    </w:p>
    <w:p>
      <w:pPr>
        <w:pStyle w:val="BodyText"/>
        <w:spacing w:line="480" w:lineRule="auto"/>
        <w:ind w:firstLine="720"/>
      </w:pPr>
      <w:bookmarkStart w:id="176" w:name="ref-25"/>
      <w:bookmarkEnd w:id="176"/>
      <w:r>
        <w:t xml:space="preserve">25. M. Krepon and J. Thompson, Anti-Satellite Weapons, Deterrence and Sino-American Space Relations, Stimson Center, 2013.</w:t>
      </w:r>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f11168f0390576aecc9761f44ee8641c61d0e84"/>
    <w:p>
      <w:pPr>
        <w:pStyle w:val="Heading2"/>
        <w:spacing w:line="480" w:lineRule="auto"/>
      </w:pPr>
      <w:r>
        <w:t xml:space="preserve">A.1 Cross-Domain Trade Dependence and Rivalrous Space Responses: A Public-Record Count Test</w:t>
      </w:r>
    </w:p>
    <w:p>
      <w:pPr>
        <w:pStyle w:val="FirstParagraph"/>
        <w:spacing w:line="480" w:lineRule="auto"/>
      </w:pPr>
      <m:oMathPara>
        <m:oMathParaPr>
          <m:jc m:val="center"/>
        </m:oMathParaPr>
        <m:oMath>
          <m:sSub>
            <m:e>
              <m:r>
                <m:t>Y</m:t>
              </m:r>
            </m:e>
            <m:sub>
              <m:r>
                <m:t>i</m:t>
              </m:r>
              <m:r>
                <m:t>j</m:t>
              </m:r>
              <m:r>
                <m:t>t</m:t>
              </m:r>
            </m:sub>
          </m:sSub>
          <m:r>
            <m:rPr>
              <m:sty m:val="p"/>
            </m:rPr>
            <m:t>=</m:t>
          </m:r>
          <m:r>
            <m:t>α</m:t>
          </m:r>
          <m:r>
            <m:rPr>
              <m:sty m:val="p"/>
            </m:rPr>
            <m:t>+</m:t>
          </m:r>
          <m:sSub>
            <m:e>
              <m:r>
                <m:t>β</m:t>
              </m:r>
            </m:e>
            <m:sub>
              <m:r>
                <m:t>1</m:t>
              </m:r>
            </m:sub>
          </m:sSub>
          <m:r>
            <m:t>T</m:t>
          </m:r>
          <m:r>
            <m:t>r</m:t>
          </m:r>
          <m:r>
            <m:t>a</m:t>
          </m:r>
          <m:r>
            <m:t>d</m:t>
          </m:r>
          <m:r>
            <m:t>e</m:t>
          </m:r>
          <m:r>
            <m:t>D</m:t>
          </m:r>
          <m:r>
            <m:t>e</m:t>
          </m:r>
          <m:sSub>
            <m:e>
              <m:r>
                <m:t>p</m:t>
              </m:r>
            </m:e>
            <m:sub>
              <m:r>
                <m:t>i</m:t>
              </m:r>
              <m:r>
                <m:t>j</m:t>
              </m:r>
              <m:r>
                <m:rPr>
                  <m:sty m:val="p"/>
                </m:rPr>
                <m:t>,</m:t>
              </m:r>
              <m:r>
                <m:t>t</m:t>
              </m:r>
            </m:sub>
          </m:sSub>
          <m:r>
            <m:rPr>
              <m:sty m:val="p"/>
            </m:rPr>
            <m:t>+</m:t>
          </m:r>
          <m:sSub>
            <m:e>
              <m:r>
                <m:t>β</m:t>
              </m:r>
            </m:e>
            <m:sub>
              <m:r>
                <m:t>2</m:t>
              </m:r>
            </m:sub>
          </m:sSub>
          <m:r>
            <m:rPr>
              <m:sty m:val="p"/>
            </m:rPr>
            <m:t>ln</m:t>
          </m:r>
          <m:r>
            <m:rPr>
              <m:sty m:val="p"/>
            </m:rPr>
            <m:t>(</m:t>
          </m:r>
          <m:r>
            <m:t>1</m:t>
          </m:r>
          <m:r>
            <m:rPr>
              <m:sty m:val="p"/>
            </m:rPr>
            <m:t>+</m:t>
          </m:r>
          <m:r>
            <m:t>A</m:t>
          </m:r>
          <m:r>
            <m:t>c</m:t>
          </m:r>
          <m:r>
            <m:t>t</m:t>
          </m:r>
          <m:r>
            <m:t>i</m:t>
          </m:r>
          <m:r>
            <m:t>v</m:t>
          </m:r>
          <m:r>
            <m:t>i</m:t>
          </m:r>
          <m:r>
            <m:t>t</m:t>
          </m:r>
          <m:sSub>
            <m:e>
              <m:r>
                <m:t>y</m:t>
              </m:r>
            </m:e>
            <m:sub>
              <m:r>
                <m:t>j</m:t>
              </m:r>
              <m:r>
                <m:rPr>
                  <m:sty m:val="p"/>
                </m:rPr>
                <m:t>,</m:t>
              </m:r>
              <m:r>
                <m:t>t</m:t>
              </m:r>
            </m:sub>
          </m:sSub>
          <m:r>
            <m:rPr>
              <m:sty m:val="p"/>
            </m:rPr>
            <m:t>)</m:t>
          </m:r>
          <m:r>
            <m:rPr>
              <m:sty m:val="p"/>
            </m:rPr>
            <m:t>+</m:t>
          </m:r>
          <m:sSub>
            <m:e>
              <m:r>
                <m:t>ϵ</m:t>
              </m:r>
            </m:e>
            <m:sub>
              <m:r>
                <m:t>i</m:t>
              </m:r>
              <m:r>
                <m:t>j</m:t>
              </m:r>
              <m:r>
                <m:t>t</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0.084</w:t>
            </w:r>
          </w:p>
        </w:tc>
        <w:tc>
          <w:tcPr>
            <w:tcW w:w="0" w:type="auto"/>
          </w:tcPr>
          <w:p>
            <w:pPr>
              <w:spacing w:line="240" w:lineRule="auto" w:before="0" w:after="0"/>
              <w:pStyle w:val="Compact"/>
            </w:pPr>
            <w:r>
              <w:rPr>
                <w:sz w:val="20"/>
                <w:szCs w:val="20"/>
              </w:rPr>
              <w:t xml:space="preserve">0.8403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[-1.563, 1.731]</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-0.0482</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-2.3686</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[-0.0881, -0.0083]</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0.3701</w:t>
            </w:r>
          </w:p>
        </w:tc>
        <w:tc>
          <w:tcPr>
            <w:tcW w:w="0" w:type="auto"/>
          </w:tcPr>
          <w:p>
            <w:pPr>
              <w:spacing w:line="240" w:lineRule="auto" w:before="0" w:after="0"/>
              <w:pStyle w:val="Compact"/>
            </w:pPr>
            <w:r>
              <w:rPr>
                <w:sz w:val="20"/>
                <w:szCs w:val="20"/>
              </w:rPr>
              <w:t xml:space="preserve">1.4153</w:t>
            </w:r>
          </w:p>
        </w:tc>
        <w:tc>
          <w:tcPr>
            <w:tcW w:w="0" w:type="auto"/>
          </w:tcPr>
          <w:p>
            <w:pPr>
              <w:spacing w:line="240" w:lineRule="auto" w:before="0" w:after="0"/>
              <w:pStyle w:val="Compact"/>
            </w:pPr>
            <w:r>
              <w:rPr>
                <w:sz w:val="20"/>
                <w:szCs w:val="20"/>
              </w:rPr>
              <w:t xml:space="preserve">0.157</w:t>
            </w:r>
          </w:p>
        </w:tc>
        <w:tc>
          <w:tcPr>
            <w:tcW w:w="0" w:type="auto"/>
          </w:tcPr>
          <w:p>
            <w:pPr>
              <w:spacing w:line="240" w:lineRule="auto" w:before="0" w:after="0"/>
              <w:pStyle w:val="Compact"/>
            </w:pPr>
            <w:r>
              <w:rPr>
                <w:sz w:val="20"/>
                <w:szCs w:val="20"/>
              </w:rPr>
              <w:t xml:space="preserve">[-0.2015, 1.249]</w:t>
            </w:r>
          </w:p>
        </w:tc>
      </w:tr>
    </w:tbl>
    <w:p>
      <w:pPr>
        <w:pStyle w:val="BodyText"/>
        <w:spacing w:line="480" w:lineRule="auto"/>
        <w:ind w:firstLine="720"/>
      </w:pPr>
      <w:r>
        <w:t xml:space="preserve">Fit: N = 24 R2 = 0.1834 R2_adj = 0.1056 F = 3.7971 F_p = 0.0391</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ivalrous response count by cross-domain trade dependence." title="" id="181" name="Picture"/>
            <a:graphic>
              <a:graphicData uri="http://schemas.openxmlformats.org/drawingml/2006/picture">
                <pic:pic>
                  <pic:nvPicPr>
                    <pic:cNvPr descr="D:/Claude_Code/brain/collegium/candidates/dissertations/INTL_GOVERNANCE_04/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Rivalrous response count by cross-domain trade dependence.</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origin_state</w:t>
            </w:r>
          </w:p>
        </w:tc>
        <w:tc>
          <w:tcPr>
            <w:tcW w:w="0" w:type="auto"/>
          </w:tcPr>
          <w:p>
            <w:pPr>
              <w:spacing w:line="240" w:lineRule="auto" w:before="0" w:after="0"/>
              <w:pStyle w:val="Compact"/>
            </w:pPr>
            <w:r>
              <w:rPr>
                <w:sz w:val="20"/>
                <w:szCs w:val="20"/>
              </w:rPr>
              <w:t xml:space="preserve">target_state</w:t>
            </w:r>
          </w:p>
        </w:tc>
        <w:tc>
          <w:tcPr>
            <w:tcW w:w="0" w:type="auto"/>
          </w:tcPr>
          <w:p>
            <w:pPr>
              <w:spacing w:line="240" w:lineRule="auto" w:before="0" w:after="0"/>
              <w:pStyle w:val="Compact"/>
            </w:pPr>
            <w:r>
              <w:rPr>
                <w:sz w:val="20"/>
                <w:szCs w:val="20"/>
              </w:rPr>
              <w:t xml:space="preserve">period_year</w:t>
            </w:r>
          </w:p>
        </w:tc>
        <w:tc>
          <w:tcPr>
            <w:tcW w:w="0" w:type="auto"/>
          </w:tcPr>
          <w:p>
            <w:pPr>
              <w:spacing w:line="240" w:lineRule="auto" w:before="0" w:after="0"/>
              <w:pStyle w:val="Compact"/>
            </w:pPr>
            <w:r>
              <w:rPr>
                <w:sz w:val="20"/>
                <w:szCs w:val="20"/>
              </w:rPr>
              <w:t xml:space="preserve">bilateral_goods_trade_usd_billion</w:t>
            </w:r>
          </w:p>
        </w:tc>
        <w:tc>
          <w:tcPr>
            <w:tcW w:w="0" w:type="auto"/>
          </w:tcPr>
          <w:p>
            <w:pPr>
              <w:spacing w:line="240" w:lineRule="auto" w:before="0" w:after="0"/>
              <w:pStyle w:val="Compact"/>
            </w:pPr>
            <w:r>
              <w:rPr>
                <w:sz w:val="20"/>
                <w:szCs w:val="20"/>
              </w:rPr>
              <w:t xml:space="preserve">smaller_member_gdp_usd_billion</w:t>
            </w:r>
          </w:p>
        </w:tc>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target_government_military_space_activity_count</w:t>
            </w:r>
          </w:p>
        </w:tc>
        <w:tc>
          <w:tcPr>
            <w:tcW w:w="0" w:type="auto"/>
          </w:tcPr>
          <w:p>
            <w:pPr>
              <w:spacing w:line="240" w:lineRule="auto" w:before="0" w:after="0"/>
              <w:pStyle w:val="Compact"/>
            </w:pPr>
            <w:r>
              <w:rPr>
                <w:sz w:val="20"/>
                <w:szCs w:val="20"/>
              </w:rPr>
              <w:t xml:space="preserve">origin_same_regime_response_count</w:t>
            </w:r>
          </w:p>
        </w:tc>
        <w:tc>
          <w:tcPr>
            <w:tcW w:w="0" w:type="auto"/>
          </w:tcPr>
          <w:p>
            <w:pPr>
              <w:spacing w:line="240" w:lineRule="auto" w:before="0" w:after="0"/>
              <w:pStyle w:val="Compact"/>
            </w:pPr>
            <w:r>
              <w:rPr>
                <w:sz w:val="20"/>
                <w:szCs w:val="20"/>
              </w:rPr>
              <w:t xml:space="preserve">any_rivalry_response</w:t>
            </w:r>
          </w:p>
        </w:tc>
        <w:tc>
          <w:tcPr>
            <w:tcW w:w="0" w:type="auto"/>
          </w:tcPr>
          <w:p>
            <w:pPr>
              <w:spacing w:line="240" w:lineRule="auto" w:before="0" w:after="0"/>
              <w:pStyle w:val="Compact"/>
            </w:pPr>
            <w:r>
              <w:rPr>
                <w:sz w:val="20"/>
                <w:szCs w:val="20"/>
              </w:rPr>
              <w:t xml:space="preserve">months_to_response_or_censor</w:t>
            </w:r>
          </w:p>
        </w:tc>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igv01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2060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US-Russia goods trade around 2014; World Bank GDP; SWF counterspace chronology; OOSA and UCS launch records</w:t>
            </w:r>
          </w:p>
        </w:tc>
      </w:tr>
      <w:tr>
        <w:tc>
          <w:tcPr>
            <w:tcW w:w="0" w:type="auto"/>
          </w:tcPr>
          <w:p>
            <w:pPr>
              <w:spacing w:line="240" w:lineRule="auto" w:before="0" w:after="0"/>
              <w:pStyle w:val="Compact"/>
            </w:pPr>
            <w:r>
              <w:rPr>
                <w:sz w:val="20"/>
                <w:szCs w:val="20"/>
              </w:rPr>
              <w:t xml:space="preserve">igv02</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2060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US-Russia goods trade around 2014; World Bank GDP; SWF counterspace chronology; OOSA and UCS launch records</w:t>
            </w:r>
          </w:p>
        </w:tc>
      </w:tr>
      <w:tr>
        <w:tc>
          <w:tcPr>
            <w:tcW w:w="0" w:type="auto"/>
          </w:tcPr>
          <w:p>
            <w:pPr>
              <w:spacing w:line="240" w:lineRule="auto" w:before="0" w:after="0"/>
              <w:pStyle w:val="Compact"/>
            </w:pPr>
            <w:r>
              <w:rPr>
                <w:sz w:val="20"/>
                <w:szCs w:val="20"/>
              </w:rPr>
              <w:t xml:space="preserve">igv03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US-Russia goods trade around 2021; World Bank GDP; SWF Russia direct-ascent ASAT record; OOSA and UCS launch records</w:t>
            </w:r>
          </w:p>
        </w:tc>
      </w:tr>
      <w:tr>
        <w:tc>
          <w:tcPr>
            <w:tcW w:w="0" w:type="auto"/>
          </w:tcPr>
          <w:p>
            <w:pPr>
              <w:spacing w:line="240" w:lineRule="auto" w:before="0" w:after="0"/>
              <w:pStyle w:val="Compact"/>
            </w:pPr>
            <w:r>
              <w:rPr>
                <w:sz w:val="20"/>
                <w:szCs w:val="20"/>
              </w:rPr>
              <w:t xml:space="preserve">igv04</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US-Russia goods trade around 2021; World Bank GDP; SWF Russia direct-ascent ASAT record; OOSA and UCS launch records</w:t>
            </w:r>
          </w:p>
        </w:tc>
      </w:tr>
      <w:tr>
        <w:tc>
          <w:tcPr>
            <w:tcW w:w="0" w:type="auto"/>
          </w:tcPr>
          <w:p>
            <w:pPr>
              <w:spacing w:line="240" w:lineRule="auto" w:before="0" w:after="0"/>
              <w:pStyle w:val="Compact"/>
            </w:pPr>
            <w:r>
              <w:rPr>
                <w:sz w:val="20"/>
                <w:szCs w:val="20"/>
              </w:rPr>
              <w:t xml:space="preserve">igv05</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598</w:t>
            </w:r>
          </w:p>
        </w:tc>
        <w:tc>
          <w:tcPr>
            <w:tcW w:w="0" w:type="auto"/>
          </w:tcPr>
          <w:p>
            <w:pPr>
              <w:spacing w:line="240" w:lineRule="auto" w:before="0" w:after="0"/>
              <w:pStyle w:val="Compact"/>
            </w:pPr>
            <w:r>
              <w:rPr>
                <w:sz w:val="20"/>
                <w:szCs w:val="20"/>
              </w:rPr>
              <w:t xml:space="preserve">11060</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US-China goods trade around 2015; World Bank GDP; SWF China counterspace record; OOSA and UCS launch records</w:t>
            </w:r>
          </w:p>
        </w:tc>
      </w:tr>
      <w:tr>
        <w:tc>
          <w:tcPr>
            <w:tcW w:w="0" w:type="auto"/>
          </w:tcPr>
          <w:p>
            <w:pPr>
              <w:spacing w:line="240" w:lineRule="auto" w:before="0" w:after="0"/>
              <w:pStyle w:val="Compact"/>
            </w:pPr>
            <w:r>
              <w:rPr>
                <w:sz w:val="20"/>
                <w:szCs w:val="20"/>
              </w:rPr>
              <w:t xml:space="preserve">igv06</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598</w:t>
            </w:r>
          </w:p>
        </w:tc>
        <w:tc>
          <w:tcPr>
            <w:tcW w:w="0" w:type="auto"/>
          </w:tcPr>
          <w:p>
            <w:pPr>
              <w:spacing w:line="240" w:lineRule="auto" w:before="0" w:after="0"/>
              <w:pStyle w:val="Compact"/>
            </w:pPr>
            <w:r>
              <w:rPr>
                <w:sz w:val="20"/>
                <w:szCs w:val="20"/>
              </w:rPr>
              <w:t xml:space="preserve">11060</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US-China goods trade around 2015; World Bank GDP; SWF China counterspace record; OOSA and UCS launch records</w:t>
            </w:r>
          </w:p>
        </w:tc>
      </w:tr>
      <w:tr>
        <w:tc>
          <w:tcPr>
            <w:tcW w:w="0" w:type="auto"/>
          </w:tcPr>
          <w:p>
            <w:pPr>
              <w:spacing w:line="240" w:lineRule="auto" w:before="0" w:after="0"/>
              <w:pStyle w:val="Compact"/>
            </w:pPr>
            <w:r>
              <w:rPr>
                <w:sz w:val="20"/>
                <w:szCs w:val="20"/>
              </w:rPr>
              <w:t xml:space="preserve">igv07</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17820</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US-China goods trade around 2021; World Bank GDP; SWF counterspace record; OOSA and UCS launch records</w:t>
            </w:r>
          </w:p>
        </w:tc>
      </w:tr>
      <w:tr>
        <w:tc>
          <w:tcPr>
            <w:tcW w:w="0" w:type="auto"/>
          </w:tcPr>
          <w:p>
            <w:pPr>
              <w:spacing w:line="240" w:lineRule="auto" w:before="0" w:after="0"/>
              <w:pStyle w:val="Compact"/>
            </w:pPr>
            <w:r>
              <w:rPr>
                <w:sz w:val="20"/>
                <w:szCs w:val="20"/>
              </w:rPr>
              <w:t xml:space="preserve">igv08</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17820</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US-China goods trade around 2021; World Bank GDP; SWF counterspace record; OOSA and UCS launch records</w:t>
            </w:r>
          </w:p>
        </w:tc>
      </w:tr>
      <w:tr>
        <w:tc>
          <w:tcPr>
            <w:tcW w:w="0" w:type="auto"/>
          </w:tcPr>
          <w:p>
            <w:pPr>
              <w:spacing w:line="240" w:lineRule="auto" w:before="0" w:after="0"/>
              <w:pStyle w:val="Compact"/>
            </w:pPr>
            <w:r>
              <w:rPr>
                <w:sz w:val="20"/>
                <w:szCs w:val="20"/>
              </w:rPr>
              <w:t xml:space="preserve">igv09</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92.9</w:t>
            </w:r>
          </w:p>
        </w:tc>
        <w:tc>
          <w:tcPr>
            <w:tcW w:w="0" w:type="auto"/>
          </w:tcPr>
          <w:p>
            <w:pPr>
              <w:spacing w:line="240" w:lineRule="auto" w:before="0" w:after="0"/>
              <w:pStyle w:val="Compact"/>
            </w:pPr>
            <w:r>
              <w:rPr>
                <w:sz w:val="20"/>
                <w:szCs w:val="20"/>
              </w:rPr>
              <w:t xml:space="preserve">2830</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India-China goods trade around 2019; World Bank GDP; SWF India Mission Shakti record; OOSA and UCS launch records</w:t>
            </w:r>
          </w:p>
        </w:tc>
      </w:tr>
      <w:tr>
        <w:tc>
          <w:tcPr>
            <w:tcW w:w="0" w:type="auto"/>
          </w:tcPr>
          <w:p>
            <w:pPr>
              <w:spacing w:line="240" w:lineRule="auto" w:before="0" w:after="0"/>
              <w:pStyle w:val="Compact"/>
            </w:pPr>
            <w:r>
              <w:rPr>
                <w:sz w:val="20"/>
                <w:szCs w:val="20"/>
              </w:rPr>
              <w:t xml:space="preserve">igv10</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92.9</w:t>
            </w:r>
          </w:p>
        </w:tc>
        <w:tc>
          <w:tcPr>
            <w:tcW w:w="0" w:type="auto"/>
          </w:tcPr>
          <w:p>
            <w:pPr>
              <w:spacing w:line="240" w:lineRule="auto" w:before="0" w:after="0"/>
              <w:pStyle w:val="Compact"/>
            </w:pPr>
            <w:r>
              <w:rPr>
                <w:sz w:val="20"/>
                <w:szCs w:val="20"/>
              </w:rPr>
              <w:t xml:space="preserve">2830</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India-China goods trade around 2019; World Bank GDP; SWF India Mission Shakti record; OOSA and UCS launch records</w:t>
            </w:r>
          </w:p>
        </w:tc>
      </w:tr>
      <w:tr>
        <w:tc>
          <w:tcPr>
            <w:tcW w:w="0" w:type="auto"/>
          </w:tcPr>
          <w:p>
            <w:pPr>
              <w:spacing w:line="240" w:lineRule="auto" w:before="0" w:after="0"/>
              <w:pStyle w:val="Compact"/>
            </w:pPr>
            <w:r>
              <w:rPr>
                <w:sz w:val="20"/>
                <w:szCs w:val="20"/>
              </w:rPr>
              <w:t xml:space="preserve">igv11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US-Japan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igv12</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US-Canada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igv14</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US-Canada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igv15</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US-Germany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igv16</w:t>
            </w:r>
          </w:p>
        </w:tc>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US-Germany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igv17</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US-France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igv18</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US-France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igv19</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3130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US-United Kingdom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igv20</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3130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US-United Kingdom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igv21</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7.99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China-Russia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igv22</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7.99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China-Russia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igv23</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China-Japan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igv24</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China-Japan goods trade around 2021; World Bank GDP; OOSA and UCS launch records; SWF counterspace chronology</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origin_same_regime_response_count</w:t>
            </w:r>
          </w:p>
        </w:tc>
        <w:tc>
          <w:tcPr>
            <w:tcW w:w="0" w:type="auto"/>
          </w:tcPr>
          <w:p>
            <w:pPr>
              <w:spacing w:line="240" w:lineRule="auto" w:before="0" w:after="0"/>
              <w:pStyle w:val="Compact"/>
            </w:pPr>
            <w:r>
              <w:rPr>
                <w:sz w:val="20"/>
                <w:szCs w:val="20"/>
              </w:rPr>
              <w:t xml:space="preserve">Count outcome for origin-state response activity in the same broad orbital regime within the public response window.</w:t>
            </w:r>
          </w:p>
        </w:tc>
        <w:tc>
          <w:tcPr>
            <w:tcW w:w="0" w:type="auto"/>
          </w:tcPr>
          <w:p>
            <w:pPr>
              <w:spacing w:line="240" w:lineRule="auto" w:before="0" w:after="0"/>
              <w:pStyle w:val="Compact"/>
            </w:pPr>
            <w:r>
              <w:rPr>
                <w:sz w:val="20"/>
                <w:szCs w:val="20"/>
              </w:rPr>
              <w:t xml:space="preserve">Hand-coded from cited OOSA, UCS, Space-Track, and SWF source families.</w:t>
            </w:r>
          </w:p>
        </w:tc>
      </w:tr>
      <w:tr>
        <w:tc>
          <w:tcPr>
            <w:tcW w:w="0" w:type="auto"/>
          </w:tcPr>
          <w:p>
            <w:pPr>
              <w:spacing w:line="240" w:lineRule="auto" w:before="0" w:after="0"/>
              <w:pStyle w:val="Compact"/>
            </w:pPr>
            <w:r>
              <w:rPr>
                <w:sz w:val="20"/>
                <w:szCs w:val="20"/>
              </w:rPr>
              <w:t xml:space="preserve">any_rivalry_response</w:t>
            </w:r>
          </w:p>
        </w:tc>
        <w:tc>
          <w:tcPr>
            <w:tcW w:w="0" w:type="auto"/>
          </w:tcPr>
          <w:p>
            <w:pPr>
              <w:spacing w:line="240" w:lineRule="auto" w:before="0" w:after="0"/>
              <w:pStyle w:val="Compact"/>
            </w:pPr>
            <w:r>
              <w:rPr>
                <w:sz w:val="20"/>
                <w:szCs w:val="20"/>
              </w:rPr>
              <w:t xml:space="preserve">Binary response outcome.</w:t>
            </w:r>
          </w:p>
        </w:tc>
        <w:tc>
          <w:tcPr>
            <w:tcW w:w="0" w:type="auto"/>
          </w:tcPr>
          <w:p>
            <w:pPr>
              <w:spacing w:line="240" w:lineRule="auto" w:before="0" w:after="0"/>
              <w:pStyle w:val="Compact"/>
            </w:pPr>
            <w:r>
              <w:rPr>
                <w:sz w:val="20"/>
                <w:szCs w:val="20"/>
              </w:rPr>
              <w:t xml:space="preserve">One if origin_same_regime_response_count is greater than zero, otherwise zero.</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Cross-domain economic dependence measure.</w:t>
            </w:r>
          </w:p>
        </w:tc>
        <w:tc>
          <w:tcPr>
            <w:tcW w:w="0" w:type="auto"/>
          </w:tcPr>
          <w:p>
            <w:pPr>
              <w:spacing w:line="240" w:lineRule="auto" w:before="0" w:after="0"/>
              <w:pStyle w:val="Compact"/>
            </w:pPr>
            <w:r>
              <w:rPr>
                <w:sz w:val="20"/>
                <w:szCs w:val="20"/>
              </w:rPr>
              <w:t xml:space="preserve">Bilateral goods trade divided by the smaller dyad member GDP, multiplied by 100.</w:t>
            </w:r>
          </w:p>
        </w:tc>
      </w:tr>
      <w:tr>
        <w:tc>
          <w:tcPr>
            <w:tcW w:w="0" w:type="auto"/>
          </w:tcPr>
          <w:p>
            <w:pPr>
              <w:spacing w:line="240" w:lineRule="auto" w:before="0" w:after="0"/>
              <w:pStyle w:val="Compact"/>
            </w:pPr>
            <w:r>
              <w:rPr>
                <w:sz w:val="20"/>
                <w:szCs w:val="20"/>
              </w:rPr>
              <w:t xml:space="preserve">target_government_military_space_activity_count</w:t>
            </w:r>
          </w:p>
        </w:tc>
        <w:tc>
          <w:tcPr>
            <w:tcW w:w="0" w:type="auto"/>
          </w:tcPr>
          <w:p>
            <w:pPr>
              <w:spacing w:line="240" w:lineRule="auto" w:before="0" w:after="0"/>
              <w:pStyle w:val="Compact"/>
            </w:pPr>
            <w:r>
              <w:rPr>
                <w:sz w:val="20"/>
                <w:szCs w:val="20"/>
              </w:rPr>
              <w:t xml:space="preserve">Target-state government or military space activity count for the period context.</w:t>
            </w:r>
          </w:p>
        </w:tc>
        <w:tc>
          <w:tcPr>
            <w:tcW w:w="0" w:type="auto"/>
          </w:tcPr>
          <w:p>
            <w:pPr>
              <w:spacing w:line="240" w:lineRule="auto" w:before="0" w:after="0"/>
              <w:pStyle w:val="Compact"/>
            </w:pPr>
            <w:r>
              <w:rPr>
                <w:sz w:val="20"/>
                <w:szCs w:val="20"/>
              </w:rPr>
              <w:t xml:space="preserve">Coded from public OOSA, UCS, and Space-Track source families.</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Log-scaled target activity control.</w:t>
            </w:r>
          </w:p>
        </w:tc>
        <w:tc>
          <w:tcPr>
            <w:tcW w:w="0" w:type="auto"/>
          </w:tcPr>
          <w:p>
            <w:pPr>
              <w:spacing w:line="240" w:lineRule="auto" w:before="0" w:after="0"/>
              <w:pStyle w:val="Compact"/>
            </w:pPr>
            <w:r>
              <w:rPr>
                <w:sz w:val="20"/>
                <w:szCs w:val="20"/>
              </w:rPr>
              <w:t xml:space="preserve">Natural log of one plus target_government_military_space_activity_count.</w:t>
            </w:r>
          </w:p>
        </w:tc>
      </w:tr>
      <w:tr>
        <w:tc>
          <w:tcPr>
            <w:tcW w:w="0" w:type="auto"/>
          </w:tcPr>
          <w:p>
            <w:pPr>
              <w:spacing w:line="240" w:lineRule="auto" w:before="0" w:after="0"/>
              <w:pStyle w:val="Compact"/>
            </w:pPr>
            <w:r>
              <w:rPr>
                <w:sz w:val="20"/>
                <w:szCs w:val="20"/>
              </w:rPr>
              <w:t xml:space="preserve">months_to_response_or_censor</w:t>
            </w:r>
          </w:p>
        </w:tc>
        <w:tc>
          <w:tcPr>
            <w:tcW w:w="0" w:type="auto"/>
          </w:tcPr>
          <w:p>
            <w:pPr>
              <w:spacing w:line="240" w:lineRule="auto" w:before="0" w:after="0"/>
              <w:pStyle w:val="Compact"/>
            </w:pPr>
            <w:r>
              <w:rPr>
                <w:sz w:val="20"/>
                <w:szCs w:val="20"/>
              </w:rPr>
              <w:t xml:space="preserve">Timing variable for future survival extensions.</w:t>
            </w:r>
          </w:p>
        </w:tc>
        <w:tc>
          <w:tcPr>
            <w:tcW w:w="0" w:type="auto"/>
          </w:tcPr>
          <w:p>
            <w:pPr>
              <w:spacing w:line="240" w:lineRule="auto" w:before="0" w:after="0"/>
              <w:pStyle w:val="Compact"/>
            </w:pPr>
            <w:r>
              <w:rPr>
                <w:sz w:val="20"/>
                <w:szCs w:val="20"/>
              </w:rPr>
              <w:t xml:space="preserve">Months to first public response where observed, otherwise 36-month censoring window.</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w:t>
            </w:r>
          </w:p>
        </w:tc>
        <w:tc>
          <w:tcPr>
            <w:tcW w:w="0" w:type="auto"/>
          </w:tcPr>
          <w:p>
            <w:pPr>
              <w:spacing w:line="240" w:lineRule="auto" w:before="0" w:after="0"/>
              <w:pStyle w:val="Compact"/>
            </w:pPr>
            <w:r>
              <w:rPr>
                <w:sz w:val="20"/>
                <w:szCs w:val="20"/>
              </w:rPr>
              <w:t xml:space="preserve">Each row lists trade, GDP, space activity, and counterspace chronology source families.</w:t>
            </w:r>
          </w:p>
        </w:tc>
      </w:tr>
    </w:tbl>
    <w:bookmarkEnd w:id="185"/>
    <w:bookmarkEnd w:id="186"/>
    <w:bookmarkStart w:id="194" w:name="Xe31cb3d45e66daea8e285c9c0ea5e890d2ea81a"/>
    <w:p>
      <w:pPr>
        <w:pStyle w:val="Heading2"/>
        <w:spacing w:line="480" w:lineRule="auto"/>
      </w:pPr>
      <w:r>
        <w:t xml:space="preserve">A.2 Binary Rivalry Response Under Cross-Domain Economic Dependence: A Logit Robustness Test</w:t>
      </w:r>
    </w:p>
    <w:p>
      <w:pPr>
        <w:pStyle w:val="FirstParagraph"/>
        <w:spacing w:line="480" w:lineRule="auto"/>
      </w:pPr>
      <m:oMathPara>
        <m:oMathParaPr>
          <m:jc m:val="center"/>
        </m:oMathParaPr>
        <m:oMath>
          <m:r>
            <m:t>P</m:t>
          </m:r>
          <m:r>
            <m:t>r</m:t>
          </m:r>
          <m:r>
            <m:rPr>
              <m:sty m:val="p"/>
            </m:rPr>
            <m:t>(</m:t>
          </m:r>
          <m:r>
            <m:t>R</m:t>
          </m:r>
          <m:r>
            <m:t>e</m:t>
          </m:r>
          <m:r>
            <m:t>s</m:t>
          </m:r>
          <m:r>
            <m:t>p</m:t>
          </m:r>
          <m:r>
            <m:t>o</m:t>
          </m:r>
          <m:r>
            <m:t>n</m:t>
          </m:r>
          <m:r>
            <m:t>s</m:t>
          </m:r>
          <m:sSub>
            <m:e>
              <m:r>
                <m:t>e</m:t>
              </m:r>
            </m:e>
            <m:sub>
              <m:r>
                <m:t>i</m:t>
              </m:r>
              <m:r>
                <m:t>j</m:t>
              </m:r>
              <m:r>
                <m:t>t</m:t>
              </m:r>
            </m:sub>
          </m:sSub>
          <m:r>
            <m:rPr>
              <m:sty m:val="p"/>
            </m:rPr>
            <m:t>=</m:t>
          </m:r>
          <m:r>
            <m:t>1</m:t>
          </m:r>
          <m:r>
            <m:rPr>
              <m:sty m:val="p"/>
            </m:rPr>
            <m:t>)</m:t>
          </m:r>
          <m:r>
            <m:rPr>
              <m:sty m:val="p"/>
            </m:rPr>
            <m:t>=</m:t>
          </m:r>
          <m:r>
            <m:t>l</m:t>
          </m:r>
          <m:r>
            <m:t>o</m:t>
          </m:r>
          <m:r>
            <m:t>g</m:t>
          </m:r>
          <m:r>
            <m:t>i</m:t>
          </m:r>
          <m:sSup>
            <m:e>
              <m:r>
                <m:t>t</m:t>
              </m:r>
            </m:e>
            <m:sup>
              <m:r>
                <m:rPr>
                  <m:sty m:val="p"/>
                </m:rPr>
                <m:t>−</m:t>
              </m:r>
              <m:r>
                <m:t>1</m:t>
              </m:r>
            </m:sup>
          </m:sSup>
          <m:r>
            <m:rPr>
              <m:sty m:val="p"/>
            </m:rPr>
            <m:t>(</m:t>
          </m:r>
          <m:r>
            <m:t>α</m:t>
          </m:r>
          <m:r>
            <m:rPr>
              <m:sty m:val="p"/>
            </m:rPr>
            <m:t>+</m:t>
          </m:r>
          <m:sSub>
            <m:e>
              <m:r>
                <m:t>β</m:t>
              </m:r>
            </m:e>
            <m:sub>
              <m:r>
                <m:t>1</m:t>
              </m:r>
            </m:sub>
          </m:sSub>
          <m:r>
            <m:t>T</m:t>
          </m:r>
          <m:r>
            <m:t>r</m:t>
          </m:r>
          <m:r>
            <m:t>a</m:t>
          </m:r>
          <m:r>
            <m:t>d</m:t>
          </m:r>
          <m:r>
            <m:t>e</m:t>
          </m:r>
          <m:r>
            <m:t>D</m:t>
          </m:r>
          <m:r>
            <m:t>e</m:t>
          </m:r>
          <m:sSub>
            <m:e>
              <m:r>
                <m:t>p</m:t>
              </m:r>
            </m:e>
            <m:sub>
              <m:r>
                <m:t>i</m:t>
              </m:r>
              <m:r>
                <m:t>j</m:t>
              </m:r>
              <m:r>
                <m:rPr>
                  <m:sty m:val="p"/>
                </m:rPr>
                <m:t>,</m:t>
              </m:r>
              <m:r>
                <m:t>t</m:t>
              </m:r>
            </m:sub>
          </m:sSub>
          <m:r>
            <m:rPr>
              <m:sty m:val="p"/>
            </m:rPr>
            <m:t>+</m:t>
          </m:r>
          <m:sSub>
            <m:e>
              <m:r>
                <m:t>β</m:t>
              </m:r>
            </m:e>
            <m:sub>
              <m:r>
                <m:t>2</m:t>
              </m:r>
            </m:sub>
          </m:sSub>
          <m:r>
            <m:rPr>
              <m:sty m:val="p"/>
            </m:rPr>
            <m:t>ln</m:t>
          </m:r>
          <m:r>
            <m:rPr>
              <m:sty m:val="p"/>
            </m:rPr>
            <m:t>(</m:t>
          </m:r>
          <m:r>
            <m:t>1</m:t>
          </m:r>
          <m:r>
            <m:rPr>
              <m:sty m:val="p"/>
            </m:rPr>
            <m:t>+</m:t>
          </m:r>
          <m:r>
            <m:t>A</m:t>
          </m:r>
          <m:r>
            <m:t>c</m:t>
          </m:r>
          <m:r>
            <m:t>t</m:t>
          </m:r>
          <m:r>
            <m:t>i</m:t>
          </m:r>
          <m:r>
            <m:t>v</m:t>
          </m:r>
          <m:r>
            <m:t>i</m:t>
          </m:r>
          <m:r>
            <m:t>t</m:t>
          </m:r>
          <m:sSub>
            <m:e>
              <m:r>
                <m:t>y</m:t>
              </m:r>
            </m:e>
            <m:sub>
              <m:r>
                <m:t>j</m:t>
              </m:r>
              <m:r>
                <m:rPr>
                  <m:sty m:val="p"/>
                </m:rPr>
                <m:t>,</m:t>
              </m:r>
              <m:r>
                <m:t>t</m:t>
              </m:r>
            </m:sub>
          </m:sSub>
          <m:r>
            <m:rPr>
              <m:sty m:val="p"/>
            </m:rPr>
            <m:t>)</m:t>
          </m:r>
          <m:r>
            <m:rPr>
              <m:sty m:val="p"/>
            </m:rPr>
            <m:t>)</m:t>
          </m:r>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-0.5049</w:t>
            </w:r>
          </w:p>
        </w:tc>
        <w:tc>
          <w:tcPr>
            <w:tcW w:w="0" w:type="auto"/>
          </w:tcPr>
          <w:p>
            <w:pPr>
              <w:spacing w:line="240" w:lineRule="auto" w:before="0" w:after="0"/>
              <w:pStyle w:val="Compact"/>
            </w:pPr>
            <w:r>
              <w:rPr>
                <w:sz w:val="20"/>
                <w:szCs w:val="20"/>
              </w:rPr>
              <w:t xml:space="preserve">3.0845</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[-6.5503, 5.5405]</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-1.2167</w:t>
            </w:r>
          </w:p>
        </w:tc>
        <w:tc>
          <w:tcPr>
            <w:tcW w:w="0" w:type="auto"/>
          </w:tcPr>
          <w:p>
            <w:pPr>
              <w:spacing w:line="240" w:lineRule="auto" w:before="0" w:after="0"/>
              <w:pStyle w:val="Compact"/>
            </w:pPr>
            <w:r>
              <w:rPr>
                <w:sz w:val="20"/>
                <w:szCs w:val="20"/>
              </w:rPr>
              <w:t xml:space="preserve">0.4859</w:t>
            </w:r>
          </w:p>
        </w:tc>
        <w:tc>
          <w:tcPr>
            <w:tcW w:w="0" w:type="auto"/>
          </w:tcPr>
          <w:p>
            <w:pPr>
              <w:spacing w:line="240" w:lineRule="auto" w:before="0" w:after="0"/>
              <w:pStyle w:val="Compact"/>
            </w:pPr>
            <w:r>
              <w:rPr>
                <w:sz w:val="20"/>
                <w:szCs w:val="20"/>
              </w:rPr>
              <w:t xml:space="preserve">-2.5039</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[-2.1691, -0.2643]</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2.2354</w:t>
            </w:r>
          </w:p>
        </w:tc>
        <w:tc>
          <w:tcPr>
            <w:tcW w:w="0" w:type="auto"/>
          </w:tcPr>
          <w:p>
            <w:pPr>
              <w:spacing w:line="240" w:lineRule="auto" w:before="0" w:after="0"/>
              <w:pStyle w:val="Compact"/>
            </w:pPr>
            <w:r>
              <w:rPr>
                <w:sz w:val="20"/>
                <w:szCs w:val="20"/>
              </w:rPr>
              <w:t xml:space="preserve">1.3638</w:t>
            </w:r>
          </w:p>
        </w:tc>
        <w:tc>
          <w:tcPr>
            <w:tcW w:w="0" w:type="auto"/>
          </w:tcPr>
          <w:p>
            <w:pPr>
              <w:spacing w:line="240" w:lineRule="auto" w:before="0" w:after="0"/>
              <w:pStyle w:val="Compact"/>
            </w:pPr>
            <w:r>
              <w:rPr>
                <w:sz w:val="20"/>
                <w:szCs w:val="20"/>
              </w:rPr>
              <w:t xml:space="preserve">1.6391</w:t>
            </w:r>
          </w:p>
        </w:tc>
        <w:tc>
          <w:tcPr>
            <w:tcW w:w="0" w:type="auto"/>
          </w:tcPr>
          <w:p>
            <w:pPr>
              <w:spacing w:line="240" w:lineRule="auto" w:before="0" w:after="0"/>
              <w:pStyle w:val="Compact"/>
            </w:pPr>
            <w:r>
              <w:rPr>
                <w:sz w:val="20"/>
                <w:szCs w:val="20"/>
              </w:rPr>
              <w:t xml:space="preserve">0.1012</w:t>
            </w:r>
          </w:p>
        </w:tc>
        <w:tc>
          <w:tcPr>
            <w:tcW w:w="0" w:type="auto"/>
          </w:tcPr>
          <w:p>
            <w:pPr>
              <w:spacing w:line="240" w:lineRule="auto" w:before="0" w:after="0"/>
              <w:pStyle w:val="Compact"/>
            </w:pPr>
            <w:r>
              <w:rPr>
                <w:sz w:val="20"/>
                <w:szCs w:val="20"/>
              </w:rPr>
              <w:t xml:space="preserve">[-0.4376, 4.9085]</w:t>
            </w:r>
          </w:p>
        </w:tc>
      </w:tr>
    </w:tbl>
    <w:p>
      <w:pPr>
        <w:pStyle w:val="BodyText"/>
        <w:spacing w:line="480" w:lineRule="auto"/>
        <w:ind w:firstLine="720"/>
      </w:pPr>
      <w:r>
        <w:t xml:space="preserve">Fit: N = 24 pseudo_R2 = 0.5128 LL = -7.9418</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Binary rivalrous response by cross-domain trade dependence." title="" id="189" name="Picture"/>
            <a:graphic>
              <a:graphicData uri="http://schemas.openxmlformats.org/drawingml/2006/picture">
                <pic:pic>
                  <pic:nvPicPr>
                    <pic:cNvPr descr="D:/Claude_Code/brain/collegium/candidates/dissertations/INTL_GOVERNANCE_04/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Binary rivalrous response by cross-domain trade dependence.</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origin_state</w:t>
            </w:r>
          </w:p>
        </w:tc>
        <w:tc>
          <w:tcPr>
            <w:tcW w:w="0" w:type="auto"/>
          </w:tcPr>
          <w:p>
            <w:pPr>
              <w:spacing w:line="240" w:lineRule="auto" w:before="0" w:after="0"/>
              <w:pStyle w:val="Compact"/>
            </w:pPr>
            <w:r>
              <w:rPr>
                <w:sz w:val="20"/>
                <w:szCs w:val="20"/>
              </w:rPr>
              <w:t xml:space="preserve">target_state</w:t>
            </w:r>
          </w:p>
        </w:tc>
        <w:tc>
          <w:tcPr>
            <w:tcW w:w="0" w:type="auto"/>
          </w:tcPr>
          <w:p>
            <w:pPr>
              <w:spacing w:line="240" w:lineRule="auto" w:before="0" w:after="0"/>
              <w:pStyle w:val="Compact"/>
            </w:pPr>
            <w:r>
              <w:rPr>
                <w:sz w:val="20"/>
                <w:szCs w:val="20"/>
              </w:rPr>
              <w:t xml:space="preserve">period_year</w:t>
            </w:r>
          </w:p>
        </w:tc>
        <w:tc>
          <w:tcPr>
            <w:tcW w:w="0" w:type="auto"/>
          </w:tcPr>
          <w:p>
            <w:pPr>
              <w:spacing w:line="240" w:lineRule="auto" w:before="0" w:after="0"/>
              <w:pStyle w:val="Compact"/>
            </w:pPr>
            <w:r>
              <w:rPr>
                <w:sz w:val="20"/>
                <w:szCs w:val="20"/>
              </w:rPr>
              <w:t xml:space="preserve">bilateral_goods_trade_usd_billion</w:t>
            </w:r>
          </w:p>
        </w:tc>
        <w:tc>
          <w:tcPr>
            <w:tcW w:w="0" w:type="auto"/>
          </w:tcPr>
          <w:p>
            <w:pPr>
              <w:spacing w:line="240" w:lineRule="auto" w:before="0" w:after="0"/>
              <w:pStyle w:val="Compact"/>
            </w:pPr>
            <w:r>
              <w:rPr>
                <w:sz w:val="20"/>
                <w:szCs w:val="20"/>
              </w:rPr>
              <w:t xml:space="preserve">smaller_member_gdp_usd_billion</w:t>
            </w:r>
          </w:p>
        </w:tc>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target_government_military_space_activity_count</w:t>
            </w:r>
          </w:p>
        </w:tc>
        <w:tc>
          <w:tcPr>
            <w:tcW w:w="0" w:type="auto"/>
          </w:tcPr>
          <w:p>
            <w:pPr>
              <w:spacing w:line="240" w:lineRule="auto" w:before="0" w:after="0"/>
              <w:pStyle w:val="Compact"/>
            </w:pPr>
            <w:r>
              <w:rPr>
                <w:sz w:val="20"/>
                <w:szCs w:val="20"/>
              </w:rPr>
              <w:t xml:space="preserve">origin_same_regime_response_count</w:t>
            </w:r>
          </w:p>
        </w:tc>
        <w:tc>
          <w:tcPr>
            <w:tcW w:w="0" w:type="auto"/>
          </w:tcPr>
          <w:p>
            <w:pPr>
              <w:spacing w:line="240" w:lineRule="auto" w:before="0" w:after="0"/>
              <w:pStyle w:val="Compact"/>
            </w:pPr>
            <w:r>
              <w:rPr>
                <w:sz w:val="20"/>
                <w:szCs w:val="20"/>
              </w:rPr>
              <w:t xml:space="preserve">any_rivalry_response</w:t>
            </w:r>
          </w:p>
        </w:tc>
        <w:tc>
          <w:tcPr>
            <w:tcW w:w="0" w:type="auto"/>
          </w:tcPr>
          <w:p>
            <w:pPr>
              <w:spacing w:line="240" w:lineRule="auto" w:before="0" w:after="0"/>
              <w:pStyle w:val="Compact"/>
            </w:pPr>
            <w:r>
              <w:rPr>
                <w:sz w:val="20"/>
                <w:szCs w:val="20"/>
              </w:rPr>
              <w:t xml:space="preserve">months_to_response_or_censor</w:t>
            </w:r>
          </w:p>
        </w:tc>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igv01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2060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US-Russia goods trade around 2014; World Bank GDP; SWF counterspace chronology; OOSA and UCS launch records</w:t>
            </w:r>
          </w:p>
        </w:tc>
      </w:tr>
      <w:tr>
        <w:tc>
          <w:tcPr>
            <w:tcW w:w="0" w:type="auto"/>
          </w:tcPr>
          <w:p>
            <w:pPr>
              <w:spacing w:line="240" w:lineRule="auto" w:before="0" w:after="0"/>
              <w:pStyle w:val="Compact"/>
            </w:pPr>
            <w:r>
              <w:rPr>
                <w:sz w:val="20"/>
                <w:szCs w:val="20"/>
              </w:rPr>
              <w:t xml:space="preserve">igv02</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2060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US-Russia goods trade around 2014; World Bank GDP; SWF counterspace chronology; OOSA and UCS launch records</w:t>
            </w:r>
          </w:p>
        </w:tc>
      </w:tr>
      <w:tr>
        <w:tc>
          <w:tcPr>
            <w:tcW w:w="0" w:type="auto"/>
          </w:tcPr>
          <w:p>
            <w:pPr>
              <w:spacing w:line="240" w:lineRule="auto" w:before="0" w:after="0"/>
              <w:pStyle w:val="Compact"/>
            </w:pPr>
            <w:r>
              <w:rPr>
                <w:sz w:val="20"/>
                <w:szCs w:val="20"/>
              </w:rPr>
              <w:t xml:space="preserve">igv03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US-Russia goods trade around 2021; World Bank GDP; SWF Russia direct-ascent ASAT record; OOSA and UCS launch records</w:t>
            </w:r>
          </w:p>
        </w:tc>
      </w:tr>
      <w:tr>
        <w:tc>
          <w:tcPr>
            <w:tcW w:w="0" w:type="auto"/>
          </w:tcPr>
          <w:p>
            <w:pPr>
              <w:spacing w:line="240" w:lineRule="auto" w:before="0" w:after="0"/>
              <w:pStyle w:val="Compact"/>
            </w:pPr>
            <w:r>
              <w:rPr>
                <w:sz w:val="20"/>
                <w:szCs w:val="20"/>
              </w:rPr>
              <w:t xml:space="preserve">igv04</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US-Russia goods trade around 2021; World Bank GDP; SWF Russia direct-ascent ASAT record; OOSA and UCS launch records</w:t>
            </w:r>
          </w:p>
        </w:tc>
      </w:tr>
      <w:tr>
        <w:tc>
          <w:tcPr>
            <w:tcW w:w="0" w:type="auto"/>
          </w:tcPr>
          <w:p>
            <w:pPr>
              <w:spacing w:line="240" w:lineRule="auto" w:before="0" w:after="0"/>
              <w:pStyle w:val="Compact"/>
            </w:pPr>
            <w:r>
              <w:rPr>
                <w:sz w:val="20"/>
                <w:szCs w:val="20"/>
              </w:rPr>
              <w:t xml:space="preserve">igv05</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598</w:t>
            </w:r>
          </w:p>
        </w:tc>
        <w:tc>
          <w:tcPr>
            <w:tcW w:w="0" w:type="auto"/>
          </w:tcPr>
          <w:p>
            <w:pPr>
              <w:spacing w:line="240" w:lineRule="auto" w:before="0" w:after="0"/>
              <w:pStyle w:val="Compact"/>
            </w:pPr>
            <w:r>
              <w:rPr>
                <w:sz w:val="20"/>
                <w:szCs w:val="20"/>
              </w:rPr>
              <w:t xml:space="preserve">11060</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US-China goods trade around 2015; World Bank GDP; SWF China counterspace record; OOSA and UCS launch records</w:t>
            </w:r>
          </w:p>
        </w:tc>
      </w:tr>
      <w:tr>
        <w:tc>
          <w:tcPr>
            <w:tcW w:w="0" w:type="auto"/>
          </w:tcPr>
          <w:p>
            <w:pPr>
              <w:spacing w:line="240" w:lineRule="auto" w:before="0" w:after="0"/>
              <w:pStyle w:val="Compact"/>
            </w:pPr>
            <w:r>
              <w:rPr>
                <w:sz w:val="20"/>
                <w:szCs w:val="20"/>
              </w:rPr>
              <w:t xml:space="preserve">igv06</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598</w:t>
            </w:r>
          </w:p>
        </w:tc>
        <w:tc>
          <w:tcPr>
            <w:tcW w:w="0" w:type="auto"/>
          </w:tcPr>
          <w:p>
            <w:pPr>
              <w:spacing w:line="240" w:lineRule="auto" w:before="0" w:after="0"/>
              <w:pStyle w:val="Compact"/>
            </w:pPr>
            <w:r>
              <w:rPr>
                <w:sz w:val="20"/>
                <w:szCs w:val="20"/>
              </w:rPr>
              <w:t xml:space="preserve">11060</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US-China goods trade around 2015; World Bank GDP; SWF China counterspace record; OOSA and UCS launch records</w:t>
            </w:r>
          </w:p>
        </w:tc>
      </w:tr>
      <w:tr>
        <w:tc>
          <w:tcPr>
            <w:tcW w:w="0" w:type="auto"/>
          </w:tcPr>
          <w:p>
            <w:pPr>
              <w:spacing w:line="240" w:lineRule="auto" w:before="0" w:after="0"/>
              <w:pStyle w:val="Compact"/>
            </w:pPr>
            <w:r>
              <w:rPr>
                <w:sz w:val="20"/>
                <w:szCs w:val="20"/>
              </w:rPr>
              <w:t xml:space="preserve">igv07</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17820</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US-China goods trade around 2021; World Bank GDP; SWF counterspace record; OOSA and UCS launch records</w:t>
            </w:r>
          </w:p>
        </w:tc>
      </w:tr>
      <w:tr>
        <w:tc>
          <w:tcPr>
            <w:tcW w:w="0" w:type="auto"/>
          </w:tcPr>
          <w:p>
            <w:pPr>
              <w:spacing w:line="240" w:lineRule="auto" w:before="0" w:after="0"/>
              <w:pStyle w:val="Compact"/>
            </w:pPr>
            <w:r>
              <w:rPr>
                <w:sz w:val="20"/>
                <w:szCs w:val="20"/>
              </w:rPr>
              <w:t xml:space="preserve">igv08</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17820</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US-China goods trade around 2021; World Bank GDP; SWF counterspace record; OOSA and UCS launch records</w:t>
            </w:r>
          </w:p>
        </w:tc>
      </w:tr>
      <w:tr>
        <w:tc>
          <w:tcPr>
            <w:tcW w:w="0" w:type="auto"/>
          </w:tcPr>
          <w:p>
            <w:pPr>
              <w:spacing w:line="240" w:lineRule="auto" w:before="0" w:after="0"/>
              <w:pStyle w:val="Compact"/>
            </w:pPr>
            <w:r>
              <w:rPr>
                <w:sz w:val="20"/>
                <w:szCs w:val="20"/>
              </w:rPr>
              <w:t xml:space="preserve">igv09</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92.9</w:t>
            </w:r>
          </w:p>
        </w:tc>
        <w:tc>
          <w:tcPr>
            <w:tcW w:w="0" w:type="auto"/>
          </w:tcPr>
          <w:p>
            <w:pPr>
              <w:spacing w:line="240" w:lineRule="auto" w:before="0" w:after="0"/>
              <w:pStyle w:val="Compact"/>
            </w:pPr>
            <w:r>
              <w:rPr>
                <w:sz w:val="20"/>
                <w:szCs w:val="20"/>
              </w:rPr>
              <w:t xml:space="preserve">2830</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India-China goods trade around 2019; World Bank GDP; SWF India Mission Shakti record; OOSA and UCS launch records</w:t>
            </w:r>
          </w:p>
        </w:tc>
      </w:tr>
      <w:tr>
        <w:tc>
          <w:tcPr>
            <w:tcW w:w="0" w:type="auto"/>
          </w:tcPr>
          <w:p>
            <w:pPr>
              <w:spacing w:line="240" w:lineRule="auto" w:before="0" w:after="0"/>
              <w:pStyle w:val="Compact"/>
            </w:pPr>
            <w:r>
              <w:rPr>
                <w:sz w:val="20"/>
                <w:szCs w:val="20"/>
              </w:rPr>
              <w:t xml:space="preserve">igv10</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92.9</w:t>
            </w:r>
          </w:p>
        </w:tc>
        <w:tc>
          <w:tcPr>
            <w:tcW w:w="0" w:type="auto"/>
          </w:tcPr>
          <w:p>
            <w:pPr>
              <w:spacing w:line="240" w:lineRule="auto" w:before="0" w:after="0"/>
              <w:pStyle w:val="Compact"/>
            </w:pPr>
            <w:r>
              <w:rPr>
                <w:sz w:val="20"/>
                <w:szCs w:val="20"/>
              </w:rPr>
              <w:t xml:space="preserve">2830</w:t>
            </w:r>
          </w:p>
        </w:tc>
        <w:tc>
          <w:tcPr>
            <w:tcW w:w="0" w:type="auto"/>
          </w:tcPr>
          <w:p>
            <w:pPr>
              <w:spacing w:line="240" w:lineRule="auto" w:before="0" w:after="0"/>
              <w:pStyle w:val="Compact"/>
            </w:pPr>
            <w:r>
              <w:rPr>
                <w:sz w:val="20"/>
                <w:szCs w:val="20"/>
              </w:rPr>
              <w:t xml:space="preserve">3.28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India-China goods trade around 2019; World Bank GDP; SWF India Mission Shakti record; OOSA and UCS launch records</w:t>
            </w:r>
          </w:p>
        </w:tc>
      </w:tr>
      <w:tr>
        <w:tc>
          <w:tcPr>
            <w:tcW w:w="0" w:type="auto"/>
          </w:tcPr>
          <w:p>
            <w:pPr>
              <w:spacing w:line="240" w:lineRule="auto" w:before="0" w:after="0"/>
              <w:pStyle w:val="Compact"/>
            </w:pPr>
            <w:r>
              <w:rPr>
                <w:sz w:val="20"/>
                <w:szCs w:val="20"/>
              </w:rPr>
              <w:t xml:space="preserve">igv11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US-Japan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igv12</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US-Canada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igv14</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US-Canada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igv15</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US-Germany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igv16</w:t>
            </w:r>
          </w:p>
        </w:tc>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US-Germany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igv17</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US-France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igv18</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US-France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igv19</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3130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US-United Kingdom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igv20</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3130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US-United Kingdom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igv21</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7.99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China-Russia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igv22</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7.99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China-Russia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igv23</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China-Japan goods trade around 2021; World Bank GDP; OOSA and UCS launch records; SWF counterspace chronology</w:t>
            </w:r>
          </w:p>
        </w:tc>
      </w:tr>
      <w:tr>
        <w:tc>
          <w:tcPr>
            <w:tcW w:w="0" w:type="auto"/>
          </w:tcPr>
          <w:p>
            <w:pPr>
              <w:spacing w:line="240" w:lineRule="auto" w:before="0" w:after="0"/>
              <w:pStyle w:val="Compact"/>
            </w:pPr>
            <w:r>
              <w:rPr>
                <w:sz w:val="20"/>
                <w:szCs w:val="20"/>
              </w:rPr>
              <w:t xml:space="preserve">igv24</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7.42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China-Japan goods trade around 2021; World Bank GDP; OOSA and UCS launch records; SWF counterspace chronology</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origin_same_regime_response_count</w:t>
            </w:r>
          </w:p>
        </w:tc>
        <w:tc>
          <w:tcPr>
            <w:tcW w:w="0" w:type="auto"/>
          </w:tcPr>
          <w:p>
            <w:pPr>
              <w:spacing w:line="240" w:lineRule="auto" w:before="0" w:after="0"/>
              <w:pStyle w:val="Compact"/>
            </w:pPr>
            <w:r>
              <w:rPr>
                <w:sz w:val="20"/>
                <w:szCs w:val="20"/>
              </w:rPr>
              <w:t xml:space="preserve">Count outcome for origin-state response activity in the same broad orbital regime within the public response window.</w:t>
            </w:r>
          </w:p>
        </w:tc>
        <w:tc>
          <w:tcPr>
            <w:tcW w:w="0" w:type="auto"/>
          </w:tcPr>
          <w:p>
            <w:pPr>
              <w:spacing w:line="240" w:lineRule="auto" w:before="0" w:after="0"/>
              <w:pStyle w:val="Compact"/>
            </w:pPr>
            <w:r>
              <w:rPr>
                <w:sz w:val="20"/>
                <w:szCs w:val="20"/>
              </w:rPr>
              <w:t xml:space="preserve">Hand-coded from cited OOSA, UCS, Space-Track, and SWF source families.</w:t>
            </w:r>
          </w:p>
        </w:tc>
      </w:tr>
      <w:tr>
        <w:tc>
          <w:tcPr>
            <w:tcW w:w="0" w:type="auto"/>
          </w:tcPr>
          <w:p>
            <w:pPr>
              <w:spacing w:line="240" w:lineRule="auto" w:before="0" w:after="0"/>
              <w:pStyle w:val="Compact"/>
            </w:pPr>
            <w:r>
              <w:rPr>
                <w:sz w:val="20"/>
                <w:szCs w:val="20"/>
              </w:rPr>
              <w:t xml:space="preserve">any_rivalry_response</w:t>
            </w:r>
          </w:p>
        </w:tc>
        <w:tc>
          <w:tcPr>
            <w:tcW w:w="0" w:type="auto"/>
          </w:tcPr>
          <w:p>
            <w:pPr>
              <w:spacing w:line="240" w:lineRule="auto" w:before="0" w:after="0"/>
              <w:pStyle w:val="Compact"/>
            </w:pPr>
            <w:r>
              <w:rPr>
                <w:sz w:val="20"/>
                <w:szCs w:val="20"/>
              </w:rPr>
              <w:t xml:space="preserve">Binary response outcome.</w:t>
            </w:r>
          </w:p>
        </w:tc>
        <w:tc>
          <w:tcPr>
            <w:tcW w:w="0" w:type="auto"/>
          </w:tcPr>
          <w:p>
            <w:pPr>
              <w:spacing w:line="240" w:lineRule="auto" w:before="0" w:after="0"/>
              <w:pStyle w:val="Compact"/>
            </w:pPr>
            <w:r>
              <w:rPr>
                <w:sz w:val="20"/>
                <w:szCs w:val="20"/>
              </w:rPr>
              <w:t xml:space="preserve">One if origin_same_regime_response_count is greater than zero, otherwise zero.</w:t>
            </w:r>
          </w:p>
        </w:tc>
      </w:tr>
      <w:tr>
        <w:tc>
          <w:tcPr>
            <w:tcW w:w="0" w:type="auto"/>
          </w:tcPr>
          <w:p>
            <w:pPr>
              <w:spacing w:line="240" w:lineRule="auto" w:before="0" w:after="0"/>
              <w:pStyle w:val="Compact"/>
            </w:pPr>
            <w:r>
              <w:rPr>
                <w:sz w:val="20"/>
                <w:szCs w:val="20"/>
              </w:rPr>
              <w:t xml:space="preserve">trade_dependence_pct_smaller_gdp</w:t>
            </w:r>
          </w:p>
        </w:tc>
        <w:tc>
          <w:tcPr>
            <w:tcW w:w="0" w:type="auto"/>
          </w:tcPr>
          <w:p>
            <w:pPr>
              <w:spacing w:line="240" w:lineRule="auto" w:before="0" w:after="0"/>
              <w:pStyle w:val="Compact"/>
            </w:pPr>
            <w:r>
              <w:rPr>
                <w:sz w:val="20"/>
                <w:szCs w:val="20"/>
              </w:rPr>
              <w:t xml:space="preserve">Cross-domain economic dependence measure.</w:t>
            </w:r>
          </w:p>
        </w:tc>
        <w:tc>
          <w:tcPr>
            <w:tcW w:w="0" w:type="auto"/>
          </w:tcPr>
          <w:p>
            <w:pPr>
              <w:spacing w:line="240" w:lineRule="auto" w:before="0" w:after="0"/>
              <w:pStyle w:val="Compact"/>
            </w:pPr>
            <w:r>
              <w:rPr>
                <w:sz w:val="20"/>
                <w:szCs w:val="20"/>
              </w:rPr>
              <w:t xml:space="preserve">Bilateral goods trade divided by the smaller dyad member GDP, multiplied by 100.</w:t>
            </w:r>
          </w:p>
        </w:tc>
      </w:tr>
      <w:tr>
        <w:tc>
          <w:tcPr>
            <w:tcW w:w="0" w:type="auto"/>
          </w:tcPr>
          <w:p>
            <w:pPr>
              <w:spacing w:line="240" w:lineRule="auto" w:before="0" w:after="0"/>
              <w:pStyle w:val="Compact"/>
            </w:pPr>
            <w:r>
              <w:rPr>
                <w:sz w:val="20"/>
                <w:szCs w:val="20"/>
              </w:rPr>
              <w:t xml:space="preserve">target_government_military_space_activity_count</w:t>
            </w:r>
          </w:p>
        </w:tc>
        <w:tc>
          <w:tcPr>
            <w:tcW w:w="0" w:type="auto"/>
          </w:tcPr>
          <w:p>
            <w:pPr>
              <w:spacing w:line="240" w:lineRule="auto" w:before="0" w:after="0"/>
              <w:pStyle w:val="Compact"/>
            </w:pPr>
            <w:r>
              <w:rPr>
                <w:sz w:val="20"/>
                <w:szCs w:val="20"/>
              </w:rPr>
              <w:t xml:space="preserve">Target-state government or military space activity count for the period context.</w:t>
            </w:r>
          </w:p>
        </w:tc>
        <w:tc>
          <w:tcPr>
            <w:tcW w:w="0" w:type="auto"/>
          </w:tcPr>
          <w:p>
            <w:pPr>
              <w:spacing w:line="240" w:lineRule="auto" w:before="0" w:after="0"/>
              <w:pStyle w:val="Compact"/>
            </w:pPr>
            <w:r>
              <w:rPr>
                <w:sz w:val="20"/>
                <w:szCs w:val="20"/>
              </w:rPr>
              <w:t xml:space="preserve">Coded from public OOSA, UCS, and Space-Track source families.</w:t>
            </w:r>
          </w:p>
        </w:tc>
      </w:tr>
      <w:tr>
        <w:tc>
          <w:tcPr>
            <w:tcW w:w="0" w:type="auto"/>
          </w:tcPr>
          <w:p>
            <w:pPr>
              <w:spacing w:line="240" w:lineRule="auto" w:before="0" w:after="0"/>
              <w:pStyle w:val="Compact"/>
            </w:pPr>
            <w:r>
              <w:rPr>
                <w:sz w:val="20"/>
                <w:szCs w:val="20"/>
              </w:rPr>
              <w:t xml:space="preserve">ln_target_activity</w:t>
            </w:r>
          </w:p>
        </w:tc>
        <w:tc>
          <w:tcPr>
            <w:tcW w:w="0" w:type="auto"/>
          </w:tcPr>
          <w:p>
            <w:pPr>
              <w:spacing w:line="240" w:lineRule="auto" w:before="0" w:after="0"/>
              <w:pStyle w:val="Compact"/>
            </w:pPr>
            <w:r>
              <w:rPr>
                <w:sz w:val="20"/>
                <w:szCs w:val="20"/>
              </w:rPr>
              <w:t xml:space="preserve">Log-scaled target activity control.</w:t>
            </w:r>
          </w:p>
        </w:tc>
        <w:tc>
          <w:tcPr>
            <w:tcW w:w="0" w:type="auto"/>
          </w:tcPr>
          <w:p>
            <w:pPr>
              <w:spacing w:line="240" w:lineRule="auto" w:before="0" w:after="0"/>
              <w:pStyle w:val="Compact"/>
            </w:pPr>
            <w:r>
              <w:rPr>
                <w:sz w:val="20"/>
                <w:szCs w:val="20"/>
              </w:rPr>
              <w:t xml:space="preserve">Natural log of one plus target_government_military_space_activity_count.</w:t>
            </w:r>
          </w:p>
        </w:tc>
      </w:tr>
      <w:tr>
        <w:tc>
          <w:tcPr>
            <w:tcW w:w="0" w:type="auto"/>
          </w:tcPr>
          <w:p>
            <w:pPr>
              <w:spacing w:line="240" w:lineRule="auto" w:before="0" w:after="0"/>
              <w:pStyle w:val="Compact"/>
            </w:pPr>
            <w:r>
              <w:rPr>
                <w:sz w:val="20"/>
                <w:szCs w:val="20"/>
              </w:rPr>
              <w:t xml:space="preserve">months_to_response_or_censor</w:t>
            </w:r>
          </w:p>
        </w:tc>
        <w:tc>
          <w:tcPr>
            <w:tcW w:w="0" w:type="auto"/>
          </w:tcPr>
          <w:p>
            <w:pPr>
              <w:spacing w:line="240" w:lineRule="auto" w:before="0" w:after="0"/>
              <w:pStyle w:val="Compact"/>
            </w:pPr>
            <w:r>
              <w:rPr>
                <w:sz w:val="20"/>
                <w:szCs w:val="20"/>
              </w:rPr>
              <w:t xml:space="preserve">Timing variable for future survival extensions.</w:t>
            </w:r>
          </w:p>
        </w:tc>
        <w:tc>
          <w:tcPr>
            <w:tcW w:w="0" w:type="auto"/>
          </w:tcPr>
          <w:p>
            <w:pPr>
              <w:spacing w:line="240" w:lineRule="auto" w:before="0" w:after="0"/>
              <w:pStyle w:val="Compact"/>
            </w:pPr>
            <w:r>
              <w:rPr>
                <w:sz w:val="20"/>
                <w:szCs w:val="20"/>
              </w:rPr>
              <w:t xml:space="preserve">Months to first public response where observed, otherwise 36-month censoring window.</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w:t>
            </w:r>
          </w:p>
        </w:tc>
        <w:tc>
          <w:tcPr>
            <w:tcW w:w="0" w:type="auto"/>
          </w:tcPr>
          <w:p>
            <w:pPr>
              <w:spacing w:line="240" w:lineRule="auto" w:before="0" w:after="0"/>
              <w:pStyle w:val="Compact"/>
            </w:pPr>
            <w:r>
              <w:rPr>
                <w:sz w:val="20"/>
                <w:szCs w:val="20"/>
              </w:rPr>
              <w:t xml:space="preserve">Each row lists trade, GDP, space activity, and counterspace chronology source families.</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53" Type="http://schemas.openxmlformats.org/officeDocument/2006/relationships/hyperlink" Target="https://doi.org/10.1016/j.actaastro.2023.07.009" TargetMode="External"/><Relationship Id="rId155" Type="http://schemas.openxmlformats.org/officeDocument/2006/relationships/hyperlink" Target="https://doi.org/10.1016/j.actaastro.2024.11.060" TargetMode="External"/><Relationship Id="rId157" Type="http://schemas.openxmlformats.org/officeDocument/2006/relationships/hyperlink" Target="https://doi.org/10.1016/j.actaastro.2025.06.067" TargetMode="External"/><Relationship Id="rId159" Type="http://schemas.openxmlformats.org/officeDocument/2006/relationships/hyperlink" Target="https://doi.org/10.1016/j.actaastro.2025.08.048" TargetMode="External"/><Relationship Id="rId149" Type="http://schemas.openxmlformats.org/officeDocument/2006/relationships/hyperlink" Target="https://doi.org/10.64861/CKGQ5448" TargetMode="External"/><Relationship Id="rId147" Type="http://schemas.openxmlformats.org/officeDocument/2006/relationships/hyperlink" Target="https://doi.org/10.64861/GDIM2412" TargetMode="External"/></Relationships>
</file>

<file path=word/_rels/footnotes.xml.rels><?xml version='1.0' encoding='UTF-8' standalone='yes'?>
<Relationships xmlns="http://schemas.openxmlformats.org/package/2006/relationships"><Relationship Id="rId153" Type="http://schemas.openxmlformats.org/officeDocument/2006/relationships/hyperlink" Target="https://doi.org/10.1016/j.actaastro.2023.07.009" TargetMode="External"/><Relationship Id="rId155" Type="http://schemas.openxmlformats.org/officeDocument/2006/relationships/hyperlink" Target="https://doi.org/10.1016/j.actaastro.2024.11.060" TargetMode="External"/><Relationship Id="rId157" Type="http://schemas.openxmlformats.org/officeDocument/2006/relationships/hyperlink" Target="https://doi.org/10.1016/j.actaastro.2025.06.067" TargetMode="External"/><Relationship Id="rId159" Type="http://schemas.openxmlformats.org/officeDocument/2006/relationships/hyperlink" Target="https://doi.org/10.1016/j.actaastro.2025.08.048" TargetMode="External"/><Relationship Id="rId149" Type="http://schemas.openxmlformats.org/officeDocument/2006/relationships/hyperlink" Target="https://doi.org/10.64861/CKGQ5448" TargetMode="External"/><Relationship Id="rId147" Type="http://schemas.openxmlformats.org/officeDocument/2006/relationships/hyperlink" Target="https://doi.org/10.64861/GDIM2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Complex Interdependence in Orbit: Does Cross-Domain Economic Ties Dampen Space R</dc:title>
  <dc:creator>Astrid Mercer (1B-IGV-149)</dc:creator>
  <cp:keywords/>
  <dcterms:created xsi:type="dcterms:W3CDTF">2026-07-04T11:10:04Z</dcterms:created>
  <dcterms:modified xsi:type="dcterms:W3CDTF">2026-07-04T11:10:04Z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