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ALLISON'S TRAP ON ORBIT: DO CAPABILITY-TRANSITION INDICATORS PREDICT US-CHINA SPACE COORDINATION BREAKDOWNS?</w:t>
      </w:r>
    </w:p>
    <w:p>
      <w:pPr>
        <w:jc w:val="center"/>
      </w:pPr>
    </w:p>
    <w:p>
      <w:pPr>
        <w:jc w:val="center"/>
      </w:pPr>
      <w:r>
        <w:rPr>
          <w:rFonts w:ascii="Times New Roman" w:hAnsi="Times New Roman"/>
          <w:sz w:val="24"/>
        </w:rPr>
        <w:t>by</w:t>
      </w:r>
    </w:p>
    <w:p>
      <w:pPr>
        <w:jc w:val="center"/>
      </w:pPr>
      <w:r>
        <w:rPr>
          <w:rFonts w:ascii="Times New Roman" w:hAnsi="Times New Roman"/>
          <w:b/>
          <w:sz w:val="28"/>
        </w:rPr>
        <w:t>Ravi Suzuki</w:t>
      </w:r>
    </w:p>
    <w:p>
      <w:pPr>
        <w:jc w:val="center"/>
      </w:pPr>
      <w:r>
        <w:rPr>
          <w:rFonts w:ascii="Times New Roman" w:hAnsi="Times New Roman"/>
          <w:sz w:val="24"/>
        </w:rPr>
        <w:t>1B-IGV-162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Competition between the United States and China in orbit is usually told as a story of episodes. A close approach here, a contested filing there, a sharp exchange in a multilateral forum, each reported as a discrete flare. The trouble with episodes is that they resist measurement. They arrive as anecdote, they are argued as anecdote, and they leave the analyst with a vivid impression but no rule for deciding whether the pattern is real or whether the theory behind it should be abandoned. This dissertation begins from a refusal of that habit. It asks whether a specific, testable proposition about power transition has an observable signature in the governance behavior of the two states, and it commits in advance to a criterion that would prove the proposition wrong. The motivating intuition is old and familiar. When a rising power narrows the material gap with an established one, the relationship between them is thought to grow more dangerous, more brittle, more prone to breakdown in the very channels that are supposed to keep it stable. That intuition travels under many names. Here it is treated not as a doctrine to be admired but as a claim to be operationalized. Capability transition, in this dissertation, is not a mood or a headline. It is a measurable narrowing in three publicly recorded quantities: launch cadence, active on-orbit payload stock, and documented maneuver competence</w:t>
      </w:r>
      <w:r>
        <w:t xml:space="preserve"> </w:t>
      </w:r>
      <w:hyperlink w:anchor="ref-4">
        <w:r>
          <w:rPr>
            <w:rStyle w:val="Hyperlink"/>
          </w:rPr>
          <w:t xml:space="preserve">[4]</w:t>
        </w:r>
      </w:hyperlink>
      <w:r>
        <w:t xml:space="preserve"> </w:t>
      </w:r>
      <w:hyperlink w:anchor="ref-13">
        <w:r>
          <w:rPr>
            <w:rStyle w:val="Hyperlink"/>
          </w:rPr>
          <w:t xml:space="preserve">[13]</w:t>
        </w:r>
      </w:hyperlink>
      <w:r>
        <w:t xml:space="preserve">. Coordination breakdown, likewise, is not a feeling of tension. It is a dated event series built from contested filing or registration episodes, visible information-sharing failures, and procedural conflict in the multilateral venues that manage safety, transparency, and orbital order</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Start w:id="61" w:name="the-problem"/>
    <w:p>
      <w:pPr>
        <w:pStyle w:val="Heading2"/>
        <w:spacing w:line="480" w:lineRule="auto"/>
      </w:pPr>
      <w:r>
        <w:t xml:space="preserve">1.1 The problem</w:t>
      </w:r>
    </w:p>
    <w:p>
      <w:pPr>
        <w:pStyle w:val="FirstParagraph"/>
        <w:spacing w:line="480" w:lineRule="auto"/>
      </w:pPr>
      <w:r>
        <w:t xml:space="preserve">The orbital environment has changed in ways that make this question both harder and more urgent.</w:t>
      </w:r>
    </w:p>
    <w:p>
      <w:pPr>
        <w:pStyle w:val="BodyText"/>
        <w:spacing w:line="480" w:lineRule="auto"/>
        <w:ind w:firstLine="720"/>
      </w:pPr>
      <w:r>
        <w:t xml:space="preserve">Space domain awareness, once framed as a sensing problem, is now understood as a socio-technical governance problem in which objects, operators, and context must be read together</w:t>
      </w:r>
      <w:r>
        <w:t xml:space="preserve"> </w:t>
      </w:r>
      <w:hyperlink w:anchor="ref-2">
        <w:r>
          <w:rPr>
            <w:rStyle w:val="Hyperlink"/>
          </w:rPr>
          <w:t xml:space="preserve">[2]</w:t>
        </w:r>
      </w:hyperlink>
      <w:r>
        <w:t xml:space="preserve"> </w:t>
      </w:r>
      <w:hyperlink w:anchor="ref-3">
        <w:r>
          <w:rPr>
            <w:rStyle w:val="Hyperlink"/>
          </w:rPr>
          <w:t xml:space="preserve">[3]</w:t>
        </w:r>
      </w:hyperlink>
      <w:r>
        <w:t xml:space="preserve">. Registration quality and operational transparency are no longer clerical matters. They feed directly into conjunction assessment, traffic management, and the long-run sustainability of the most congested orbits</w:t>
      </w:r>
      <w:r>
        <w:t xml:space="preserve"> </w:t>
      </w:r>
      <w:hyperlink w:anchor="ref-7">
        <w:r>
          <w:rPr>
            <w:rStyle w:val="Hyperlink"/>
          </w:rPr>
          <w:t xml:space="preserve">[7]</w:t>
        </w:r>
      </w:hyperlink>
      <w:r>
        <w:t xml:space="preserve"> </w:t>
      </w:r>
      <w:hyperlink w:anchor="ref-8">
        <w:r>
          <w:rPr>
            <w:rStyle w:val="Hyperlink"/>
          </w:rPr>
          <w:t xml:space="preserve">[8]</w:t>
        </w:r>
      </w:hyperlink>
      <w:r>
        <w:t xml:space="preserve">. At the same time, low-Earth-orbit broadband, spectrum coordination, and commercial infrastructure have become arenas where technical filings and information exchange are treated by states as instruments of competition rather than as neutral administration</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Put those two shifts together and a hypothesis suggests itself. If a power transition has an orbital expression, it will probably appear first in coordination surfaces. It will show up in the filings, the registrations, the information exchanges, and the forum procedures, before it appears in anything more acute. Those surfaces are where the two states must interact whether or not they trust each other. They are also, conveniently, where the interaction leaves a documentary trace. A contested filing is recorded. A registration irregularity is recorded. A procedural dispute in a governance body is recorded. This is the raw material of an event series, and it is the reason the question can be made empirical rather than rhetorical.</w:t>
      </w:r>
    </w:p>
    <w:p>
      <w:pPr>
        <w:pStyle w:val="BodyText"/>
        <w:spacing w:line="480" w:lineRule="auto"/>
        <w:ind w:firstLine="720"/>
      </w:pPr>
      <w:r>
        <w:t xml:space="preserve">There is a second, more practical reason to press on this. Policy communities in the United States and among its close partners increasingly need indicators that can move between technical evidence and governance argument. A capability-gap index built from launch counts, active payload stocks, and demonstrated maneuver competence would supply one side of that bridge. A documented series of coordination breakdowns would supply the other. Joining them lets an analyst ask a question that is presently answered only by intuition: are periods of narrowing material capability systematically associated with more friction in the governance processes that everyone currently treats as episodic?</w:t>
      </w:r>
    </w:p>
    <w:bookmarkEnd w:id="61"/>
    <w:bookmarkStart w:id="62" w:name="the-gap-this-dissertation-closes"/>
    <w:p>
      <w:pPr>
        <w:pStyle w:val="Heading2"/>
        <w:spacing w:line="480" w:lineRule="auto"/>
      </w:pPr>
      <w:r>
        <w:t xml:space="preserve">1.2 The gap this dissertation closes</w:t>
      </w:r>
    </w:p>
    <w:p>
      <w:pPr>
        <w:pStyle w:val="FirstParagraph"/>
        <w:spacing w:line="480" w:lineRule="auto"/>
      </w:pPr>
      <w:r>
        <w:t xml:space="preserve">Two bodies of scholarship bear on the question, and they do not currently speak to each other.</w:t>
      </w:r>
    </w:p>
    <w:p>
      <w:pPr>
        <w:pStyle w:val="BodyText"/>
        <w:spacing w:line="480" w:lineRule="auto"/>
        <w:ind w:firstLine="720"/>
      </w:pPr>
      <w:r>
        <w:t xml:space="preserve">The first is technical and institutional. It explains why observability, registration quality, and coordination architecture matter. Phan and Jah argue that enhanced space domain awareness requires a socio-technical configuration analysis that joins objects, operators, and contextual attributes rather than treating each object as a bare kinematic point</w:t>
      </w:r>
      <w:r>
        <w:t xml:space="preserve"> </w:t>
      </w:r>
      <w:hyperlink w:anchor="ref-3">
        <w:r>
          <w:rPr>
            <w:rStyle w:val="Hyperlink"/>
          </w:rPr>
          <w:t xml:space="preserve">[3]</w:t>
        </w:r>
      </w:hyperlink>
      <w:r>
        <w:t xml:space="preserve">. McKnight and colleagues describe an analytic space domain awareness that integrates sensing with operator behavior and risk</w:t>
      </w:r>
      <w:r>
        <w:t xml:space="preserve"> </w:t>
      </w:r>
      <w:hyperlink w:anchor="ref-2">
        <w:r>
          <w:rPr>
            <w:rStyle w:val="Hyperlink"/>
          </w:rPr>
          <w:t xml:space="preserve">[2]</w:t>
        </w:r>
      </w:hyperlink>
      <w:r>
        <w:t xml:space="preserve">. Weeden, Cefola, and Sankaran mapped the global sensor base early enough to establish the infrastructural character of orbital observability</w:t>
      </w:r>
      <w:r>
        <w:t xml:space="preserve"> </w:t>
      </w:r>
      <w:hyperlink w:anchor="ref-4">
        <w:r>
          <w:rPr>
            <w:rStyle w:val="Hyperlink"/>
          </w:rPr>
          <w:t xml:space="preserve">[4]</w:t>
        </w:r>
      </w:hyperlink>
      <w:r>
        <w:t xml:space="preserve">. Masson-Zwaan and coauthors show that registration practice is a practical bottleneck for traffic management, and Colombo and colleagues connect capacity management directly to traffic-management governance</w:t>
      </w:r>
      <w:r>
        <w:t xml:space="preserve"> </w:t>
      </w:r>
      <w:hyperlink w:anchor="ref-7">
        <w:r>
          <w:rPr>
            <w:rStyle w:val="Hyperlink"/>
          </w:rPr>
          <w:t xml:space="preserve">[7]</w:t>
        </w:r>
      </w:hyperlink>
      <w:r>
        <w:t xml:space="preserve"> </w:t>
      </w:r>
      <w:hyperlink w:anchor="ref-8">
        <w:r>
          <w:rPr>
            <w:rStyle w:val="Hyperlink"/>
          </w:rPr>
          <w:t xml:space="preserve">[8]</w:t>
        </w:r>
      </w:hyperlink>
      <w:r>
        <w:t xml:space="preserve">. This literature explains, in careful detail, why coordination surfaces matter. It does not test whether systemic capability convergence predicts coordination breakdown. The second body is strategic and political-economic. Young and Thadani show that low-Earth-orbit broadband competition is high stakes because standards, market access, filings, and spectrum coordination interact in ways that reward first movers</w:t>
      </w:r>
      <w:r>
        <w:t xml:space="preserve"> </w:t>
      </w:r>
      <w:hyperlink w:anchor="ref-9">
        <w:r>
          <w:rPr>
            <w:rStyle w:val="Hyperlink"/>
          </w:rPr>
          <w:t xml:space="preserve">[9]</w:t>
        </w:r>
      </w:hyperlink>
      <w:r>
        <w:t xml:space="preserve">. Denis and colleagues make a parallel argument in Earth observation, where system architecture and market structure co-evolve</w:t>
      </w:r>
      <w:r>
        <w:t xml:space="preserve"> </w:t>
      </w:r>
      <w:hyperlink w:anchor="ref-10">
        <w:r>
          <w:rPr>
            <w:rStyle w:val="Hyperlink"/>
          </w:rPr>
          <w:t xml:space="preserve">[10]</w:t>
        </w:r>
      </w:hyperlink>
      <w:r>
        <w:t xml:space="preserve">. Allison’s account of the 2019 World Radiocommunication Conference, and Dailey, Toner, and Murphy’s case for a shared United States-China information-sharing ecosystem, both imply that technical coordination is itself an arena of strategy rather than a backdrop to it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This literature establishes the stakes. It stops short of quantifying whether observed capability convergence precedes later governance conflict.</w:t>
      </w:r>
    </w:p>
    <w:p>
      <w:pPr>
        <w:pStyle w:val="BodyText"/>
        <w:spacing w:line="480" w:lineRule="auto"/>
        <w:ind w:firstLine="720"/>
      </w:pPr>
      <w:r>
        <w:t xml:space="preserve">The dissertation sits in the unfilled space between them. It asks whether power-transition logic has a measurable orbital signature in governance behavior, not merely in rhetoric. The contribution is not the claim that rivalry exists. Everyone agrees rivalry exists. The contribution is narrower and, for that reason, falsifiable: capability convergence can be operationalized from public records, coordination failure can be coded from documentary traces, and the lagged relationship between the two can be tested with real data and a stated null.</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Let the annual capability margin be the United States value minus the China value on a composite index formed from launch cadence, active payload stock, and documented maneuver competence.</w:t>
      </w:r>
    </w:p>
    <w:p>
      <w:pPr>
        <w:pStyle w:val="BodyText"/>
        <w:spacing w:line="480" w:lineRule="auto"/>
        <w:ind w:firstLine="720"/>
      </w:pPr>
      <w:r>
        <w:t xml:space="preserve">Call it the gap. Let the annual count of documented coordination-breakdown events, drawn from information-sharing refusals, contested filing or registration episodes, and visible procedural conflict in multilateral settings, be the breakdown series. The null holds that, after conditioning on year effects, baseline strategic shocks, and issue-area controls, narrowing in the measured capability gap does not predict a subsequent increase in coordination-breakdown events; the coefficient on lagged gap-narrowing is non-positive. The alternative holds that, under the same conditioning set, narrowing in the gap predicts a subsequent increase in breakdown events at a measurable lag; the coefficient on lagged gap-narrowing is positive. That is the whole of it. One proposition. One sign. One decision rule. If narrowing capability margins fail to precede coordination breakdown, the orbital reading of the power-transition frame should be rejected for this domain, and the dissertation says so plainly rather than retreating into qualification. This narrowness is deliberate. A doctoral contribution does not earn its standing by asserting a grand thesis and then defending it against every objection. It earns its standing by stating one thing that could be false, showing how the data would reveal the falsity, and reporting the result whichever way it points. The design here is built so that a hostile reader with the same public sources could reconstruct the gap index, recode the breakdown series against the published inclusion rules, and either confirm or overturn the finding.</w:t>
      </w:r>
    </w:p>
    <w:bookmarkEnd w:id="63"/>
    <w:bookmarkStart w:id="64" w:name="Xfb4f87c1947bb6723ad2a1b0717967f7bbbe6ea"/>
    <w:p>
      <w:pPr>
        <w:pStyle w:val="Heading2"/>
        <w:spacing w:line="480" w:lineRule="auto"/>
      </w:pPr>
      <w:r>
        <w:t xml:space="preserve">1.4 What the completed papers do, and do not, establish</w:t>
      </w:r>
    </w:p>
    <w:p>
      <w:pPr>
        <w:pStyle w:val="FirstParagraph"/>
        <w:spacing w:line="480" w:lineRule="auto"/>
      </w:pPr>
      <w:r>
        <w:t xml:space="preserve">Honesty about stage is part of the argument. The core capability-gap event study is reserved for the dissertation’s next empirical extension, because the coded breakdown series over the full 2000 to 2026 window requires a level of documentary assembly that is not yet complete. Two narrower studies are finished, and they are included not as substitutes for the main test but as source discipline for it. Paper 1 audits the visible source base. It asks, within the local corpus retrieved for this project, what predicts the intensity with which a source signals the governance-competition themes at the heart of the design. Using thirty document-level records and an ordinary least squares specification, it finds that venue family, not recency and not raw citation count, does the sorting work</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Paper 2 audits the attention structure of that same corpus, estimating a log-log learning curve of citation accumulation against article age and finding a weak, slightly negative elasticity. Neither paper tests the United States-China proposition. Together they establish that the source environment feeding the dissertation is structured and legible rather than random, which is a precondition for trusting any later reading of the substantive literature</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64"/>
    <w:bookmarkStart w:id="65" w:name="X7b0f6206f592045b22efb2a3f1a93e147b15bf5"/>
    <w:p>
      <w:pPr>
        <w:pStyle w:val="Heading2"/>
        <w:spacing w:line="480" w:lineRule="auto"/>
      </w:pPr>
      <w:r>
        <w:t xml:space="preserve">1.5 Why orbit is the right laboratory for this question</w:t>
      </w:r>
    </w:p>
    <w:p>
      <w:pPr>
        <w:pStyle w:val="FirstParagraph"/>
        <w:spacing w:line="480" w:lineRule="auto"/>
      </w:pPr>
      <w:r>
        <w:t xml:space="preserve">The choice of domain is not incidental. Orbit has properties that make the power-transition proposition unusually testable, and the reasons repay a pause. Most rivalries play out across surfaces that are hard to instrument. Trade, alliance politics, and military posture leave traces that are either classified, contested, or so entangled with other variables that isolating a single mechanism is nearly hopeless. Orbit is different. The physical facts are public to a degree few strategic quantities match. A launch is observed. A payload enters a catalogue. A maneuver, if the sensor base can see it, is recorded and characterized</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material side of the mechanism is therefore measurable with a fidelity that is rare in the study of great-power competition, where the quantities that drive the argument are so often hidden, disputed, or entangled with a dozen other moving parts that no single number can be trusted to carry the weight an analyst wants to place on it. Orbit spares us that trouble. The numbers are there.</w:t>
      </w:r>
    </w:p>
    <w:p>
      <w:pPr>
        <w:pStyle w:val="BodyText"/>
        <w:spacing w:line="480" w:lineRule="auto"/>
        <w:ind w:firstLine="720"/>
      </w:pPr>
      <w:r>
        <w:t xml:space="preserve">The governance side is nearly as legible. Filings are documents. Registrations are documents. The proceedings of the forums that manage spectrum, slots, and orbital order are documents. When two states clash over a filing or a registration, the clash is not a private matter inferred from behavior; it is a record that a second analyst can retrieve and read</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This double legibility, material inputs on one side and governance outputs on the other, is what lets the dissertation propose a test rather than an interpretation. The domain supplies both halves of the relationship in observable form, and it supplies them without requiring the analyst to trust a single privileged source. There is a further reason orbit suits the question. The domain is small enough to be tractable and consequential enough to matter. A handful of actors dominate the environment, the United States and China foremost among them, which keeps the comparison bilateral and clean rather than diffuse. At the same time, the stakes are large and rising, because the infrastructure at issue underpins communications, navigation, Earth observation, and increasingly the commercial economy of low orbit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test run on a domain that was tractable but trivial would teach little. A test run on one that was consequential but hopelessly complex would teach nothing reliable. Orbit sits at the intersection, and that is why it is the laboratory this dissertation chooses.</w:t>
      </w:r>
    </w:p>
    <w:bookmarkEnd w:id="65"/>
    <w:bookmarkStart w:id="66" w:name="Xf319bdff6d88d5c20a7de46e86deb896127f817"/>
    <w:p>
      <w:pPr>
        <w:pStyle w:val="Heading2"/>
        <w:spacing w:line="480" w:lineRule="auto"/>
      </w:pPr>
      <w:r>
        <w:t xml:space="preserve">1.6 The standard of evidence this dissertation holds itself to</w:t>
      </w:r>
    </w:p>
    <w:p>
      <w:pPr>
        <w:pStyle w:val="FirstParagraph"/>
        <w:spacing w:line="480" w:lineRule="auto"/>
      </w:pPr>
      <w:r>
        <w:t xml:space="preserve">A word is owed on the standard the work adopts, because that standard governs everything that follows. Three commitments run through the design. The first is independent measurement: the two sides of the central relationship are measured from different sources, so that the capability index cannot be an echo of the breakdown series it is meant to predict</w:t>
      </w:r>
      <w:r>
        <w:t xml:space="preserve"> </w:t>
      </w:r>
      <w:hyperlink w:anchor="ref-4">
        <w:r>
          <w:rPr>
            <w:rStyle w:val="Hyperlink"/>
          </w:rPr>
          <w:t xml:space="preserve">[4]</w:t>
        </w:r>
      </w:hyperlink>
      <w:r>
        <w:t xml:space="preserve">. The second is transparent coding: every inclusion rule for the breakdown series will be published, so that a hostile reader can recode the series and check whether the result survives a different but equally defensible reading</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third is pre-committed prediction: the null and the alternative are stated before the estimation, with a symmetric decision rule, so that the finding cannot be quietly reshaped to fit whichever way the coefficient points. These commitments are demanding, and the dissertation does not always get to meet the most ambitious of them yet, because the central series is still being assembled. What it can do now is demonstrate the standard on the completed diagnostic work, where the estimators are fixed, the data are source-traced, and the results are reported exactly as produced, including the places where they contradict intuition</w:t>
      </w:r>
      <w:r>
        <w:t xml:space="preserve"> </w:t>
      </w:r>
      <w:hyperlink w:anchor="ref-2">
        <w:r>
          <w:rPr>
            <w:rStyle w:val="Hyperlink"/>
          </w:rPr>
          <w:t xml:space="preserve">[2]</w:t>
        </w:r>
      </w:hyperlink>
      <w:r>
        <w:t xml:space="preserve"> </w:t>
      </w:r>
      <w:hyperlink w:anchor="ref-3">
        <w:r>
          <w:rPr>
            <w:rStyle w:val="Hyperlink"/>
          </w:rPr>
          <w:t xml:space="preserve">[3]</w:t>
        </w:r>
      </w:hyperlink>
      <w:r>
        <w:t xml:space="preserve">. Holding the small claims to the same standard as the large one is not pedantry. It is the evidence that the candidate can be trusted to report the central result honestly when the series is complete, which is the only thing that makes a reserved claim worth reserving.</w:t>
      </w:r>
    </w:p>
    <w:bookmarkEnd w:id="66"/>
    <w:bookmarkStart w:id="67" w:name="X7e14562b53ec8b3d4981a86f9ae952a06cbd607"/>
    <w:p>
      <w:pPr>
        <w:pStyle w:val="Heading2"/>
        <w:spacing w:line="480" w:lineRule="auto"/>
      </w:pPr>
      <w:r>
        <w:t xml:space="preserve">1.7 Situating the claim among rival readings of orbital competition</w:t>
      </w:r>
    </w:p>
    <w:p>
      <w:pPr>
        <w:pStyle w:val="FirstParagraph"/>
        <w:spacing w:line="480" w:lineRule="auto"/>
      </w:pPr>
      <w:r>
        <w:t xml:space="preserve">The dissertation’s proposition competes with several other ways of explaining why United States-China orbital coordination sometimes fails, and naming those rivals early clarifies what the work does and does not assert. One familiar reading treats coordination failure as a byproduct of ordinary bureaucratic friction, the sort of delay and dispute that afflicts any large institution processing many transactions, with no strategic content at all. Under that reading, breakdowns would be roughly constant per unit of activity and would carry no relationship to the bilateral balance. A second reading treats coordination failure as a function of specific personalities, administrations, or crises, so that friction tracks who happens to be in office or what happened to blow up in a given year, again with no systematic link to capability transition</w:t>
      </w:r>
      <w:r>
        <w:t xml:space="preserve"> </w:t>
      </w:r>
      <w:hyperlink w:anchor="ref-11">
        <w:r>
          <w:rPr>
            <w:rStyle w:val="Hyperlink"/>
          </w:rPr>
          <w:t xml:space="preserve">[11]</w:t>
        </w:r>
      </w:hyperlink>
      <w:r>
        <w:t xml:space="preserve">. The dissertation does not deny that bureaucratic friction and idiosyncratic crisis exist. It claims something narrower and testable: that on top of whatever baseline these other sources produce, there is an additional, lagged, measurable component of breakdown that rises after the capability margin narrows</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This is why the design conditions on year effects and crisis-year shocks rather than ignoring them. Those controls are not decoration; they are the mechanism by which the dissertation separates its proposed signal from the rival explanations, and the falsifiable claim is precisely that a signal survives once the rivals are conditioned out. If nothing survives, the rivals were sufficient and the transition reading was superfluous, and the null captures exactly that outcome.</w:t>
      </w:r>
    </w:p>
    <w:p>
      <w:pPr>
        <w:pStyle w:val="BodyText"/>
        <w:spacing w:line="480" w:lineRule="auto"/>
        <w:ind w:firstLine="720"/>
      </w:pPr>
      <w:r>
        <w:t xml:space="preserve">A third rival deserves mention because it is the most sophisticated. It holds that causation runs the other way, or in a loop: that governance friction itself spurs both states to invest, narrowing the gap, so that breakdown drives convergence rather than convergence driving breakdown</w:t>
      </w:r>
      <w:r>
        <w:t xml:space="preserve"> </w:t>
      </w:r>
      <w:hyperlink w:anchor="ref-9">
        <w:r>
          <w:rPr>
            <w:rStyle w:val="Hyperlink"/>
          </w:rPr>
          <w:t xml:space="preserve">[9]</w:t>
        </w:r>
      </w:hyperlink>
      <w:r>
        <w:t xml:space="preserve">. The lag structure is the dissertation’s answer to this rival, because the hypothesis is directional in time. Convergence in one year is tested against breakdown in later years, and a reverse or contemporaneous pattern would not satisfy the stated alternative. The design cannot fully resolve every feedback loop, a limitation Chapter 7 confronts squarely, but it is built so that the simplest reverse story would leave a detectably different footprint than the one the theory predicts.</w:t>
      </w:r>
    </w:p>
    <w:bookmarkEnd w:id="67"/>
    <w:bookmarkStart w:id="68" w:name="a-note-on-stage-and-honesty"/>
    <w:p>
      <w:pPr>
        <w:pStyle w:val="Heading2"/>
        <w:spacing w:line="480" w:lineRule="auto"/>
      </w:pPr>
      <w:r>
        <w:t xml:space="preserve">1.8 A note on stage and honesty</w:t>
      </w:r>
    </w:p>
    <w:p>
      <w:pPr>
        <w:pStyle w:val="FirstParagraph"/>
        <w:spacing w:line="480" w:lineRule="auto"/>
      </w:pPr>
      <w:r>
        <w:t xml:space="preserve">One feature of this dissertation distinguishes it from a conventional completed study, and it should be stated at the outset rather than discovered in the results. The central causal test is not yet run. The capability-gap series and the coordination-breakdown series that the main hypothesis concerns are still being assembled under the published inclusion rules, and until that assembly is complete the dissertation reports diagnostic work rather than a confirmed or refuted central finding</w:t>
      </w:r>
      <w:r>
        <w:t xml:space="preserve"> </w:t>
      </w:r>
      <w:hyperlink w:anchor="ref-7">
        <w:r>
          <w:rPr>
            <w:rStyle w:val="Hyperlink"/>
          </w:rPr>
          <w:t xml:space="preserve">[7]</w:t>
        </w:r>
      </w:hyperlink>
      <w:r>
        <w:t xml:space="preserve"> </w:t>
      </w:r>
      <w:hyperlink w:anchor="ref-8">
        <w:r>
          <w:rPr>
            <w:rStyle w:val="Hyperlink"/>
          </w:rPr>
          <w:t xml:space="preserve">[8]</w:t>
        </w:r>
      </w:hyperlink>
      <w:r>
        <w:t xml:space="preserve">. A reader expecting a headline causal coefficient in Chapter 6 will not find one, and the work is candid about that from the first page. This is a deliberate choice about how to present research at the design stage, and it reflects a conviction that runs through the whole document. It is better to state a sharp, falsifiable proposition and reserve its test than to force a premature causal claim onto data that cannot bear it</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completed diagnostic papers are included because they discipline the evidence base and demonstrate the standard the central test will be held to, not because they substitute for it. Everything that follows should be read in that light: as the careful construction of a testable claim, the honest reporting of the diagnostic work that surrounds it, and a clear statement of what remains to be done before the central proposition can be judged true or false.</w:t>
      </w:r>
    </w:p>
    <w:bookmarkEnd w:id="68"/>
    <w:bookmarkStart w:id="69" w:name="roadmap"/>
    <w:p>
      <w:pPr>
        <w:pStyle w:val="Heading2"/>
        <w:spacing w:line="480" w:lineRule="auto"/>
      </w:pPr>
      <w:r>
        <w:t xml:space="preserve">1.9 Roadmap</w:t>
      </w:r>
    </w:p>
    <w:p>
      <w:pPr>
        <w:pStyle w:val="FirstParagraph"/>
        <w:spacing w:line="480" w:lineRule="auto"/>
      </w:pPr>
      <w:r>
        <w:t xml:space="preserve">The chapters that follow build the argument in order. Chapter 2 situates the design against the two literatures just named and shows precisely where each stops. Chapter 3 states the theory as a mechanism with testable predictions, separating the material channel from the perceptual one. Chapter 4 sets out the estimators, the identification logic for the planned event study, and the two completed diagnostic models. Chapter 5 describes the real dataset, the variable construction, the sources, and the sample size. Chapter 6 reports the estimator output from both completed papers exactly as the configurations and prose record them, and interprets the signs and magnitudes. Chapter 7 turns to discussion and the threats to validity that the design must survive. Chapter 8 draws the contribution together and states its relevance for governance and for the next stage of the work. Throughout, the discipline is the same one announced here: bounded observables, a stated null, and a willingness to be wrong on the record.</w:t>
      </w:r>
    </w:p>
    <w:bookmarkEnd w:id="69"/>
    <w:bookmarkEnd w:id="70"/>
    <w:bookmarkStart w:id="81" w:name="chapter-2.-literature-review"/>
    <w:p>
      <w:pPr>
        <w:pStyle w:val="Heading1"/>
        <w:spacing w:line="480" w:lineRule="auto"/>
      </w:pPr>
      <w:r>
        <w:t xml:space="preserve">Chapter 2. Literature Review</w:t>
      </w:r>
    </w:p>
    <w:p>
      <w:pPr>
        <w:pStyle w:val="FirstParagraph"/>
        <w:spacing w:line="480" w:lineRule="auto"/>
      </w:pPr>
      <w:r>
        <w:t xml:space="preserve">A dissertation earns its question by showing that no one has yet answered it. This chapter does that work. It reads two research traditions closely, credits each for what it establishes, and then locates the precise seam where neither reaches. The seam is not obscure. It is the point at which a careful technical literature about orbital observability stops, and an equally careful strategic literature about orbital competition begins, without either one testing whether measured capability convergence precedes measured governance breakdown. The chapter proceeds from the technical base, through the institutional and legal base, into the strategic and market base, and closes by naming the gap in terms exact enough to be tested.</w:t>
      </w:r>
    </w:p>
    <w:bookmarkStart w:id="71" w:name="observability-as-infrastructure"/>
    <w:p>
      <w:pPr>
        <w:pStyle w:val="Heading2"/>
        <w:spacing w:line="480" w:lineRule="auto"/>
      </w:pPr>
      <w:r>
        <w:t xml:space="preserve">2.1 Observability as infrastructure</w:t>
      </w:r>
    </w:p>
    <w:p>
      <w:pPr>
        <w:pStyle w:val="FirstParagraph"/>
        <w:spacing w:line="480" w:lineRule="auto"/>
      </w:pPr>
      <w:r>
        <w:t xml:space="preserve">Start with sensing. Everything downstream depends on it, because a governance system cannot register, coordinate around, or dispute the behavior of objects that it cannot first reliably see, and the quality of that seeing sets a hard ceiling on the quality of every coordination act that follows. If states cannot see what is in orbit, they cannot register it, coordinate around it, or dispute its behavior. Weeden, Cefola, and Sankaran mapped the global situational-awareness sensor base at a moment when that base was still fragmentary, and their contribution was to show that observability is infrastructural rather than incidental</w:t>
      </w:r>
      <w:r>
        <w:t xml:space="preserve"> </w:t>
      </w:r>
      <w:hyperlink w:anchor="ref-4">
        <w:r>
          <w:rPr>
            <w:rStyle w:val="Hyperlink"/>
          </w:rPr>
          <w:t xml:space="preserve">[4]</w:t>
        </w:r>
      </w:hyperlink>
      <w:r>
        <w:t xml:space="preserve">. Sensors are unevenly distributed. Coverage is patchy in ways that shape which objects are reliably tracked and which are not. That unevenness is not a technicality; it determines the raw material available to any coordination process.</w:t>
      </w:r>
    </w:p>
    <w:p>
      <w:pPr>
        <w:pStyle w:val="BodyText"/>
        <w:spacing w:line="480" w:lineRule="auto"/>
        <w:ind w:firstLine="720"/>
      </w:pPr>
      <w:r>
        <w:t xml:space="preserve">The field has moved on. It went from cataloguing sensors to interpreting behavior, treating the catalogue not as a static inventory of positions but as a living analytic object whose entries must be read for what their operators are doing and why. McKnight and colleagues describe an analytic space domain awareness that fuses sensing with operator context and risk, treating the catalogue as a live analytic object rather than a static list</w:t>
      </w:r>
      <w:r>
        <w:t xml:space="preserve"> </w:t>
      </w:r>
      <w:hyperlink w:anchor="ref-2">
        <w:r>
          <w:rPr>
            <w:rStyle w:val="Hyperlink"/>
          </w:rPr>
          <w:t xml:space="preserve">[2]</w:t>
        </w:r>
      </w:hyperlink>
      <w:r>
        <w:t xml:space="preserve">. Phan and Jah push the interpretive turn further, arguing that objects should be understood through a socio-technical configuration analysis that binds each object to its operator, its purpose, and its surrounding context</w:t>
      </w:r>
      <w:r>
        <w:t xml:space="preserve"> </w:t>
      </w:r>
      <w:hyperlink w:anchor="ref-3">
        <w:r>
          <w:rPr>
            <w:rStyle w:val="Hyperlink"/>
          </w:rPr>
          <w:t xml:space="preserve">[3]</w:t>
        </w:r>
      </w:hyperlink>
      <w:r>
        <w:t xml:space="preserve">. This is a consequential move for the present dissertation. It says that observability is already entangled with governance, because reading an object’s intent requires reading the human and institutional arrangement around it. Kazemi and colleagues, surveying orbit-determination methods, reinforce the point from the estimation side: the accuracy with which a state can characterize another state’s maneuvers is itself a variable, not a constant</w:t>
      </w:r>
      <w:r>
        <w:t xml:space="preserve"> </w:t>
      </w:r>
      <w:hyperlink w:anchor="ref-6">
        <w:r>
          <w:rPr>
            <w:rStyle w:val="Hyperlink"/>
          </w:rPr>
          <w:t xml:space="preserve">[6]</w:t>
        </w:r>
      </w:hyperlink>
      <w:r>
        <w:t xml:space="preserve">. He and colleagues formalize part of this by treating maneuver-intent detection as a game between an observer and a maneuvering actor, which makes explicit that observation and evasion are strategically coupled</w:t>
      </w:r>
      <w:r>
        <w:t xml:space="preserve"> </w:t>
      </w:r>
      <w:hyperlink w:anchor="ref-1">
        <w:r>
          <w:rPr>
            <w:rStyle w:val="Hyperlink"/>
          </w:rPr>
          <w:t xml:space="preserve">[1]</w:t>
        </w:r>
      </w:hyperlink>
      <w:r>
        <w:t xml:space="preserve">.</w:t>
      </w:r>
    </w:p>
    <w:p>
      <w:pPr>
        <w:pStyle w:val="BodyText"/>
        <w:spacing w:line="480" w:lineRule="auto"/>
        <w:ind w:firstLine="720"/>
      </w:pPr>
      <w:r>
        <w:t xml:space="preserve">What this tradition establishes is that observability is a governed, contested, and unevenly distributed capacity.</w:t>
      </w:r>
    </w:p>
    <w:p>
      <w:pPr>
        <w:pStyle w:val="BodyText"/>
        <w:spacing w:line="480" w:lineRule="auto"/>
        <w:ind w:firstLine="720"/>
      </w:pPr>
      <w:r>
        <w:t xml:space="preserve">What it does not do is ask whether shifts in the underlying material balance between two states predict later friction in the governance surfaces that observability feeds. The sensing literature explains the instrument. It does not run the experiment.</w:t>
      </w:r>
    </w:p>
    <w:bookmarkEnd w:id="71"/>
    <w:bookmarkStart w:id="72" w:name="X00590054ea1b201a283183b792388ec97e5acc6"/>
    <w:p>
      <w:pPr>
        <w:pStyle w:val="Heading2"/>
        <w:spacing w:line="480" w:lineRule="auto"/>
      </w:pPr>
      <w:r>
        <w:t xml:space="preserve">2.2 Registration, capacity, and traffic management</w:t>
      </w:r>
    </w:p>
    <w:p>
      <w:pPr>
        <w:pStyle w:val="FirstParagraph"/>
        <w:spacing w:line="480" w:lineRule="auto"/>
      </w:pPr>
      <w:r>
        <w:t xml:space="preserve">The institutional tradition takes observability as given and asks how orbital activity is registered, coordinated, and managed.</w:t>
      </w:r>
    </w:p>
    <w:p>
      <w:pPr>
        <w:pStyle w:val="BodyText"/>
        <w:spacing w:line="480" w:lineRule="auto"/>
        <w:ind w:firstLine="720"/>
      </w:pPr>
      <w:r>
        <w:t xml:space="preserve">Masson-Zwaan and coauthors make the sharpest contribution for the purposes of this dissertation. They show that registration practice is a practical bottleneck for space traffic management, that the quality and timeliness of registration vary across operators and states, and that these variations degrade the shared picture on which coordination depends</w:t>
      </w:r>
      <w:r>
        <w:t xml:space="preserve"> </w:t>
      </w:r>
      <w:hyperlink w:anchor="ref-7">
        <w:r>
          <w:rPr>
            <w:rStyle w:val="Hyperlink"/>
          </w:rPr>
          <w:t xml:space="preserve">[7]</w:t>
        </w:r>
      </w:hyperlink>
      <w:r>
        <w:t xml:space="preserve">. Registration is where transparency becomes a policy act. A state that registers late, incompletely, or inconsistently is not merely being administratively sloppy; it is shaping what others can know and coordinate around. Colombo and colleagues extend the argument into capacity. They connect the management of orbital capacity directly to the governance of traffic, showing that decisions about how many objects a region of space can bear are inseparable from the institutional machinery that manages access to it</w:t>
      </w:r>
      <w:r>
        <w:t xml:space="preserve"> </w:t>
      </w:r>
      <w:hyperlink w:anchor="ref-8">
        <w:r>
          <w:rPr>
            <w:rStyle w:val="Hyperlink"/>
          </w:rPr>
          <w:t xml:space="preserve">[8]</w:t>
        </w:r>
      </w:hyperlink>
      <w:r>
        <w:t xml:space="preserve">. This matters because capacity management is where material growth in one actor’s on-orbit stock meets the governance system that must absorb it. When a state’s payload count rises quickly, the capacity question sharpens, and the coordination surface comes under strain. The institutional literature describes that strain with precision. It stops short, again, of testing whether the strain follows systematically from measured capability convergence between rivals.</w:t>
      </w:r>
    </w:p>
    <w:p>
      <w:pPr>
        <w:pStyle w:val="BodyText"/>
        <w:spacing w:line="480" w:lineRule="auto"/>
        <w:ind w:firstLine="720"/>
      </w:pPr>
      <w:r>
        <w:t xml:space="preserve">There is a legal-institutional flank to this tradition as well. Allison’s treatment of the 2019 World Radiocommunication Conference shows that spectrum and orbital-slot coordination is a formal legal process with real winners and losers, and that the rules governing low-Earth-orbit sustainability were negotiated under competitive pressure rather than technical consensus alone</w:t>
      </w:r>
      <w:r>
        <w:t xml:space="preserve"> </w:t>
      </w:r>
      <w:hyperlink w:anchor="ref-11">
        <w:r>
          <w:rPr>
            <w:rStyle w:val="Hyperlink"/>
          </w:rPr>
          <w:t xml:space="preserve">[11]</w:t>
        </w:r>
      </w:hyperlink>
      <w:r>
        <w:t xml:space="preserve">. Skinner and colleagues, examining commercial situational awareness for geostationary operators, demonstrate that even nominally commercial coordination carries governance weight, because the data-sharing arrangements that support commercial operations become de facto transparency regimes</w:t>
      </w:r>
      <w:r>
        <w:t xml:space="preserve"> </w:t>
      </w:r>
      <w:hyperlink w:anchor="ref-12">
        <w:r>
          <w:rPr>
            <w:rStyle w:val="Hyperlink"/>
          </w:rPr>
          <w:t xml:space="preserve">[12]</w:t>
        </w:r>
      </w:hyperlink>
      <w:r>
        <w:t xml:space="preserve">. Byers and colleagues add a sustainability-and-liability dimension by documenting the risks created by uncontrolled reentries, which are precisely the kind of low-probability, high-salience events that can trigger procedural conflict in governance forums</w:t>
      </w:r>
      <w:r>
        <w:t xml:space="preserve"> </w:t>
      </w:r>
      <w:hyperlink w:anchor="ref-5">
        <w:r>
          <w:rPr>
            <w:rStyle w:val="Hyperlink"/>
          </w:rPr>
          <w:t xml:space="preserve">[5]</w:t>
        </w:r>
      </w:hyperlink>
      <w:r>
        <w:t xml:space="preserve">.</w:t>
      </w:r>
    </w:p>
    <w:bookmarkEnd w:id="72"/>
    <w:bookmarkStart w:id="73" w:name="competition-as-the-strategic-frame"/>
    <w:p>
      <w:pPr>
        <w:pStyle w:val="Heading2"/>
        <w:spacing w:line="480" w:lineRule="auto"/>
      </w:pPr>
      <w:r>
        <w:t xml:space="preserve">2.3 Competition as the strategic frame</w:t>
      </w:r>
    </w:p>
    <w:p>
      <w:pPr>
        <w:pStyle w:val="FirstParagraph"/>
        <w:spacing w:line="480" w:lineRule="auto"/>
      </w:pPr>
      <w:r>
        <w:t xml:space="preserve">The third tradition treats orbit as an arena of strategy rather than administration.</w:t>
      </w:r>
    </w:p>
    <w:p>
      <w:pPr>
        <w:pStyle w:val="BodyText"/>
        <w:spacing w:line="480" w:lineRule="auto"/>
        <w:ind w:firstLine="720"/>
      </w:pPr>
      <w:r>
        <w:t xml:space="preserve">Young and Thadani argue that low-Earth-orbit broadband is high stakes because standards, market access, filings, and spectrum coordination interact, and because early positioning creates durable advantage</w:t>
      </w:r>
      <w:r>
        <w:t xml:space="preserve"> </w:t>
      </w:r>
      <w:hyperlink w:anchor="ref-9">
        <w:r>
          <w:rPr>
            <w:rStyle w:val="Hyperlink"/>
          </w:rPr>
          <w:t xml:space="preserve">[9]</w:t>
        </w:r>
      </w:hyperlink>
      <w:r>
        <w:t xml:space="preserve">. Their framing is important for this dissertation because it locates competition inside the coordination surfaces themselves. A filing is not just a filing; it is a move. A spectrum claim is not just a claim; it is a bid for durable market position. Denis and colleagues make a structurally similar argument in Earth observation, showing that new system architectures and evolving markets co-evolve, and that the resulting scenarios carry strategic consequences for which states and firms hold advantage</w:t>
      </w:r>
      <w:r>
        <w:t xml:space="preserve"> </w:t>
      </w:r>
      <w:hyperlink w:anchor="ref-10">
        <w:r>
          <w:rPr>
            <w:rStyle w:val="Hyperlink"/>
          </w:rPr>
          <w:t xml:space="preserve">[10]</w:t>
        </w:r>
      </w:hyperlink>
      <w:r>
        <w:t xml:space="preserve">. The value of this work is that it refuses to treat technical infrastructure as neutral. Architecture is strategy by other means. Dailey, Toner, and Murphy close the loop by proposing a shared United States-China information-sharing ecosystem, and in doing so they make the competitive stakes of coordination unmistakable: information sharing is desirable precisely because withholding it is a live strategic option that both states can and do exercise</w:t>
      </w:r>
      <w:r>
        <w:t xml:space="preserve"> </w:t>
      </w:r>
      <w:hyperlink w:anchor="ref-13">
        <w:r>
          <w:rPr>
            <w:rStyle w:val="Hyperlink"/>
          </w:rPr>
          <w:t xml:space="preserve">[13]</w:t>
        </w:r>
      </w:hyperlink>
      <w:r>
        <w:t xml:space="preserve">. Their argument implies, without testing, that the willingness to coordinate is itself sensitive to the balance of power.</w:t>
      </w:r>
    </w:p>
    <w:p>
      <w:pPr>
        <w:pStyle w:val="BodyText"/>
        <w:spacing w:line="480" w:lineRule="auto"/>
        <w:ind w:firstLine="720"/>
      </w:pPr>
      <w:r>
        <w:t xml:space="preserve">This strategic tradition supplies the stakes and the motive. It tells us why coordination surfaces are contested and why states might let them fail. It does not quantify the relationship between capability convergence and coordination failure. It asserts that the two are linked; it does not measure the link.</w:t>
      </w:r>
    </w:p>
    <w:bookmarkEnd w:id="73"/>
    <w:bookmarkStart w:id="74" w:name="the-unjoined-seam"/>
    <w:p>
      <w:pPr>
        <w:pStyle w:val="Heading2"/>
        <w:spacing w:line="480" w:lineRule="auto"/>
      </w:pPr>
      <w:r>
        <w:t xml:space="preserve">2.4 The unjoined seam</w:t>
      </w:r>
    </w:p>
    <w:p>
      <w:pPr>
        <w:pStyle w:val="FirstParagraph"/>
        <w:spacing w:line="480" w:lineRule="auto"/>
      </w:pPr>
      <w:r>
        <w:t xml:space="preserve">Set the three traditions side by side and the gap becomes exact. The sensing literature establishes that observability is infrastructural and contested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institutional literature establishes that registration, capacity, and traffic management are the surfaces where transparency becomes policy, and where material growth strains governance</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strategic literature establishes that these surfaces are arenas of competition in which coordination can be granted or withheld as a move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Each tradition points at the same object from a different side. None of them tests whether narrowing in the measured capability gap between the two leading actors predicts a later rise in documented coordination breakdown. That is the unjoined seam, and it defines the dissertation’s contribution. The claim is not that rivalry exists or that coordination sometimes fails. Both are settled. The claim is that a specific, lagged, falsifiable relationship can be estimated from public records, and that estimating it converts a widely shared intuition into a testable proposition that could be rejected.</w:t>
      </w:r>
    </w:p>
    <w:bookmarkEnd w:id="74"/>
    <w:bookmarkStart w:id="75" w:name="X76cb9af8fa5666267ad1172a296ca73e6aa4163"/>
    <w:p>
      <w:pPr>
        <w:pStyle w:val="Heading2"/>
        <w:spacing w:line="480" w:lineRule="auto"/>
      </w:pPr>
      <w:r>
        <w:t xml:space="preserve">2.5 A closer reading of the registration bottleneck</w:t>
      </w:r>
    </w:p>
    <w:p>
      <w:pPr>
        <w:pStyle w:val="FirstParagraph"/>
        <w:spacing w:line="480" w:lineRule="auto"/>
      </w:pPr>
      <w:r>
        <w:t xml:space="preserve">Because registration sits at the center of the dissertation’s mechanism, it deserves more than a passing citation. Masson-Zwaan and coauthors do not treat registration as a settled legal formality; they treat it as a live governance problem whose failures degrade the shared operational picture in measurable ways</w:t>
      </w:r>
      <w:r>
        <w:t xml:space="preserve"> </w:t>
      </w:r>
      <w:hyperlink w:anchor="ref-7">
        <w:r>
          <w:rPr>
            <w:rStyle w:val="Hyperlink"/>
          </w:rPr>
          <w:t xml:space="preserve">[7]</w:t>
        </w:r>
      </w:hyperlink>
      <w:r>
        <w:t xml:space="preserve">. Their argument has three moving parts worth separating. First, registration completeness varies: some objects are registered with full orbital and operator detail, others with sparse information, and the gap between them is where coordination first suffers. Second, registration timeliness varies: an object registered long after launch has already spent time in orbit as an unaccounted presence, complicating conjunction assessment for everyone else. Third, registration consistency varies across states, so the same class of object may be documented differently depending on who launched it. Each of those three failures maps onto a category in the dissertation’s breakdown series, which is why this particular strand of the institutional literature is load-bearing rather than decorative. A contested registration is not merely an administrative lapse; under the mechanism of Chapter 3 it is a coordination surface under strain, and its documentary trace is exactly what makes it codable</w:t>
      </w:r>
      <w:r>
        <w:t xml:space="preserve"> </w:t>
      </w:r>
      <w:hyperlink w:anchor="ref-8">
        <w:r>
          <w:rPr>
            <w:rStyle w:val="Hyperlink"/>
          </w:rPr>
          <w:t xml:space="preserve">[8]</w:t>
        </w:r>
      </w:hyperlink>
      <w:r>
        <w:t xml:space="preserve">. Colombo and colleagues reinforce the point from the capacity side by showing that the number of objects a region can safely hold is not a fixed physical constant but a governed quantity, negotiated through the same institutional machinery that processes registrations</w:t>
      </w:r>
      <w:r>
        <w:t xml:space="preserve"> </w:t>
      </w:r>
      <w:hyperlink w:anchor="ref-8">
        <w:r>
          <w:rPr>
            <w:rStyle w:val="Hyperlink"/>
          </w:rPr>
          <w:t xml:space="preserve">[8]</w:t>
        </w:r>
      </w:hyperlink>
      <w:r>
        <w:t xml:space="preserve">. When one actor’s on-orbit stock grows quickly, the capacity question and the registration question sharpen together, and the literature that treats them jointly is precisely the literature the dissertation must build on.</w:t>
      </w:r>
    </w:p>
    <w:bookmarkEnd w:id="75"/>
    <w:bookmarkStart w:id="76" w:name="the-observation-evasion-coupling"/>
    <w:p>
      <w:pPr>
        <w:pStyle w:val="Heading2"/>
        <w:spacing w:line="480" w:lineRule="auto"/>
      </w:pPr>
      <w:r>
        <w:t xml:space="preserve">2.6 The observation-evasion coupling</w:t>
      </w:r>
    </w:p>
    <w:p>
      <w:pPr>
        <w:pStyle w:val="FirstParagraph"/>
        <w:spacing w:line="480" w:lineRule="auto"/>
      </w:pPr>
      <w:r>
        <w:t xml:space="preserve">One further thread ties the sensing and strategic traditions together, and it matters directly for measurement. He and colleagues model the detection of satellite maneuver intent as a game between an observer trying to infer purpose and an actor whose maneuvers may be designed to obscure it</w:t>
      </w:r>
      <w:r>
        <w:t xml:space="preserve"> </w:t>
      </w:r>
      <w:hyperlink w:anchor="ref-1">
        <w:r>
          <w:rPr>
            <w:rStyle w:val="Hyperlink"/>
          </w:rPr>
          <w:t xml:space="preserve">[1]</w:t>
        </w:r>
      </w:hyperlink>
      <w:r>
        <w:t xml:space="preserve">. This framing has a direct consequence for the capability index. Maneuver competence, the third component of the index, is not observed neutrally. It is observed through a sensor base of uneven coverage</w:t>
      </w:r>
      <w:r>
        <w:t xml:space="preserve"> </w:t>
      </w:r>
      <w:hyperlink w:anchor="ref-4">
        <w:r>
          <w:rPr>
            <w:rStyle w:val="Hyperlink"/>
          </w:rPr>
          <w:t xml:space="preserve">[4]</w:t>
        </w:r>
      </w:hyperlink>
      <w:r>
        <w:t xml:space="preserve">, using orbit-determination methods of varying accuracy</w:t>
      </w:r>
      <w:r>
        <w:t xml:space="preserve"> </w:t>
      </w:r>
      <w:hyperlink w:anchor="ref-6">
        <w:r>
          <w:rPr>
            <w:rStyle w:val="Hyperlink"/>
          </w:rPr>
          <w:t xml:space="preserve">[6]</w:t>
        </w:r>
      </w:hyperlink>
      <w:r>
        <w:t xml:space="preserve">, against actors who may have reason to make their maneuvers hard to read. The measured value of maneuver competence therefore reflects both the actor’s true capability and the observer’s ability to characterize it, and the strategic coupling between the two means the measurement is itself a contested quantity. This is not a fatal problem, but it is an honest one, and the review flags it here because Chapter 5 and Chapter 7 return to it. The point for now is that the sensing literature and the strategic literature are not two separate conversations that the dissertation happens to join. They are already coupled at the level of measurement, and reading them together is a requirement of getting the capability index right rather than a stylistic preference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76"/>
    <w:bookmarkStart w:id="77" w:name="Xc36351fd85740073d16fd7b9c78fbe2afdadd2e"/>
    <w:p>
      <w:pPr>
        <w:pStyle w:val="Heading2"/>
        <w:spacing w:line="480" w:lineRule="auto"/>
      </w:pPr>
      <w:r>
        <w:t xml:space="preserve">2.7 The commercial layer and its governance weight</w:t>
      </w:r>
    </w:p>
    <w:p>
      <w:pPr>
        <w:pStyle w:val="FirstParagraph"/>
        <w:spacing w:line="480" w:lineRule="auto"/>
      </w:pPr>
      <w:r>
        <w:t xml:space="preserve">A tradition that is easy to overlook, but which the dissertation cannot afford to, concerns the commercial layer of orbital activity and its increasingly formal governance role. Skinner and colleagues, examining ground-based situational-awareness concepts for commercial geostationary operators, show that data-sharing arrangements built for commercial convenience become de facto transparency regimes with governance consequences</w:t>
      </w:r>
      <w:r>
        <w:t xml:space="preserve"> </w:t>
      </w:r>
      <w:hyperlink w:anchor="ref-12">
        <w:r>
          <w:rPr>
            <w:rStyle w:val="Hyperlink"/>
          </w:rPr>
          <w:t xml:space="preserve">[12]</w:t>
        </w:r>
      </w:hyperlink>
      <w:r>
        <w:t xml:space="preserve">. When operators share tracking data to protect their own assets, they create a shared picture that no formal treaty mandated, and that picture then shapes what states can coordinate around. The commercial layer, in other words, is not separate from the governance question; it is one of the surfaces on which the governance question is contested. Denis and colleagues extend this insight to Earth observation, where they show that new system architectures and evolving markets co-determine which actors hold advantage and how the resulting infrastructure is governed</w:t>
      </w:r>
      <w:r>
        <w:t xml:space="preserve"> </w:t>
      </w:r>
      <w:hyperlink w:anchor="ref-10">
        <w:r>
          <w:rPr>
            <w:rStyle w:val="Hyperlink"/>
          </w:rPr>
          <w:t xml:space="preserve">[10]</w:t>
        </w:r>
      </w:hyperlink>
      <w:r>
        <w:t xml:space="preserve">. The value of reading these commercial-layer works alongside the strategic ones is that they dissolve a false boundary. Coordination surfaces are not confined to intergovernmental forums; they run through commercial data-sharing, commercial spectrum claims, and commercial market structure, all of which carry strategic weight in a period of capability convergence</w:t>
      </w:r>
      <w:r>
        <w:t xml:space="preserve"> </w:t>
      </w:r>
      <w:hyperlink w:anchor="ref-9">
        <w:r>
          <w:rPr>
            <w:rStyle w:val="Hyperlink"/>
          </w:rPr>
          <w:t xml:space="preserve">[9]</w:t>
        </w:r>
      </w:hyperlink>
      <w:r>
        <w:t xml:space="preserve">. The dissertation’s breakdown series will therefore need to reach into commercial coordination episodes, not only intergovernmental ones, and the literature reviewed here establishes why that reach is warranted rather than opportunistic</w:t>
      </w:r>
      <w:r>
        <w:t xml:space="preserve"> </w:t>
      </w:r>
      <w:hyperlink w:anchor="ref-11">
        <w:r>
          <w:rPr>
            <w:rStyle w:val="Hyperlink"/>
          </w:rPr>
          <w:t xml:space="preserve">[11]</w:t>
        </w:r>
      </w:hyperlink>
      <w:r>
        <w:t xml:space="preserve">.</w:t>
      </w:r>
    </w:p>
    <w:p>
      <w:pPr>
        <w:pStyle w:val="BodyText"/>
        <w:spacing w:line="480" w:lineRule="auto"/>
        <w:ind w:firstLine="720"/>
      </w:pPr>
      <w:r>
        <w:t xml:space="preserve">There is a methodological corollary. Because the commercial and governmental layers interpenetrate, an analyst who restricted attention to formal treaty forums would miss much of where a transition actually bites</w:t>
      </w:r>
      <w:r>
        <w:t xml:space="preserve"> </w:t>
      </w:r>
      <w:hyperlink w:anchor="ref-13">
        <w:r>
          <w:rPr>
            <w:rStyle w:val="Hyperlink"/>
          </w:rPr>
          <w:t xml:space="preserve">[13]</w:t>
        </w:r>
      </w:hyperlink>
      <w:r>
        <w:t xml:space="preserve">. The socio-technical framing of Phan and Jah supports exactly this breadth, since reading an object through its operator and context necessarily crosses the commercial-governmental line</w:t>
      </w:r>
      <w:r>
        <w:t xml:space="preserve"> </w:t>
      </w:r>
      <w:hyperlink w:anchor="ref-3">
        <w:r>
          <w:rPr>
            <w:rStyle w:val="Hyperlink"/>
          </w:rPr>
          <w:t xml:space="preserve">[3]</w:t>
        </w:r>
      </w:hyperlink>
      <w:r>
        <w:t xml:space="preserve">. The review therefore treats commercial situational awareness, market structure, and formal governance as a single coordination environment, which is the frame the dissertation’s design inherits.</w:t>
      </w:r>
    </w:p>
    <w:bookmarkEnd w:id="77"/>
    <w:bookmarkStart w:id="78" w:name="Xaa106ce35f9c883ab702cd793f253ec7fa189df"/>
    <w:p>
      <w:pPr>
        <w:pStyle w:val="Heading2"/>
        <w:spacing w:line="480" w:lineRule="auto"/>
      </w:pPr>
      <w:r>
        <w:t xml:space="preserve">2.8 Sustainability, liability, and the salience of rare events</w:t>
      </w:r>
    </w:p>
    <w:p>
      <w:pPr>
        <w:pStyle w:val="FirstParagraph"/>
        <w:spacing w:line="480" w:lineRule="auto"/>
      </w:pPr>
      <w:r>
        <w:t xml:space="preserve">A final strand of the institutional literature concerns the low-probability, high-salience events that can trigger procedural conflict out of proportion to their frequency. Byers and colleagues document the risks created by uncontrolled rocket reentries, a class of event that is rare but that draws intense governance attention when it occurs</w:t>
      </w:r>
      <w:r>
        <w:t xml:space="preserve"> </w:t>
      </w:r>
      <w:hyperlink w:anchor="ref-5">
        <w:r>
          <w:rPr>
            <w:rStyle w:val="Hyperlink"/>
          </w:rPr>
          <w:t xml:space="preserve">[5]</w:t>
        </w:r>
      </w:hyperlink>
      <w:r>
        <w:t xml:space="preserve">. Such events matter for the dissertation not because they are common but because they are precisely the kind of shock that could drive coordination friction independently of any capability dynamic. A single dramatic reentry or debris-generating event can dominate a forum session and produce a cluster of documented disputes that has nothing to do with the bilateral margin. The review flags this strand because it defines a confound the central design must control for rather than a mechanism the design should attribute to transition</w:t>
      </w:r>
      <w:r>
        <w:t xml:space="preserve"> </w:t>
      </w:r>
      <w:hyperlink w:anchor="ref-5">
        <w:r>
          <w:rPr>
            <w:rStyle w:val="Hyperlink"/>
          </w:rPr>
          <w:t xml:space="preserve">[5]</w:t>
        </w:r>
      </w:hyperlink>
      <w:r>
        <w:t xml:space="preserve">. If a rare sustainability event and a period of capability convergence happened to coincide, a naive estimate could mistake the event’s governance echo for the transition’s signal. The literature on uncontrolled reentries and orbital sustainability therefore enters the dissertation not as part of the mechanism but as part of the shock-control apparatus, and reading it carefully is what allows the design to hold these events fixed rather than letting them contaminate the estimate</w:t>
      </w:r>
      <w:r>
        <w:t xml:space="preserve"> </w:t>
      </w:r>
      <w:hyperlink w:anchor="ref-8">
        <w:r>
          <w:rPr>
            <w:rStyle w:val="Hyperlink"/>
          </w:rPr>
          <w:t xml:space="preserve">[8]</w:t>
        </w:r>
      </w:hyperlink>
      <w:r>
        <w:t xml:space="preserve">. This is a case where the literature’s contribution is to sharpen what the dissertation must guard against, which is as valuable as identifying what it should measure</w:t>
      </w:r>
      <w:r>
        <w:t xml:space="preserve"> </w:t>
      </w:r>
      <w:hyperlink w:anchor="ref-7">
        <w:r>
          <w:rPr>
            <w:rStyle w:val="Hyperlink"/>
          </w:rPr>
          <w:t xml:space="preserve">[7]</w:t>
        </w:r>
      </w:hyperlink>
      <w:r>
        <w:t xml:space="preserve">.</w:t>
      </w:r>
    </w:p>
    <w:bookmarkEnd w:id="78"/>
    <w:bookmarkStart w:id="79" w:name="the-orbit-determination-substrate"/>
    <w:p>
      <w:pPr>
        <w:pStyle w:val="Heading2"/>
        <w:spacing w:line="480" w:lineRule="auto"/>
      </w:pPr>
      <w:r>
        <w:t xml:space="preserve">2.9 The orbit-determination substrate</w:t>
      </w:r>
    </w:p>
    <w:p>
      <w:pPr>
        <w:pStyle w:val="FirstParagraph"/>
        <w:spacing w:line="480" w:lineRule="auto"/>
      </w:pPr>
      <w:r>
        <w:t xml:space="preserve">Beneath every claim about maneuver competence sits the technical substrate of orbit determination, and Kazemi and colleagues survey it, and their survey bears directly on the dissertation’s measurement</w:t>
      </w:r>
      <w:r>
        <w:t xml:space="preserve"> </w:t>
      </w:r>
      <w:hyperlink w:anchor="ref-6">
        <w:r>
          <w:rPr>
            <w:rStyle w:val="Hyperlink"/>
          </w:rPr>
          <w:t xml:space="preserve">[6]</w:t>
        </w:r>
      </w:hyperlink>
      <w:r>
        <w:t xml:space="preserve">. Their review makes plain that the accuracy with which any state characterizes another’s orbital behavior is method-dependent and error-prone, so a maneuver that one sensor-and-method combination resolves cleanly another may miss or misclassify. This is not a peripheral concern. The third component of the capability index, documented maneuver competence, is only as reliable as the orbit-determination pipeline that produces the documentation, and a survey of that pipeline’s limits is therefore part of the dissertation’s measurement foundation rather than a technical aside</w:t>
      </w:r>
      <w:r>
        <w:t xml:space="preserve"> </w:t>
      </w:r>
      <w:hyperlink w:anchor="ref-1">
        <w:r>
          <w:rPr>
            <w:rStyle w:val="Hyperlink"/>
          </w:rPr>
          <w:t xml:space="preserve">[1]</w:t>
        </w:r>
      </w:hyperlink>
      <w:r>
        <w:t xml:space="preserve">. Reading this substrate literature keeps the design honest about how much confidence the maneuver component can bear, and it justifies the conservative inclusion threshold that Chapter 5 adopts for that component</w:t>
      </w:r>
      <w:r>
        <w:t xml:space="preserve"> </w:t>
      </w:r>
      <w:hyperlink w:anchor="ref-4">
        <w:r>
          <w:rPr>
            <w:rStyle w:val="Hyperlink"/>
          </w:rPr>
          <w:t xml:space="preserve">[4]</w:t>
        </w:r>
      </w:hyperlink>
      <w:r>
        <w:t xml:space="preserve">.</w:t>
      </w:r>
    </w:p>
    <w:bookmarkEnd w:id="79"/>
    <w:bookmarkStart w:id="80" w:name="X0f8e5c1dbfa9a1978c80466eec95aa4128055a3"/>
    <w:p>
      <w:pPr>
        <w:pStyle w:val="Heading2"/>
        <w:spacing w:line="480" w:lineRule="auto"/>
      </w:pPr>
      <w:r>
        <w:t xml:space="preserve">2.10 What the diagnostic papers add to the review</w:t>
      </w:r>
    </w:p>
    <w:p>
      <w:pPr>
        <w:pStyle w:val="FirstParagraph"/>
        <w:spacing w:line="480" w:lineRule="auto"/>
      </w:pPr>
      <w:r>
        <w:t xml:space="preserve">The two completed papers sit inside this review as source discipline rather than as substantive tests. Their function is to establish that the corpus feeding the dissertation is structured, not accidental. Paper 1 shows that within the retrieved corpus, venue family sorts governance signal strongly while recency and raw citation count do not, which warns against inferring conceptual centrality from either of those surface features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Paper 2 shows that citation attention accumulates only weakly with article age, and slightly in the reverse of the canonical direction, which warns against over-weighting older texts simply because they are old</w:t>
      </w:r>
      <w:r>
        <w:t xml:space="preserve"> </w:t>
      </w:r>
      <w:hyperlink w:anchor="ref-6">
        <w:r>
          <w:rPr>
            <w:rStyle w:val="Hyperlink"/>
          </w:rPr>
          <w:t xml:space="preserve">[6]</w:t>
        </w:r>
      </w:hyperlink>
      <w:r>
        <w:t xml:space="preserve"> </w:t>
      </w:r>
      <w:hyperlink w:anchor="ref-7">
        <w:r>
          <w:rPr>
            <w:rStyle w:val="Hyperlink"/>
          </w:rPr>
          <w:t xml:space="preserve">[7]</w:t>
        </w:r>
      </w:hyperlink>
      <w:r>
        <w:t xml:space="preserve">. Read together, the two diagnostics justify the mixed reading strategy this chapter has adopted: keep the operational situational-awareness material, the legal-institutional traffic-management material, and the explicitly strategic market material in a single analytic frame, rather than privileging any one venue or vintage. The substantive gap identified above is therefore not an artifact of a lopsided reading list. It survives an audit of the source environment itself.</w:t>
      </w:r>
    </w:p>
    <w:bookmarkEnd w:id="80"/>
    <w:bookmarkEnd w:id="81"/>
    <w:bookmarkStart w:id="93"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Theory here does one job. It converts a broad intuition about rising and established powers into a mechanism specific enough to generate a prediction that public data could contradict. The intuition is that capability convergence breeds friction. The mechanism must say where the friction appears, through what channel, and after what delay. Without that specificity, the intuition is unfalsifiable, and an unfalsifiable claim has no place at the center of a dissertation. This chapter builds the mechanism in stages, separates the two channels through which it could operate, and states the hypotheses in a form that Chapter 4 can estimate.</w:t>
      </w:r>
    </w:p>
    <w:bookmarkStart w:id="82" w:name="Xa0eeefa7645110df51042ca8dab3179bea1eaed"/>
    <w:p>
      <w:pPr>
        <w:pStyle w:val="Heading2"/>
        <w:spacing w:line="480" w:lineRule="auto"/>
      </w:pPr>
      <w:r>
        <w:t xml:space="preserve">3.1 From grand analogy to a bounded mechanism</w:t>
      </w:r>
    </w:p>
    <w:p>
      <w:pPr>
        <w:pStyle w:val="FirstParagraph"/>
        <w:spacing w:line="480" w:lineRule="auto"/>
      </w:pPr>
      <w:r>
        <w:t xml:space="preserve">The power-transition tradition supplies the starting picture. A dominant actor sets the rules of a system while its lead is comfortable. A rising actor accepts those rules while it lacks the means to challenge them. As the gap narrows, the rising actor’s incentive to defer weakens, the dominant actor’s confidence in the durability of its rules erodes, and the shared institutions that once ran on habit begin to run on negotiation instead. Negotiation is slower, costlier, and more prone to visible failure than habit. Friction rises. The picture is vivid. It is also too large to test, because as stated it names no observable, fixes no delay, and offers no rule by which a skeptic could ever declare it false, which is exactly the deficiency this chapter exists to repair. Orbit lets us shrink it. Orbit lets us shrink it to something bounded. The rules of the orbital system are not abstract; they are filings, registrations, information exchanges, and forum procedures. The comfort of the dominant actor is not a mood; it is a measurable margin in launch cadence, active payload stock, and demonstrated maneuver competence</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erosion of that comfort is not a narrative; it is a narrowing of that margin, observable year by year. And the friction is not a vibe; it is a count of documented coordination-breakdown events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The grand analogy becomes a mechanism that lives entirely in observable quantities.</w:t>
      </w:r>
    </w:p>
    <w:bookmarkEnd w:id="82"/>
    <w:bookmarkStart w:id="83" w:name="the-material-channel"/>
    <w:p>
      <w:pPr>
        <w:pStyle w:val="Heading2"/>
        <w:spacing w:line="480" w:lineRule="auto"/>
      </w:pPr>
      <w:r>
        <w:t xml:space="preserve">3.2 The material channel</w:t>
      </w:r>
    </w:p>
    <w:p>
      <w:pPr>
        <w:pStyle w:val="FirstParagraph"/>
        <w:spacing w:line="480" w:lineRule="auto"/>
      </w:pPr>
      <w:r>
        <w:t xml:space="preserve">The first channel is material and direct. When a rising actor’s on-orbit stock and operational tempo grow, it places more objects into the same shared regions, files more spectrum and slot claims, and conducts more maneuvers that others must observe and interpret. Each of these raises the load on the coordination surfaces. Colombo and colleagues make the load explicit: capacity management and traffic management are inseparable, so a rapid rise in one actor’s presence strains the institutional machinery that must absorb it</w:t>
      </w:r>
      <w:r>
        <w:t xml:space="preserve"> </w:t>
      </w:r>
      <w:hyperlink w:anchor="ref-8">
        <w:r>
          <w:rPr>
            <w:rStyle w:val="Hyperlink"/>
          </w:rPr>
          <w:t xml:space="preserve">[8]</w:t>
        </w:r>
      </w:hyperlink>
      <w:r>
        <w:t xml:space="preserve">. Masson-Zwaan and coauthors identify the specific pressure point, showing that registration practice is where the strain first becomes visible, because more activity means more registrations, more incomplete or contested registrations, and more opportunities for the shared picture to degrade</w:t>
      </w:r>
      <w:r>
        <w:t xml:space="preserve"> </w:t>
      </w:r>
      <w:hyperlink w:anchor="ref-7">
        <w:r>
          <w:rPr>
            <w:rStyle w:val="Hyperlink"/>
          </w:rPr>
          <w:t xml:space="preserve">[7]</w:t>
        </w:r>
      </w:hyperlink>
      <w:r>
        <w:t xml:space="preserve">. Intent need not change at all. The material channel predicts friction even when no actor grows more hostile, because a state that is simply doing more in orbit generates more filings, more registrations, and more maneuvers for others to interpret, and a finite institutional apparatus processing a rising transaction volume will fail to clear a growing share of it. This channel is close to mechanical. It does not require anyone to become more hostile. It requires only that capability convergence means more activity crowding into the same finite surfaces, and that the surfaces have limited capacity to process it. He and colleagues sharpen one edge of this by modeling maneuver-intent detection as a strategic game, which implies that as maneuver competence rises, the interpretive burden on observers rises with it, and interpretation under strategic uncertainty is where coordination is most likely to break</w:t>
      </w:r>
      <w:r>
        <w:t xml:space="preserve"> </w:t>
      </w:r>
      <w:hyperlink w:anchor="ref-1">
        <w:r>
          <w:rPr>
            <w:rStyle w:val="Hyperlink"/>
          </w:rPr>
          <w:t xml:space="preserve">[1]</w:t>
        </w:r>
      </w:hyperlink>
      <w:r>
        <w:t xml:space="preserve">.</w:t>
      </w:r>
    </w:p>
    <w:bookmarkEnd w:id="83"/>
    <w:bookmarkStart w:id="84" w:name="the-perceptual-channel"/>
    <w:p>
      <w:pPr>
        <w:pStyle w:val="Heading2"/>
        <w:spacing w:line="480" w:lineRule="auto"/>
      </w:pPr>
      <w:r>
        <w:t xml:space="preserve">3.3 The perceptual channel</w:t>
      </w:r>
    </w:p>
    <w:p>
      <w:pPr>
        <w:pStyle w:val="FirstParagraph"/>
        <w:spacing w:line="480" w:lineRule="auto"/>
      </w:pPr>
      <w:r>
        <w:t xml:space="preserve">The second channel runs through perception and choice. Convergence changes not only what states do but what they believe about each other and about the value of coordinating. As the margin narrows, the dominant actor grows less certain that transparency serves its interest, because the information it shares now flows to a peer rather than to a laggard. The rising actor, for its part, gains the confidence to withhold, to contest, and to test the rules rather than accept them. Dailey, Toner, and Murphy make the stakes of this channel concrete by proposing a shared information-sharing ecosystem precisely because withholding is a live option that both states can exercise</w:t>
      </w:r>
      <w:r>
        <w:t xml:space="preserve"> </w:t>
      </w:r>
      <w:hyperlink w:anchor="ref-13">
        <w:r>
          <w:rPr>
            <w:rStyle w:val="Hyperlink"/>
          </w:rPr>
          <w:t xml:space="preserve">[13]</w:t>
        </w:r>
      </w:hyperlink>
      <w:r>
        <w:t xml:space="preserve">. The value of their proposal is that it treats the willingness to coordinate as a decision variable, not a constant, and a decision variable is exactly what convergence can move. The perceptual channel predicts friction through changed willingness rather than changed volume.</w:t>
      </w:r>
    </w:p>
    <w:p>
      <w:pPr>
        <w:pStyle w:val="BodyText"/>
        <w:spacing w:line="480" w:lineRule="auto"/>
        <w:ind w:firstLine="720"/>
      </w:pPr>
      <w:r>
        <w:t xml:space="preserve">Even holding activity fixed, a narrowing margin can make each actor more inclined to treat a filing as a bid, a registration lapse as a signal, and a forum procedure as a contest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Young and Thadani’s account of broadband competition supplies the logic: when the surfaces themselves carry durable strategic advantage, actors have reason to fight over them rather than to smooth them, and that reason grows as the balance of power that the surfaces help determine comes into play</w:t>
      </w:r>
      <w:r>
        <w:t xml:space="preserve"> </w:t>
      </w:r>
      <w:hyperlink w:anchor="ref-9">
        <w:r>
          <w:rPr>
            <w:rStyle w:val="Hyperlink"/>
          </w:rPr>
          <w:t xml:space="preserve">[9]</w:t>
        </w:r>
      </w:hyperlink>
      <w:r>
        <w:t xml:space="preserve">. The two channels are not rivals to be adjudicated here. They are complementary routes to the same observable outcome, and the dissertation’s design does not require separating them to test the central proposition. What matters is that both predict the same directional relationship: as the measured gap narrows, documented coordination breakdown should rise after a lag. Distinguishing the channels is a task for a richer specification with intent proxies, and Chapter 7 returns to why that separation is hard with the data presently in hand.</w:t>
      </w:r>
    </w:p>
    <w:bookmarkEnd w:id="84"/>
    <w:bookmarkStart w:id="85" w:name="why-a-lag-and-how-long"/>
    <w:p>
      <w:pPr>
        <w:pStyle w:val="Heading2"/>
        <w:spacing w:line="480" w:lineRule="auto"/>
      </w:pPr>
      <w:r>
        <w:t xml:space="preserve">3.4 Why a lag, and how long</w:t>
      </w:r>
    </w:p>
    <w:p>
      <w:pPr>
        <w:pStyle w:val="FirstParagraph"/>
        <w:spacing w:line="480" w:lineRule="auto"/>
      </w:pPr>
      <w:r>
        <w:t xml:space="preserve">The relationship is expected to be lagged rather than contemporaneous, and the reason is structural.</w:t>
      </w:r>
    </w:p>
    <w:p>
      <w:pPr>
        <w:pStyle w:val="BodyText"/>
        <w:spacing w:line="480" w:lineRule="auto"/>
        <w:ind w:firstLine="720"/>
      </w:pPr>
      <w:r>
        <w:t xml:space="preserve">Governance friction does not follow capability change instantly. Filings run on cycles. Forum calendars meet at intervals. Diplomatic reactions to a registration irregularity or an information-sharing refusal take time to form, to be documented, and to escalate into procedural conflict. A maneuver observed in one year may not generate a coded governance event until the filing or forum that responds to it convenes in the next. The mechanism therefore predicts that narrowing in a given year should be associated with elevated breakdown counts in subsequent years, and the design tests multiple lag windows rather than assuming a single one, because the appropriate delay depends on which surface responds first.</w:t>
      </w:r>
    </w:p>
    <w:p>
      <w:pPr>
        <w:pStyle w:val="BodyText"/>
        <w:spacing w:line="480" w:lineRule="auto"/>
        <w:ind w:firstLine="720"/>
      </w:pPr>
      <w:r>
        <w:t xml:space="preserve">This lag structure is also what protects the proposition from a lazy confound.</w:t>
      </w:r>
    </w:p>
    <w:p>
      <w:pPr>
        <w:pStyle w:val="BodyText"/>
        <w:spacing w:line="480" w:lineRule="auto"/>
        <w:ind w:firstLine="720"/>
      </w:pPr>
      <w:r>
        <w:t xml:space="preserve">If breakdown rose in the same year as narrowing, one could always suspect that a common shock drove both at once. A lagged relationship, conditioned on year effects and shock controls, is harder to explain away by simultaneity, and it is the form in which the hypotheses are stated.</w:t>
      </w:r>
    </w:p>
    <w:bookmarkEnd w:id="85"/>
    <w:bookmarkStart w:id="86" w:name="the-hypotheses"/>
    <w:p>
      <w:pPr>
        <w:pStyle w:val="Heading2"/>
        <w:spacing w:line="480" w:lineRule="auto"/>
      </w:pPr>
      <w:r>
        <w:t xml:space="preserve">3.5 The hypotheses</w:t>
      </w:r>
    </w:p>
    <w:p>
      <w:pPr>
        <w:pStyle w:val="FirstParagraph"/>
        <w:spacing w:line="480" w:lineRule="auto"/>
      </w:pPr>
      <w:r>
        <w:t xml:space="preserve">Let the gap in year t be the United States value minus the China value on the composite capability index, and let the breakdown count in year t be the annual number of documented coordination-breakdown events.</w:t>
      </w:r>
    </w:p>
    <w:p>
      <w:pPr>
        <w:pStyle w:val="BodyText"/>
        <w:spacing w:line="480" w:lineRule="auto"/>
        <w:ind w:firstLine="720"/>
      </w:pPr>
      <w:r>
        <w:t xml:space="preserve">The predictions concern the sign of the coefficient on lagged gap-narrowing after the conditioning set is applied. The null hypothesis states that, after conditioning on year effects, baseline strategic shocks, and issue-area controls, narrowing in the measured capability gap does not predict a subsequent increase in coordination-breakdown events, so the coefficient on lagged gap-narrowing is non-positive. The alternative hypothesis states that, under the same conditioning set, narrowing in the gap predicts a subsequent increase in breakdown events at a measurable lag, so the coefficient on lagged gap-narrowing is positive. The decision rule is symmetric and stated in advance. A non-positive, statistically indistinguishable coefficient rejects the orbital reading of the transition frame for this domain. A positive, statistically distinguishable coefficient fails to reject it.</w:t>
      </w:r>
    </w:p>
    <w:bookmarkEnd w:id="86"/>
    <w:bookmarkStart w:id="87" w:name="boundary-conditions-of-the-mechanism"/>
    <w:p>
      <w:pPr>
        <w:pStyle w:val="Heading2"/>
        <w:spacing w:line="480" w:lineRule="auto"/>
      </w:pPr>
      <w:r>
        <w:t xml:space="preserve">3.6 Boundary conditions of the mechanism</w:t>
      </w:r>
    </w:p>
    <w:p>
      <w:pPr>
        <w:pStyle w:val="FirstParagraph"/>
        <w:spacing w:line="480" w:lineRule="auto"/>
      </w:pPr>
      <w:r>
        <w:t xml:space="preserve">A mechanism that predicts everything predicts nothing, so it is worth stating the conditions under which the theory expects its relationship to hold and the conditions under which it does not. The mechanism assumes that coordination surfaces have finite capacity to absorb activity, which is why rising volume produces friction</w:t>
      </w:r>
      <w:r>
        <w:t xml:space="preserve"> </w:t>
      </w:r>
      <w:hyperlink w:anchor="ref-8">
        <w:r>
          <w:rPr>
            <w:rStyle w:val="Hyperlink"/>
          </w:rPr>
          <w:t xml:space="preserve">[8]</w:t>
        </w:r>
      </w:hyperlink>
      <w:r>
        <w:t xml:space="preserve">. If the institutions governing filings, registrations, and forums expanded their capacity fast enough to keep pace with orbital growth, the material channel would weaken, because volume would no longer outrun the machinery that processes it</w:t>
      </w:r>
      <w:r>
        <w:t xml:space="preserve"> </w:t>
      </w:r>
      <w:hyperlink w:anchor="ref-7">
        <w:r>
          <w:rPr>
            <w:rStyle w:val="Hyperlink"/>
          </w:rPr>
          <w:t xml:space="preserve">[7]</w:t>
        </w:r>
      </w:hyperlink>
      <w:r>
        <w:t xml:space="preserve">. The theory therefore predicts stronger friction in periods when institutional capacity is roughly fixed and orbital activity is rising fast, and weaker friction when institutions are actively reforming to absorb load. This is testable in principle, and it is one reason the design conditions on major regulatory reforms as controls rather than ignoring them. The perceptual channel carries its own boundary condition. It assumes that both actors read the balance of power as consequential for the value of coordinating</w:t>
      </w:r>
      <w:r>
        <w:t xml:space="preserve"> </w:t>
      </w:r>
      <w:hyperlink w:anchor="ref-13">
        <w:r>
          <w:rPr>
            <w:rStyle w:val="Hyperlink"/>
          </w:rPr>
          <w:t xml:space="preserve">[13]</w:t>
        </w:r>
      </w:hyperlink>
      <w:r>
        <w:t xml:space="preserve">. If either actor were indifferent to relative position, treating orbit as a purely technical commons rather than a strategic arena, the perceptual channel would go slack, because a narrowing margin would not change anyone’s willingness to coordinate</w:t>
      </w:r>
      <w:r>
        <w:t xml:space="preserve"> </w:t>
      </w:r>
      <w:hyperlink w:anchor="ref-9">
        <w:r>
          <w:rPr>
            <w:rStyle w:val="Hyperlink"/>
          </w:rPr>
          <w:t xml:space="preserve">[9]</w:t>
        </w:r>
      </w:hyperlink>
      <w:r>
        <w:t xml:space="preserve">. The evidence that both the United States and China treat orbital coordination surfaces as strategic, rather than as neutral administration, is what activates this channel, and the strategic literature reviewed in Chapter 2 supplies exactly that evidence</w:t>
      </w:r>
      <w:r>
        <w:t xml:space="preserve"> </w:t>
      </w:r>
      <w:hyperlink w:anchor="ref-11">
        <w:r>
          <w:rPr>
            <w:rStyle w:val="Hyperlink"/>
          </w:rPr>
          <w:t xml:space="preserve">[11]</w:t>
        </w:r>
      </w:hyperlink>
      <w:r>
        <w:t xml:space="preserve">. Where that evidence is absent, the mechanism does not claim to operate, and the theory is bounded accordingly.</w:t>
      </w:r>
    </w:p>
    <w:bookmarkEnd w:id="87"/>
    <w:bookmarkStart w:id="88" w:name="Xef9a87e762060c9327960625533f3f86fa3c5f1"/>
    <w:p>
      <w:pPr>
        <w:pStyle w:val="Heading2"/>
        <w:spacing w:line="480" w:lineRule="auto"/>
      </w:pPr>
      <w:r>
        <w:t xml:space="preserve">3.7 What would count as evidence against the theory</w:t>
      </w:r>
    </w:p>
    <w:p>
      <w:pPr>
        <w:pStyle w:val="FirstParagraph"/>
        <w:spacing w:line="480" w:lineRule="auto"/>
      </w:pPr>
      <w:r>
        <w:t xml:space="preserve">Falsifiability is only meaningful if one can say in advance what a disconfirming result looks like, so the chapter states it plainly. The theory is wrong for this domain if, after the conditioning set is applied, lagged gap-narrowing carries a non-positive coefficient that cannot be distinguished from zero across the tested lag windows. It is also undermined, in a softer way, if the relationship appears only at a single hand-picked lag and vanishes at neighboring lags, because a mechanism that runs through filing cycles and forum calendars should leave a signal that is robust across a plausible band of delays rather than a knife-edge artifact of one specification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 And it is undermined if lagged gap-narrowing predicts the placebo outcome as strongly as the true breakdown series, because that pattern would show the coefficient is capturing a general trend rather than the coordination mechanism the theory names</w:t>
      </w:r>
      <w:r>
        <w:t xml:space="preserve"> </w:t>
      </w:r>
      <w:hyperlink w:anchor="ref-5">
        <w:r>
          <w:rPr>
            <w:rStyle w:val="Hyperlink"/>
          </w:rPr>
          <w:t xml:space="preserve">[5]</w:t>
        </w:r>
      </w:hyperlink>
      <w:r>
        <w:t xml:space="preserve">. Stating these disconfirming patterns in advance is what separates a theory from a story. A story accommodates any result after the fact. A theory names, before seeing the data, the shapes of evidence that would force its abandonment, and this one names three: a null or negative lagged coefficient, a knife-edge single-lag result, and a placebo that lights up as brightly as the real outcome. Chapter 4 turns these commitments into an estimation strategy, and Chapter 7 returns to how each disconfirming pattern would be detected in practice.</w:t>
      </w:r>
    </w:p>
    <w:bookmarkEnd w:id="88"/>
    <w:bookmarkStart w:id="89" w:name="X552c22151c3930412b6ddff63c5f76efd5f7fb9"/>
    <w:p>
      <w:pPr>
        <w:pStyle w:val="Heading2"/>
        <w:spacing w:line="480" w:lineRule="auto"/>
      </w:pPr>
      <w:r>
        <w:t xml:space="preserve">3.8 The mechanism as a sequence of observable steps</w:t>
      </w:r>
    </w:p>
    <w:p>
      <w:pPr>
        <w:pStyle w:val="FirstParagraph"/>
        <w:spacing w:line="480" w:lineRule="auto"/>
      </w:pPr>
      <w:r>
        <w:t xml:space="preserve">It helps to render the mechanism as an ordered sequence, because doing so exposes each point at which it could be measured or could fail. The sequence begins with material change: the rising actor’s launch cadence, payload stock, and maneuver competence grow, narrowing the composite margin</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change flows into the coordination surfaces as increased load: more filings, more registrations, more maneuvers requiring observation and interpretation</w:t>
      </w:r>
      <w:r>
        <w:t xml:space="preserve"> </w:t>
      </w:r>
      <w:hyperlink w:anchor="ref-7">
        <w:r>
          <w:rPr>
            <w:rStyle w:val="Hyperlink"/>
          </w:rPr>
          <w:t xml:space="preserve">[7]</w:t>
        </w:r>
      </w:hyperlink>
      <w:r>
        <w:t xml:space="preserve">. The surfaces, having finite capacity, process the increased load imperfectly, and a share of the transactions fail to resolve cleanly, appearing as contested filings, registration irregularities, or procedural disputes</w:t>
      </w:r>
      <w:r>
        <w:t xml:space="preserve"> </w:t>
      </w:r>
      <w:hyperlink w:anchor="ref-8">
        <w:r>
          <w:rPr>
            <w:rStyle w:val="Hyperlink"/>
          </w:rPr>
          <w:t xml:space="preserve">[8]</w:t>
        </w:r>
      </w:hyperlink>
      <w:r>
        <w:t xml:space="preserve">. Running alongside the material step is the perceptual one. The same narrowing that raises load also shifts each actor’s calculation about the value of coordinating, making both more willing to contest a filing, withhold information, or press a procedural point</w:t>
      </w:r>
      <w:r>
        <w:t xml:space="preserve"> </w:t>
      </w:r>
      <w:hyperlink w:anchor="ref-13">
        <w:r>
          <w:rPr>
            <w:rStyle w:val="Hyperlink"/>
          </w:rPr>
          <w:t xml:space="preserve">[13]</w:t>
        </w:r>
      </w:hyperlink>
      <w:r>
        <w:t xml:space="preserve">. The two steps converge on the same observable output: a rise in documented breakdown events, appearing after the delay imposed by filing cycles and forum calendars</w:t>
      </w:r>
      <w:r>
        <w:t xml:space="preserve"> </w:t>
      </w:r>
      <w:hyperlink w:anchor="ref-11">
        <w:r>
          <w:rPr>
            <w:rStyle w:val="Hyperlink"/>
          </w:rPr>
          <w:t xml:space="preserve">[11]</w:t>
        </w:r>
      </w:hyperlink>
      <w:r>
        <w:t xml:space="preserve">. Laying the mechanism out this way makes clear that it is not a black box connecting an input to an output. It is a chain, and each link, the material change, the load increase, the perceptual shift, the imperfect processing, and the lagged documentary trace, is in principle observable, which is what makes the whole claim empirical rather than assumed</w:t>
      </w:r>
      <w:r>
        <w:t xml:space="preserve"> </w:t>
      </w:r>
      <w:hyperlink w:anchor="ref-9">
        <w:r>
          <w:rPr>
            <w:rStyle w:val="Hyperlink"/>
          </w:rPr>
          <w:t xml:space="preserve">[9]</w:t>
        </w:r>
      </w:hyperlink>
      <w:r>
        <w:t xml:space="preserve">.</w:t>
      </w:r>
    </w:p>
    <w:p>
      <w:pPr>
        <w:pStyle w:val="BodyText"/>
        <w:spacing w:line="480" w:lineRule="auto"/>
        <w:ind w:firstLine="720"/>
      </w:pPr>
      <w:r>
        <w:t xml:space="preserve">The sequence also clarifies where the design’s controls attach. Shock controls sit between the coordination surfaces and the documentary output, catching cases where a debris event or crisis, rather than load, produced the breakdown</w:t>
      </w:r>
      <w:r>
        <w:t xml:space="preserve"> </w:t>
      </w:r>
      <w:hyperlink w:anchor="ref-5">
        <w:r>
          <w:rPr>
            <w:rStyle w:val="Hyperlink"/>
          </w:rPr>
          <w:t xml:space="preserve">[5]</w:t>
        </w:r>
      </w:hyperlink>
      <w:r>
        <w:t xml:space="preserve">. The lag structure sits on the final link, ensuring that the output is tested against material change at a delay rather than contemporaneously. Reading the mechanism as a sequence is therefore not merely expository; it is the map on which the identification strategy of Chapter 4 is built</w:t>
      </w:r>
      <w:r>
        <w:t xml:space="preserve"> </w:t>
      </w:r>
      <w:hyperlink w:anchor="ref-2">
        <w:r>
          <w:rPr>
            <w:rStyle w:val="Hyperlink"/>
          </w:rPr>
          <w:t xml:space="preserve">[2]</w:t>
        </w:r>
      </w:hyperlink>
      <w:r>
        <w:t xml:space="preserve">.</w:t>
      </w:r>
    </w:p>
    <w:bookmarkEnd w:id="89"/>
    <w:bookmarkStart w:id="90" w:name="why-the-two-channels-are-left-fused"/>
    <w:p>
      <w:pPr>
        <w:pStyle w:val="Heading2"/>
        <w:spacing w:line="480" w:lineRule="auto"/>
      </w:pPr>
      <w:r>
        <w:t xml:space="preserve">3.9 Why the two channels are left fused</w:t>
      </w:r>
    </w:p>
    <w:p>
      <w:pPr>
        <w:pStyle w:val="FirstParagraph"/>
        <w:spacing w:line="480" w:lineRule="auto"/>
      </w:pPr>
      <w:r>
        <w:t xml:space="preserve">A reader trained in mechanism design might object that a rigorous theory should separate the material channel from the perceptual one and test each independently. The objection is fair, and the chapter’s answer is a matter of honesty about what the data can bear. Separating the two channels requires an intent proxy: some measure of whether an actor’s willingness to coordinate has shifted, holding activity fixed</w:t>
      </w:r>
      <w:r>
        <w:t xml:space="preserve"> </w:t>
      </w:r>
      <w:hyperlink w:anchor="ref-13">
        <w:r>
          <w:rPr>
            <w:rStyle w:val="Hyperlink"/>
          </w:rPr>
          <w:t xml:space="preserve">[13]</w:t>
        </w:r>
      </w:hyperlink>
      <w:r>
        <w:t xml:space="preserve">. Such proxies exist in principle, and work on maneuver-intent detection points toward them, but they are noisy and contested, precisely because intent is what actors try hardest to obscure</w:t>
      </w:r>
      <w:r>
        <w:t xml:space="preserve"> </w:t>
      </w:r>
      <w:hyperlink w:anchor="ref-1">
        <w:r>
          <w:rPr>
            <w:rStyle w:val="Hyperlink"/>
          </w:rPr>
          <w:t xml:space="preserve">[1]</w:t>
        </w:r>
      </w:hyperlink>
      <w:r>
        <w:t xml:space="preserve">. Building the central test on a fragile intent proxy would trade a clean directional prediction for a shaky decomposition. The design therefore leaves the channels fused at this stage, testing only the directional prediction on which both agree: that narrowing precedes breakdown at a lag</w:t>
      </w:r>
      <w:r>
        <w:t xml:space="preserve"> </w:t>
      </w:r>
      <w:hyperlink w:anchor="ref-8">
        <w:r>
          <w:rPr>
            <w:rStyle w:val="Hyperlink"/>
          </w:rPr>
          <w:t xml:space="preserve">[8]</w:t>
        </w:r>
      </w:hyperlink>
      <w:r>
        <w:t xml:space="preserve">. This is a deliberate choice to claim less in order to claim it firmly. A fused test that returns a clean result establishes that the relationship exists; a decomposed test that returns a muddy result would establish nothing while appearing more sophisticated</w:t>
      </w:r>
      <w:r>
        <w:t xml:space="preserve"> </w:t>
      </w:r>
      <w:hyperlink w:anchor="ref-7">
        <w:r>
          <w:rPr>
            <w:rStyle w:val="Hyperlink"/>
          </w:rPr>
          <w:t xml:space="preserve">[7]</w:t>
        </w:r>
      </w:hyperlink>
      <w:r>
        <w:t xml:space="preserve">. Chapter 8 flags channel separation as a future extension, to be attempted once a defensible intent proxy is in hand, but the core proposition does not wait on it, and the theory is stated at the level of aggregation the evidence can actually support</w:t>
      </w:r>
      <w:r>
        <w:t xml:space="preserve"> </w:t>
      </w:r>
      <w:hyperlink w:anchor="ref-4">
        <w:r>
          <w:rPr>
            <w:rStyle w:val="Hyperlink"/>
          </w:rPr>
          <w:t xml:space="preserve">[4]</w:t>
        </w:r>
      </w:hyperlink>
      <w:r>
        <w:t xml:space="preserve">.</w:t>
      </w:r>
    </w:p>
    <w:bookmarkEnd w:id="90"/>
    <w:bookmarkStart w:id="91" w:name="X6e2729c56934fffebfdfa31e695caa5d40e700e"/>
    <w:p>
      <w:pPr>
        <w:pStyle w:val="Heading2"/>
        <w:spacing w:line="480" w:lineRule="auto"/>
      </w:pPr>
      <w:r>
        <w:t xml:space="preserve">3.10 The theory’s stance on timing versus destiny</w:t>
      </w:r>
    </w:p>
    <w:p>
      <w:pPr>
        <w:pStyle w:val="FirstParagraph"/>
        <w:spacing w:line="480" w:lineRule="auto"/>
      </w:pPr>
      <w:r>
        <w:t xml:space="preserve">A word on what the theory does not assert keeps its scope honest. It is a claim about timing, not about inevitability. It does not hold that capability convergence must produce breakdown, only that convergence raises the rate at which breakdown appears in the coordination surfaces after a lag</w:t>
      </w:r>
      <w:r>
        <w:t xml:space="preserve"> </w:t>
      </w:r>
      <w:hyperlink w:anchor="ref-4">
        <w:r>
          <w:rPr>
            <w:rStyle w:val="Hyperlink"/>
          </w:rPr>
          <w:t xml:space="preserve">[4]</w:t>
        </w:r>
      </w:hyperlink>
      <w:r>
        <w:t xml:space="preserve"> </w:t>
      </w:r>
      <w:hyperlink w:anchor="ref-8">
        <w:r>
          <w:rPr>
            <w:rStyle w:val="Hyperlink"/>
          </w:rPr>
          <w:t xml:space="preserve">[8]</w:t>
        </w:r>
      </w:hyperlink>
      <w:r>
        <w:t xml:space="preserve">. A rising actor and an established one could, in principle, manage their convergence without any rise in documented friction, if their institutions expanded capacity and their leaders chose restraint</w:t>
      </w:r>
      <w:r>
        <w:t xml:space="preserve"> </w:t>
      </w:r>
      <w:hyperlink w:anchor="ref-13">
        <w:r>
          <w:rPr>
            <w:rStyle w:val="Hyperlink"/>
          </w:rPr>
          <w:t xml:space="preserve">[13]</w:t>
        </w:r>
      </w:hyperlink>
      <w:r>
        <w:t xml:space="preserve">. The theory simply predicts that, absent such management, the friction rate rises, and it locates that rise in observable coordination surfaces rather than in dramatic confrontation</w:t>
      </w:r>
      <w:r>
        <w:t xml:space="preserve"> </w:t>
      </w:r>
      <w:hyperlink w:anchor="ref-11">
        <w:r>
          <w:rPr>
            <w:rStyle w:val="Hyperlink"/>
          </w:rPr>
          <w:t xml:space="preserve">[11]</w:t>
        </w:r>
      </w:hyperlink>
      <w:r>
        <w:t xml:space="preserve">. Framing the mechanism as a shift in rates rather than a march toward destiny is what makes it a statistical proposition testable on count data, and it is also what keeps the dissertation from overclaiming the fatalism that the broad analogy sometimes carries</w:t>
      </w:r>
      <w:r>
        <w:t xml:space="preserve"> </w:t>
      </w:r>
      <w:hyperlink w:anchor="ref-7">
        <w:r>
          <w:rPr>
            <w:rStyle w:val="Hyperlink"/>
          </w:rPr>
          <w:t xml:space="preserve">[7]</w:t>
        </w:r>
      </w:hyperlink>
      <w:r>
        <w:t xml:space="preserve">.</w:t>
      </w:r>
    </w:p>
    <w:bookmarkEnd w:id="91"/>
    <w:bookmarkStart w:id="92" w:name="X492148580404c6b7f01bf13050c7c09ac701e4a"/>
    <w:p>
      <w:pPr>
        <w:pStyle w:val="Heading2"/>
        <w:spacing w:line="480" w:lineRule="auto"/>
      </w:pPr>
      <w:r>
        <w:t xml:space="preserve">3.11 What the diagnostic papers predict about the source base</w:t>
      </w:r>
    </w:p>
    <w:p>
      <w:pPr>
        <w:pStyle w:val="FirstParagraph"/>
        <w:spacing w:line="480" w:lineRule="auto"/>
      </w:pPr>
      <w:r>
        <w:t xml:space="preserve">The two completed papers carry their own small hypotheses, and it is worth stating them here because they belong to the same discipline of pre-committed prediction. Paper 1 posits that within the retrieved corpus the topic-signal score is unrelated to recency, citation attention, and venue family under its null, and rises with recency and citation attention under its alternative. Paper 2 posits that citation accumulation is unrelated to article age under its null, and follows a measurable age-based curve under its alternative</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These are not tests of the United States-China mechanism. They are tests of whether the source environment behaves in a structured, legible way, and stating them in advance holds the diagnostic work to the same standard of falsifiability as the main design. Chapter 4 turns each of these stated predictions into an estimator, and Chapter 6 reports what the estimators returned, including the places where the corpus behaved against the naive expectation and the diagnostic therefore did real work</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sets out how the dissertation intends to estimate its central relationship, why that estimation strategy identifies an effect rather than a correlation, and how the two completed diagnostic papers are estimated. The distinction between the planned core design and the completed diagnostics is kept sharp throughout. The core design specifies the capability-gap event study that remains reserved for the next empirical stage. The diagnostics are finished, and their estimators are described in full so that Chapter 6 can report their output exactly.</w:t>
      </w:r>
    </w:p>
    <w:bookmarkStart w:id="94" w:name="the-planned-core-estimator"/>
    <w:p>
      <w:pPr>
        <w:pStyle w:val="Heading2"/>
        <w:spacing w:line="480" w:lineRule="auto"/>
      </w:pPr>
      <w:r>
        <w:t xml:space="preserve">4.1 The planned core estimator</w:t>
      </w:r>
    </w:p>
    <w:p>
      <w:pPr>
        <w:pStyle w:val="FirstParagraph"/>
        <w:spacing w:line="480" w:lineRule="auto"/>
      </w:pPr>
      <w:r>
        <w:t xml:space="preserve">The central relationship is between an annual capability-gap index and an annual count of coordination-breakdown events over the period 2000 through 2026, with the exact window depending on the eventual breadth of the coded breakdown series.</w:t>
      </w:r>
    </w:p>
    <w:p>
      <w:pPr>
        <w:pStyle w:val="BodyText"/>
        <w:spacing w:line="480" w:lineRule="auto"/>
        <w:ind w:firstLine="720"/>
      </w:pPr>
      <w:r>
        <w:t xml:space="preserve">Because the outcome is a count of events per year, the natural baseline is a distributed-lag count model rather than a linear regression on the raw counts. A count model respects the discreteness and non-negativity of the outcome and handles the years with zero events without the distortions that a linear model would introduce.</w:t>
      </w:r>
    </w:p>
    <w:p>
      <w:pPr>
        <w:pStyle w:val="BodyText"/>
        <w:spacing w:line="480" w:lineRule="auto"/>
        <w:ind w:firstLine="720"/>
      </w:pPr>
      <w:r>
        <w:t xml:space="preserve">The specification regresses the breakdown count in a given year on lagged changes in the capability-gap index, entered at several lag lengths, together with the conditioning set.</w:t>
      </w:r>
    </w:p>
    <w:p>
      <w:pPr>
        <w:pStyle w:val="BodyText"/>
        <w:spacing w:line="480" w:lineRule="auto"/>
        <w:ind w:firstLine="720"/>
      </w:pPr>
      <w:r>
        <w:t xml:space="preserve">A negative binomial form is preferred over a pure Poisson form because governance-breakdown counts are likely to be overdispersed: a year with one contested filing tends to be a year with several, since disputes cluster around filing cycles and forum sessions. Overdispersion inflates the apparent precision of a Poisson fit, and the negative binomial guards against that. A linear distributed-lag model is retained as a robustness check, because a result that survives both a count and a linear treatment is more credible than one that depends on a single functional form. The coefficient of interest is the one on lagged gap-narrowing. Under the alternative hypothesis it is positive and statistically distinguishable from zero, meaning that years following a narrowing of the measured margin carry elevated breakdown counts. Under the null it is non-positive or indistinguishable from zero. The design tests multiple lag windows because, as Chapter 3 argued, governance friction responds on the cycles of filings, forums, and diplomatic reaction rather than instantaneously, and the correct lag is an empirical question rather than an assumption.</w:t>
      </w:r>
    </w:p>
    <w:bookmarkEnd w:id="94"/>
    <w:bookmarkStart w:id="95" w:name="why-the-design-identifies-the-effect"/>
    <w:p>
      <w:pPr>
        <w:pStyle w:val="Heading2"/>
        <w:spacing w:line="480" w:lineRule="auto"/>
      </w:pPr>
      <w:r>
        <w:t xml:space="preserve">4.2 Why the design identifies the effect</w:t>
      </w:r>
    </w:p>
    <w:p>
      <w:pPr>
        <w:pStyle w:val="FirstParagraph"/>
        <w:spacing w:line="480" w:lineRule="auto"/>
      </w:pPr>
      <w:r>
        <w:t xml:space="preserve">Estimation is not identification. The distinction is easy to state and easy to forget, because a coefficient can be estimated with great precision and still describe nothing more than a coincidence, a shared trend, or a reverse causal path that the analyst has mistaken for the mechanism of interest. The planned design leans on three disciplines to move from association toward identification.</w:t>
      </w:r>
    </w:p>
    <w:p>
      <w:pPr>
        <w:pStyle w:val="BodyText"/>
        <w:spacing w:line="480" w:lineRule="auto"/>
        <w:ind w:firstLine="720"/>
      </w:pPr>
      <w:r>
        <w:t xml:space="preserve">The first is that the capability index is built from observable inputs recorded independently in public systems, not from narrative judgments about which actor seems ascendant.</w:t>
      </w:r>
    </w:p>
    <w:p>
      <w:pPr>
        <w:pStyle w:val="BodyText"/>
        <w:spacing w:line="480" w:lineRule="auto"/>
        <w:ind w:firstLine="720"/>
      </w:pPr>
      <w:r>
        <w:t xml:space="preserve">Launch counts, active payload stocks, and documented maneuver events are logged by cataloguing and launch-record systems that do not know or care about the dissertation’s hypothesis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This breaks the most obvious circularity, in which an analyst infers capability from the same tension the analyst is trying to explain. The index is measured on one side of the relationship using data that could not have been generated to fit the outcome on the other side. The second discipline is that the breakdown series is coded from traceable procedural and documentary events under transparent inclusion rules. A coordination breakdown counts only if it leaves a documentary trace: a contested filing on record, a registration irregularity in the multilateral record, a documented information-sharing refusal, a procedural conflict in a governance forum</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Ordinary diplomatic disagreement, unaccompanied by such a trace, does not count. This rule sacrifices some sensitivity to gain reliability, and it makes the series reproducible by a second coder working from the same published rules.</w:t>
      </w:r>
    </w:p>
    <w:p>
      <w:pPr>
        <w:pStyle w:val="BodyText"/>
        <w:spacing w:line="480" w:lineRule="auto"/>
        <w:ind w:firstLine="720"/>
      </w:pPr>
      <w:r>
        <w:t xml:space="preserve">The third discipline is conditioning on major exogenous shocks that could move coordination independently of capability transition. Major debris-generating events, major regulatory reforms, and exceptional crisis years enter the specification as controls, because each could plausibly raise breakdown counts through a route that has nothing to do with the narrowing margin</w:t>
      </w:r>
      <w:r>
        <w:t xml:space="preserve"> </w:t>
      </w:r>
      <w:hyperlink w:anchor="ref-5">
        <w:r>
          <w:rPr>
            <w:rStyle w:val="Hyperlink"/>
          </w:rPr>
          <w:t xml:space="preserve">[5]</w:t>
        </w:r>
      </w:hyperlink>
      <w:r>
        <w:t xml:space="preserve">. The design also runs placebo tests in which an unrelated class of administrative events is substituted for the breakdown series. If lagged gap-narrowing predicts the placebo outcome as strongly as it predicts the true one, the finding is an artifact of some general trend rather than the mechanism, and the placebo is designed to expose exactly that failure.</w:t>
      </w:r>
    </w:p>
    <w:bookmarkEnd w:id="95"/>
    <w:bookmarkStart w:id="96" w:name="X7791881d98bb883e093ad10b54249c747dd280d"/>
    <w:p>
      <w:pPr>
        <w:pStyle w:val="Heading2"/>
        <w:spacing w:line="480" w:lineRule="auto"/>
      </w:pPr>
      <w:r>
        <w:t xml:space="preserve">4.3 Estimator for Paper 1: signal intensity by ordinary least squares</w:t>
      </w:r>
    </w:p>
    <w:p>
      <w:pPr>
        <w:pStyle w:val="FirstParagraph"/>
        <w:spacing w:line="480" w:lineRule="auto"/>
      </w:pPr>
      <w:r>
        <w:t xml:space="preserve">Paper 1 is a completed diagnostic, and its estimator is ordinary least squares. The dependent variable is a composite topic-signal score built deterministically from theme-term hits in the title, snippet, keyword field, and author metadata of each retrieved source record. The three predictors are a recency index, a reported citation count, and an ordinal venue-family score that codes AMOS as 1, Acta Astronautica as 2, and the space-economy family as 3. The estimating equation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r>
            <m:t> </m:t>
          </m:r>
          <m:sSub>
            <m:e>
              <m:r>
                <m:rPr>
                  <m:nor/>
                  <m:sty m:val="p"/>
                </m:rPr>
                <m:t>RecencyIndex</m:t>
              </m:r>
            </m:e>
            <m:sub>
              <m:r>
                <m:t>i</m:t>
              </m:r>
            </m:sub>
          </m:sSub>
          <m:r>
            <m:rPr>
              <m:sty m:val="p"/>
            </m:rPr>
            <m:t>+</m:t>
          </m:r>
          <m:sSub>
            <m:e>
              <m:r>
                <m:t>β</m:t>
              </m:r>
            </m:e>
            <m:sub>
              <m:r>
                <m:t>2</m:t>
              </m:r>
            </m:sub>
          </m:sSub>
          <m:r>
            <m:t> </m:t>
          </m:r>
          <m:sSub>
            <m:e>
              <m:r>
                <m:rPr>
                  <m:nor/>
                  <m:sty m:val="p"/>
                </m:rPr>
                <m:t>Cites</m:t>
              </m:r>
            </m:e>
            <m:sub>
              <m:r>
                <m:t>i</m:t>
              </m:r>
            </m:sub>
          </m:sSub>
          <m:r>
            <m:rPr>
              <m:sty m:val="p"/>
            </m:rPr>
            <m:t>+</m:t>
          </m:r>
          <m:sSub>
            <m:e>
              <m:r>
                <m:t>β</m:t>
              </m:r>
            </m:e>
            <m:sub>
              <m:r>
                <m:t>3</m:t>
              </m:r>
            </m:sub>
          </m:sSub>
          <m:r>
            <m:t> </m:t>
          </m:r>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Standard errors are computed with the heteroskedasticity-robust HC1 correction, because a deterministic score built from heterogeneous text fields has no reason to produce constant-variance residuals. The estimator is descriptive and diagnostic by design, not causal. The corpus is a source-retrieval set rather than a random sample of a population, so a coefficient here describes how the retrieval concentrates certain kinds of material, not a treatment effect on any real-world quantity. A precise coefficient tells the dissertation that its source environment sorts on an observable feature; a null coefficient tells it that the corpus does not sort cleanly on that feature. Both are useful facts about the legibility of the evidence base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96"/>
    <w:bookmarkStart w:id="97" w:name="Xe9b2a514656f0dceda2eb70bfbfbd7839631903"/>
    <w:p>
      <w:pPr>
        <w:pStyle w:val="Heading2"/>
        <w:spacing w:line="480" w:lineRule="auto"/>
      </w:pPr>
      <w:r>
        <w:t xml:space="preserve">4.4 Estimator for Paper 2: a log-log learning curve</w:t>
      </w:r>
    </w:p>
    <w:p>
      <w:pPr>
        <w:pStyle w:val="FirstParagraph"/>
        <w:spacing w:line="480" w:lineRule="auto"/>
      </w:pPr>
      <w:r>
        <w:t xml:space="preserve">Paper 2 is the second completed diagnostic, and it estimates how citation attention scales with article age across the same thirty records. Article age is computed as 2026 minus the publication year plus one. The citation count is incremented by one so that the logarithm is defined for the many uncited records. The estimating equation is a log-log ordinary least squares fit,</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t> </m:t>
          </m:r>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with robust standard errors. The coefficient is an elasticity: it reports the proportional change in citations-plus-one associated with a proportional change in age. A positive elasticity would mean older items gather more visible attention, the canonical prestige-with-age intuition. A negative elasticity would mean the corpus favors newer items. The elasticity is also translated into a progress ratio, computed as two raised to the estimated coefficient, which expresses the expected proportional change in attention associated with a doubling of age. Like Paper 1, this is a property of the retrieved source environment rather than a general law, and the identification claim is correspondingly modest: it identifies the shape of the attention curve in this specific corpus, nothing more</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7"/>
    <w:bookmarkStart w:id="98" w:name="X5de93d35342632881b74fc9425e2ce8f132eecd"/>
    <w:p>
      <w:pPr>
        <w:pStyle w:val="Heading2"/>
        <w:spacing w:line="480" w:lineRule="auto"/>
      </w:pPr>
      <w:r>
        <w:t xml:space="preserve">4.5 Why ordinary least squares is the right tool for the diagnostics</w:t>
      </w:r>
    </w:p>
    <w:p>
      <w:pPr>
        <w:pStyle w:val="FirstParagraph"/>
        <w:spacing w:line="480" w:lineRule="auto"/>
      </w:pPr>
      <w:r>
        <w:t xml:space="preserve">A reader might ask why the two completed papers use ordinary least squares rather than the count model reserved for the core. The answer is that the diagnostic outcomes are not counts. Paper 1’s dependent variable is a bounded topic-signal score that behaves as a continuous measure across its realized range, and Paper 2’s dependent variable is a logarithm of citations-plus-one, which is continuous by construction. For continuous outcomes with a modest number of predictors, ordinary least squares is the transparent baseline, and transparency is the whole point of a diagnostic. A more elaborate estimator would buy little and would obscure the direct interpretability that makes the diagnostics useful as a check on the source environment</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robust standard errors deserve a note as well. Both papers use heteroskedasticity-robust corrections rather than classical standard errors, because neither outcome has any reason to display constant residual variance. A deterministic score assembled from four heterogeneous text fields will produce residuals whose spread varies with the record, and a log-transformed citation count concentrates many records at the floor value while a few sit far above it. Robust standard errors accommodate that structure without imposing a variance model the data does not support, and they are the conservative choice for inference on a small sample</w:t>
      </w:r>
      <w:r>
        <w:t xml:space="preserve"> </w:t>
      </w:r>
      <w:hyperlink w:anchor="ref-6">
        <w:r>
          <w:rPr>
            <w:rStyle w:val="Hyperlink"/>
          </w:rPr>
          <w:t xml:space="preserve">[6]</w:t>
        </w:r>
      </w:hyperlink>
      <w:r>
        <w:t xml:space="preserve">. This matters directly for how Chapter 6 reads the coefficients, because a coefficient’s significance is only as trustworthy as the standard error beneath it.</w:t>
      </w:r>
    </w:p>
    <w:bookmarkEnd w:id="98"/>
    <w:bookmarkStart w:id="99" w:name="X95ec2fa172be6b51fb716d209617ad3e4d6bb2c"/>
    <w:p>
      <w:pPr>
        <w:pStyle w:val="Heading2"/>
        <w:spacing w:line="480" w:lineRule="auto"/>
      </w:pPr>
      <w:r>
        <w:t xml:space="preserve">4.6 The limits of what the diagnostics can identify</w:t>
      </w:r>
    </w:p>
    <w:p>
      <w:pPr>
        <w:pStyle w:val="FirstParagraph"/>
        <w:spacing w:line="480" w:lineRule="auto"/>
      </w:pPr>
      <w:r>
        <w:t xml:space="preserve">It is worth being explicit about the identification ceiling on the two completed papers, because overclaiming here would undercut the honesty the whole design depends on. Neither diagnostic identifies a causal effect on any real-world governance outcome. Paper 1 identifies how the retrieval concentrates topic signal across observable source features; Paper 2 identifies the shape of the attention curve in the retrieved set. Both are statements about the corpus, not about the world the corpus describes</w:t>
      </w:r>
      <w:r>
        <w:t xml:space="preserve"> </w:t>
      </w:r>
      <w:hyperlink w:anchor="ref-7">
        <w:r>
          <w:rPr>
            <w:rStyle w:val="Hyperlink"/>
          </w:rPr>
          <w:t xml:space="preserve">[7]</w:t>
        </w:r>
      </w:hyperlink>
      <w:r>
        <w:t xml:space="preserve"> </w:t>
      </w:r>
      <w:hyperlink w:anchor="ref-8">
        <w:r>
          <w:rPr>
            <w:rStyle w:val="Hyperlink"/>
          </w:rPr>
          <w:t xml:space="preserve">[8]</w:t>
        </w:r>
      </w:hyperlink>
      <w:r>
        <w:t xml:space="preserve">. A significant venue coefficient does not mean that publishing in one venue causes a paper to be more on-topic; it means that, in this retrieved set, venue family and topic signal covary strongly. The diagnostics are honest precisely because they claim a descriptive target and hit it, rather than dressing a descriptive result in causal language. This modesty is deliberate and it is protective. The central design carries the causal burden through independent measurement, transparent coding, shock controls, and placebo outcomes, and it is the only part of the dissertation that claims to identify an effect on governance behavior</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Keeping the diagnostics firmly in the descriptive register means that when the central result eventually arrives, its causal claim will rest on the identification disciplines built for it rather than borrowing false authority from the completed papers.</w:t>
      </w:r>
    </w:p>
    <w:bookmarkEnd w:id="99"/>
    <w:bookmarkStart w:id="100" w:name="Xaf4aba232e12c72a225c745c1713e143db8df89"/>
    <w:p>
      <w:pPr>
        <w:pStyle w:val="Heading2"/>
        <w:spacing w:line="480" w:lineRule="auto"/>
      </w:pPr>
      <w:r>
        <w:t xml:space="preserve">4.7 Estimating the lag structure without data-mining it</w:t>
      </w:r>
    </w:p>
    <w:p>
      <w:pPr>
        <w:pStyle w:val="FirstParagraph"/>
        <w:spacing w:line="480" w:lineRule="auto"/>
      </w:pPr>
      <w:r>
        <w:t xml:space="preserve">The multiple-lag design carries a hazard that must be managed rather than ignored. If the analyst estimates the relationship at many lag lengths and then reports only the lag that produced the strongest result, the exercise degenerates into a search for a favorable specification, and the reported significance is meaningless</w:t>
      </w:r>
      <w:r>
        <w:t xml:space="preserve"> </w:t>
      </w:r>
      <w:hyperlink w:anchor="ref-7">
        <w:r>
          <w:rPr>
            <w:rStyle w:val="Hyperlink"/>
          </w:rPr>
          <w:t xml:space="preserve">[7]</w:t>
        </w:r>
      </w:hyperlink>
      <w:r>
        <w:t xml:space="preserve">. Chapter 3 already committed the theory to a robustness expectation: a genuine mechanism running through filing cycles and forum calendars should leave a signal that persists across a band of plausible lags, not one that appears at a single hand-picked delay and vanishes on either side</w:t>
      </w:r>
      <w:r>
        <w:t xml:space="preserve"> </w:t>
      </w:r>
      <w:hyperlink w:anchor="ref-8">
        <w:r>
          <w:rPr>
            <w:rStyle w:val="Hyperlink"/>
          </w:rPr>
          <w:t xml:space="preserve">[8]</w:t>
        </w:r>
      </w:hyperlink>
      <w:r>
        <w:t xml:space="preserve">. The estimation strategy honors that commitment in two ways. First, the tested lag windows are fixed in advance to a plausible range tied to the institutional calendars, rather than searched open-endedly. Filing cycles, forum sessions, and diplomatic reaction times bound the range of delays the mechanism could reasonably produce, and the design tests within that bounded set rather than across every conceivable lag. Second, the reporting standard is the pattern across lags, not the maximum over lags. A result that holds at several adjacent windows is credible; a spike at one window flanked by nulls is treated as a warning sign rather than a finding</w:t>
      </w:r>
      <w:r>
        <w:t xml:space="preserve"> </w:t>
      </w:r>
      <w:hyperlink w:anchor="ref-5">
        <w:r>
          <w:rPr>
            <w:rStyle w:val="Hyperlink"/>
          </w:rPr>
          <w:t xml:space="preserve">[5]</w:t>
        </w:r>
      </w:hyperlink>
      <w:r>
        <w:t xml:space="preserve">. This discipline is what allows the multiple-lag design to probe the correct delay without collapsing into a data-mining exercise that manufactures significance.</w:t>
      </w:r>
    </w:p>
    <w:bookmarkEnd w:id="100"/>
    <w:bookmarkStart w:id="101" w:name="the-role-of-the-placebo-outcome"/>
    <w:p>
      <w:pPr>
        <w:pStyle w:val="Heading2"/>
        <w:spacing w:line="480" w:lineRule="auto"/>
      </w:pPr>
      <w:r>
        <w:t xml:space="preserve">4.8 The role of the placebo outcome</w:t>
      </w:r>
    </w:p>
    <w:p>
      <w:pPr>
        <w:pStyle w:val="FirstParagraph"/>
        <w:spacing w:line="480" w:lineRule="auto"/>
      </w:pPr>
      <w:r>
        <w:t xml:space="preserve">The placebo test deserves fuller treatment than a single mention, because it is the design’s sharpest guard against a spurious result. The logic is straightforward. If lagged gap-narrowing appears to predict coordination breakdown, one worry is that it is really predicting some general upward drift in documented events of all kinds, a drift that has nothing to do with the coordination mechanism</w:t>
      </w:r>
      <w:r>
        <w:t xml:space="preserve"> </w:t>
      </w:r>
      <w:hyperlink w:anchor="ref-8">
        <w:r>
          <w:rPr>
            <w:rStyle w:val="Hyperlink"/>
          </w:rPr>
          <w:t xml:space="preserve">[8]</w:t>
        </w:r>
      </w:hyperlink>
      <w:r>
        <w:t xml:space="preserve">. The placebo answers that worry by substituting an unrelated class of administrative events for the true breakdown series and re-estimating. Under the mechanism, lagged gap-narrowing should predict the true series but not the placebo, because the placebo events are not coordination surfaces and have no reason to respond to capability convergence</w:t>
      </w:r>
      <w:r>
        <w:t xml:space="preserve"> </w:t>
      </w:r>
      <w:hyperlink w:anchor="ref-11">
        <w:r>
          <w:rPr>
            <w:rStyle w:val="Hyperlink"/>
          </w:rPr>
          <w:t xml:space="preserve">[11]</w:t>
        </w:r>
      </w:hyperlink>
      <w:r>
        <w:t xml:space="preserve">. If instead lagged gap-narrowing predicts the placebo as strongly as the true series, the coefficient is capturing a trend rather than the mechanism, and the finding must be discarded regardless of how significant it looked on the true series</w:t>
      </w:r>
      <w:r>
        <w:t xml:space="preserve"> </w:t>
      </w:r>
      <w:hyperlink w:anchor="ref-13">
        <w:r>
          <w:rPr>
            <w:rStyle w:val="Hyperlink"/>
          </w:rPr>
          <w:t xml:space="preserve">[13]</w:t>
        </w:r>
      </w:hyperlink>
      <w:r>
        <w:t xml:space="preserve">. The placebo therefore functions as a falsification device internal to the design, a way of trying to break the result before a reader does. A finding that survives the placebo is meaningfully stronger than one that was never subjected to it, and reporting the placebo outcome alongside the main estimate is part of the honesty the whole design is built on</w:t>
      </w:r>
      <w:r>
        <w:t xml:space="preserve"> </w:t>
      </w:r>
      <w:hyperlink w:anchor="ref-5">
        <w:r>
          <w:rPr>
            <w:rStyle w:val="Hyperlink"/>
          </w:rPr>
          <w:t xml:space="preserve">[5]</w:t>
        </w:r>
      </w:hyperlink>
      <w:r>
        <w:t xml:space="preserve">.</w:t>
      </w:r>
    </w:p>
    <w:bookmarkEnd w:id="101"/>
    <w:bookmarkStart w:id="102" w:name="X991a100f010c489e5f5f89c8e0a9a7634f6d8f5"/>
    <w:p>
      <w:pPr>
        <w:pStyle w:val="Heading2"/>
        <w:spacing w:line="480" w:lineRule="auto"/>
      </w:pPr>
      <w:r>
        <w:t xml:space="preserve">4.9 Choosing the negative binomial over its alternatives</w:t>
      </w:r>
    </w:p>
    <w:p>
      <w:pPr>
        <w:pStyle w:val="FirstParagraph"/>
        <w:spacing w:line="480" w:lineRule="auto"/>
      </w:pPr>
      <w:r>
        <w:t xml:space="preserve">The choice of a negative binomial baseline for the count model rests on the expected structure of the breakdown counts, and the reasoning is worth making explicit. A Poisson model assumes that the mean and variance of the count are equal, an assumption that governance-breakdown data is unlikely to satisfy. Breakdowns cluster: a year with one contested filing tends to be a year with several, because disputes bunch around filing cycles and forum sessions</w:t>
      </w:r>
      <w:r>
        <w:t xml:space="preserve"> </w:t>
      </w:r>
      <w:hyperlink w:anchor="ref-7">
        <w:r>
          <w:rPr>
            <w:rStyle w:val="Hyperlink"/>
          </w:rPr>
          <w:t xml:space="preserve">[7]</w:t>
        </w:r>
      </w:hyperlink>
      <w:r>
        <w:t xml:space="preserve">. That clustering produces overdispersion, a variance that exceeds the mean, and a Poisson fit applied to overdispersed data reports standard errors that are too small, manufacturing false precision and false significance</w:t>
      </w:r>
      <w:r>
        <w:t xml:space="preserve"> </w:t>
      </w:r>
      <w:hyperlink w:anchor="ref-8">
        <w:r>
          <w:rPr>
            <w:rStyle w:val="Hyperlink"/>
          </w:rPr>
          <w:t xml:space="preserve">[8]</w:t>
        </w:r>
      </w:hyperlink>
      <w:r>
        <w:t xml:space="preserve">. The negative binomial adds a dispersion parameter that absorbs this excess variance, so its inference is honest where the Poisson’s would be inflated. A zero-inflated model was considered and set aside for a stated reason. Zero-inflation is appropriate when the zeros arise from a distinct process, such as years in which breakdown was structurally impossible. Here the zeros are more plausibly ordinary low-count outcomes of the same process that produces the nonzero years, so the added complexity of a zero-inflated specification is not warranted by the data-generating story</w:t>
      </w:r>
      <w:r>
        <w:t xml:space="preserve"> </w:t>
      </w:r>
      <w:hyperlink w:anchor="ref-5">
        <w:r>
          <w:rPr>
            <w:rStyle w:val="Hyperlink"/>
          </w:rPr>
          <w:t xml:space="preserve">[5]</w:t>
        </w:r>
      </w:hyperlink>
      <w:r>
        <w:t xml:space="preserve">. The linear distributed-lag model, retained as a robustness check, provides a functional-form contrast rather than a competitor, and a result that holds under both the negative binomial and the linear treatment is more credible than one that depends on either alone</w:t>
      </w:r>
      <w:r>
        <w:t xml:space="preserve"> </w:t>
      </w:r>
      <w:hyperlink w:anchor="ref-11">
        <w:r>
          <w:rPr>
            <w:rStyle w:val="Hyperlink"/>
          </w:rPr>
          <w:t xml:space="preserve">[11]</w:t>
        </w:r>
      </w:hyperlink>
      <w:r>
        <w:t xml:space="preserve">.</w:t>
      </w:r>
    </w:p>
    <w:bookmarkEnd w:id="102"/>
    <w:bookmarkStart w:id="103" w:name="inference-on-a-short-annual-series"/>
    <w:p>
      <w:pPr>
        <w:pStyle w:val="Heading2"/>
        <w:spacing w:line="480" w:lineRule="auto"/>
      </w:pPr>
      <w:r>
        <w:t xml:space="preserve">4.10 Inference on a short annual series</w:t>
      </w:r>
    </w:p>
    <w:p>
      <w:pPr>
        <w:pStyle w:val="FirstParagraph"/>
        <w:spacing w:line="480" w:lineRule="auto"/>
      </w:pPr>
      <w:r>
        <w:t xml:space="preserve">The central model runs on an annual series over roughly a quarter century, which is a short panel by the standards of time-series estimation, and the design must be candid about what that length permits. A short series limits the number of lags that can be estimated jointly and the number of controls that can be included before degrees of freedom run thin</w:t>
      </w:r>
      <w:r>
        <w:t xml:space="preserve"> </w:t>
      </w:r>
      <w:hyperlink w:anchor="ref-7">
        <w:r>
          <w:rPr>
            <w:rStyle w:val="Hyperlink"/>
          </w:rPr>
          <w:t xml:space="preserve">[7]</w:t>
        </w:r>
      </w:hyperlink>
      <w:r>
        <w:t xml:space="preserve">. The response is parsimony: a small, pre-specified set of controls tied to the identified confounds, rather than a kitchen-sink specification that would exhaust the series’ information</w:t>
      </w:r>
      <w:r>
        <w:t xml:space="preserve"> </w:t>
      </w:r>
      <w:hyperlink w:anchor="ref-5">
        <w:r>
          <w:rPr>
            <w:rStyle w:val="Hyperlink"/>
          </w:rPr>
          <w:t xml:space="preserve">[5]</w:t>
        </w:r>
      </w:hyperlink>
      <w:r>
        <w:t xml:space="preserve">. The design also reports inference cautiously, treating a result that holds across the bounded lag band as more credible than a knife-edge estimate, precisely because a short series is more vulnerable to overfitting a single favorable specification</w:t>
      </w:r>
      <w:r>
        <w:t xml:space="preserve"> </w:t>
      </w:r>
      <w:hyperlink w:anchor="ref-8">
        <w:r>
          <w:rPr>
            <w:rStyle w:val="Hyperlink"/>
          </w:rPr>
          <w:t xml:space="preserve">[8]</w:t>
        </w:r>
      </w:hyperlink>
      <w:r>
        <w:t xml:space="preserve">. Stating the length limitation here is part of setting expectations honestly for Chapter 6’s eventual central estimate, which will carry wider confidence intervals than a long series would afford</w:t>
      </w:r>
      <w:r>
        <w:t xml:space="preserve"> </w:t>
      </w:r>
      <w:hyperlink w:anchor="ref-11">
        <w:r>
          <w:rPr>
            <w:rStyle w:val="Hyperlink"/>
          </w:rPr>
          <w:t xml:space="preserve">[11]</w:t>
        </w:r>
      </w:hyperlink>
      <w:r>
        <w:t xml:space="preserve">.</w:t>
      </w:r>
    </w:p>
    <w:bookmarkEnd w:id="103"/>
    <w:bookmarkStart w:id="104" w:name="how-the-pieces-fit"/>
    <w:p>
      <w:pPr>
        <w:pStyle w:val="Heading2"/>
        <w:spacing w:line="480" w:lineRule="auto"/>
      </w:pPr>
      <w:r>
        <w:t xml:space="preserve">4.11 How the pieces fit</w:t>
      </w:r>
    </w:p>
    <w:p>
      <w:pPr>
        <w:pStyle w:val="FirstParagraph"/>
        <w:spacing w:line="480" w:lineRule="auto"/>
      </w:pPr>
      <w:r>
        <w:t xml:space="preserve">The three estimators differ in ambition. They are ordered from the planned core count model, which carries the full causal burden of the dissertation, down through two completed diagnostics whose task is narrower and whose claims are deliberately kept in the descriptive register where the data can support them. The planned core count model is the dissertation’s real target, and it is the one that carries the identification burden through independent measurement, transparent coding, shock controls, and placebo outcomes. The two completed diagnostics carry a smaller burden. They do not identify a causal effect on governance, and they do not pretend to. Their job is to certify that the evidence base is structured and readable before any weight is placed on a reading of it, and they discharge that job with real estimators on real data rather than assertion</w:t>
      </w:r>
      <w:r>
        <w:t xml:space="preserve"> </w:t>
      </w:r>
      <w:hyperlink w:anchor="ref-8">
        <w:r>
          <w:rPr>
            <w:rStyle w:val="Hyperlink"/>
          </w:rPr>
          <w:t xml:space="preserve">[8]</w:t>
        </w:r>
      </w:hyperlink>
      <w:r>
        <w:t xml:space="preserve"> </w:t>
      </w:r>
      <w:hyperlink w:anchor="ref-11">
        <w:r>
          <w:rPr>
            <w:rStyle w:val="Hyperlink"/>
          </w:rPr>
          <w:t xml:space="preserve">[11]</w:t>
        </w:r>
      </w:hyperlink>
      <w:r>
        <w:t xml:space="preserve">. Chapter 5 describes the dataset those diagnostics run on, and Chapter 6 reports exactly what they returned, coefficient by coefficient, without adjustment.</w:t>
      </w:r>
    </w:p>
    <w:bookmarkEnd w:id="104"/>
    <w:bookmarkEnd w:id="105"/>
    <w:bookmarkStart w:id="118" w:name="chapter-5.-data-and-measurement"/>
    <w:p>
      <w:pPr>
        <w:pStyle w:val="Heading1"/>
        <w:spacing w:line="480" w:lineRule="auto"/>
      </w:pPr>
      <w:r>
        <w:t xml:space="preserve">Chapter 5. Data and Measurement</w:t>
      </w:r>
    </w:p>
    <w:p>
      <w:pPr>
        <w:pStyle w:val="FirstParagraph"/>
        <w:spacing w:line="480" w:lineRule="auto"/>
      </w:pPr>
      <w:r>
        <w:t xml:space="preserve">The credibility of any empirical claim rests on the quality of the data behind it and the transparency of the rules used to build the variables. This chapter describes both the data that the two completed diagnostic papers actually run on and the data that the planned core event study will assemble. It is precise about what exists now and what is reserved for the next stage, because conflating the two would misrepresent the state of the evidence.</w:t>
      </w:r>
    </w:p>
    <w:bookmarkStart w:id="106" w:name="X0ea48ac31650a165f3d64d21532165f2b177ce9"/>
    <w:p>
      <w:pPr>
        <w:pStyle w:val="Heading2"/>
        <w:spacing w:line="480" w:lineRule="auto"/>
      </w:pPr>
      <w:r>
        <w:t xml:space="preserve">5.1 The completed dataset: a source-traced corpus of thirty records</w:t>
      </w:r>
    </w:p>
    <w:p>
      <w:pPr>
        <w:pStyle w:val="FirstParagraph"/>
        <w:spacing w:line="480" w:lineRule="auto"/>
      </w:pPr>
      <w:r>
        <w:t xml:space="preserve">The completed papers share one dataset. It holds thirty document-level records, drawn from a local corpus that spans AMOS conference material, Acta Astronautica articles, and space-economy materials, and every record in it is a real, source-traced entry rather than a synthetic placeholder or an averaged summary of several documents collapsed into one row. Every row carries a source pointer, either a digital object identifier or a direct link, so that any reader can locate the underlying document and verify the fields coded from it. Twelve records come from AMOS venues, twelve from Acta Astronautica, and six from the space-economy family, giving the venue-family variable meaningful variation across its three levels. The records span publication years from 2007 to 2026. That spread is deliberate rather than accidental. It places genuinely old material, such as the 2007 and 2010 AMOS entries, alongside very recent 2025 and 2026 journal articles, so that the recency and age variables have real range to work with</w:t>
      </w:r>
      <w:r>
        <w:t xml:space="preserve"> </w:t>
      </w:r>
      <w:hyperlink w:anchor="ref-4">
        <w:r>
          <w:rPr>
            <w:rStyle w:val="Hyperlink"/>
          </w:rPr>
          <w:t xml:space="preserve">[4]</w:t>
        </w:r>
      </w:hyperlink>
      <w:r>
        <w:t xml:space="preserve">. The corpus is not a random sample of the space-governance literature, and the chapter is candid about that. It is the set of documents the retrieval process surfaced around the dissertation’s topic vocabulary, which is precisely why auditing its structure matters before any reading of it is trusted.</w:t>
      </w:r>
    </w:p>
    <w:bookmarkEnd w:id="106"/>
    <w:bookmarkStart w:id="107" w:name="constructing-the-topic-signal-score"/>
    <w:p>
      <w:pPr>
        <w:pStyle w:val="Heading2"/>
        <w:spacing w:line="480" w:lineRule="auto"/>
      </w:pPr>
      <w:r>
        <w:t xml:space="preserve">5.2 Constructing the topic-signal score</w:t>
      </w:r>
    </w:p>
    <w:p>
      <w:pPr>
        <w:pStyle w:val="FirstParagraph"/>
        <w:spacing w:line="480" w:lineRule="auto"/>
      </w:pPr>
      <w:r>
        <w:t xml:space="preserve">The dependent variable in Paper 1 is a composite topic-signal score. It is built deterministically, which means the same document always produces the same score, with no analyst discretion entering after the rule is fixed. The rule counts theme-term hits across four fields of each record: the title, the retrieved snippet, the keyword field, and the author metadata. A document whose title, snippet, and keywords repeatedly touch the governance-competition, coordination, and observability vocabulary scores high; a document that is technically valid but only loosely aligned with that vocabulary scores low.</w:t>
      </w:r>
    </w:p>
    <w:p>
      <w:pPr>
        <w:pStyle w:val="BodyText"/>
        <w:spacing w:line="480" w:lineRule="auto"/>
        <w:ind w:firstLine="720"/>
      </w:pPr>
      <w:r>
        <w:t xml:space="preserve">The realized scores range from 1 to 8 across the thirty records.</w:t>
      </w:r>
    </w:p>
    <w:p>
      <w:pPr>
        <w:pStyle w:val="BodyText"/>
        <w:spacing w:line="480" w:lineRule="auto"/>
        <w:ind w:firstLine="720"/>
      </w:pPr>
      <w:r>
        <w:t xml:space="preserve">The highest score, 8, belongs to the Dailey, Toner, and Murphy record on a shared United States-China information-sharing ecosystem, which is unsurprising because that document sits squarely on the dissertation’s exact mechanism</w:t>
      </w:r>
      <w:r>
        <w:t xml:space="preserve"> </w:t>
      </w:r>
      <w:hyperlink w:anchor="ref-13">
        <w:r>
          <w:rPr>
            <w:rStyle w:val="Hyperlink"/>
          </w:rPr>
          <w:t xml:space="preserve">[13]</w:t>
        </w:r>
      </w:hyperlink>
      <w:r>
        <w:t xml:space="preserve">. Scores of 5 to 7 attach to records on decisive mission analysis for space domain awareness, socio-technical configuration analysis, multi-payload cataloguing, and the orbit-determination survey, each of which touches the coordination-and-observability core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Scores of 1 and 2 attach to records that are real space research but tangential to the mechanism, including exoplanetary atmospheric-escape work and lunar food-systems material that the retrieval surfaced on shared vocabulary but that carry little governance signal. The score, in short, does exactly what it claims: it measures visible topical alignment, not article quality.</w:t>
      </w:r>
    </w:p>
    <w:bookmarkEnd w:id="107"/>
    <w:bookmarkStart w:id="108" w:name="the-predictors"/>
    <w:p>
      <w:pPr>
        <w:pStyle w:val="Heading2"/>
        <w:spacing w:line="480" w:lineRule="auto"/>
      </w:pPr>
      <w:r>
        <w:t xml:space="preserve">5.3 The predictors</w:t>
      </w:r>
    </w:p>
    <w:p>
      <w:pPr>
        <w:pStyle w:val="FirstParagraph"/>
        <w:spacing w:line="480" w:lineRule="auto"/>
      </w:pPr>
      <w:r>
        <w:t xml:space="preserve">Three predictors accompany the signal score in Paper 1. The recency index is computed as the publication year minus the minimum publication year in the sample plus one, so the oldest record takes the value 1 and the newest takes the maximum. Across the thirty records the index ranges from 1, for the 2007 entry, to 20, for the 2026 entries. The citation count is parsed directly from the local index and set to zero when the index reports no count; it is not harmonized against external databases, a limitation the chapter states openly. Most records carry zero reported citations, while two Acta Astronautica records carry substantial counts of 30 and 29, and a handful carry small counts of 1, 2, or 6. The venue-family score is ordinal: AMOS is coded 1, Acta Astronautica is coded 2, and the space-economy family is coded 3. Paper 2 uses two variables derived from the same records. Article age is computed as 2026 minus the publication year plus one, so the range runs from 1 for the 2026 records to 20 for the 2007 record. Citations-plus-one is the reported citation count incremented by one, which keeps the logarithm defined for the uncited majority; its values run from 1 for uncited records up to 31 for the most-cited entry. These constructions are stated in the configuration and reproduced here without change, because Chapter 6 will report estimates that depend on exactly these definitions.</w:t>
      </w:r>
    </w:p>
    <w:bookmarkEnd w:id="108"/>
    <w:bookmarkStart w:id="109" w:name="the-sample-size-and-its-consequences"/>
    <w:p>
      <w:pPr>
        <w:pStyle w:val="Heading2"/>
        <w:spacing w:line="480" w:lineRule="auto"/>
      </w:pPr>
      <w:r>
        <w:t xml:space="preserve">5.4 The sample size and its consequences</w:t>
      </w:r>
    </w:p>
    <w:p>
      <w:pPr>
        <w:pStyle w:val="FirstParagraph"/>
        <w:spacing w:line="480" w:lineRule="auto"/>
      </w:pPr>
      <w:r>
        <w:t xml:space="preserve">Both completed papers use N equals 30. That number is small, and the chapter does not hide it. A sample of thirty supports a descriptive, diagnostic reading of the source environment and little more. It is sufficient to detect a strong, precisely estimated venue effect, as Chapter 6 will show, but it is not sufficient to resolve weak effects with confidence, which is why the recency and citation coefficients in Paper 1 should be read as imprecise rather than as evidence of no relationship. The learning curve in Paper 2, estimated on the same thirty records, is likewise a property of this specific corpus and not a claim about scholarly attention in general. Stating the sample size plainly is part of the identification discipline: it fixes how much the reader should let these two papers carry, which is a real but bounded amount.</w:t>
      </w:r>
    </w:p>
    <w:bookmarkEnd w:id="109"/>
    <w:bookmarkStart w:id="110" w:name="the-planned-core-dataset"/>
    <w:p>
      <w:pPr>
        <w:pStyle w:val="Heading2"/>
        <w:spacing w:line="480" w:lineRule="auto"/>
      </w:pPr>
      <w:r>
        <w:t xml:space="preserve">5.5 The planned core dataset</w:t>
      </w:r>
    </w:p>
    <w:p>
      <w:pPr>
        <w:pStyle w:val="FirstParagraph"/>
        <w:spacing w:line="480" w:lineRule="auto"/>
      </w:pPr>
      <w:r>
        <w:t xml:space="preserve">The dissertation’s central event study will assemble a different and larger body of records, and the chapter describes it so the reader can see what the completed papers are a stepping-stone toward.</w:t>
      </w:r>
    </w:p>
    <w:p>
      <w:pPr>
        <w:pStyle w:val="BodyText"/>
        <w:spacing w:line="480" w:lineRule="auto"/>
        <w:ind w:firstLine="720"/>
      </w:pPr>
      <w:r>
        <w:t xml:space="preserve">Five classes of real, obtainable records make up the planned core. Launch cadence and object counts form the first class. Annual launch counts and active-payload counts for the United States and China will be drawn from public catalogue and launch-record systems, with United Nations object registration records and related open catalogues used to reconcile discrepancies where they arise</w:t>
      </w:r>
      <w:r>
        <w:t xml:space="preserve"> </w:t>
      </w:r>
      <w:hyperlink w:anchor="ref-4">
        <w:r>
          <w:rPr>
            <w:rStyle w:val="Hyperlink"/>
          </w:rPr>
          <w:t xml:space="preserve">[4]</w:t>
        </w:r>
      </w:hyperlink>
      <w:r>
        <w:t xml:space="preserve">. Capability-demonstration indicators form the second class: demonstrated rendezvous, proximity, servicing, or comparable maneuver-competence events, coded from traceable public records under explicit date rules and conservative inclusion thresholds, since maneuver competence is the hardest of the three index components to observe cleanly</w:t>
      </w:r>
      <w:r>
        <w:t xml:space="preserve"> </w:t>
      </w:r>
      <w:hyperlink w:anchor="ref-1">
        <w:r>
          <w:rPr>
            <w:rStyle w:val="Hyperlink"/>
          </w:rPr>
          <w:t xml:space="preserve">[1]</w:t>
        </w:r>
      </w:hyperlink>
      <w:r>
        <w:t xml:space="preserve"> </w:t>
      </w:r>
      <w:hyperlink w:anchor="ref-6">
        <w:r>
          <w:rPr>
            <w:rStyle w:val="Hyperlink"/>
          </w:rPr>
          <w:t xml:space="preserve">[6]</w:t>
        </w:r>
      </w:hyperlink>
      <w:r>
        <w:t xml:space="preserve">. Governance-breakdown events form the third and central class. The series will draw on filing controversies, registration-practice irregularities, public information-sharing disputes, and documented procedural conflict in multilateral records relevant to space governance</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Context controls form the fourth class: major debris events, major regulatory reforms, and broad crisis-year indicators, each included to reduce the risk that a general climate of tension, rather than capability transition, drives the estimated relationship</w:t>
      </w:r>
      <w:r>
        <w:t xml:space="preserve"> </w:t>
      </w:r>
      <w:hyperlink w:anchor="ref-5">
        <w:r>
          <w:rPr>
            <w:rStyle w:val="Hyperlink"/>
          </w:rPr>
          <w:t xml:space="preserve">[5]</w:t>
        </w:r>
      </w:hyperlink>
      <w:r>
        <w:t xml:space="preserve">. The fifth class is the local literature corpus already described, which grounds the completed diagnostic papers and disciplines the reading of the substantive sources.</w:t>
      </w:r>
    </w:p>
    <w:bookmarkEnd w:id="110"/>
    <w:bookmarkStart w:id="111" w:name="X65e6cedd0bff403a2ef61ab2d2849fb2d248502"/>
    <w:p>
      <w:pPr>
        <w:pStyle w:val="Heading2"/>
        <w:spacing w:line="480" w:lineRule="auto"/>
      </w:pPr>
      <w:r>
        <w:t xml:space="preserve">5.6 The distribution of the completed data in detail</w:t>
      </w:r>
    </w:p>
    <w:p>
      <w:pPr>
        <w:pStyle w:val="FirstParagraph"/>
        <w:spacing w:line="480" w:lineRule="auto"/>
      </w:pPr>
      <w:r>
        <w:t xml:space="preserve">It helps to look at how the thirty records actually distribute across the variables, because the shape of the data governs what the estimators in Chapter 6 can and cannot resolve.</w:t>
      </w:r>
    </w:p>
    <w:p>
      <w:pPr>
        <w:pStyle w:val="BodyText"/>
        <w:spacing w:line="480" w:lineRule="auto"/>
        <w:ind w:firstLine="720"/>
      </w:pPr>
      <w:r>
        <w:t xml:space="preserve">The venue variable is balanced by design: twelve AMOS records, twelve Acta Astronautica records, and six space-economy records. That balance is what gives the venue coefficient the leverage it needs. If the corpus were dominated by a single venue family, the venue effect could not be estimated with the precision Chapter 6 reports, and the balance is therefore a deliberate feature rather than an accident of retrieval</w:t>
      </w:r>
      <w:r>
        <w:t xml:space="preserve"> </w:t>
      </w:r>
      <w:hyperlink w:anchor="ref-2">
        <w:r>
          <w:rPr>
            <w:rStyle w:val="Hyperlink"/>
          </w:rPr>
          <w:t xml:space="preserve">[2]</w:t>
        </w:r>
      </w:hyperlink>
      <w:r>
        <w:t xml:space="preserve">. The citation variable is heavily skewed, and this shape drives several later cautions. Of the thirty records, the large majority carry zero reported local citations. Two Acta Astronautica records stand far out from the rest, with counts of 30 and 29, and a small cluster carries counts of 1, 2, or 6. A distribution this skewed, with most mass at zero and a long thin tail, is exactly why Paper 2 works in logarithms of citations-plus-one rather than in raw counts, and it is why the citation coefficient in Paper 1 is estimated imprecisely: two influential points cannot anchor a precise slope across thirty observations</w:t>
      </w:r>
      <w:r>
        <w:t xml:space="preserve"> </w:t>
      </w:r>
      <w:hyperlink w:anchor="ref-6">
        <w:r>
          <w:rPr>
            <w:rStyle w:val="Hyperlink"/>
          </w:rPr>
          <w:t xml:space="preserve">[6]</w:t>
        </w:r>
      </w:hyperlink>
      <w:r>
        <w:t xml:space="preserve">. The signal score, by contrast, is more evenly spread across its range of 1 to 8, which is part of why it functions as a usable dependent variable rather than a degenerate one.</w:t>
      </w:r>
    </w:p>
    <w:p>
      <w:pPr>
        <w:pStyle w:val="BodyText"/>
        <w:spacing w:line="480" w:lineRule="auto"/>
        <w:ind w:firstLine="720"/>
      </w:pPr>
      <w:r>
        <w:t xml:space="preserve">The year distribution clusters toward the recent end, with a dense band of 2024, 2025, and 2026 records and a sparse older tail reaching back to 2007 and 2010</w:t>
      </w:r>
      <w:r>
        <w:t xml:space="preserve"> </w:t>
      </w:r>
      <w:hyperlink w:anchor="ref-4">
        <w:r>
          <w:rPr>
            <w:rStyle w:val="Hyperlink"/>
          </w:rPr>
          <w:t xml:space="preserve">[4]</w:t>
        </w:r>
      </w:hyperlink>
      <w:r>
        <w:t xml:space="preserve">. This clustering is itself substantively informative. It reflects a literature that has grown quickly in the areas of space traffic management, observability infrastructure, and low-orbit market competition, and it is part of why Paper 2’s age elasticity comes out in the direction it does, since the young, dense end of the distribution contains the few heavily cited records while the old, sparse end contains lightly cited foundational work</w:t>
      </w:r>
      <w:r>
        <w:t xml:space="preserve"> </w:t>
      </w:r>
      <w:hyperlink w:anchor="ref-7">
        <w:r>
          <w:rPr>
            <w:rStyle w:val="Hyperlink"/>
          </w:rPr>
          <w:t xml:space="preserve">[7]</w:t>
        </w:r>
      </w:hyperlink>
      <w:r>
        <w:t xml:space="preserve">.</w:t>
      </w:r>
    </w:p>
    <w:bookmarkEnd w:id="111"/>
    <w:bookmarkStart w:id="112" w:name="what-the-data-deliberately-excludes"/>
    <w:p>
      <w:pPr>
        <w:pStyle w:val="Heading2"/>
        <w:spacing w:line="480" w:lineRule="auto"/>
      </w:pPr>
      <w:r>
        <w:t xml:space="preserve">5.7 What the data deliberately excludes</w:t>
      </w:r>
    </w:p>
    <w:p>
      <w:pPr>
        <w:pStyle w:val="FirstParagraph"/>
        <w:spacing w:line="480" w:lineRule="auto"/>
      </w:pPr>
      <w:r>
        <w:t xml:space="preserve">Sound measurement is as much about what is left out as what is included, and the completed dataset is disciplined on this point. The signal score excludes any subjective judgment of article quality; a landmark paper and a routine one score identically if their titles, snippets, keywords, and author metadata carry the same density of theme terms. This is a feature, because the score is meant to measure visible topical alignment, not merit, and conflating the two would make the diagnostic uninterpretable</w:t>
      </w:r>
      <w:r>
        <w:t xml:space="preserve"> </w:t>
      </w:r>
      <w:hyperlink w:anchor="ref-3">
        <w:r>
          <w:rPr>
            <w:rStyle w:val="Hyperlink"/>
          </w:rPr>
          <w:t xml:space="preserve">[3]</w:t>
        </w:r>
      </w:hyperlink>
      <w:r>
        <w:t xml:space="preserve">. The citation variable excludes any harmonization against external databases, taking the local index at face value, which bounds the claims that can be made from it but keeps the measurement transparent and reproducible from the stored files alone. The corpus also deliberately excludes the capability and breakdown series themselves, which belong to the reserved core rather than to the completed diagnostics. This exclusion is the single most important thing to understand about the dataset. Nothing in the thirty records speaks directly to whether the United States-China margin narrowed or whether coordination broke down. The completed data describes the literature about the domain, not the domain, and Chapter 6 is careful to interpret its results only as statements about the evidence base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112"/>
    <w:bookmarkStart w:id="113" w:name="X3bc8c0c439af3a2926c1eb2930364d82237cda3"/>
    <w:p>
      <w:pPr>
        <w:pStyle w:val="Heading2"/>
        <w:spacing w:line="480" w:lineRule="auto"/>
      </w:pPr>
      <w:r>
        <w:t xml:space="preserve">5.8 Measuring the capability index components</w:t>
      </w:r>
    </w:p>
    <w:p>
      <w:pPr>
        <w:pStyle w:val="FirstParagraph"/>
        <w:spacing w:line="480" w:lineRule="auto"/>
      </w:pPr>
      <w:r>
        <w:t xml:space="preserve">Because the planned capability index carries so much of the eventual argument, its three components deserve a measurement note even at the design stage. Launch cadence is the cleanest of the three. Annual launch counts for each state are recorded in public launch-record systems with little ambiguity about what counts as a launch, and cross-checking against object registration records catches the rare discrepancy</w:t>
      </w:r>
      <w:r>
        <w:t xml:space="preserve"> </w:t>
      </w:r>
      <w:hyperlink w:anchor="ref-4">
        <w:r>
          <w:rPr>
            <w:rStyle w:val="Hyperlink"/>
          </w:rPr>
          <w:t xml:space="preserve">[4]</w:t>
        </w:r>
      </w:hyperlink>
      <w:r>
        <w:t xml:space="preserve">. Active payload stock is somewhat harder, because it requires distinguishing operational payloads from defunct ones, and the boundary between an active and a decommissioned satellite is not always sharply drawn in public catalogues. The design’s response is a conservative rule that counts a payload as active only while it appears in the operational catalogue, accepting some undercount rather than risking overcount. Maneuver competence is the hardest component by far, and the chapter is candid about why. A maneuver is only counted if it leaves a traceable public record, which means the measure is bounded by the observing sensor base and by the orbit-determination methods used to characterize it</w:t>
      </w:r>
      <w:r>
        <w:t xml:space="preserve"> </w:t>
      </w:r>
      <w:hyperlink w:anchor="ref-6">
        <w:r>
          <w:rPr>
            <w:rStyle w:val="Hyperlink"/>
          </w:rPr>
          <w:t xml:space="preserve">[6]</w:t>
        </w:r>
      </w:hyperlink>
      <w:r>
        <w:t xml:space="preserve">. As Chapter 2 noted, maneuvers may be designed to be hard to read, so the observed count of demonstrated maneuvers reflects both the actor’s true competence and the observer’s ability to detect it</w:t>
      </w:r>
      <w:r>
        <w:t xml:space="preserve"> </w:t>
      </w:r>
      <w:hyperlink w:anchor="ref-1">
        <w:r>
          <w:rPr>
            <w:rStyle w:val="Hyperlink"/>
          </w:rPr>
          <w:t xml:space="preserve">[1]</w:t>
        </w:r>
      </w:hyperlink>
      <w:r>
        <w:t xml:space="preserve">. The conservative inclusion threshold, requiring a documented rendezvous, proximity, servicing, or comparable event, keeps the measure reliable at the cost of sensitivity, and the component-wise robustness checks of Chapter 7 are designed partly so that a result driven by this noisiest component alone would be visible rather than hidden.</w:t>
      </w:r>
    </w:p>
    <w:bookmarkEnd w:id="113"/>
    <w:bookmarkStart w:id="114" w:name="coding-the-breakdown-series"/>
    <w:p>
      <w:pPr>
        <w:pStyle w:val="Heading2"/>
        <w:spacing w:line="480" w:lineRule="auto"/>
      </w:pPr>
      <w:r>
        <w:t xml:space="preserve">5.9 Coding the breakdown series</w:t>
      </w:r>
    </w:p>
    <w:p>
      <w:pPr>
        <w:pStyle w:val="FirstParagraph"/>
        <w:spacing w:line="480" w:lineRule="auto"/>
      </w:pPr>
      <w:r>
        <w:t xml:space="preserve">The breakdown series is the outcome variable of the central test, and its construction determines whether the whole design holds. An event enters the series only if it satisfies two conditions: it falls within the bounded event taxonomy of information-sharing refusals, contested filing or registration episodes, and procedural conflict in multilateral settings, and it leaves a documentary trace that a second coder could retrieve</w:t>
      </w:r>
      <w:r>
        <w:t xml:space="preserve"> </w:t>
      </w:r>
      <w:hyperlink w:anchor="ref-7">
        <w:r>
          <w:rPr>
            <w:rStyle w:val="Hyperlink"/>
          </w:rPr>
          <w:t xml:space="preserve">[7]</w:t>
        </w:r>
      </w:hyperlink>
      <w:r>
        <w:t xml:space="preserve"> </w:t>
      </w:r>
      <w:hyperlink w:anchor="ref-8">
        <w:r>
          <w:rPr>
            <w:rStyle w:val="Hyperlink"/>
          </w:rPr>
          <w:t xml:space="preserve">[8]</w:t>
        </w:r>
      </w:hyperlink>
      <w:r>
        <w:t xml:space="preserve">. Both conditions are strict by intent. The taxonomy prevents the series from expanding to swallow every diplomatic disagreement, and the documentary requirement prevents it from resting on inference or rumor</w:t>
      </w:r>
      <w:r>
        <w:t xml:space="preserve"> </w:t>
      </w:r>
      <w:hyperlink w:anchor="ref-11">
        <w:r>
          <w:rPr>
            <w:rStyle w:val="Hyperlink"/>
          </w:rPr>
          <w:t xml:space="preserve">[11]</w:t>
        </w:r>
      </w:hyperlink>
      <w:r>
        <w:t xml:space="preserve">. Annual aggregation converts the coded events into a count per year, which is the form the count model consumes. The chapter acknowledges that this aggregation loses within-year sequencing, and where source density permits, finer temporal resolution will be explored, but the annual grid is the honest default given the density of the record</w:t>
      </w:r>
      <w:r>
        <w:t xml:space="preserve"> </w:t>
      </w:r>
      <w:hyperlink w:anchor="ref-13">
        <w:r>
          <w:rPr>
            <w:rStyle w:val="Hyperlink"/>
          </w:rPr>
          <w:t xml:space="preserve">[13]</w:t>
        </w:r>
      </w:hyperlink>
      <w:r>
        <w:t xml:space="preserve">. Each coded event will carry a source pointer, exactly as the completed literature corpus does, so that the series is reproducible from published rules rather than dependent on the coder’s private judgment. This is the same reproducibility discipline the completed papers already meet, extended to the series that the central test turns on.</w:t>
      </w:r>
    </w:p>
    <w:bookmarkEnd w:id="114"/>
    <w:bookmarkStart w:id="115" w:name="X2f3678c7214867cb9829c1b7afd1bfe7c90c8aa"/>
    <w:p>
      <w:pPr>
        <w:pStyle w:val="Heading2"/>
        <w:spacing w:line="480" w:lineRule="auto"/>
      </w:pPr>
      <w:r>
        <w:t xml:space="preserve">5.10 The reconciliation problem across catalogues</w:t>
      </w:r>
    </w:p>
    <w:p>
      <w:pPr>
        <w:pStyle w:val="FirstParagraph"/>
        <w:spacing w:line="480" w:lineRule="auto"/>
      </w:pPr>
      <w:r>
        <w:t xml:space="preserve">Assembling launch and object counts from public systems raises a reconciliation problem that the chapter names rather than glosses. Different catalogues do not always agree on what counts as a distinct object, on when an object became active or defunct, or on which state should be credited as the operator</w:t>
      </w:r>
      <w:r>
        <w:t xml:space="preserve"> </w:t>
      </w:r>
      <w:hyperlink w:anchor="ref-4">
        <w:r>
          <w:rPr>
            <w:rStyle w:val="Hyperlink"/>
          </w:rPr>
          <w:t xml:space="preserve">[4]</w:t>
        </w:r>
      </w:hyperlink>
      <w:r>
        <w:t xml:space="preserve">. A rideshare launch that deploys many small payloads can be counted as one event or many; a satellite transferred between operators complicates the national attribution the capability index depends on. Left unaddressed, these discrepancies would inject noise into the index and could bias the national margin the whole design turns on. The reconciliation rule is conservative and stated in advance. Where catalogues disagree, the design cross-checks against United Nations object registration records and related open catalogues, and it adopts the more conservative count when a clean reconciliation is not possible</w:t>
      </w:r>
      <w:r>
        <w:t xml:space="preserve"> </w:t>
      </w:r>
      <w:hyperlink w:anchor="ref-7">
        <w:r>
          <w:rPr>
            <w:rStyle w:val="Hyperlink"/>
          </w:rPr>
          <w:t xml:space="preserve">[7]</w:t>
        </w:r>
      </w:hyperlink>
      <w:r>
        <w:t xml:space="preserve">. This trades some precision for reliability, on the principle that an index which occasionally undercounts in a predictable direction is more trustworthy than one that overcounts erratically</w:t>
      </w:r>
      <w:r>
        <w:t xml:space="preserve"> </w:t>
      </w:r>
      <w:hyperlink w:anchor="ref-6">
        <w:r>
          <w:rPr>
            <w:rStyle w:val="Hyperlink"/>
          </w:rPr>
          <w:t xml:space="preserve">[6]</w:t>
        </w:r>
      </w:hyperlink>
      <w:r>
        <w:t xml:space="preserve">. The point of stating the rule here is that the capability margin is a difference between two national series, and a difference is sensitive to consistent treatment of both sides; applying the same conservative rule to United States and China counts alike keeps the margin comparable even where the absolute levels carry some uncertainty</w:t>
      </w:r>
      <w:r>
        <w:t xml:space="preserve"> </w:t>
      </w:r>
      <w:hyperlink w:anchor="ref-1">
        <w:r>
          <w:rPr>
            <w:rStyle w:val="Hyperlink"/>
          </w:rPr>
          <w:t xml:space="preserve">[1]</w:t>
        </w:r>
      </w:hyperlink>
      <w:r>
        <w:t xml:space="preserve">.</w:t>
      </w:r>
    </w:p>
    <w:bookmarkEnd w:id="115"/>
    <w:bookmarkStart w:id="116" w:name="Xda42cf9076ae77743fd562c6225c3d65db5f740"/>
    <w:p>
      <w:pPr>
        <w:pStyle w:val="Heading2"/>
        <w:spacing w:line="480" w:lineRule="auto"/>
      </w:pPr>
      <w:r>
        <w:t xml:space="preserve">5.11 Why source pointers matter more than they seem to</w:t>
      </w:r>
    </w:p>
    <w:p>
      <w:pPr>
        <w:pStyle w:val="FirstParagraph"/>
        <w:spacing w:line="480" w:lineRule="auto"/>
      </w:pPr>
      <w:r>
        <w:t xml:space="preserve">Every row of the completed dataset carries a source pointer, and it is worth explaining why that small feature does so much work. A source pointer is what converts a claim into a checkable assertion. Without it, a signal score of 8 on a given record would be an analyst’s say-so; with it, a reader can retrieve the underlying document and confirm that its title, snippet, keywords, and author metadata carry the theme terms the score counts</w:t>
      </w:r>
      <w:r>
        <w:t xml:space="preserve"> </w:t>
      </w:r>
      <w:hyperlink w:anchor="ref-13">
        <w:r>
          <w:rPr>
            <w:rStyle w:val="Hyperlink"/>
          </w:rPr>
          <w:t xml:space="preserve">[13]</w:t>
        </w:r>
      </w:hyperlink>
      <w:r>
        <w:t xml:space="preserve">. The pointer is the bridge between the deterministic rule and the actual document, and it is what makes the score reproducible rather than merely stated</w:t>
      </w:r>
      <w:r>
        <w:t xml:space="preserve"> </w:t>
      </w:r>
      <w:hyperlink w:anchor="ref-3">
        <w:r>
          <w:rPr>
            <w:rStyle w:val="Hyperlink"/>
          </w:rPr>
          <w:t xml:space="preserve">[3]</w:t>
        </w:r>
      </w:hyperlink>
      <w:r>
        <w:t xml:space="preserve">. Extending the same pointer discipline to the planned breakdown series is the single most important measurement commitment the dissertation makes, because the whole falsifiable claim depends on a hostile reader being able to retrieve each coded event and judge whether it belongs</w:t>
      </w:r>
      <w:r>
        <w:t xml:space="preserve"> </w:t>
      </w:r>
      <w:hyperlink w:anchor="ref-7">
        <w:r>
          <w:rPr>
            <w:rStyle w:val="Hyperlink"/>
          </w:rPr>
          <w:t xml:space="preserve">[7]</w:t>
        </w:r>
      </w:hyperlink>
      <w:r>
        <w:t xml:space="preserve"> </w:t>
      </w:r>
      <w:hyperlink w:anchor="ref-8">
        <w:r>
          <w:rPr>
            <w:rStyle w:val="Hyperlink"/>
          </w:rPr>
          <w:t xml:space="preserve">[8]</w:t>
        </w:r>
      </w:hyperlink>
      <w:r>
        <w:t xml:space="preserve">. Reproducibility, in this design, is not a virtue added at the end; it is built into the data structure from the first row.</w:t>
      </w:r>
    </w:p>
    <w:bookmarkEnd w:id="116"/>
    <w:bookmarkStart w:id="117" w:name="provenance-and-reproducibility"/>
    <w:p>
      <w:pPr>
        <w:pStyle w:val="Heading2"/>
        <w:spacing w:line="480" w:lineRule="auto"/>
      </w:pPr>
      <w:r>
        <w:t xml:space="preserve">5.12 Provenance and reproducibility</w:t>
      </w:r>
    </w:p>
    <w:p>
      <w:pPr>
        <w:pStyle w:val="FirstParagraph"/>
        <w:spacing w:line="480" w:lineRule="auto"/>
      </w:pPr>
      <w:r>
        <w:t xml:space="preserve">Every variable used in the completed papers is reproducible from the files stored in the dissertation folder. The thirty-record dataset carries a source pointer on each row, the signal score is deterministic and therefore recomputable, and the recency, age, citation, and venue variables follow arithmetic rules stated in the configuration and repeated in this chapter. For the planned core, all coding rules will be published so that the capability-gap series and the breakdown series can be reconstructed independently. This posture is not a courtesy. It is the condition under which the falsifiable claim of Chapter 1 means anything, because a proposition that a hostile reader cannot attempt to overturn is not really falsifiable at all</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17"/>
    <w:bookmarkEnd w:id="118"/>
    <w:bookmarkStart w:id="129" w:name="chapter-6.-results"/>
    <w:p>
      <w:pPr>
        <w:pStyle w:val="Heading1"/>
        <w:spacing w:line="480" w:lineRule="auto"/>
      </w:pPr>
      <w:r>
        <w:t xml:space="preserve">Chapter 6. Results</w:t>
      </w:r>
    </w:p>
    <w:p>
      <w:pPr>
        <w:pStyle w:val="FirstParagraph"/>
        <w:spacing w:line="480" w:lineRule="auto"/>
      </w:pPr>
      <w:r>
        <w:t xml:space="preserve">This chapter reports what the two completed diagnostic estimators returned. The numbers are taken directly from the estimation output recorded in the paper configurations and prose, and they are reproduced here without adjustment. The chapter reports the coefficients, their standard errors where recorded, their p-values, the fit statistics, and the sample size, and then interprets the signs and magnitudes against the predictions stated in Chapter 3. Neither result tests the dissertation’s central United States-China proposition; both characterize the source environment that the central test will draw on.</w:t>
      </w:r>
    </w:p>
    <w:bookmarkStart w:id="119" w:name="Xe6340b019e811e393ca188629511d02eefc5764"/>
    <w:p>
      <w:pPr>
        <w:pStyle w:val="Heading2"/>
        <w:spacing w:line="480" w:lineRule="auto"/>
      </w:pPr>
      <w:r>
        <w:t xml:space="preserve">6.1 Paper 1: what predicts topic-signal intensity</w:t>
      </w:r>
    </w:p>
    <w:p>
      <w:pPr>
        <w:pStyle w:val="FirstParagraph"/>
        <w:spacing w:line="480" w:lineRule="auto"/>
      </w:pPr>
      <w:r>
        <w:t xml:space="preserve">Paper 1 fits the ordinary least squares model of topic-signal score on recency, citation count, and venue family across the thirty retrieved records, with heteroskedasticity-robust HC1 standard errors. The overall model uses thirty observations and yields an</w:t>
      </w:r>
      <w:r>
        <w:t xml:space="preserve"> </w:t>
      </w:r>
      <m:oMath>
        <m:sSup>
          <m:e>
            <m:r>
              <m:t>R</m:t>
            </m:r>
          </m:e>
          <m:sup>
            <m:r>
              <m:t>2</m:t>
            </m:r>
          </m:sup>
        </m:sSup>
      </m:oMath>
      <w:r>
        <w:t xml:space="preserve"> </w:t>
      </w:r>
      <w:r>
        <w:t xml:space="preserve">of 0.3533, with an F-test p-value of 0.0031. The model as a whole is therefore statistically significant: the three predictors jointly account for roughly a third of the variance in the signal score, and the joint null that they carry no explanatory power is rejected at conventional levels. The coefficients tell a sharper story. Taken one at a time, they reveal that the joint fit is not the product of three predictors pulling together but of a single predictor doing nearly all the work while the other two contribute almost nothing that can be distinguished from noise. The recency index carries a coefficient of 0.0327 with a p-value of 0.5791. It is positive, small, and statistically weak. Within this corpus, a record being more recent is associated with only a slight and imprecisely estimated rise in topic-signal score, and the estimate cannot be distinguished from zero. The citation count carries a coefficient of 0.0278 with a p-value of 0.3299. It too is positive, small, and statistically weak; visible citation attention inside the local index does not reliably track topical alignment with the dissertation’s mechanism.</w:t>
      </w:r>
    </w:p>
    <w:p>
      <w:pPr>
        <w:pStyle w:val="BodyText"/>
        <w:spacing w:line="480" w:lineRule="auto"/>
        <w:ind w:firstLine="720"/>
      </w:pPr>
      <w:r>
        <w:t xml:space="preserve">Venue is the exception. It is decisive. Its coefficient is -1.6004, with a robust standard error of 0.3991 and a p-value of 0.00006. The coefficient is negative, large relative to the scale of the signal score, and estimated with precision. Because venue is coded so that AMOS is 1, Acta Astronautica is 2, and the space-economy family is 3, a negative coefficient means that moving up the venue ladder is associated with a substantial fall in topic-signal score. The strongest governance-competition signal concentrates in the lowest-coded venue family, which in this retrieval pipeline is dominated by AMOS records.</w:t>
      </w:r>
    </w:p>
    <w:bookmarkEnd w:id="119"/>
    <w:bookmarkStart w:id="120" w:name="X985d0808b7a19fa358ea38f4c4f85758953f2eb"/>
    <w:p>
      <w:pPr>
        <w:pStyle w:val="Heading2"/>
        <w:spacing w:line="480" w:lineRule="auto"/>
      </w:pPr>
      <w:r>
        <w:t xml:space="preserve">6.2 Interpreting the Paper 1 signs and magnitudes</w:t>
      </w:r>
    </w:p>
    <w:p>
      <w:pPr>
        <w:pStyle w:val="FirstParagraph"/>
        <w:spacing w:line="480" w:lineRule="auto"/>
      </w:pPr>
      <w:r>
        <w:t xml:space="preserve">Three readings follow directly from these numbers. The first concerns recency. The positive but insignificant recency coefficient means that newer is not automatically more on-topic in this corpus. The retrieval did not simply surface a pile of recent work and call it relevant; recency and topical alignment are close to orthogonal here, which is reassuring because it means the signal score is not a disguised date stamp</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second reading concerns citations. The positive but insignificant citation coefficient means that a highly cited record is not, for that reason, a topically central one. Two Acta Astronautica records in the sample carry large citation counts of 30 and 29, yet their signal scores are middling, at 5 and 3 respectively, because their subject matter sits away from the governance-coordination core. Citation count is therefore a poor proxy for relevance in this evidence base, and the dissertation is right not to rank sources by it</w:t>
      </w:r>
      <w:r>
        <w:t xml:space="preserve"> </w:t>
      </w:r>
      <w:hyperlink w:anchor="ref-6">
        <w:r>
          <w:rPr>
            <w:rStyle w:val="Hyperlink"/>
          </w:rPr>
          <w:t xml:space="preserve">[6]</w:t>
        </w:r>
      </w:hyperlink>
      <w:r>
        <w:t xml:space="preserve">.</w:t>
      </w:r>
    </w:p>
    <w:p>
      <w:pPr>
        <w:pStyle w:val="BodyText"/>
        <w:spacing w:line="480" w:lineRule="auto"/>
        <w:ind w:firstLine="720"/>
      </w:pPr>
      <w:r>
        <w:t xml:space="preserve">The third reading concerns venue, and it is the substantive payoff. The large, precise, negative venue coefficient says that venue family does the sorting work that recency and citations do not. The AMOS records in this sample include operational and governance-adjacent pieces on information sharing, space domain awareness, registration pressure, and orbital competition, precisely the material the dissertation’s mechanism lives on</w:t>
      </w:r>
      <w:r>
        <w:t xml:space="preserve"> </w:t>
      </w:r>
      <w:hyperlink w:anchor="ref-2">
        <w:r>
          <w:rPr>
            <w:rStyle w:val="Hyperlink"/>
          </w:rPr>
          <w:t xml:space="preserve">[2]</w:t>
        </w:r>
      </w:hyperlink>
      <w:r>
        <w:t xml:space="preserve"> </w:t>
      </w:r>
      <w:hyperlink w:anchor="ref-7">
        <w:r>
          <w:rPr>
            <w:rStyle w:val="Hyperlink"/>
          </w:rPr>
          <w:t xml:space="preserve">[7]</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Several journal hits are technically valid but only loosely aligned. The result thus supports a mixed reading strategy in which AMOS governance-adjacent work is treated as a first-class feeder corpus alongside the formal journal literature, rather than being discounted for sitting outside a high-prestige venue</w:t>
      </w:r>
      <w:r>
        <w:t xml:space="preserve"> </w:t>
      </w:r>
      <w:hyperlink w:anchor="ref-8">
        <w:r>
          <w:rPr>
            <w:rStyle w:val="Hyperlink"/>
          </w:rPr>
          <w:t xml:space="preserve">[8]</w:t>
        </w:r>
      </w:hyperlink>
      <w:r>
        <w:t xml:space="preserve">.</w:t>
      </w:r>
    </w:p>
    <w:p>
      <w:pPr>
        <w:pStyle w:val="BodyText"/>
        <w:spacing w:line="480" w:lineRule="auto"/>
        <w:ind w:firstLine="720"/>
      </w:pPr>
      <w:r>
        <w:t xml:space="preserve">Set against Paper 1’s stated hypotheses, the outcome is a partial and instructive rejection of the naive alternative.</w:t>
      </w:r>
    </w:p>
    <w:p>
      <w:pPr>
        <w:pStyle w:val="BodyText"/>
        <w:spacing w:line="480" w:lineRule="auto"/>
        <w:ind w:firstLine="720"/>
      </w:pPr>
      <w:r>
        <w:t xml:space="preserve">The alternative predicted that signal would rise with recency and citation attention. Neither of those predictions holds with any precision. What the joint significance of the model actually rests on is the venue effect, a predictor the naive alternative did not single out. The corpus is structured, but it is structured along the axis the diagnostic was built to detect rather than the axis intuition would have guessed.</w:t>
      </w:r>
    </w:p>
    <w:bookmarkEnd w:id="120"/>
    <w:bookmarkStart w:id="121" w:name="X6b13aa874d9e429b88a590fb74f3c8c4fe92e42"/>
    <w:p>
      <w:pPr>
        <w:pStyle w:val="Heading2"/>
        <w:spacing w:line="480" w:lineRule="auto"/>
      </w:pPr>
      <w:r>
        <w:t xml:space="preserve">6.3 Paper 2: how citation attention scales with age</w:t>
      </w:r>
    </w:p>
    <w:p>
      <w:pPr>
        <w:pStyle w:val="FirstParagraph"/>
        <w:spacing w:line="480" w:lineRule="auto"/>
      </w:pPr>
      <w:r>
        <w:t xml:space="preserve">Paper 2 fits the log-log learning curve of citations-plus-one on article age across the same thirty records, with robust standard errors.</w:t>
      </w:r>
    </w:p>
    <w:p>
      <w:pPr>
        <w:pStyle w:val="BodyText"/>
        <w:spacing w:line="480" w:lineRule="auto"/>
        <w:ind w:firstLine="720"/>
      </w:pPr>
      <w:r>
        <w:t xml:space="preserve">The fitted model again uses thirty observations. The estimated elasticity is -0.2088, with a robust standard error of 0.1054 and a p-value of 0.0476. The model</w:t>
      </w:r>
      <w:r>
        <w:t xml:space="preserve"> </w:t>
      </w:r>
      <m:oMath>
        <m:sSup>
          <m:e>
            <m:r>
              <m:t>R</m:t>
            </m:r>
          </m:e>
          <m:sup>
            <m:r>
              <m:t>2</m:t>
            </m:r>
          </m:sup>
        </m:sSup>
      </m:oMath>
      <w:r>
        <w:t xml:space="preserve"> </w:t>
      </w:r>
      <w:r>
        <w:t xml:space="preserve">is 0.0293, and the implied progress ratio, computed as two raised to the estimated coefficient, is 0.8652. Two features of this output deserve immediate emphasis. The elasticity is statistically distinguishable from zero at the conventional five percent threshold, since its p-value of 0.0476 falls just below 0.05. Yet the</w:t>
      </w:r>
      <w:r>
        <w:t xml:space="preserve"> </w:t>
      </w:r>
      <m:oMath>
        <m:sSup>
          <m:e>
            <m:r>
              <m:t>R</m:t>
            </m:r>
          </m:e>
          <m:sup>
            <m:r>
              <m:t>2</m:t>
            </m:r>
          </m:sup>
        </m:sSup>
      </m:oMath>
      <w:r>
        <w:t xml:space="preserve"> </w:t>
      </w:r>
      <w:r>
        <w:t xml:space="preserve">of 0.0293 means that article age explains under three percent of the variance in citation attention across these records. The coefficient is real but the relationship is weak; age is a statistically detectable but substantively minor determinant of visible attention in this corpus.</w:t>
      </w:r>
    </w:p>
    <w:bookmarkEnd w:id="121"/>
    <w:bookmarkStart w:id="122" w:name="X358a5fedcfe47c5d9d911065f5b301643cd1a07"/>
    <w:p>
      <w:pPr>
        <w:pStyle w:val="Heading2"/>
        <w:spacing w:line="480" w:lineRule="auto"/>
      </w:pPr>
      <w:r>
        <w:t xml:space="preserve">6.4 Interpreting the Paper 2 sign and magnitude</w:t>
      </w:r>
    </w:p>
    <w:p>
      <w:pPr>
        <w:pStyle w:val="FirstParagraph"/>
        <w:spacing w:line="480" w:lineRule="auto"/>
      </w:pPr>
      <w:r>
        <w:t xml:space="preserve">The sign is backwards. That reversal is the interesting part, because the canonical intuition holds that older work accrues citations over time and should therefore carry more visible attention, yet in this corpus the opposite obtains and the youngest records sit at the top of the attention distribution. A negative elasticity means that, in this specific retrieved corpus, newer records tend to carry slightly higher citation counts plus one, after the logarithmic transformation, than older ones. The progress ratio of 0.8652 puts a magnitude on it: a doubling of article age is associated with citation-plus-one falling to roughly 87 percent of its prior level, a modest downward tilt rather than a steep decline.</w:t>
      </w:r>
    </w:p>
    <w:p>
      <w:pPr>
        <w:pStyle w:val="BodyText"/>
        <w:spacing w:line="480" w:lineRule="auto"/>
        <w:ind w:firstLine="720"/>
      </w:pPr>
      <w:r>
        <w:t xml:space="preserve">The composition of the sample explains the reversal without any appeal to a general law.</w:t>
      </w:r>
    </w:p>
    <w:p>
      <w:pPr>
        <w:pStyle w:val="BodyText"/>
        <w:spacing w:line="480" w:lineRule="auto"/>
        <w:ind w:firstLine="720"/>
      </w:pPr>
      <w:r>
        <w:t xml:space="preserve">Several recent operational and governance-adjacent records were indexed with nonzero citation counts, while several older records that are substantively important are only lightly cited within the local index</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two heavily cited Acta Astronautica records, with counts of 30 and 29, are both recent 2024 entries, which pulls the young end of the age distribution upward. The older AMOS entries from 2007 and 2010, though foundational to the observability story, carry zero reported local citations, which pulls the old end down. The elasticity is a fact about this retrieval environment, not a discovery about how scholarly attention behaves in general. For the dissertation, the practical lesson mirrors Paper 1. The most foundational-looking sources are not automatically the most visibly attended, so age should not be used as a prestige proxy when weighing relevance</w:t>
      </w:r>
      <w:r>
        <w:t xml:space="preserve"> </w:t>
      </w:r>
      <w:hyperlink w:anchor="ref-6">
        <w:r>
          <w:rPr>
            <w:rStyle w:val="Hyperlink"/>
          </w:rPr>
          <w:t xml:space="preserve">[6]</w:t>
        </w:r>
      </w:hyperlink>
      <w:r>
        <w:t xml:space="preserve"> </w:t>
      </w:r>
      <w:hyperlink w:anchor="ref-7">
        <w:r>
          <w:rPr>
            <w:rStyle w:val="Hyperlink"/>
          </w:rPr>
          <w:t xml:space="preserve">[7]</w:t>
        </w:r>
      </w:hyperlink>
      <w:r>
        <w:t xml:space="preserve">. Recent operational work has become salient quickly in the fast-moving areas of space traffic management, low-Earth-orbit market competition, and observability infrastructure, and the dissertation should read that recency as substantive movement in the field rather than as noise to be discounted.</w:t>
      </w:r>
    </w:p>
    <w:bookmarkEnd w:id="122"/>
    <w:bookmarkStart w:id="123" w:name="reading-the-fit-statistics-honestly"/>
    <w:p>
      <w:pPr>
        <w:pStyle w:val="Heading2"/>
        <w:spacing w:line="480" w:lineRule="auto"/>
      </w:pPr>
      <w:r>
        <w:t xml:space="preserve">6.5 Reading the fit statistics honestly</w:t>
      </w:r>
    </w:p>
    <w:p>
      <w:pPr>
        <w:pStyle w:val="FirstParagraph"/>
        <w:spacing w:line="480" w:lineRule="auto"/>
      </w:pPr>
      <w:r>
        <w:t xml:space="preserve">The two models sit at opposite ends of the explanatory spectrum, and reporting both fit statistics honestly is part of the discipline. Paper 1’s</w:t>
      </w:r>
      <w:r>
        <w:t xml:space="preserve"> </w:t>
      </w:r>
      <m:oMath>
        <m:sSup>
          <m:e>
            <m:r>
              <m:t>R</m:t>
            </m:r>
          </m:e>
          <m:sup>
            <m:r>
              <m:t>2</m:t>
            </m:r>
          </m:sup>
        </m:sSup>
      </m:oMath>
      <w:r>
        <w:t xml:space="preserve"> </w:t>
      </w:r>
      <w:r>
        <w:t xml:space="preserve">of 0.3533 is respectable for a cross-sectional model of a text-derived score on three surface features, and its F-test p-value of 0.0031 confirms that the three predictors jointly carry real explanatory power. But the joint fit is almost entirely the venue effect. Strip venue out and the remaining two predictors, recency and citations, explain very little on their own, as their p-values of 0.5791 and 0.3299 make clear. The model is significant, but it is significant because of one predictor, and a reader who saw only the</w:t>
      </w:r>
      <w:r>
        <w:t xml:space="preserve"> </w:t>
      </w:r>
      <m:oMath>
        <m:sSup>
          <m:e>
            <m:r>
              <m:t>R</m:t>
            </m:r>
          </m:e>
          <m:sup>
            <m:r>
              <m:t>2</m:t>
            </m:r>
          </m:sup>
        </m:sSup>
      </m:oMath>
      <w:r>
        <w:t xml:space="preserve"> </w:t>
      </w:r>
      <w:r>
        <w:t xml:space="preserve">without the coefficient table would misjudge where the explanatory work is being done. Paper 2 presents the mirror image. Its elasticity of -0.2088 clears the conventional significance threshold at a p-value of 0.0476, yet its</w:t>
      </w:r>
      <w:r>
        <w:t xml:space="preserve"> </w:t>
      </w:r>
      <m:oMath>
        <m:sSup>
          <m:e>
            <m:r>
              <m:t>R</m:t>
            </m:r>
          </m:e>
          <m:sup>
            <m:r>
              <m:t>2</m:t>
            </m:r>
          </m:sup>
        </m:sSup>
      </m:oMath>
      <w:r>
        <w:t xml:space="preserve"> </w:t>
      </w:r>
      <w:r>
        <w:t xml:space="preserve">of 0.0293 tells us that age accounts for under three percent of the variance in citation attention. This combination, a significant coefficient sitting on a tiny</w:t>
      </w:r>
      <w:r>
        <w:t xml:space="preserve"> </w:t>
      </w:r>
      <m:oMath>
        <m:sSup>
          <m:e>
            <m:r>
              <m:t>R</m:t>
            </m:r>
          </m:e>
          <m:sup>
            <m:r>
              <m:t>2</m:t>
            </m:r>
          </m:sup>
        </m:sSup>
      </m:oMath>
      <w:r>
        <w:t xml:space="preserve">, is common in small samples and easy to overstate in either direction. It would be wrong to call the age effect important, because it explains almost nothing. It would also be wrong to call it absent, because the coefficient is distinguishable from zero. The correct reading is that the effect is real but minor, and that reading depends on holding the significance and the fit in view together rather than reporting one and hiding the other.</w:t>
      </w:r>
    </w:p>
    <w:bookmarkEnd w:id="123"/>
    <w:bookmarkStart w:id="124" w:name="X3b6fa8999d73ab28bf6d94267f770bcbc1b4375"/>
    <w:p>
      <w:pPr>
        <w:pStyle w:val="Heading2"/>
        <w:spacing w:line="480" w:lineRule="auto"/>
      </w:pPr>
      <w:r>
        <w:t xml:space="preserve">6.6 Robustness of the substantive conclusions</w:t>
      </w:r>
    </w:p>
    <w:p>
      <w:pPr>
        <w:pStyle w:val="FirstParagraph"/>
        <w:spacing w:line="480" w:lineRule="auto"/>
      </w:pPr>
      <w:r>
        <w:t xml:space="preserve">Neither diagnostic conclusion hangs on a fragile specification, and it is worth saying why. The venue result in Paper 1 is not a knife-edge finding. Its coefficient of -1.6004 is large relative to the one-to-eight scale of the signal score, and its standard error of 0.3991 places the estimate several multiples away from zero, which is why its p-value reaches 0.00006 rather than merely clearing a conventional threshold. A result of that magnitude and precision, on a balanced venue variable, does not depend on a handful of influential points; it reflects a systematic difference between the AMOS material and the higher-coded venue families across the whole corpus</w:t>
      </w:r>
      <w:r>
        <w:t xml:space="preserve"> </w:t>
      </w:r>
      <w:hyperlink w:anchor="ref-2">
        <w:r>
          <w:rPr>
            <w:rStyle w:val="Hyperlink"/>
          </w:rPr>
          <w:t xml:space="preserve">[2]</w:t>
        </w:r>
      </w:hyperlink>
      <w:r>
        <w:t xml:space="preserve"> </w:t>
      </w:r>
      <w:hyperlink w:anchor="ref-7">
        <w:r>
          <w:rPr>
            <w:rStyle w:val="Hyperlink"/>
          </w:rPr>
          <w:t xml:space="preserve">[7]</w:t>
        </w:r>
      </w:hyperlink>
      <w:r>
        <w:t xml:space="preserve"> </w:t>
      </w:r>
      <w:hyperlink w:anchor="ref-11">
        <w:r>
          <w:rPr>
            <w:rStyle w:val="Hyperlink"/>
          </w:rPr>
          <w:t xml:space="preserve">[11]</w:t>
        </w:r>
      </w:hyperlink>
      <w:r>
        <w:t xml:space="preserve">. The age result in Paper 2 is more delicate, and the chapter treats it accordingly. Because two recent, heavily cited records exert real leverage on the log-log slope, the elasticity would move if those two points were removed, and its already small</w:t>
      </w:r>
      <w:r>
        <w:t xml:space="preserve"> </w:t>
      </w:r>
      <m:oMath>
        <m:sSup>
          <m:e>
            <m:r>
              <m:t>R</m:t>
            </m:r>
          </m:e>
          <m:sup>
            <m:r>
              <m:t>2</m:t>
            </m:r>
          </m:sup>
        </m:sSup>
      </m:oMath>
      <w:r>
        <w:t xml:space="preserve"> </w:t>
      </w:r>
      <w:r>
        <w:t xml:space="preserve">warns that the relationship is not robust in the way the venue effect is</w:t>
      </w:r>
      <w:r>
        <w:t xml:space="preserve"> </w:t>
      </w:r>
      <w:hyperlink w:anchor="ref-6">
        <w:r>
          <w:rPr>
            <w:rStyle w:val="Hyperlink"/>
          </w:rPr>
          <w:t xml:space="preserve">[6]</w:t>
        </w:r>
      </w:hyperlink>
      <w:r>
        <w:t xml:space="preserve">. The honest conclusion is asymmetric: the venue finding is strong and dependable, while the age finding is weak, statistically present, and sensitive to a few observations. Reporting that asymmetry, rather than smoothing it into a uniform story, is what the results actually support</w:t>
      </w:r>
      <w:r>
        <w:t xml:space="preserve"> </w:t>
      </w:r>
      <w:hyperlink w:anchor="ref-3">
        <w:r>
          <w:rPr>
            <w:rStyle w:val="Hyperlink"/>
          </w:rPr>
          <w:t xml:space="preserve">[3]</w:t>
        </w:r>
      </w:hyperlink>
      <w:r>
        <w:t xml:space="preserve">.</w:t>
      </w:r>
    </w:p>
    <w:bookmarkEnd w:id="124"/>
    <w:bookmarkStart w:id="125" w:name="X40e10845377277b7ff68f554409223a7080f4f3"/>
    <w:p>
      <w:pPr>
        <w:pStyle w:val="Heading2"/>
        <w:spacing w:line="480" w:lineRule="auto"/>
      </w:pPr>
      <w:r>
        <w:t xml:space="preserve">6.7 A worked interpretation of the venue coefficient</w:t>
      </w:r>
    </w:p>
    <w:p>
      <w:pPr>
        <w:pStyle w:val="FirstParagraph"/>
        <w:spacing w:line="480" w:lineRule="auto"/>
      </w:pPr>
      <w:r>
        <w:t xml:space="preserve">Because the venue coefficient carries the substantive weight of Paper 1, it is worth translating its magnitude into concrete terms. The coefficient of -1.6004 attaches to a venue variable coded 1 for AMOS, 2 for Acta Astronautica, and 3 for the space-economy family. Holding recency and citations fixed, moving one step up that ladder, from AMOS to Acta Astronautica, or from Acta Astronautica to the space-economy family, is associated with a predicted drop of about 1.6 points in the topic-signal score. On a score that ranges from 1 to 8 across the corpus, a shift of 1.6 points per venue step is large; it means that venue family alone can move a record across a substantial fraction of the entire observed range of the outcome</w:t>
      </w:r>
      <w:r>
        <w:t xml:space="preserve"> </w:t>
      </w:r>
      <w:hyperlink w:anchor="ref-2">
        <w:r>
          <w:rPr>
            <w:rStyle w:val="Hyperlink"/>
          </w:rPr>
          <w:t xml:space="preserve">[2]</w:t>
        </w:r>
      </w:hyperlink>
      <w:r>
        <w:t xml:space="preserve">. This magnitude explains why the corpus behaves the way it does. The highest-scoring record, the Dailey, Toner, and Murphy information-sharing piece at a signal score of 8, sits in the AMOS family, and the venue coefficient predicts exactly that pattern: the governance-competition vocabulary concentrates in the lowest-coded venue</w:t>
      </w:r>
      <w:r>
        <w:t xml:space="preserve"> </w:t>
      </w:r>
      <w:hyperlink w:anchor="ref-13">
        <w:r>
          <w:rPr>
            <w:rStyle w:val="Hyperlink"/>
          </w:rPr>
          <w:t xml:space="preserve">[13]</w:t>
        </w:r>
      </w:hyperlink>
      <w:r>
        <w:t xml:space="preserve">. The lightly aligned records, including the exoplanetary and lunar food-systems entries with scores of 1, sit in the higher-coded journal family, again as the coefficient predicts</w:t>
      </w:r>
      <w:r>
        <w:t xml:space="preserve"> </w:t>
      </w:r>
      <w:hyperlink w:anchor="ref-7">
        <w:r>
          <w:rPr>
            <w:rStyle w:val="Hyperlink"/>
          </w:rPr>
          <w:t xml:space="preserve">[7]</w:t>
        </w:r>
      </w:hyperlink>
      <w:r>
        <w:t xml:space="preserve">. The number is not an abstraction; it tracks a readable pattern in which AMOS governance-adjacent work carries the mechanism’s vocabulary and several journal entries, though technically valid, sit away from it</w:t>
      </w:r>
      <w:r>
        <w:t xml:space="preserve"> </w:t>
      </w:r>
      <w:hyperlink w:anchor="ref-11">
        <w:r>
          <w:rPr>
            <w:rStyle w:val="Hyperlink"/>
          </w:rPr>
          <w:t xml:space="preserve">[11]</w:t>
        </w:r>
      </w:hyperlink>
      <w:r>
        <w:t xml:space="preserve">.</w:t>
      </w:r>
    </w:p>
    <w:bookmarkEnd w:id="125"/>
    <w:bookmarkStart w:id="126" w:name="what-the-null-results-teach"/>
    <w:p>
      <w:pPr>
        <w:pStyle w:val="Heading2"/>
        <w:spacing w:line="480" w:lineRule="auto"/>
      </w:pPr>
      <w:r>
        <w:t xml:space="preserve">6.8 What the null results teach</w:t>
      </w:r>
    </w:p>
    <w:p>
      <w:pPr>
        <w:pStyle w:val="FirstParagraph"/>
        <w:spacing w:line="480" w:lineRule="auto"/>
      </w:pPr>
      <w:r>
        <w:t xml:space="preserve">The two insignificant coefficients in Paper 1 are as informative as the significant one, and the chapter treats them as findings rather than failures. The recency coefficient of 0.0327 at a p-value of 0.5791 teaches that the retrieval did not simply equate newness with relevance; a 2026 record is not, by virtue of its date, more aligned with the mechanism than a 2010 one</w:t>
      </w:r>
      <w:r>
        <w:t xml:space="preserve"> </w:t>
      </w:r>
      <w:hyperlink w:anchor="ref-4">
        <w:r>
          <w:rPr>
            <w:rStyle w:val="Hyperlink"/>
          </w:rPr>
          <w:t xml:space="preserve">[4]</w:t>
        </w:r>
      </w:hyperlink>
      <w:r>
        <w:t xml:space="preserve">. The citation coefficient of 0.0278 at a p-value of 0.3299 teaches that visible attention and topical fit come apart in this corpus, so that a heavily cited record can be substantively peripheral</w:t>
      </w:r>
      <w:r>
        <w:t xml:space="preserve"> </w:t>
      </w:r>
      <w:hyperlink w:anchor="ref-6">
        <w:r>
          <w:rPr>
            <w:rStyle w:val="Hyperlink"/>
          </w:rPr>
          <w:t xml:space="preserve">[6]</w:t>
        </w:r>
      </w:hyperlink>
      <w:r>
        <w:t xml:space="preserve">. Both nulls carry a methodological warning that Chapter 7 will build on: the surface features an analyst might reach for first, date and citation count, are unreliable guides to what a governance study should actually read. These are not the nulls of an underpowered test that simply failed to detect a real effect. They are informative nulls in the sense that they redirect the reading strategy. Combined with the strong venue result, they say that if one wants to find the governance-competition core of this literature, one should look to venue family and to direct topical reading, not to recency or citation rank</w:t>
      </w:r>
      <w:r>
        <w:t xml:space="preserve"> </w:t>
      </w:r>
      <w:hyperlink w:anchor="ref-3">
        <w:r>
          <w:rPr>
            <w:rStyle w:val="Hyperlink"/>
          </w:rPr>
          <w:t xml:space="preserve">[3]</w:t>
        </w:r>
      </w:hyperlink>
      <w:r>
        <w:t xml:space="preserve">. That redirection is a genuine contribution of the diagnostic work, and it is available only because the paper reported the insignificant coefficients honestly rather than discarding them.</w:t>
      </w:r>
    </w:p>
    <w:bookmarkEnd w:id="126"/>
    <w:bookmarkStart w:id="127" w:name="Xbe12082369a148981074620b5364d1dea019878"/>
    <w:p>
      <w:pPr>
        <w:pStyle w:val="Heading2"/>
        <w:spacing w:line="480" w:lineRule="auto"/>
      </w:pPr>
      <w:r>
        <w:t xml:space="preserve">6.9 Placing the results against the papers’ stated hypotheses</w:t>
      </w:r>
    </w:p>
    <w:p>
      <w:pPr>
        <w:pStyle w:val="FirstParagraph"/>
        <w:spacing w:line="480" w:lineRule="auto"/>
      </w:pPr>
      <w:r>
        <w:t xml:space="preserve">Each diagnostic carried a pre-committed hypothesis, and the results should be scored against those commitments rather than against a post hoc story. Paper 1’s alternative predicted that the topic-signal score would rise with recency and with citation attention. On the numbers, that alternative fails for both predictors: recency at 0.0327 with a p-value of 0.5791 and citations at 0.0278 with a p-value of 0.3299 are neither large nor distinguishable from zero</w:t>
      </w:r>
      <w:r>
        <w:t xml:space="preserve"> </w:t>
      </w:r>
      <w:hyperlink w:anchor="ref-2">
        <w:r>
          <w:rPr>
            <w:rStyle w:val="Hyperlink"/>
          </w:rPr>
          <w:t xml:space="preserve">[2]</w:t>
        </w:r>
      </w:hyperlink>
      <w:r>
        <w:t xml:space="preserve">. What the paper found instead was a strong venue effect the naive alternative had not named, at -1.6004 with a p-value of 0.00006. The stated alternative is rejected on its own terms, and the real structure of the corpus turned out to lie along an axis the naive prediction ignored</w:t>
      </w:r>
      <w:r>
        <w:t xml:space="preserve"> </w:t>
      </w:r>
      <w:hyperlink w:anchor="ref-7">
        <w:r>
          <w:rPr>
            <w:rStyle w:val="Hyperlink"/>
          </w:rPr>
          <w:t xml:space="preserve">[7]</w:t>
        </w:r>
      </w:hyperlink>
      <w:r>
        <w:t xml:space="preserve">. Paper 2’s alternative predicted that citation accumulation would follow a measurable age-based curve. Here the result is a qualified confirmation. The elasticity of -0.2088 at a p-value of 0.0476 is measurable and distinguishable from zero, so a curve exists</w:t>
      </w:r>
      <w:r>
        <w:t xml:space="preserve"> </w:t>
      </w:r>
      <w:hyperlink w:anchor="ref-6">
        <w:r>
          <w:rPr>
            <w:rStyle w:val="Hyperlink"/>
          </w:rPr>
          <w:t xml:space="preserve">[6]</w:t>
        </w:r>
      </w:hyperlink>
      <w:r>
        <w:t xml:space="preserve">. But its direction is the reverse of the canonical prestige-with-age intuition, and its</w:t>
      </w:r>
      <w:r>
        <w:t xml:space="preserve"> </w:t>
      </w:r>
      <m:oMath>
        <m:sSup>
          <m:e>
            <m:r>
              <m:t>R</m:t>
            </m:r>
          </m:e>
          <m:sup>
            <m:r>
              <m:t>2</m:t>
            </m:r>
          </m:sup>
        </m:sSup>
      </m:oMath>
      <w:r>
        <w:t xml:space="preserve"> </w:t>
      </w:r>
      <w:r>
        <w:t xml:space="preserve">of 0.0293 makes it weak. The paper confirmed that age carries a detectable relationship to attention while overturning the expected sign and revealing the relationship to be minor</w:t>
      </w:r>
      <w:r>
        <w:t xml:space="preserve"> </w:t>
      </w:r>
      <w:hyperlink w:anchor="ref-3">
        <w:r>
          <w:rPr>
            <w:rStyle w:val="Hyperlink"/>
          </w:rPr>
          <w:t xml:space="preserve">[3]</w:t>
        </w:r>
      </w:hyperlink>
      <w:r>
        <w:t xml:space="preserve">. Scoring both papers against their pre-registered predictions this way is what keeps the diagnostic work honest, because it prevents either result from being quietly reinterpreted to look like a cleaner confirmation than it was.</w:t>
      </w:r>
    </w:p>
    <w:bookmarkEnd w:id="127"/>
    <w:bookmarkStart w:id="128" w:name="what-the-two-results-establish-together"/>
    <w:p>
      <w:pPr>
        <w:pStyle w:val="Heading2"/>
        <w:spacing w:line="480" w:lineRule="auto"/>
      </w:pPr>
      <w:r>
        <w:t xml:space="preserve">6.10 What the two results establish together</w:t>
      </w:r>
    </w:p>
    <w:p>
      <w:pPr>
        <w:pStyle w:val="FirstParagraph"/>
        <w:spacing w:line="480" w:lineRule="auto"/>
      </w:pPr>
      <w:r>
        <w:t xml:space="preserve">Taken together, the two diagnostics deliver a single, useful message about the evidence base. Venue family sorts governance signal strongly and precisely, with a coefficient of -1.6004 at a p-value of 0.00006, while age contributes only weakly, with an elasticity of -0.2088 at a p-value of 0.0476 and an</w:t>
      </w:r>
      <w:r>
        <w:t xml:space="preserve"> </w:t>
      </w:r>
      <m:oMath>
        <m:sSup>
          <m:e>
            <m:r>
              <m:t>R</m:t>
            </m:r>
          </m:e>
          <m:sup>
            <m:r>
              <m:t>2</m:t>
            </m:r>
          </m:sup>
        </m:sSup>
      </m:oMath>
      <w:r>
        <w:t xml:space="preserve"> </w:t>
      </w:r>
      <w:r>
        <w:t xml:space="preserve">of just 0.0293, and in a direction that warns against romanticizing older canonical texts. Recency and raw citation counts, the two features an analyst might reach for first, do neither much sorting work in Paper 1 nor much explanatory work in Paper 2. The corpus is therefore legible along an interpretable axis, venue, and largely illegible along the axes that would have been convenient shortcuts. That is exactly the reassurance the central design needs before it proceeds. The two papers do not, and do not claim to, show that capability convergence predicts coordination breakdown. What they show is that the source environment feeding the eventual event study is structured rather than random, that its structure is measurable, and that a disciplined reader who declines to rank sources by recency or citation count alone is reading it correctly. On that footing, Chapter 7 turns to what the findings mean, what they cannot show, and the threats the central design must still survive.</w:t>
      </w:r>
    </w:p>
    <w:bookmarkEnd w:id="128"/>
    <w:bookmarkEnd w:id="129"/>
    <w:bookmarkStart w:id="141" w:name="chapter-7.-discussion-and-limitations"/>
    <w:p>
      <w:pPr>
        <w:pStyle w:val="Heading1"/>
        <w:spacing w:line="480" w:lineRule="auto"/>
      </w:pPr>
      <w:r>
        <w:t xml:space="preserve">Chapter 7. Discussion and Limitations</w:t>
      </w:r>
    </w:p>
    <w:p>
      <w:pPr>
        <w:pStyle w:val="FirstParagraph"/>
        <w:spacing w:line="480" w:lineRule="auto"/>
      </w:pPr>
      <w:r>
        <w:t xml:space="preserve">Two results are in hand, and a larger claim is reserved. This chapter reads what the completed work means, states plainly what it cannot mean, and confronts the threats that the central design must survive before its proposition can be believed. The discipline throughout is to claim exactly as much as the evidence supports and not a word more, because the value of a falsifiable design is destroyed the moment its author starts smuggling in conclusions the data has not earned.</w:t>
      </w:r>
    </w:p>
    <w:bookmarkStart w:id="130" w:name="X0578f135007ef87a1a8672d07055cd9b3dd5318"/>
    <w:p>
      <w:pPr>
        <w:pStyle w:val="Heading2"/>
        <w:spacing w:line="480" w:lineRule="auto"/>
      </w:pPr>
      <w:r>
        <w:t xml:space="preserve">7.1 What the completed findings actually mean</w:t>
      </w:r>
    </w:p>
    <w:p>
      <w:pPr>
        <w:pStyle w:val="FirstParagraph"/>
        <w:spacing w:line="480" w:lineRule="auto"/>
      </w:pPr>
      <w:r>
        <w:t xml:space="preserve">The honest summary is narrow. What Chapters 5 and 6 established is a set of facts about the evidence base and nothing about United States-China relations, and a reader who wants the latter will have to wait for the central test that the breakdown series is still being assembled to support. The dissertation has shown that its source environment is structured, that venue family sorts governance signal with precision, and that neither recency nor citation count nor article age is a reliable shortcut to topical relevance in this corpus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These are facts about the evidence base, not facts about United States-China relations. They matter, but they matter instrumentally: they license a reading strategy for the substantive literature, and they demonstrate that the candidate can hold an empirical claim to a stated standard and report the outcome even when it cuts against intuition, as the reversed age elasticity of Paper 2 did. There is a real intellectual payoff even at this modest scope. The finding that AMOS governance-adjacent material carries stronger topic signal than several higher-prestige journal hits has a methodological consequence for the whole field of space-governance research. Analysts who filter their reading by venue prestige or citation count risk systematically underweighting exactly the operational and coordination-focused work that a governance mechanism depends on</w:t>
      </w:r>
      <w:r>
        <w:t xml:space="preserve"> </w:t>
      </w:r>
      <w:hyperlink w:anchor="ref-7">
        <w:r>
          <w:rPr>
            <w:rStyle w:val="Hyperlink"/>
          </w:rPr>
          <w:t xml:space="preserve">[7]</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That is a transferable lesson, and it is defensible on the evidence presented, because it follows directly from the venue coefficient rather than from assertion.</w:t>
      </w:r>
    </w:p>
    <w:bookmarkEnd w:id="130"/>
    <w:bookmarkStart w:id="131" w:name="what-the-completed-findings-cannot-show"/>
    <w:p>
      <w:pPr>
        <w:pStyle w:val="Heading2"/>
        <w:spacing w:line="480" w:lineRule="auto"/>
      </w:pPr>
      <w:r>
        <w:t xml:space="preserve">7.2 What the completed findings cannot show</w:t>
      </w:r>
    </w:p>
    <w:p>
      <w:pPr>
        <w:pStyle w:val="FirstParagraph"/>
        <w:spacing w:line="480" w:lineRule="auto"/>
      </w:pPr>
      <w:r>
        <w:t xml:space="preserve">The larger claim, that narrowing capability margins predict later coordination breakdown, is not tested by anything in this dissertation yet, and the chapter says so without hedging. The two diagnostic papers run on a corpus of literature records, not on the capability-gap series and breakdown series that the central hypothesis concerns. A reader who took the significant venue coefficient or the significant age elasticity as evidence for the orbital power-transition claim would be misreading the work. The diagnostics are about which sources are legible, not about whether the mechanism operates. This limitation is structural rather than incidental. The central event study requires a coded breakdown series spanning roughly a quarter century, assembled under transparent inclusion rules from filing controversies, registration irregularities, information-sharing disputes, and procedural conflicts in multilateral records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That assembly is a substantial documentary undertaking, and it is not complete. Presenting the diagnostics as if they stood in for it would be exactly the kind of overreach the design was built to prevent. The dissertation is at the design stage for its main claim, and its main claim remains open.</w:t>
      </w:r>
    </w:p>
    <w:bookmarkEnd w:id="131"/>
    <w:bookmarkStart w:id="132" w:name="threats-to-the-central-design"/>
    <w:p>
      <w:pPr>
        <w:pStyle w:val="Heading2"/>
        <w:spacing w:line="480" w:lineRule="auto"/>
      </w:pPr>
      <w:r>
        <w:t xml:space="preserve">7.3 Threats to the central design</w:t>
      </w:r>
    </w:p>
    <w:p>
      <w:pPr>
        <w:pStyle w:val="FirstParagraph"/>
        <w:spacing w:line="480" w:lineRule="auto"/>
      </w:pPr>
      <w:r>
        <w:t xml:space="preserve">Even reserved, the central design must answer several threats, and naming them now is part of taking the eventual test seriously. Construct validity is the first. Capability transition is multidimensional, and any single composite index risks collapsing distinct mechanisms into one number. Launch cadence, payload stock, and maneuver competence do not move together in lockstep, and an index that averages them could mask a case where one component narrows while another widens. The planned response is component-wise robustness: estimating the relationship with each index component entered separately, so that a result driven by only one dimension is visible rather than hidden</w:t>
      </w:r>
      <w:r>
        <w:t xml:space="preserve"> </w:t>
      </w:r>
      <w:hyperlink w:anchor="ref-4">
        <w:r>
          <w:rPr>
            <w:rStyle w:val="Hyperlink"/>
          </w:rPr>
          <w:t xml:space="preserve">[4]</w:t>
        </w:r>
      </w:hyperlink>
      <w:r>
        <w:t xml:space="preserve"> </w:t>
      </w:r>
      <w:hyperlink w:anchor="ref-6">
        <w:r>
          <w:rPr>
            <w:rStyle w:val="Hyperlink"/>
          </w:rPr>
          <w:t xml:space="preserve">[6]</w:t>
        </w:r>
      </w:hyperlink>
      <w:r>
        <w:t xml:space="preserve">. Event-coding discretion is the second, and it is the sharpest. A breakdown series can be inflated if ordinary diplomatic disagreement is coded as crisis. The inclusion rule that an event must leave a documentary trace, a filing on record, a registration irregularity in the multilateral record, a documented refusal, a procedural conflict, is the primary guard, but it is not perfect, because the decision to treat a given documented episode as a breakdown still involves judgment. The design’s answer is a bounded event taxonomy and a second-coder reproducibility check, so that the series does not depend on one analyst’s reading</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Temporal aggregation is the third. Annual aggregation may blur dynamics that operate on shorter cycles, and it may assign an event to the wrong year relative to the capability change that provoked it. The multiple-lag design partly addresses this, but finer temporal resolution is limited by the density of the source record, and where that density is thin the annual grid is the honest choice even at some cost to sensitivity. Common-shock confounding is the fourth and most serious for causal interpretation. A major crisis could accelerate both capability development and governance friction at once, producing a spurious association between them. The design conditions on major debris events, regulatory reforms, and crisis-year indicators, and it runs placebo outcomes in which an unrelated administrative event class is substituted for the breakdown series</w:t>
      </w:r>
      <w:r>
        <w:t xml:space="preserve"> </w:t>
      </w:r>
      <w:hyperlink w:anchor="ref-5">
        <w:r>
          <w:rPr>
            <w:rStyle w:val="Hyperlink"/>
          </w:rPr>
          <w:t xml:space="preserve">[5]</w:t>
        </w:r>
      </w:hyperlink>
      <w:r>
        <w:t xml:space="preserve">. If lagged gap-narrowing predicts the placebo as strongly as the real outcome, the mechanism is not doing the work, and the placebo is built to reveal that.</w:t>
      </w:r>
    </w:p>
    <w:p>
      <w:pPr>
        <w:pStyle w:val="BodyText"/>
        <w:spacing w:line="480" w:lineRule="auto"/>
        <w:ind w:firstLine="720"/>
      </w:pPr>
      <w:r>
        <w:t xml:space="preserve">Selection on visibility is the fifth. Public records overrepresent breakdowns that are politically useful to publicize, so the series is a visible-breakdown series, not a census of all coordination behavior. The dissertation treats it that way and does not claim to measure the full universe of coordination outcomes, only the documented and visible portion of it.</w:t>
      </w:r>
    </w:p>
    <w:bookmarkEnd w:id="132"/>
    <w:bookmarkStart w:id="133" w:name="X54884c511b67d01612705e42db1c7b6889d6524"/>
    <w:p>
      <w:pPr>
        <w:pStyle w:val="Heading2"/>
        <w:spacing w:line="480" w:lineRule="auto"/>
      </w:pPr>
      <w:r>
        <w:t xml:space="preserve">7.4 Limitations specific to the completed papers</w:t>
      </w:r>
    </w:p>
    <w:p>
      <w:pPr>
        <w:pStyle w:val="FirstParagraph"/>
        <w:spacing w:line="480" w:lineRule="auto"/>
      </w:pPr>
      <w:r>
        <w:t xml:space="preserve">The two finished papers carry their own limits, and Chapter 6’s numbers make them concrete.</w:t>
      </w:r>
    </w:p>
    <w:p>
      <w:pPr>
        <w:pStyle w:val="BodyText"/>
        <w:spacing w:line="480" w:lineRule="auto"/>
        <w:ind w:firstLine="720"/>
      </w:pPr>
      <w:r>
        <w:t xml:space="preserve">The sample of thirty is small, which is why the recency and citation coefficients in Paper 1, at p-values of 0.5791 and 0.3299, are best read as imprecise rather than as firm nulls, and why the Paper 2 elasticity, significant at 0.0476 but explaining under three percent of variance, should be reported as weak even though it clears the conventional threshold. Small samples produce exactly this pattern of a detectable but fragile effect, and inflating either result would misrepresent it.</w:t>
      </w:r>
    </w:p>
    <w:p>
      <w:pPr>
        <w:pStyle w:val="BodyText"/>
        <w:spacing w:line="480" w:lineRule="auto"/>
        <w:ind w:firstLine="720"/>
      </w:pPr>
      <w:r>
        <w:t xml:space="preserve">The signal score, being built from retrieved text features, partly reflects the vocabulary choices of authors and indexers rather than a deeper measure of conceptual importance.</w:t>
      </w:r>
    </w:p>
    <w:p>
      <w:pPr>
        <w:pStyle w:val="BodyText"/>
        <w:spacing w:line="480" w:lineRule="auto"/>
        <w:ind w:firstLine="720"/>
      </w:pPr>
      <w:r>
        <w:t xml:space="preserve">A record could score low because its author used different words for the same idea, not because it is off-topic. The stated remedy is to hand-code a subset of records for direct relevance to the capability-transition mechanism and compare that human judgment against the deterministic score, which would test whether the automated measure tracks the concept it is meant to capture</w:t>
      </w:r>
      <w:r>
        <w:t xml:space="preserve"> </w:t>
      </w:r>
      <w:hyperlink w:anchor="ref-3">
        <w:r>
          <w:rPr>
            <w:rStyle w:val="Hyperlink"/>
          </w:rPr>
          <w:t xml:space="preserve">[3]</w:t>
        </w:r>
      </w:hyperlink>
      <w:r>
        <w:t xml:space="preserve">. The citation counts, inherited from a single local index rather than harmonized across databases, are a further limit, and they caution against any cross-database interpretation of the age elasticity.</w:t>
      </w:r>
    </w:p>
    <w:bookmarkEnd w:id="133"/>
    <w:bookmarkStart w:id="134" w:name="Xc8e6a916d078d90b732790e7f025508916bca48"/>
    <w:p>
      <w:pPr>
        <w:pStyle w:val="Heading2"/>
        <w:spacing w:line="480" w:lineRule="auto"/>
      </w:pPr>
      <w:r>
        <w:t xml:space="preserve">7.5 Alternative explanations the design must rule out</w:t>
      </w:r>
    </w:p>
    <w:p>
      <w:pPr>
        <w:pStyle w:val="FirstParagraph"/>
        <w:spacing w:line="480" w:lineRule="auto"/>
      </w:pPr>
      <w:r>
        <w:t xml:space="preserve">Beyond the five generic threats, several substantive alternative explanations deserve direct engagement, because a skeptical reader will raise them and the design should have an answer ready.</w:t>
      </w:r>
    </w:p>
    <w:p>
      <w:pPr>
        <w:pStyle w:val="BodyText"/>
        <w:spacing w:line="480" w:lineRule="auto"/>
        <w:ind w:firstLine="720"/>
      </w:pPr>
      <w:r>
        <w:t xml:space="preserve">The first alternative holds that coordination breakdown rises over time for reasons of sheer orbital crowding, independent of any bilateral capability dynamic. As more actors and objects enter orbit, the coordination surfaces strain regardless of the United States-China margin, and a naive estimate could attribute to capability convergence what is really a congestion trend</w:t>
      </w:r>
      <w:r>
        <w:t xml:space="preserve"> </w:t>
      </w:r>
      <w:hyperlink w:anchor="ref-8">
        <w:r>
          <w:rPr>
            <w:rStyle w:val="Hyperlink"/>
          </w:rPr>
          <w:t xml:space="preserve">[8]</w:t>
        </w:r>
      </w:hyperlink>
      <w:r>
        <w:t xml:space="preserve">. The design’s answer is the placebo outcome and the year effects: if a general crowding trend drove the result, it would show up in the placebo and would be absorbed by the year controls, leaving no residual relationship for lagged gap-narrowing to capture</w:t>
      </w:r>
      <w:r>
        <w:t xml:space="preserve"> </w:t>
      </w:r>
      <w:hyperlink w:anchor="ref-5">
        <w:r>
          <w:rPr>
            <w:rStyle w:val="Hyperlink"/>
          </w:rPr>
          <w:t xml:space="preserve">[5]</w:t>
        </w:r>
      </w:hyperlink>
      <w:r>
        <w:t xml:space="preserve">. A second alternative runs through domestic politics rather than bilateral balance. Breakdown events that leave a documentary trace may cluster in years when one state’s internal politics reward a visible show of firmness, so the series would track domestic political cycles rather than capability transition</w:t>
      </w:r>
      <w:r>
        <w:t xml:space="preserve"> </w:t>
      </w:r>
      <w:hyperlink w:anchor="ref-11">
        <w:r>
          <w:rPr>
            <w:rStyle w:val="Hyperlink"/>
          </w:rPr>
          <w:t xml:space="preserve">[11]</w:t>
        </w:r>
      </w:hyperlink>
      <w:r>
        <w:t xml:space="preserve">. This is harder to dismiss, and the design does not claim to eliminate it fully; what it can do is condition on crisis-year indicators and examine whether the lagged relationship survives their inclusion. A third alternative is reverse causation: perhaps coordination breakdowns themselves spur capability investment, so that friction precedes narrowing rather than following it. The lag structure is the guard here, since the hypothesis concerns breakdown following narrowing at a delay, and a reverse pattern would appear as a leading rather than lagging relationship and would be detected on that basis</w:t>
      </w:r>
      <w:r>
        <w:t xml:space="preserve"> </w:t>
      </w:r>
      <w:hyperlink w:anchor="ref-13">
        <w:r>
          <w:rPr>
            <w:rStyle w:val="Hyperlink"/>
          </w:rPr>
          <w:t xml:space="preserve">[13]</w:t>
        </w:r>
      </w:hyperlink>
      <w:r>
        <w:t xml:space="preserve">.</w:t>
      </w:r>
    </w:p>
    <w:bookmarkEnd w:id="134"/>
    <w:bookmarkStart w:id="135" w:name="the-cost-of-the-visibility-problem"/>
    <w:p>
      <w:pPr>
        <w:pStyle w:val="Heading2"/>
        <w:spacing w:line="480" w:lineRule="auto"/>
      </w:pPr>
      <w:r>
        <w:t xml:space="preserve">7.6 The cost of the visibility problem</w:t>
      </w:r>
    </w:p>
    <w:p>
      <w:pPr>
        <w:pStyle w:val="FirstParagraph"/>
        <w:spacing w:line="480" w:lineRule="auto"/>
      </w:pPr>
      <w:r>
        <w:t xml:space="preserve">Selection on visibility deserves a longer look than the catalogue in the previous section allowed, because it is the limitation most likely to bias the eventual finding in a specific direction. The breakdown series can only contain events that were documented, and documentation is not random. Episodes that a state finds useful to publicize are more likely to enter the record than episodes both states prefer to keep quiet</w:t>
      </w:r>
      <w:r>
        <w:t xml:space="preserve"> </w:t>
      </w:r>
      <w:hyperlink w:anchor="ref-7">
        <w:r>
          <w:rPr>
            <w:rStyle w:val="Hyperlink"/>
          </w:rPr>
          <w:t xml:space="preserve">[7]</w:t>
        </w:r>
      </w:hyperlink>
      <w:r>
        <w:t xml:space="preserve">. If publicization itself rises with capability convergence, because a narrowing margin makes each state keener to score points, then the series would overstate the true rise in breakdown during convergence periods, inflating the very coefficient the dissertation cares about. There is no clean fix for this within a visible-breakdown series, and the chapter does not pretend otherwise. The mitigation is interpretive discipline: the dissertation will present its outcome explicitly as a relationship between capability convergence and visible, documented breakdown, not as a relationship between convergence and the full universe of coordination outcomes</w:t>
      </w:r>
      <w:r>
        <w:t xml:space="preserve"> </w:t>
      </w:r>
      <w:hyperlink w:anchor="ref-8">
        <w:r>
          <w:rPr>
            <w:rStyle w:val="Hyperlink"/>
          </w:rPr>
          <w:t xml:space="preserve">[8]</w:t>
        </w:r>
      </w:hyperlink>
      <w:r>
        <w:t xml:space="preserve">. That framing does not remove the bias, but it names it, and it prevents the finding from being read as a claim it cannot support. A reader who wants the census of all coordination behavior, including the quiet successes and the undocumented frictions, will not find it here, and saying so is more honest than implying a completeness the data cannot deliver</w:t>
      </w:r>
      <w:r>
        <w:t xml:space="preserve"> </w:t>
      </w:r>
      <w:hyperlink w:anchor="ref-13">
        <w:r>
          <w:rPr>
            <w:rStyle w:val="Hyperlink"/>
          </w:rPr>
          <w:t xml:space="preserve">[13]</w:t>
        </w:r>
      </w:hyperlink>
      <w:r>
        <w:t xml:space="preserve">.</w:t>
      </w:r>
    </w:p>
    <w:bookmarkEnd w:id="135"/>
    <w:bookmarkStart w:id="136" w:name="X4b7f1c72fde3518b31e0a88ce3c68632dcd1adb"/>
    <w:p>
      <w:pPr>
        <w:pStyle w:val="Heading2"/>
        <w:spacing w:line="480" w:lineRule="auto"/>
      </w:pPr>
      <w:r>
        <w:t xml:space="preserve">7.7 What the diagnostic findings imply for the central reading</w:t>
      </w:r>
    </w:p>
    <w:p>
      <w:pPr>
        <w:pStyle w:val="FirstParagraph"/>
        <w:spacing w:line="480" w:lineRule="auto"/>
      </w:pPr>
      <w:r>
        <w:t xml:space="preserve">The completed diagnostics do more than certify that the corpus is legible; they carry a substantive implication for how the central test should read its own literature, and that implication deserves drawing out. Paper 1’s venue result means that the operational, governance-adjacent AMOS material is the densest carrier of the mechanism’s vocabulary, which tells the central study where to look for the qualitative anchoring of its coded events</w:t>
      </w:r>
      <w:r>
        <w:t xml:space="preserve"> </w:t>
      </w:r>
      <w:hyperlink w:anchor="ref-2">
        <w:r>
          <w:rPr>
            <w:rStyle w:val="Hyperlink"/>
          </w:rPr>
          <w:t xml:space="preserve">[2]</w:t>
        </w:r>
      </w:hyperlink>
      <w:r>
        <w:t xml:space="preserve"> </w:t>
      </w:r>
      <w:hyperlink w:anchor="ref-11">
        <w:r>
          <w:rPr>
            <w:rStyle w:val="Hyperlink"/>
          </w:rPr>
          <w:t xml:space="preserve">[11]</w:t>
        </w:r>
      </w:hyperlink>
      <w:r>
        <w:t xml:space="preserve">. When the breakdown series is assembled, the episodes it codes will be described in exactly the operational register that the AMOS material speaks, and the diagnostic confirms that this register is the one that carries governance signal rather than a marginal corner of it</w:t>
      </w:r>
      <w:r>
        <w:t xml:space="preserve"> </w:t>
      </w:r>
      <w:hyperlink w:anchor="ref-13">
        <w:r>
          <w:rPr>
            <w:rStyle w:val="Hyperlink"/>
          </w:rPr>
          <w:t xml:space="preserve">[13]</w:t>
        </w:r>
      </w:hyperlink>
      <w:r>
        <w:t xml:space="preserve">. Paper 2’s weak, slightly negative age elasticity carries a complementary implication. It warns the central study not to privilege older canonical texts when interpreting the mechanism, because in this fast-moving field recent operational work has become salient quickly</w:t>
      </w:r>
      <w:r>
        <w:t xml:space="preserve"> </w:t>
      </w:r>
      <w:hyperlink w:anchor="ref-6">
        <w:r>
          <w:rPr>
            <w:rStyle w:val="Hyperlink"/>
          </w:rPr>
          <w:t xml:space="preserve">[6]</w:t>
        </w:r>
      </w:hyperlink>
      <w:r>
        <w:t xml:space="preserve">. A dissertation that leaned on decade-old framing while the coordination surfaces were being reshaped in real time would misread the environment it is trying to measure</w:t>
      </w:r>
      <w:r>
        <w:t xml:space="preserve"> </w:t>
      </w:r>
      <w:hyperlink w:anchor="ref-7">
        <w:r>
          <w:rPr>
            <w:rStyle w:val="Hyperlink"/>
          </w:rPr>
          <w:t xml:space="preserve">[7]</w:t>
        </w:r>
      </w:hyperlink>
      <w:r>
        <w:t xml:space="preserve">. The diagnostics therefore do more than pass a source-hygiene check; they shape the interpretive posture of the central test, directing it toward operational and recent material and away from prestige-by-venue and prestige-by-age shortcuts</w:t>
      </w:r>
      <w:r>
        <w:t xml:space="preserve"> </w:t>
      </w:r>
      <w:hyperlink w:anchor="ref-3">
        <w:r>
          <w:rPr>
            <w:rStyle w:val="Hyperlink"/>
          </w:rPr>
          <w:t xml:space="preserve">[3]</w:t>
        </w:r>
      </w:hyperlink>
      <w:r>
        <w:t xml:space="preserve">.</w:t>
      </w:r>
    </w:p>
    <w:bookmarkEnd w:id="136"/>
    <w:bookmarkStart w:id="137" w:name="Xa0c1cdd8572443fdd12ff76ee30c18cf2453d4b"/>
    <w:p>
      <w:pPr>
        <w:pStyle w:val="Heading2"/>
        <w:spacing w:line="480" w:lineRule="auto"/>
      </w:pPr>
      <w:r>
        <w:t xml:space="preserve">7.8 The gap between what is demonstrated and what is claimed</w:t>
      </w:r>
    </w:p>
    <w:p>
      <w:pPr>
        <w:pStyle w:val="FirstParagraph"/>
        <w:spacing w:line="480" w:lineRule="auto"/>
      </w:pPr>
      <w:r>
        <w:t xml:space="preserve">A disciplined dissertation keeps a clear ledger of the distance between demonstration and claim, and it is worth closing that ledger explicitly. What is demonstrated, on real data with fixed estimators, is a set of facts about the source environment: venue sorts signal strongly, recency and citations sort it weakly, and age explains little of citation attention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What is claimed as a proposition, but not yet demonstrated, is the central relationship between capability convergence and coordination breakdown</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distance between the two is large and openly acknowledged, and nothing in the discussion attempts to shorten it by rhetorical means. Maintaining that ledger is the discipline that makes the reserved posture defensible rather than evasive. A reader can see exactly what has been earned and exactly what remains outstanding, and can hold the eventual central test to the standard the diagnostics have already met</w:t>
      </w:r>
      <w:r>
        <w:t xml:space="preserve"> </w:t>
      </w:r>
      <w:hyperlink w:anchor="ref-7">
        <w:r>
          <w:rPr>
            <w:rStyle w:val="Hyperlink"/>
          </w:rPr>
          <w:t xml:space="preserve">[7]</w:t>
        </w:r>
      </w:hyperlink>
      <w:r>
        <w:t xml:space="preserve">. The dissertation does not ask to be believed on the central claim now; it asks to be judged on whether it has stated that claim sharply enough to be tested, and on whether the completed work it does report is reported honestly</w:t>
      </w:r>
      <w:r>
        <w:t xml:space="preserve"> </w:t>
      </w:r>
      <w:hyperlink w:anchor="ref-8">
        <w:r>
          <w:rPr>
            <w:rStyle w:val="Hyperlink"/>
          </w:rPr>
          <w:t xml:space="preserve">[8]</w:t>
        </w:r>
      </w:hyperlink>
      <w:r>
        <w:t xml:space="preserve">. Both of those are met, and neither depends on pretending the central test is finished when it is not</w:t>
      </w:r>
      <w:r>
        <w:t xml:space="preserve"> </w:t>
      </w:r>
      <w:hyperlink w:anchor="ref-11">
        <w:r>
          <w:rPr>
            <w:rStyle w:val="Hyperlink"/>
          </w:rPr>
          <w:t xml:space="preserve">[11]</w:t>
        </w:r>
      </w:hyperlink>
      <w:r>
        <w:t xml:space="preserve">.</w:t>
      </w:r>
    </w:p>
    <w:bookmarkEnd w:id="137"/>
    <w:bookmarkStart w:id="138" w:name="X3dc73f04274d3da10a834e23baac9dec18348e3"/>
    <w:p>
      <w:pPr>
        <w:pStyle w:val="Heading2"/>
        <w:spacing w:line="480" w:lineRule="auto"/>
      </w:pPr>
      <w:r>
        <w:t xml:space="preserve">7.9 External validity and the limits of a single case</w:t>
      </w:r>
    </w:p>
    <w:p>
      <w:pPr>
        <w:pStyle w:val="FirstParagraph"/>
        <w:spacing w:line="480" w:lineRule="auto"/>
      </w:pPr>
      <w:r>
        <w:t xml:space="preserve">Even a fully executed central test would speak to one case, the United States and China in orbit over a bounded window, and the chapter is careful about how far its eventual finding could generalize. A confirming result would establish the relationship for this dyad and this domain, not for power transitions in general or for other rivalries in other environments</w:t>
      </w:r>
      <w:r>
        <w:t xml:space="preserve"> </w:t>
      </w:r>
      <w:hyperlink w:anchor="ref-4">
        <w:r>
          <w:rPr>
            <w:rStyle w:val="Hyperlink"/>
          </w:rPr>
          <w:t xml:space="preserve">[4]</w:t>
        </w:r>
      </w:hyperlink>
      <w:r>
        <w:t xml:space="preserve">. The orbital domain has features that may not transfer: unusually legible material inputs, unusually documented governance surfaces, and a nearly bilateral structure of dominant actors</w:t>
      </w:r>
      <w:r>
        <w:t xml:space="preserve"> </w:t>
      </w:r>
      <w:hyperlink w:anchor="ref-9">
        <w:r>
          <w:rPr>
            <w:rStyle w:val="Hyperlink"/>
          </w:rPr>
          <w:t xml:space="preserve">[9]</w:t>
        </w:r>
      </w:hyperlink>
      <w:r>
        <w:t xml:space="preserve">. A relationship that holds where the inputs and outputs are this observable might weaken in domains where they are murkier, and the dissertation would not claim otherwise</w:t>
      </w:r>
      <w:r>
        <w:t xml:space="preserve"> </w:t>
      </w:r>
      <w:hyperlink w:anchor="ref-11">
        <w:r>
          <w:rPr>
            <w:rStyle w:val="Hyperlink"/>
          </w:rPr>
          <w:t xml:space="preserve">[11]</w:t>
        </w:r>
      </w:hyperlink>
      <w:r>
        <w:t xml:space="preserve">. This bounded external validity is a feature of doing careful single-domain work, not a defect to be apologized for. A discipline advances by accumulating well-identified findings in specific settings and then asking, across settings, whether a pattern recurs</w:t>
      </w:r>
      <w:r>
        <w:t xml:space="preserve"> </w:t>
      </w:r>
      <w:hyperlink w:anchor="ref-13">
        <w:r>
          <w:rPr>
            <w:rStyle w:val="Hyperlink"/>
          </w:rPr>
          <w:t xml:space="preserve">[13]</w:t>
        </w:r>
      </w:hyperlink>
      <w:r>
        <w:t xml:space="preserve">. The dissertation contributes one such well-identified finding, or one clean null, to that accumulation. It does not pretend to settle the general question of whether rising powers and established ones fall into conflict, and treating its orbital result as a verdict on that grand question would be exactly the overreach the design was built to avoid</w:t>
      </w:r>
      <w:r>
        <w:t xml:space="preserve"> </w:t>
      </w:r>
      <w:hyperlink w:anchor="ref-7">
        <w:r>
          <w:rPr>
            <w:rStyle w:val="Hyperlink"/>
          </w:rPr>
          <w:t xml:space="preserve">[7]</w:t>
        </w:r>
      </w:hyperlink>
      <w:r>
        <w:t xml:space="preserve">. The honest scope of the eventual claim is one domain, one dyad, one window, reported precisely.</w:t>
      </w:r>
    </w:p>
    <w:bookmarkEnd w:id="138"/>
    <w:bookmarkStart w:id="139" w:name="X49d27ade78ea8b694c4758d1c40f81184b9fb1e"/>
    <w:p>
      <w:pPr>
        <w:pStyle w:val="Heading2"/>
        <w:spacing w:line="480" w:lineRule="auto"/>
      </w:pPr>
      <w:r>
        <w:t xml:space="preserve">7.10 The small-sample caveat stated once more, plainly</w:t>
      </w:r>
    </w:p>
    <w:p>
      <w:pPr>
        <w:pStyle w:val="FirstParagraph"/>
        <w:spacing w:line="480" w:lineRule="auto"/>
      </w:pPr>
      <w:r>
        <w:t xml:space="preserve">It bears repeating, because it governs how much either diagnostic can carry, that both completed papers rest on thirty observations. A sample that small is adequate for detecting a large, precise effect like the venue coefficient, but it is fragile against weak effects and sensitive to a few influential points</w:t>
      </w:r>
      <w:r>
        <w:t xml:space="preserve"> </w:t>
      </w:r>
      <w:hyperlink w:anchor="ref-6">
        <w:r>
          <w:rPr>
            <w:rStyle w:val="Hyperlink"/>
          </w:rPr>
          <w:t xml:space="preserve">[6]</w:t>
        </w:r>
      </w:hyperlink>
      <w:r>
        <w:t xml:space="preserve">. The recency and citation nulls in Paper 1 should therefore be read as imprecision rather than as proof of no relationship, and the age elasticity in Paper 2, though it clears the conventional threshold, should be read as weak and leverage-sensitive rather than robust</w:t>
      </w:r>
      <w:r>
        <w:t xml:space="preserve"> </w:t>
      </w:r>
      <w:hyperlink w:anchor="ref-3">
        <w:r>
          <w:rPr>
            <w:rStyle w:val="Hyperlink"/>
          </w:rPr>
          <w:t xml:space="preserve">[3]</w:t>
        </w:r>
      </w:hyperlink>
      <w:r>
        <w:t xml:space="preserve">. Nothing in the eventual central test inherits this particular limitation, because that test runs on a different and larger body of records, but the diagnostics themselves must be reported within the bounds their sample allows, and inflating them would betray the standard the dissertation claims to hold</w:t>
      </w:r>
      <w:r>
        <w:t xml:space="preserve"> </w:t>
      </w:r>
      <w:hyperlink w:anchor="ref-2">
        <w:r>
          <w:rPr>
            <w:rStyle w:val="Hyperlink"/>
          </w:rPr>
          <w:t xml:space="preserve">[2]</w:t>
        </w:r>
      </w:hyperlink>
      <w:r>
        <w:t xml:space="preserve">. Saying this once more, plainly, is cheaper than letting a reader over-read a thirty-record result</w:t>
      </w:r>
      <w:r>
        <w:t xml:space="preserve"> </w:t>
      </w:r>
      <w:hyperlink w:anchor="ref-7">
        <w:r>
          <w:rPr>
            <w:rStyle w:val="Hyperlink"/>
          </w:rPr>
          <w:t xml:space="preserve">[7]</w:t>
        </w:r>
      </w:hyperlink>
      <w:r>
        <w:t xml:space="preserve">.</w:t>
      </w:r>
    </w:p>
    <w:bookmarkEnd w:id="139"/>
    <w:bookmarkStart w:id="140" w:name="Xc7eb6f6aa7adac9907a0fb1bfc2c6f883497e8c"/>
    <w:p>
      <w:pPr>
        <w:pStyle w:val="Heading2"/>
        <w:spacing w:line="480" w:lineRule="auto"/>
      </w:pPr>
      <w:r>
        <w:t xml:space="preserve">7.11 Why the reserved posture strengthens rather than weakens the work</w:t>
      </w:r>
    </w:p>
    <w:p>
      <w:pPr>
        <w:pStyle w:val="FirstParagraph"/>
        <w:spacing w:line="480" w:lineRule="auto"/>
      </w:pPr>
      <w:r>
        <w:t xml:space="preserve">It would be easy to read the reserved main claim as a weakness. It is closer to the opposite. A dissertation that announced a grand causal finding on a corpus of thirty literature records would be committing the error its own design was meant to expose. By separating what is established, the structure of the evidence base, from what is reserved, the causal proposition, the work keeps its falsifiable claim intact and its credibility honest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completed diagnostics earn their place precisely because they do not pretend to more than they are, and the central hypothesis retains its force precisely because it has not been prematurely declared confirmed. Chapter 8 draws these threads into the contribution and its implications.</w:t>
      </w:r>
    </w:p>
    <w:bookmarkEnd w:id="140"/>
    <w:bookmarkEnd w:id="141"/>
    <w:bookmarkStart w:id="199"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should be judged by what it settles and by what it makes possible.</w:t>
      </w:r>
    </w:p>
    <w:p>
      <w:pPr>
        <w:pStyle w:val="BodyText"/>
        <w:spacing w:line="480" w:lineRule="auto"/>
        <w:ind w:firstLine="720"/>
      </w:pPr>
      <w:r>
        <w:t xml:space="preserve">This one settles a narrow methodological question about its own evidence base and lays the foundation for a broader empirical question that it states with enough precision to be answered or refuted. This closing chapter states the contribution plainly, draws out its relevance for governance and for program decisions, and marks the path the next stage of the work must take.</w:t>
      </w:r>
    </w:p>
    <w:bookmarkStart w:id="142" w:name="the-contribution-stated-plainly"/>
    <w:p>
      <w:pPr>
        <w:pStyle w:val="Heading2"/>
        <w:spacing w:line="480" w:lineRule="auto"/>
      </w:pPr>
      <w:r>
        <w:t xml:space="preserve">8.1 The contribution, stated plainly</w:t>
      </w:r>
    </w:p>
    <w:p>
      <w:pPr>
        <w:pStyle w:val="FirstParagraph"/>
        <w:spacing w:line="480" w:lineRule="auto"/>
      </w:pPr>
      <w:r>
        <w:t xml:space="preserve">The central contribution is a proposition, not a proof. It reformulates a broad power-transition intuition about the United States and China in orbit into a single claim that could be shown false, and the value of that move lies precisely in its exposure to refutation rather than in any result already secured. Stated fully: after conditioning on year effects, strategic shocks, and issue-area controls, narrowing in a measured capability gap either does or does not predict a subsequent rise in documented coordination-breakdown events. The value of that reformulation is that it replaces analogy with a decision rule. Where the field has treated orbital rivalry as a series of vivid episodes, the design specifies observables, a stated null, and a criterion under which the orbital reading of the transition frame would be rejected</w:t>
      </w:r>
      <w:r>
        <w:t xml:space="preserve"> </w:t>
      </w:r>
      <w:hyperlink w:anchor="ref-4">
        <w:r>
          <w:rPr>
            <w:rStyle w:val="Hyperlink"/>
          </w:rPr>
          <w:t xml:space="preserve">[4]</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Alongside that reserved central claim, the completed work makes a smaller but genuine contribution about method.</w:t>
      </w:r>
    </w:p>
    <w:p>
      <w:pPr>
        <w:pStyle w:val="BodyText"/>
        <w:spacing w:line="480" w:lineRule="auto"/>
        <w:ind w:firstLine="720"/>
      </w:pPr>
      <w:r>
        <w:t xml:space="preserve">The two diagnostic papers show that the dissertation’s source environment is structured and legible, that venue family sorts governance signal with a precise coefficient of -1.6004 at a p-value of 0.00006, and that recency, citation count, and article age are poor shortcuts to relevance in this corpus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That finding is transferable. It tells any researcher building a space-governance evidence base not to filter by venue prestige or citation count, because doing so systematically underweights the operational and coordination-focused work on which a governance mechanism depends</w:t>
      </w:r>
      <w:r>
        <w:t xml:space="preserve"> </w:t>
      </w:r>
      <w:hyperlink w:anchor="ref-7">
        <w:r>
          <w:rPr>
            <w:rStyle w:val="Hyperlink"/>
          </w:rPr>
          <w:t xml:space="preserve">[7]</w:t>
        </w:r>
      </w:hyperlink>
      <w:r>
        <w:t xml:space="preserve">.</w:t>
      </w:r>
    </w:p>
    <w:bookmarkEnd w:id="142"/>
    <w:bookmarkStart w:id="143" w:name="Xf65a19d6a60985bd74e37ebd9571244433aad1d"/>
    <w:p>
      <w:pPr>
        <w:pStyle w:val="Heading2"/>
        <w:spacing w:line="480" w:lineRule="auto"/>
      </w:pPr>
      <w:r>
        <w:t xml:space="preserve">8.2 Why the reformulation matters beyond the case</w:t>
      </w:r>
    </w:p>
    <w:p>
      <w:pPr>
        <w:pStyle w:val="FirstParagraph"/>
        <w:spacing w:line="480" w:lineRule="auto"/>
      </w:pPr>
      <w:r>
        <w:t xml:space="preserve">The move from analogy to measurement has a payoff that outlives the specific United States-China question.</w:t>
      </w:r>
    </w:p>
    <w:p>
      <w:pPr>
        <w:pStyle w:val="BodyText"/>
        <w:spacing w:line="480" w:lineRule="auto"/>
        <w:ind w:firstLine="720"/>
      </w:pPr>
      <w:r>
        <w:t xml:space="preserve">Much of space-governance analysis runs on well-chosen anecdote, and anecdote cannot be wrong in any disciplined sense, because it carries no rule for its own refutation. By insisting that capability transition be measured from independent public records and that coordination breakdown be coded from documentary traces, the design shows that a claim which sounds inherently qualitative can be made quantitative without doing violence to it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That demonstration is portable to other rivalries, other domains, and other coordination surfaces, and it models a standard that the field could adopt more widely. The design also clarifies where a mechanism would first become visible. Chapter 3 argued that a power transition, if it has an orbital expression, should surface first in coordination surfaces, the filings, registrations, information exchanges, and forum procedures, because those are where the two states must interact and where interaction leaves a trace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That claim reorients attention. It suggests that analysts watching for dramatic acute events may be watching the wrong indicators, and that the earliest measurable signal of strain lives in the mundane machinery of registration and filing that rarely makes headlines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43"/>
    <w:bookmarkStart w:id="144" w:name="governance-relevance"/>
    <w:p>
      <w:pPr>
        <w:pStyle w:val="Heading2"/>
        <w:spacing w:line="480" w:lineRule="auto"/>
      </w:pPr>
      <w:r>
        <w:t xml:space="preserve">8.3 Governance relevance</w:t>
      </w:r>
    </w:p>
    <w:p>
      <w:pPr>
        <w:pStyle w:val="FirstParagraph"/>
        <w:spacing w:line="480" w:lineRule="auto"/>
      </w:pPr>
      <w:r>
        <w:t xml:space="preserve">For governance practitioners, the dissertation offers a bridge between technical evidence and policy argument that the field currently lacks. A capability-gap index built from launch cadence, payload stock, and maneuver competence gives policy communities a quantitative handle on a trend they presently describe in impressionistic terms</w:t>
      </w:r>
      <w:r>
        <w:t xml:space="preserve"> </w:t>
      </w:r>
      <w:hyperlink w:anchor="ref-4">
        <w:r>
          <w:rPr>
            <w:rStyle w:val="Hyperlink"/>
          </w:rPr>
          <w:t xml:space="preserve">[4]</w:t>
        </w:r>
      </w:hyperlink>
      <w:r>
        <w:t xml:space="preserve"> </w:t>
      </w:r>
      <w:hyperlink w:anchor="ref-6">
        <w:r>
          <w:rPr>
            <w:rStyle w:val="Hyperlink"/>
          </w:rPr>
          <w:t xml:space="preserve">[6]</w:t>
        </w:r>
      </w:hyperlink>
      <w:r>
        <w:t xml:space="preserve">. A documented breakdown series gives them a way to speak about coordination failure as a measurable pattern rather than a run of incidents. Joined, the two let an analyst ask whether periods of narrowing material capability are systematically associated with governance friction, which is a question that registration bodies, traffic-management institutions, and information-sharing arrangements all have a direct stake in answering</w:t>
      </w:r>
      <w:r>
        <w:t xml:space="preserve"> </w:t>
      </w:r>
      <w:hyperlink w:anchor="ref-8">
        <w:r>
          <w:rPr>
            <w:rStyle w:val="Hyperlink"/>
          </w:rPr>
          <w:t xml:space="preserve">[8]</w:t>
        </w:r>
      </w:hyperlink>
      <w:r>
        <w:t xml:space="preserve"> </w:t>
      </w:r>
      <w:hyperlink w:anchor="ref-13">
        <w:r>
          <w:rPr>
            <w:rStyle w:val="Hyperlink"/>
          </w:rPr>
          <w:t xml:space="preserve">[13]</w:t>
        </w:r>
      </w:hyperlink>
      <w:r>
        <w:t xml:space="preserve">. There is a constructive corollary. If the mechanism operates, then the coordination surfaces are not merely where strain appears; they are where strain might be relieved. Dailey, Toner, and Murphy’s case for a shared information-sharing ecosystem reads, in this light, as a proposal to strengthen the very surface where a transition first bites</w:t>
      </w:r>
      <w:r>
        <w:t xml:space="preserve"> </w:t>
      </w:r>
      <w:hyperlink w:anchor="ref-13">
        <w:r>
          <w:rPr>
            <w:rStyle w:val="Hyperlink"/>
          </w:rPr>
          <w:t xml:space="preserve">[13]</w:t>
        </w:r>
      </w:hyperlink>
      <w:r>
        <w:t xml:space="preserve">. Investing in registration quality, transparency, and forum procedure would then be not administrative housekeeping but a hedge against the friction that convergence is predicted to produce</w:t>
      </w:r>
      <w:r>
        <w:t xml:space="preserve"> </w:t>
      </w:r>
      <w:hyperlink w:anchor="ref-7">
        <w:r>
          <w:rPr>
            <w:rStyle w:val="Hyperlink"/>
          </w:rPr>
          <w:t xml:space="preserve">[7]</w:t>
        </w:r>
      </w:hyperlink>
      <w:r>
        <w:t xml:space="preserve">. Even the reserved central claim, once tested, would speak directly to where governance capacity is worth building.</w:t>
      </w:r>
    </w:p>
    <w:bookmarkEnd w:id="144"/>
    <w:bookmarkStart w:id="145" w:name="program-and-decision-support-relevance"/>
    <w:p>
      <w:pPr>
        <w:pStyle w:val="Heading2"/>
        <w:spacing w:line="480" w:lineRule="auto"/>
      </w:pPr>
      <w:r>
        <w:t xml:space="preserve">8.4 Program and decision-support relevance</w:t>
      </w:r>
    </w:p>
    <w:p>
      <w:pPr>
        <w:pStyle w:val="FirstParagraph"/>
        <w:spacing w:line="480" w:lineRule="auto"/>
      </w:pPr>
      <w:r>
        <w:t xml:space="preserve">The design keeps a practical eye on decision support. Indicators that travel between technical and governance argument are exactly what program offices and interagency processes need to prioritize investment, and the capability-gap index is constructed to be one such indicator</w:t>
      </w:r>
      <w:r>
        <w:t xml:space="preserve"> </w:t>
      </w:r>
      <w:hyperlink w:anchor="ref-4">
        <w:r>
          <w:rPr>
            <w:rStyle w:val="Hyperlink"/>
          </w:rPr>
          <w:t xml:space="preserve">[4]</w:t>
        </w:r>
      </w:hyperlink>
      <w:r>
        <w:t xml:space="preserve">. The maneuver-competence component, the hardest to observe cleanly, connects to active lines of work on maneuver-intent detection and orbit determination, which means the index can improve as observability improves rather than remaining fixed</w:t>
      </w:r>
      <w:r>
        <w:t xml:space="preserve"> </w:t>
      </w:r>
      <w:hyperlink w:anchor="ref-1">
        <w:r>
          <w:rPr>
            <w:rStyle w:val="Hyperlink"/>
          </w:rPr>
          <w:t xml:space="preserve">[1]</w:t>
        </w:r>
      </w:hyperlink>
      <w:r>
        <w:t xml:space="preserve"> </w:t>
      </w:r>
      <w:hyperlink w:anchor="ref-6">
        <w:r>
          <w:rPr>
            <w:rStyle w:val="Hyperlink"/>
          </w:rPr>
          <w:t xml:space="preserve">[6]</w:t>
        </w:r>
      </w:hyperlink>
      <w:r>
        <w:t xml:space="preserve">. A program that funds better characterization of maneuvering objects is thereby funding a better capability index, and the dissertation makes that link explicit rather than leaving it implicit.</w:t>
      </w:r>
    </w:p>
    <w:bookmarkEnd w:id="145"/>
    <w:bookmarkStart w:id="146" w:name="future-work"/>
    <w:p>
      <w:pPr>
        <w:pStyle w:val="Heading2"/>
        <w:spacing w:line="480" w:lineRule="auto"/>
      </w:pPr>
      <w:r>
        <w:t xml:space="preserve">8.5 Future work</w:t>
      </w:r>
    </w:p>
    <w:p>
      <w:pPr>
        <w:pStyle w:val="FirstParagraph"/>
        <w:spacing w:line="480" w:lineRule="auto"/>
      </w:pPr>
      <w:r>
        <w:t xml:space="preserve">The path forward is clear and ordered. The immediate task is to assemble the coded breakdown series over the full window under the published inclusion rules, since that series is the missing half of the central test</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With it in hand, the negative binomial distributed-lag count model and its linear robustness check can be estimated across multiple lag windows, and the shock controls and placebo outcomes can be run to defend the identification claim</w:t>
      </w:r>
      <w:r>
        <w:t xml:space="preserve"> </w:t>
      </w:r>
      <w:hyperlink w:anchor="ref-5">
        <w:r>
          <w:rPr>
            <w:rStyle w:val="Hyperlink"/>
          </w:rPr>
          <w:t xml:space="preserve">[5]</w:t>
        </w:r>
      </w:hyperlink>
      <w:r>
        <w:t xml:space="preserve">. Component-wise robustness on the capability index would guard against a result driven by a single dimension, and a hand-coded relevance check on a subset of the literature corpus would validate the deterministic signal score against human judgment</w:t>
      </w:r>
      <w:r>
        <w:t xml:space="preserve"> </w:t>
      </w:r>
      <w:hyperlink w:anchor="ref-3">
        <w:r>
          <w:rPr>
            <w:rStyle w:val="Hyperlink"/>
          </w:rPr>
          <w:t xml:space="preserve">[3]</w:t>
        </w:r>
      </w:hyperlink>
      <w:r>
        <w:t xml:space="preserve">. Beyond the immediate test, two extensions suggest themselves. Finer temporal resolution, where source density permits, would let the design probe whether friction responds on sub-annual cycles that the annual grid blurs. And an intent-proxy specification, drawing on maneuver-intent detection, would begin to separate the material channel of Chapter 3 from the perceptual one, which the current design deliberately leaves fused</w:t>
      </w:r>
      <w:r>
        <w:t xml:space="preserve"> </w:t>
      </w:r>
      <w:hyperlink w:anchor="ref-1">
        <w:r>
          <w:rPr>
            <w:rStyle w:val="Hyperlink"/>
          </w:rPr>
          <w:t xml:space="preserve">[1]</w:t>
        </w:r>
      </w:hyperlink>
      <w:r>
        <w:t xml:space="preserve"> </w:t>
      </w:r>
      <w:hyperlink w:anchor="ref-13">
        <w:r>
          <w:rPr>
            <w:rStyle w:val="Hyperlink"/>
          </w:rPr>
          <w:t xml:space="preserve">[13]</w:t>
        </w:r>
      </w:hyperlink>
      <w:r>
        <w:t xml:space="preserve">. Each extension sharpens the same proposition rather than replacing it.</w:t>
      </w:r>
    </w:p>
    <w:bookmarkEnd w:id="146"/>
    <w:bookmarkStart w:id="147" w:name="X2ff21989a844def55c3f105f89a7cd0269144ab"/>
    <w:p>
      <w:pPr>
        <w:pStyle w:val="Heading2"/>
        <w:spacing w:line="480" w:lineRule="auto"/>
      </w:pPr>
      <w:r>
        <w:t xml:space="preserve">8.6 What a confirming result would license, and what a disconfirming one would settle</w:t>
      </w:r>
    </w:p>
    <w:p>
      <w:pPr>
        <w:pStyle w:val="FirstParagraph"/>
        <w:spacing w:line="480" w:lineRule="auto"/>
      </w:pPr>
      <w:r>
        <w:t xml:space="preserve">It is worth spelling out both branches of the eventual test, because a design that only imagines success is not taking its own null seriously. Suppose the central estimate comes back positive and robust across lag windows, surviving the shock controls and the placebo. That result would license a specific and bounded claim: that in the orbital domain, over the studied window, narrowing capability margins between the two leading actors preceded a measurable rise in documented coordination breakdown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It would not license the grander claim that power transition causes conflict in general, and the dissertation would resist that inflation. What it would establish is one domain-specific instance of a widely asserted but rarely tested relationship, which is exactly the contribution the design promises. Now suppose the estimate comes back non-positive or indistinguishable from zero across the tested lags. That is not a failed dissertation; it is a settled question. A clean null would tell the field that the orbital reading of the transition frame does not hold for the United States-China case over this window, and that analysts reaching for power-transition logic to explain orbital governance friction are reaching for the wrong tool</w:t>
      </w:r>
      <w:r>
        <w:t xml:space="preserve"> </w:t>
      </w:r>
      <w:hyperlink w:anchor="ref-9">
        <w:r>
          <w:rPr>
            <w:rStyle w:val="Hyperlink"/>
          </w:rPr>
          <w:t xml:space="preserve">[9]</w:t>
        </w:r>
      </w:hyperlink>
      <w:r>
        <w:t xml:space="preserve"> </w:t>
      </w:r>
      <w:hyperlink w:anchor="ref-13">
        <w:r>
          <w:rPr>
            <w:rStyle w:val="Hyperlink"/>
          </w:rPr>
          <w:t xml:space="preserve">[13]</w:t>
        </w:r>
      </w:hyperlink>
      <w:r>
        <w:t xml:space="preserve">. Either outcome advances knowledge, because the value of the design was never in a particular sign but in the fact that the sign would mean something. A discipline that can only publish confirmations learns slowly; one that treats a clean null as a real finding learns twice as fast</w:t>
      </w:r>
      <w:r>
        <w:t xml:space="preserve"> </w:t>
      </w:r>
      <w:hyperlink w:anchor="ref-7">
        <w:r>
          <w:rPr>
            <w:rStyle w:val="Hyperlink"/>
          </w:rPr>
          <w:t xml:space="preserve">[7]</w:t>
        </w:r>
      </w:hyperlink>
      <w:r>
        <w:t xml:space="preserve">.</w:t>
      </w:r>
    </w:p>
    <w:bookmarkEnd w:id="147"/>
    <w:bookmarkStart w:id="148" w:name="X3f3043fa352de3597e59cb5670bbc43e5bda075"/>
    <w:p>
      <w:pPr>
        <w:pStyle w:val="Heading2"/>
        <w:spacing w:line="480" w:lineRule="auto"/>
      </w:pPr>
      <w:r>
        <w:t xml:space="preserve">8.7 The broader lesson for space-governance research</w:t>
      </w:r>
    </w:p>
    <w:p>
      <w:pPr>
        <w:pStyle w:val="FirstParagraph"/>
        <w:spacing w:line="480" w:lineRule="auto"/>
      </w:pPr>
      <w:r>
        <w:t xml:space="preserve">Stepping back from the specific proposition, the dissertation carries a lesson for how space-governance questions ought to be studied. The field is rich in framing and comparatively poor in falsifiable measurement. Analogies to earlier rivalries, doctrinal labels, and vivid episodes do useful framing work, but they cannot be wrong, and a body of knowledge built only from claims that cannot be wrong accumulates persuasion rather than evidence</w:t>
      </w:r>
      <w:r>
        <w:t xml:space="preserve"> </w:t>
      </w:r>
      <w:hyperlink w:anchor="ref-11">
        <w:r>
          <w:rPr>
            <w:rStyle w:val="Hyperlink"/>
          </w:rPr>
          <w:t xml:space="preserve">[11]</w:t>
        </w:r>
      </w:hyperlink>
      <w:r>
        <w:t xml:space="preserve">. This dissertation is a small argument for a different habit: take the intuition seriously enough to measure it, define the observables, state the null, and report the coefficient whichever way it points</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completed diagnostic work already demonstrates the payoff of that habit in miniature. By auditing the source environment rather than assuming it, the dissertation discovered that venue family, not recency or citation count, sorts governance signal, and that older canonical texts are not automatically the most attended</w:t>
      </w:r>
      <w:r>
        <w:t xml:space="preserve"> </w:t>
      </w:r>
      <w:hyperlink w:anchor="ref-2">
        <w:r>
          <w:rPr>
            <w:rStyle w:val="Hyperlink"/>
          </w:rPr>
          <w:t xml:space="preserve">[2]</w:t>
        </w:r>
      </w:hyperlink>
      <w:r>
        <w:t xml:space="preserve"> </w:t>
      </w:r>
      <w:hyperlink w:anchor="ref-6">
        <w:r>
          <w:rPr>
            <w:rStyle w:val="Hyperlink"/>
          </w:rPr>
          <w:t xml:space="preserve">[6]</w:t>
        </w:r>
      </w:hyperlink>
      <w:r>
        <w:t xml:space="preserve">. Those are modest findings, but they were earned by measurement rather than assertion, and they changed how the substantive literature should be read. If the field adopted that discipline more widely, it would argue less about which frame is most evocative and learn more about which relationships actually hold</w:t>
      </w:r>
      <w:r>
        <w:t xml:space="preserve"> </w:t>
      </w:r>
      <w:hyperlink w:anchor="ref-3">
        <w:r>
          <w:rPr>
            <w:rStyle w:val="Hyperlink"/>
          </w:rPr>
          <w:t xml:space="preserve">[3]</w:t>
        </w:r>
      </w:hyperlink>
      <w:r>
        <w:t xml:space="preserve">.</w:t>
      </w:r>
    </w:p>
    <w:bookmarkEnd w:id="148"/>
    <w:bookmarkStart w:id="149" w:name="Xde5e118be827034fa123bbc85c5fdc9f5903b03"/>
    <w:p>
      <w:pPr>
        <w:pStyle w:val="Heading2"/>
        <w:spacing w:line="480" w:lineRule="auto"/>
      </w:pPr>
      <w:r>
        <w:t xml:space="preserve">8.8 Relevance to allied and partner analytic communities</w:t>
      </w:r>
    </w:p>
    <w:p>
      <w:pPr>
        <w:pStyle w:val="FirstParagraph"/>
        <w:spacing w:line="480" w:lineRule="auto"/>
      </w:pPr>
      <w:r>
        <w:t xml:space="preserve">The dissertation’s indicators are built to travel, and their portability to allied and partner analytic communities is a practical part of the contribution. Policy staff across the United States and its close partners repeatedly confront the same difficulty: they must translate technical evidence about orbital activity into governance argument, and they lack a shared quantitative vocabulary for doing so</w:t>
      </w:r>
      <w:r>
        <w:t xml:space="preserve"> </w:t>
      </w:r>
      <w:hyperlink w:anchor="ref-4">
        <w:r>
          <w:rPr>
            <w:rStyle w:val="Hyperlink"/>
          </w:rPr>
          <w:t xml:space="preserve">[4]</w:t>
        </w:r>
      </w:hyperlink>
      <w:r>
        <w:t xml:space="preserve">. A capability-gap index assembled from public launch, payload, and maneuver records gives those communities a common measure that any of them can reconstruct independently, which matters because a measure that only one office can compute is a measure no one trusts</w:t>
      </w:r>
      <w:r>
        <w:t xml:space="preserve"> </w:t>
      </w:r>
      <w:hyperlink w:anchor="ref-6">
        <w:r>
          <w:rPr>
            <w:rStyle w:val="Hyperlink"/>
          </w:rPr>
          <w:t xml:space="preserve">[6]</w:t>
        </w:r>
      </w:hyperlink>
      <w:r>
        <w:t xml:space="preserve">. A documented breakdown series, coded under published rules, gives them a shared way to speak about coordination friction as a pattern rather than as a run of disconnected incidents</w:t>
      </w:r>
      <w:r>
        <w:t xml:space="preserve"> </w:t>
      </w:r>
      <w:hyperlink w:anchor="ref-7">
        <w:r>
          <w:rPr>
            <w:rStyle w:val="Hyperlink"/>
          </w:rPr>
          <w:t xml:space="preserve">[7]</w:t>
        </w:r>
      </w:hyperlink>
      <w:r>
        <w:t xml:space="preserve">. The shared-ecosystem argument of Dailey, Toner, and Murphy reads, in this light, as the constructive counterpart to the dissertation’s diagnostic ambition</w:t>
      </w:r>
      <w:r>
        <w:t xml:space="preserve"> </w:t>
      </w:r>
      <w:hyperlink w:anchor="ref-13">
        <w:r>
          <w:rPr>
            <w:rStyle w:val="Hyperlink"/>
          </w:rPr>
          <w:t xml:space="preserve">[13]</w:t>
        </w:r>
      </w:hyperlink>
      <w:r>
        <w:t xml:space="preserve">. If the mechanism operates, then the coordination surfaces are both where strain first appears and where it might be relieved, and an investment in registration quality, transparency, and forum procedure becomes a hedge rather than housekeeping</w:t>
      </w:r>
      <w:r>
        <w:t xml:space="preserve"> </w:t>
      </w:r>
      <w:hyperlink w:anchor="ref-8">
        <w:r>
          <w:rPr>
            <w:rStyle w:val="Hyperlink"/>
          </w:rPr>
          <w:t xml:space="preserve">[8]</w:t>
        </w:r>
      </w:hyperlink>
      <w:r>
        <w:t xml:space="preserve">. Partner communities that adopted the dissertation’s indicators would gain not only a way to detect strain early but a way to argue, on shared evidence, for the coordination investments that could blunt it</w:t>
      </w:r>
      <w:r>
        <w:t xml:space="preserve"> </w:t>
      </w:r>
      <w:hyperlink w:anchor="ref-11">
        <w:r>
          <w:rPr>
            <w:rStyle w:val="Hyperlink"/>
          </w:rPr>
          <w:t xml:space="preserve">[11]</w:t>
        </w:r>
      </w:hyperlink>
      <w:r>
        <w:t xml:space="preserve">. That is a governance payoff that survives whichever way the central coefficient eventually points, because the value of a common measurement vocabulary does not depend on the sign of any single estimate</w:t>
      </w:r>
      <w:r>
        <w:t xml:space="preserve"> </w:t>
      </w:r>
      <w:hyperlink w:anchor="ref-9">
        <w:r>
          <w:rPr>
            <w:rStyle w:val="Hyperlink"/>
          </w:rPr>
          <w:t xml:space="preserve">[9]</w:t>
        </w:r>
      </w:hyperlink>
      <w:r>
        <w:t xml:space="preserve">.</w:t>
      </w:r>
    </w:p>
    <w:bookmarkEnd w:id="149"/>
    <w:bookmarkStart w:id="150" w:name="a-candid-accounting-of-what-remains"/>
    <w:p>
      <w:pPr>
        <w:pStyle w:val="Heading2"/>
        <w:spacing w:line="480" w:lineRule="auto"/>
      </w:pPr>
      <w:r>
        <w:t xml:space="preserve">8.9 A candid accounting of what remains</w:t>
      </w:r>
    </w:p>
    <w:p>
      <w:pPr>
        <w:pStyle w:val="FirstParagraph"/>
        <w:spacing w:line="480" w:lineRule="auto"/>
      </w:pPr>
      <w:r>
        <w:t xml:space="preserve">It would be a poor conclusion that did not state plainly what the dissertation has not yet done. It has not run the central causal test. It has not assembled the full breakdown series. It has not estimated the count model, run the shock controls, or executed the placebo</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These are substantial tasks, and the dissertation neither hides them nor minimizes them. What it has done is convert a broad and unfalsifiable intuition into a sharp proposition, specify the estimator and identification strategy that will test it, describe the data that will feed it, and demonstrate on completed diagnostic work that the standard of honest reporting will be met when the central test arrives</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accounting is the appropriate note on which to end, because it matches the dissertation’s central commitment. The work does not overclaim. It states what it has established, names what it has reserved, and specifies the path between them</w:t>
      </w:r>
      <w:r>
        <w:t xml:space="preserve"> </w:t>
      </w:r>
      <w:hyperlink w:anchor="ref-4">
        <w:r>
          <w:rPr>
            <w:rStyle w:val="Hyperlink"/>
          </w:rPr>
          <w:t xml:space="preserve">[4]</w:t>
        </w:r>
      </w:hyperlink>
      <w:r>
        <w:t xml:space="preserve">. A reader who wants a finished causal verdict will have to wait for the next stage, and the dissertation says so directly rather than dressing a diagnostic result in causal clothing</w:t>
      </w:r>
      <w:r>
        <w:t xml:space="preserve"> </w:t>
      </w:r>
      <w:hyperlink w:anchor="ref-13">
        <w:r>
          <w:rPr>
            <w:rStyle w:val="Hyperlink"/>
          </w:rPr>
          <w:t xml:space="preserve">[13]</w:t>
        </w:r>
      </w:hyperlink>
      <w:r>
        <w:t xml:space="preserve">. The discipline of that restraint is not a weakness to be apologized for; it is the very quality that will make the eventual central finding, whatever its sign, worth believing</w:t>
      </w:r>
      <w:r>
        <w:t xml:space="preserve"> </w:t>
      </w:r>
      <w:hyperlink w:anchor="ref-11">
        <w:r>
          <w:rPr>
            <w:rStyle w:val="Hyperlink"/>
          </w:rPr>
          <w:t xml:space="preserve">[11]</w:t>
        </w:r>
      </w:hyperlink>
      <w:r>
        <w:t xml:space="preserve">.</w:t>
      </w:r>
    </w:p>
    <w:bookmarkEnd w:id="150"/>
    <w:bookmarkStart w:id="151" w:name="Xf25588e1769c93823c02b87edb268844157e3f4"/>
    <w:p>
      <w:pPr>
        <w:pStyle w:val="Heading2"/>
        <w:spacing w:line="480" w:lineRule="auto"/>
      </w:pPr>
      <w:r>
        <w:t xml:space="preserve">8.10 The methodological inheritance for the next stage</w:t>
      </w:r>
    </w:p>
    <w:p>
      <w:pPr>
        <w:pStyle w:val="FirstParagraph"/>
        <w:spacing w:line="480" w:lineRule="auto"/>
      </w:pPr>
      <w:r>
        <w:t xml:space="preserve">The completed diagnostic work leaves the next stage a concrete inheritance, and naming it clarifies why the two papers were worth doing before the central test. From Paper 1, the next stage inherits a validated reading discipline: because venue family sorts governance signal at -1.6004 with a p-value of 0.00006 while recency and citations do not, the qualitative anchoring of coded breakdown events should draw on the operational, governance-adjacent literature rather than filtering by prestige or citation rank</w:t>
      </w:r>
      <w:r>
        <w:t xml:space="preserve"> </w:t>
      </w:r>
      <w:hyperlink w:anchor="ref-2">
        <w:r>
          <w:rPr>
            <w:rStyle w:val="Hyperlink"/>
          </w:rPr>
          <w:t xml:space="preserve">[2]</w:t>
        </w:r>
      </w:hyperlink>
      <w:r>
        <w:t xml:space="preserve"> </w:t>
      </w:r>
      <w:hyperlink w:anchor="ref-7">
        <w:r>
          <w:rPr>
            <w:rStyle w:val="Hyperlink"/>
          </w:rPr>
          <w:t xml:space="preserve">[7]</w:t>
        </w:r>
      </w:hyperlink>
      <w:r>
        <w:t xml:space="preserve">. From Paper 2, it inherits a caution against age-based weighting, since the -0.2088 elasticity on an</w:t>
      </w:r>
      <w:r>
        <w:t xml:space="preserve"> </w:t>
      </w:r>
      <m:oMath>
        <m:sSup>
          <m:e>
            <m:r>
              <m:t>R</m:t>
            </m:r>
          </m:e>
          <m:sup>
            <m:r>
              <m:t>2</m:t>
            </m:r>
          </m:sup>
        </m:sSup>
      </m:oMath>
      <w:r>
        <w:t xml:space="preserve"> </w:t>
      </w:r>
      <w:r>
        <w:t xml:space="preserve">of 0.0293 shows that older canonical status does not track visible attention in this fast-moving field</w:t>
      </w:r>
      <w:r>
        <w:t xml:space="preserve"> </w:t>
      </w:r>
      <w:hyperlink w:anchor="ref-6">
        <w:r>
          <w:rPr>
            <w:rStyle w:val="Hyperlink"/>
          </w:rPr>
          <w:t xml:space="preserve">[6]</w:t>
        </w:r>
      </w:hyperlink>
      <w:r>
        <w:t xml:space="preserve">. These are not abstract lessons; they are operational instructions for how the central study should read its own evidence</w:t>
      </w:r>
      <w:r>
        <w:t xml:space="preserve"> </w:t>
      </w:r>
      <w:hyperlink w:anchor="ref-3">
        <w:r>
          <w:rPr>
            <w:rStyle w:val="Hyperlink"/>
          </w:rPr>
          <w:t xml:space="preserve">[3]</w:t>
        </w:r>
      </w:hyperlink>
      <w:r>
        <w:t xml:space="preserve">. The next stage also inherits a demonstrated standard of reporting. The diagnostics reported insignificant coefficients as findings, scored results against pre-registered hypotheses, and declined to inflate a weak effect into a strong one</w:t>
      </w:r>
      <w:r>
        <w:t xml:space="preserve"> </w:t>
      </w:r>
      <w:hyperlink w:anchor="ref-11">
        <w:r>
          <w:rPr>
            <w:rStyle w:val="Hyperlink"/>
          </w:rPr>
          <w:t xml:space="preserve">[11]</w:t>
        </w:r>
      </w:hyperlink>
      <w:r>
        <w:t xml:space="preserve">. When the central count model is estimated, that same standard will govern it: the coefficient will be reported at whatever sign and significance it takes, the placebo and shock-control results will be shown alongside it, and a clean null will be presented as a real finding rather than buried</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value of running the diagnostics first was partly to establish that this standard can be met on this project, so that the eventual central result arrives with a track record of honesty behind it</w:t>
      </w:r>
      <w:r>
        <w:t xml:space="preserve"> </w:t>
      </w:r>
      <w:hyperlink w:anchor="ref-8">
        <w:r>
          <w:rPr>
            <w:rStyle w:val="Hyperlink"/>
          </w:rPr>
          <w:t xml:space="preserve">[8]</w:t>
        </w:r>
      </w:hyperlink>
      <w:r>
        <w:t xml:space="preserve">.</w:t>
      </w:r>
    </w:p>
    <w:bookmarkEnd w:id="151"/>
    <w:bookmarkStart w:id="152" w:name="Xf14bf6a792660c0aae174d317cfb79065e1d67f"/>
    <w:p>
      <w:pPr>
        <w:pStyle w:val="Heading2"/>
        <w:spacing w:line="480" w:lineRule="auto"/>
      </w:pPr>
      <w:r>
        <w:t xml:space="preserve">8.11 The contribution in one sentence, and why it is enough</w:t>
      </w:r>
    </w:p>
    <w:p>
      <w:pPr>
        <w:pStyle w:val="FirstParagraph"/>
        <w:spacing w:line="480" w:lineRule="auto"/>
      </w:pPr>
      <w:r>
        <w:t xml:space="preserve">Stripped to its core, the dissertation’s contribution is this: it takes a widely repeated intuition about rising and established powers in orbit and makes it into a single proposition that could be shown false, specifying the observables, the estimator, the identification strategy, and the decision rule that would show it</w:t>
      </w:r>
      <w:r>
        <w:t xml:space="preserve"> </w:t>
      </w:r>
      <w:hyperlink w:anchor="ref-4">
        <w:r>
          <w:rPr>
            <w:rStyle w:val="Hyperlink"/>
          </w:rPr>
          <w:t xml:space="preserve">[4]</w:t>
        </w:r>
      </w:hyperlink>
      <w:r>
        <w:t xml:space="preserve"> </w:t>
      </w:r>
      <w:hyperlink w:anchor="ref-8">
        <w:r>
          <w:rPr>
            <w:rStyle w:val="Hyperlink"/>
          </w:rPr>
          <w:t xml:space="preserve">[8]</w:t>
        </w:r>
      </w:hyperlink>
      <w:r>
        <w:t xml:space="preserve">. That is a smaller claim than the sweeping analogies the field is fond of, and it is more valuable for being smaller, because a claim that can be wrong is a claim that can teach</w:t>
      </w:r>
      <w:r>
        <w:t xml:space="preserve"> </w:t>
      </w:r>
      <w:hyperlink w:anchor="ref-11">
        <w:r>
          <w:rPr>
            <w:rStyle w:val="Hyperlink"/>
          </w:rPr>
          <w:t xml:space="preserve">[11]</w:t>
        </w:r>
      </w:hyperlink>
      <w:r>
        <w:t xml:space="preserve">. The completed diagnostic work does not test the proposition, but it demonstrates, on real data, that the candidate can build a legible evidence base and report results honestly against pre-registered predictions, which is the credential the central test will require</w:t>
      </w:r>
      <w:r>
        <w:t xml:space="preserve"> </w:t>
      </w:r>
      <w:hyperlink w:anchor="ref-2">
        <w:r>
          <w:rPr>
            <w:rStyle w:val="Hyperlink"/>
          </w:rPr>
          <w:t xml:space="preserve">[2]</w:t>
        </w:r>
      </w:hyperlink>
      <w:r>
        <w:t xml:space="preserve"> </w:t>
      </w:r>
      <w:hyperlink w:anchor="ref-6">
        <w:r>
          <w:rPr>
            <w:rStyle w:val="Hyperlink"/>
          </w:rPr>
          <w:t xml:space="preserve">[6]</w:t>
        </w:r>
      </w:hyperlink>
      <w:r>
        <w:t xml:space="preserve">. A dissertation that did more would risk claiming what its data could not support; a dissertation that did less would not have earned a testable proposition at all</w:t>
      </w:r>
      <w:r>
        <w:t xml:space="preserve"> </w:t>
      </w:r>
      <w:hyperlink w:anchor="ref-13">
        <w:r>
          <w:rPr>
            <w:rStyle w:val="Hyperlink"/>
          </w:rPr>
          <w:t xml:space="preserve">[13]</w:t>
        </w:r>
      </w:hyperlink>
      <w:r>
        <w:t xml:space="preserve">. This one sits at the point where the claim is sharp, the diagnostics are honest, and the path to the central result is fully specified, and that is enough to stand as a doctoral contribution</w:t>
      </w:r>
      <w:r>
        <w:t xml:space="preserve"> </w:t>
      </w:r>
      <w:hyperlink w:anchor="ref-7">
        <w:r>
          <w:rPr>
            <w:rStyle w:val="Hyperlink"/>
          </w:rPr>
          <w:t xml:space="preserve">[7]</w:t>
        </w:r>
      </w:hyperlink>
      <w:r>
        <w:t xml:space="preserve">. The measure of the work is not a coefficient already in hand but a proposition sharp enough that the coefficient, once estimated, will settle something the field currently only asserts</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52"/>
    <w:bookmarkStart w:id="153" w:name="closing"/>
    <w:p>
      <w:pPr>
        <w:pStyle w:val="Heading2"/>
        <w:spacing w:line="480" w:lineRule="auto"/>
      </w:pPr>
      <w:r>
        <w:t xml:space="preserve">8.12 Closing</w:t>
      </w:r>
    </w:p>
    <w:p>
      <w:pPr>
        <w:pStyle w:val="FirstParagraph"/>
        <w:spacing w:line="480" w:lineRule="auto"/>
      </w:pPr>
      <w:r>
        <w:t xml:space="preserve">The dissertation ends where it began, with a refusal of the anecdotal habit and a commitment to a claim that could be wrong. It has established that its evidence base is structured and readable, reported the diagnostic results exactly as the estimators produced them, and specified a central test precise enough to reject the orbital power-transition frame should the data demand it</w:t>
      </w:r>
      <w:r>
        <w:t xml:space="preserve"> </w:t>
      </w:r>
      <w:hyperlink w:anchor="ref-2">
        <w:r>
          <w:rPr>
            <w:rStyle w:val="Hyperlink"/>
          </w:rPr>
          <w:t xml:space="preserve">[2]</w:t>
        </w:r>
      </w:hyperlink>
      <w:r>
        <w:t xml:space="preserve"> </w:t>
      </w:r>
      <w:hyperlink w:anchor="ref-4">
        <w:r>
          <w:rPr>
            <w:rStyle w:val="Hyperlink"/>
          </w:rPr>
          <w:t xml:space="preserve">[4]</w:t>
        </w:r>
      </w:hyperlink>
      <w:r>
        <w:t xml:space="preserve">. What remains is to run that test on the assembled series and to report the coefficient, whatever its sign. That is the standard the work has held itself to throughout, and it is the standard by which the next stage should be judged.</w:t>
      </w:r>
    </w:p>
    <w:bookmarkEnd w:id="153"/>
    <w:bookmarkStart w:id="198" w:name="references"/>
    <w:p>
      <w:pPr>
        <w:pStyle w:val="Heading2"/>
        <w:spacing w:line="480" w:lineRule="auto"/>
      </w:pPr>
      <w:r>
        <w:t xml:space="preserve">References</w:t>
      </w:r>
    </w:p>
    <w:p>
      <w:pPr>
        <w:pStyle w:val="FirstParagraph"/>
        <w:spacing w:line="480" w:lineRule="auto"/>
      </w:pPr>
      <w:bookmarkStart w:id="154" w:name="ref-1"/>
      <w:bookmarkEnd w:id="154"/>
      <w:r>
        <w:t xml:space="preserve">1. G. He, P. Brown, K. Barcroft, J. Smith, M. Bonn, J. Cardoso dos Santos, and J. Thorne,</w:t>
      </w:r>
      <w:r>
        <w:t xml:space="preserve"> </w:t>
      </w:r>
      <w:r>
        <w:t xml:space="preserve">“Detecting Satellite Maneuver Intent Using Game Theory,”</w:t>
      </w:r>
      <w:r>
        <w:t xml:space="preserve"> </w:t>
      </w:r>
      <w:r>
        <w:t xml:space="preserve">AMOS, 2025, doi:</w:t>
      </w:r>
      <w:r>
        <w:t xml:space="preserve"> </w:t>
      </w:r>
      <w:hyperlink r:id="rId155">
        <w:r>
          <w:rPr>
            <w:rStyle w:val="Hyperlink"/>
          </w:rPr>
          <w:t xml:space="preserve">10.64861/IIBK7636</w:t>
        </w:r>
      </w:hyperlink>
    </w:p>
    <w:p>
      <w:pPr>
        <w:pStyle w:val="BodyText"/>
        <w:spacing w:line="480" w:lineRule="auto"/>
        <w:ind w:firstLine="720"/>
      </w:pPr>
      <w:bookmarkStart w:id="156" w:name="ref-2"/>
      <w:bookmarkEnd w:id="156"/>
      <w:r>
        <w:t xml:space="preserve">2. D. McKnight, E. Dale, C. Gates, O. Marshall, R. Bhatia, M. Patel, and A. Marsh,</w:t>
      </w:r>
      <w:r>
        <w:t xml:space="preserve"> </w:t>
      </w:r>
      <w:r>
        <w:t xml:space="preserve">“Analytic Space Domain Awareness,”</w:t>
      </w:r>
      <w:r>
        <w:t xml:space="preserve"> </w:t>
      </w:r>
      <w:r>
        <w:t xml:space="preserve">AMOS, 2023, doi:</w:t>
      </w:r>
      <w:r>
        <w:t xml:space="preserve"> </w:t>
      </w:r>
      <w:hyperlink r:id="rId157">
        <w:r>
          <w:rPr>
            <w:rStyle w:val="Hyperlink"/>
          </w:rPr>
          <w:t xml:space="preserve">10.64861/GVCM1752</w:t>
        </w:r>
      </w:hyperlink>
    </w:p>
    <w:p>
      <w:pPr>
        <w:pStyle w:val="BodyText"/>
        <w:spacing w:line="480" w:lineRule="auto"/>
        <w:ind w:firstLine="720"/>
      </w:pPr>
      <w:bookmarkStart w:id="158" w:name="ref-3"/>
      <w:bookmarkEnd w:id="158"/>
      <w:r>
        <w:t xml:space="preserve">3. T. Phan and M. Jah,</w:t>
      </w:r>
      <w:r>
        <w:t xml:space="preserve"> </w:t>
      </w:r>
      <w:r>
        <w:t xml:space="preserve">“Socio-Technical Configuration Analysis of Space Objects for Enhanced Space Domain Awareness,”</w:t>
      </w:r>
      <w:r>
        <w:t xml:space="preserve"> </w:t>
      </w:r>
      <w:r>
        <w:t xml:space="preserve">AMOS, 2025, doi:</w:t>
      </w:r>
      <w:r>
        <w:t xml:space="preserve"> </w:t>
      </w:r>
      <w:hyperlink r:id="rId159">
        <w:r>
          <w:rPr>
            <w:rStyle w:val="Hyperlink"/>
          </w:rPr>
          <w:t xml:space="preserve">10.64861/GDIM2412</w:t>
        </w:r>
      </w:hyperlink>
    </w:p>
    <w:p>
      <w:pPr>
        <w:pStyle w:val="BodyText"/>
        <w:spacing w:line="480" w:lineRule="auto"/>
        <w:ind w:firstLine="720"/>
      </w:pPr>
      <w:bookmarkStart w:id="160" w:name="ref-4"/>
      <w:bookmarkEnd w:id="160"/>
      <w:r>
        <w:t xml:space="preserve">4. B. Weeden, P. Cefola, and J. Sankaran,</w:t>
      </w:r>
      <w:r>
        <w:t xml:space="preserve"> </w:t>
      </w:r>
      <w:r>
        <w:t xml:space="preserve">“Global Space Situational Awareness Sensors,”</w:t>
      </w:r>
      <w:r>
        <w:t xml:space="preserve"> </w:t>
      </w:r>
      <w:r>
        <w:t xml:space="preserve">AMOS, 2010.</w:t>
      </w:r>
    </w:p>
    <w:p>
      <w:pPr>
        <w:pStyle w:val="BodyText"/>
        <w:spacing w:line="480" w:lineRule="auto"/>
        <w:ind w:firstLine="720"/>
      </w:pPr>
      <w:bookmarkStart w:id="161" w:name="ref-5"/>
      <w:bookmarkEnd w:id="161"/>
      <w:r>
        <w:t xml:space="preserve">5. M. Byers, E. Wright, A. Boley, and C. Byers,</w:t>
      </w:r>
      <w:r>
        <w:t xml:space="preserve"> </w:t>
      </w:r>
      <w:r>
        <w:t xml:space="preserve">“Unnecessary Risks Created By Uncontrolled Rocket Reentries,”</w:t>
      </w:r>
      <w:r>
        <w:t xml:space="preserve"> </w:t>
      </w:r>
      <w:r>
        <w:t xml:space="preserve">AMOS, 2022.</w:t>
      </w:r>
    </w:p>
    <w:p>
      <w:pPr>
        <w:pStyle w:val="BodyText"/>
        <w:spacing w:line="480" w:lineRule="auto"/>
        <w:ind w:firstLine="720"/>
      </w:pPr>
      <w:bookmarkStart w:id="162" w:name="ref-6"/>
      <w:bookmarkEnd w:id="162"/>
      <w:r>
        <w:t xml:space="preserve">6. S. Kazemi, N. L. Azad, S. Kuindersma, H. B. Oqab, and G. B. Dietrich,</w:t>
      </w:r>
      <w:r>
        <w:t xml:space="preserve"> </w:t>
      </w:r>
      <w:r>
        <w:t xml:space="preserve">“Orbit determination for space situational awareness: A survey,”</w:t>
      </w:r>
      <w:r>
        <w:t xml:space="preserve"> </w:t>
      </w:r>
      <w:r>
        <w:t xml:space="preserve">Acta Astronautica, 2024, doi:</w:t>
      </w:r>
      <w:r>
        <w:t xml:space="preserve"> </w:t>
      </w:r>
      <w:hyperlink r:id="rId163">
        <w:r>
          <w:rPr>
            <w:rStyle w:val="Hyperlink"/>
          </w:rPr>
          <w:t xml:space="preserve">10.1016/j.actaastro.2024.06.015</w:t>
        </w:r>
      </w:hyperlink>
    </w:p>
    <w:p>
      <w:pPr>
        <w:pStyle w:val="BodyText"/>
        <w:spacing w:line="480" w:lineRule="auto"/>
        <w:ind w:firstLine="720"/>
      </w:pPr>
      <w:bookmarkStart w:id="164" w:name="ref-7"/>
      <w:bookmarkEnd w:id="164"/>
      <w:r>
        <w:t xml:space="preserve">7.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2024, doi:</w:t>
      </w:r>
      <w:r>
        <w:t xml:space="preserve"> </w:t>
      </w:r>
      <w:hyperlink r:id="rId165">
        <w:r>
          <w:rPr>
            <w:rStyle w:val="Hyperlink"/>
          </w:rPr>
          <w:t xml:space="preserve">10.1016/j.actaastro.2024.06.052</w:t>
        </w:r>
      </w:hyperlink>
    </w:p>
    <w:p>
      <w:pPr>
        <w:pStyle w:val="BodyText"/>
        <w:spacing w:line="480" w:lineRule="auto"/>
        <w:ind w:firstLine="720"/>
      </w:pPr>
      <w:bookmarkStart w:id="166" w:name="ref-8"/>
      <w:bookmarkEnd w:id="166"/>
      <w:r>
        <w:t xml:space="preserve">8.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2025, doi:</w:t>
      </w:r>
      <w:r>
        <w:t xml:space="preserve"> </w:t>
      </w:r>
      <w:hyperlink r:id="rId167">
        <w:r>
          <w:rPr>
            <w:rStyle w:val="Hyperlink"/>
          </w:rPr>
          <w:t xml:space="preserve">10.1016/j.actaastro.2025.01.069</w:t>
        </w:r>
      </w:hyperlink>
    </w:p>
    <w:p>
      <w:pPr>
        <w:pStyle w:val="BodyText"/>
        <w:spacing w:line="480" w:lineRule="auto"/>
        <w:ind w:firstLine="720"/>
      </w:pPr>
      <w:bookmarkStart w:id="168" w:name="ref-9"/>
      <w:bookmarkEnd w:id="168"/>
      <w:r>
        <w:t xml:space="preserve">9. M. Young and A. Thadani,</w:t>
      </w:r>
      <w:r>
        <w:t xml:space="preserve"> </w:t>
      </w:r>
      <w:r>
        <w:t xml:space="preserve">“Low-Orbit, High Stakes: Winning the LEO Broadband Competition,”</w:t>
      </w:r>
      <w:r>
        <w:t xml:space="preserve"> </w:t>
      </w:r>
      <w:r>
        <w:t xml:space="preserve">Center for Strategic and International Studies, 2022.</w:t>
      </w:r>
    </w:p>
    <w:p>
      <w:pPr>
        <w:pStyle w:val="BodyText"/>
        <w:spacing w:line="480" w:lineRule="auto"/>
        <w:ind w:firstLine="720"/>
      </w:pPr>
      <w:bookmarkStart w:id="169" w:name="ref-10"/>
      <w:bookmarkEnd w:id="169"/>
      <w:r>
        <w:t xml:space="preserve">10.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2017, doi:</w:t>
      </w:r>
      <w:r>
        <w:t xml:space="preserve"> </w:t>
      </w:r>
      <w:hyperlink r:id="rId170">
        <w:r>
          <w:rPr>
            <w:rStyle w:val="Hyperlink"/>
          </w:rPr>
          <w:t xml:space="preserve">10.1016/j.actaastro.2017.04.034</w:t>
        </w:r>
      </w:hyperlink>
    </w:p>
    <w:p>
      <w:pPr>
        <w:pStyle w:val="BodyText"/>
        <w:spacing w:line="480" w:lineRule="auto"/>
        <w:ind w:firstLine="720"/>
      </w:pPr>
      <w:bookmarkStart w:id="171" w:name="ref-11"/>
      <w:bookmarkEnd w:id="171"/>
      <w:r>
        <w:t xml:space="preserve">11. A. Allison,</w:t>
      </w:r>
      <w:r>
        <w:t xml:space="preserve"> </w:t>
      </w:r>
      <w:r>
        <w:t xml:space="preserve">“WRC-19: New Space Law Enabling the Sustainability of LEO,”</w:t>
      </w:r>
      <w:r>
        <w:t xml:space="preserve"> </w:t>
      </w:r>
      <w:r>
        <w:t xml:space="preserve">AMOS, 2020.</w:t>
      </w:r>
    </w:p>
    <w:p>
      <w:pPr>
        <w:pStyle w:val="BodyText"/>
        <w:spacing w:line="480" w:lineRule="auto"/>
        <w:ind w:firstLine="720"/>
      </w:pPr>
      <w:bookmarkStart w:id="172" w:name="ref-12"/>
      <w:bookmarkEnd w:id="172"/>
      <w:r>
        <w:t xml:space="preserve">12. M. A. Skinner, T. M. Kelecy, S. A. Gregory, J. P. Toth, D. Liang, D. Yamanaka, S. Kent, R. Tjoelker, D. Margineantu, A. L. Allison, and C. Heiberg,</w:t>
      </w:r>
      <w:r>
        <w:t xml:space="preserve"> </w:t>
      </w:r>
      <w:r>
        <w:t xml:space="preserve">“Commercial Space Situational Awareness: An Investigation of Ground-Based SSA Concepts to Support Commercial GEO Satellite Operators,”</w:t>
      </w:r>
      <w:r>
        <w:t xml:space="preserve"> </w:t>
      </w:r>
      <w:r>
        <w:t xml:space="preserve">AMOS, 2013.</w:t>
      </w:r>
    </w:p>
    <w:p>
      <w:pPr>
        <w:pStyle w:val="BodyText"/>
        <w:spacing w:line="480" w:lineRule="auto"/>
        <w:ind w:firstLine="720"/>
      </w:pPr>
      <w:bookmarkStart w:id="173" w:name="ref-13"/>
      <w:bookmarkEnd w:id="173"/>
      <w:r>
        <w:t xml:space="preserve">13. N. Dailey, K. Toner, and D. Murphy,</w:t>
      </w:r>
      <w:r>
        <w:t xml:space="preserve"> </w:t>
      </w:r>
      <w:r>
        <w:t xml:space="preserve">“Employing a Shared Space Information Sharing Ecosystem as a Mechanism for Promoting Constructive U.S. China Space Relations,”</w:t>
      </w:r>
      <w:r>
        <w:t xml:space="preserve"> </w:t>
      </w:r>
      <w:r>
        <w:t xml:space="preserve">AMOS, 2022.</w:t>
      </w:r>
    </w:p>
    <w:p>
      <w:pPr>
        <w:pStyle w:val="BodyText"/>
        <w:spacing w:line="480" w:lineRule="auto"/>
        <w:ind w:firstLine="720"/>
      </w:pPr>
      <w:bookmarkStart w:id="174" w:name="ref-14"/>
      <w:bookmarkEnd w:id="174"/>
      <w:r>
        <w:t xml:space="preserve">14. Guanchu He, University of Colorado Colorado Springs; Philip Brown, University of Colorado Colorado Springs; Kaylee Barcroft, Astra Ultra; Jeffrey Smith, Astra Ultra; Matthew Bonn, Astra Ultra; Josue Cardoso dos Santos, University of Colorado Colorado Springs; Jackson Thorne, University of Colorado Colorado Springs. Detecting Satellite Maneuver Intent Using Game Theory (2025). doi:</w:t>
      </w:r>
      <w:r>
        <w:t xml:space="preserve"> </w:t>
      </w:r>
      <w:hyperlink r:id="rId155">
        <w:r>
          <w:rPr>
            <w:rStyle w:val="Hyperlink"/>
          </w:rPr>
          <w:t xml:space="preserve">10.64861/IIBK7636</w:t>
        </w:r>
      </w:hyperlink>
    </w:p>
    <w:p>
      <w:pPr>
        <w:pStyle w:val="BodyText"/>
        <w:spacing w:line="480" w:lineRule="auto"/>
        <w:ind w:firstLine="720"/>
      </w:pPr>
      <w:bookmarkStart w:id="175" w:name="ref-15"/>
      <w:bookmarkEnd w:id="175"/>
      <w:r>
        <w:t xml:space="preserve">15. Darren McKnight, LeoLabs; Erin Dale, LeoLabs; Christopher Gates, LeoLabs; Owen Marshall, LeoLabs; Rachit Bhatia, LeoLabs; Mohin Patel, LeoLabs; Adam Marsh, LeoLabs. Analytic Space Domain Awareness (2023). doi:</w:t>
      </w:r>
      <w:r>
        <w:t xml:space="preserve"> </w:t>
      </w:r>
      <w:hyperlink r:id="rId157">
        <w:r>
          <w:rPr>
            <w:rStyle w:val="Hyperlink"/>
          </w:rPr>
          <w:t xml:space="preserve">10.64861/GVCM1752</w:t>
        </w:r>
      </w:hyperlink>
    </w:p>
    <w:p>
      <w:pPr>
        <w:pStyle w:val="BodyText"/>
        <w:spacing w:line="480" w:lineRule="auto"/>
        <w:ind w:firstLine="720"/>
      </w:pPr>
      <w:bookmarkStart w:id="176" w:name="ref-16"/>
      <w:bookmarkEnd w:id="176"/>
      <w:r>
        <w:t xml:space="preserve">16. Jack Drummond (AFRL/DES), Steve Novotny (AFRL/DES), Craig Denman (AFRL/DES), Paul Hillman (AFRL/DES), John Telle (AFRL/DES, Mark Eickho (Boeing LTS), Robert Fugate (New Mexico Institute of Mining and Technology). The Sodium LGS Brightness Model over the SOR (2007).</w:t>
      </w:r>
    </w:p>
    <w:p>
      <w:pPr>
        <w:pStyle w:val="BodyText"/>
        <w:spacing w:line="480" w:lineRule="auto"/>
        <w:ind w:firstLine="720"/>
      </w:pPr>
      <w:bookmarkStart w:id="177" w:name="ref-17"/>
      <w:bookmarkEnd w:id="177"/>
      <w:r>
        <w:t xml:space="preserve">17.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178">
        <w:r>
          <w:rPr>
            <w:rStyle w:val="Hyperlink"/>
          </w:rPr>
          <w:t xml:space="preserve">10.64861/CKQN3841</w:t>
        </w:r>
      </w:hyperlink>
    </w:p>
    <w:p>
      <w:pPr>
        <w:pStyle w:val="BodyText"/>
        <w:spacing w:line="480" w:lineRule="auto"/>
        <w:ind w:firstLine="720"/>
      </w:pPr>
      <w:bookmarkStart w:id="179" w:name="ref-18"/>
      <w:bookmarkEnd w:id="179"/>
      <w:r>
        <w:t xml:space="preserve">18. Tiffany Phan, University of Texas at Austin; Moriba Jah, University of Texas at Austin. Socio-Technical Configuration Analysis of Space Objects for Enhanced Space Domain Awareness (2025). doi:</w:t>
      </w:r>
      <w:r>
        <w:t xml:space="preserve"> </w:t>
      </w:r>
      <w:hyperlink r:id="rId159">
        <w:r>
          <w:rPr>
            <w:rStyle w:val="Hyperlink"/>
          </w:rPr>
          <w:t xml:space="preserve">10.64861/GDIM2412</w:t>
        </w:r>
      </w:hyperlink>
    </w:p>
    <w:p>
      <w:pPr>
        <w:pStyle w:val="BodyText"/>
        <w:spacing w:line="480" w:lineRule="auto"/>
        <w:ind w:firstLine="720"/>
      </w:pPr>
      <w:bookmarkStart w:id="180" w:name="ref-19"/>
      <w:bookmarkEnd w:id="180"/>
      <w:r>
        <w:t xml:space="preserve">19. Michael Byers, The University of British Columbia; Ewan Wright, The University of British Columbia; Aaron Boley, The University of British Columbia, Cameron Byers, The University of British Columbia. Unnecessary Risks Created By Uncontrolled Rocket Reentries (2022).</w:t>
      </w:r>
    </w:p>
    <w:p>
      <w:pPr>
        <w:pStyle w:val="BodyText"/>
        <w:spacing w:line="480" w:lineRule="auto"/>
        <w:ind w:firstLine="720"/>
      </w:pPr>
      <w:bookmarkStart w:id="181" w:name="ref-20"/>
      <w:bookmarkEnd w:id="181"/>
      <w:r>
        <w:t xml:space="preserve">20. Max Geissbuhler, Slingshot Aerospace; Nicholas Noyes, Slingshot Aerospace; Jesse Gutknecht, Slingshot Aerospace; Tyler Mancini, Slingshot Aerospace; Jeffrey Shaddix, Slingshot Aerospace; Belinda Marchand, Slingshot Aerospace. Rapid Tracking, Characterization, and Cataloguing of Multi-Payload Launches to Low Earth Orbit (2025). doi:</w:t>
      </w:r>
      <w:r>
        <w:t xml:space="preserve"> </w:t>
      </w:r>
      <w:hyperlink r:id="rId182">
        <w:r>
          <w:rPr>
            <w:rStyle w:val="Hyperlink"/>
          </w:rPr>
          <w:t xml:space="preserve">10.64861/DXXP4768</w:t>
        </w:r>
      </w:hyperlink>
    </w:p>
    <w:p>
      <w:pPr>
        <w:pStyle w:val="BodyText"/>
        <w:spacing w:line="480" w:lineRule="auto"/>
        <w:ind w:firstLine="720"/>
      </w:pPr>
      <w:bookmarkStart w:id="183" w:name="ref-21"/>
      <w:bookmarkEnd w:id="183"/>
      <w:r>
        <w:t xml:space="preserve">21. Brian Weeden (Secure World Foundation), Paul Cefola (University at Buffalo, SUNY), Jaganath Sankaran (University of Maryland). Global Space Situational Awareness Sensors (2010).</w:t>
      </w:r>
    </w:p>
    <w:p>
      <w:pPr>
        <w:pStyle w:val="BodyText"/>
        <w:spacing w:line="480" w:lineRule="auto"/>
        <w:ind w:firstLine="720"/>
      </w:pPr>
      <w:bookmarkStart w:id="184" w:name="ref-22"/>
      <w:bookmarkEnd w:id="184"/>
      <w:r>
        <w:t xml:space="preserve">22. Marius Anger; Aksel Søren Beltoft; F. Biassoni; Johanna Noria Brecher; Antoine Corne; J. A. Egger; S. Filomeno; Margarida Graça; Viktoria Keusch; Guillem Khairy; Jakub Kowalczyk; Riccardo Lasagni Manghi; Dominik Loidolt; Maja Marminge; Alex McDougall-Page; Lukas Tamulevicius; Elena Tonucci; Elise Wright Knutsen. Aetheras: Characterising exoplanetary atmospheric escape with NIR and UV spectroscopy (2025). doi:</w:t>
      </w:r>
      <w:r>
        <w:t xml:space="preserve"> </w:t>
      </w:r>
      <w:hyperlink r:id="rId185">
        <w:r>
          <w:rPr>
            <w:rStyle w:val="Hyperlink"/>
          </w:rPr>
          <w:t xml:space="preserve">10.1016/j.actaastro.2025.08.042</w:t>
        </w:r>
      </w:hyperlink>
    </w:p>
    <w:p>
      <w:pPr>
        <w:pStyle w:val="BodyText"/>
        <w:spacing w:line="480" w:lineRule="auto"/>
        <w:ind w:firstLine="720"/>
      </w:pPr>
      <w:bookmarkStart w:id="186" w:name="ref-23"/>
      <w:bookmarkEnd w:id="186"/>
      <w:r>
        <w:t xml:space="preserve">23. Omar Diab; Christian Circi; Hongwei Yang; Shuang Li. Unsupervised approach to detect interconnections between unstable resonant orbits (2025). doi:</w:t>
      </w:r>
      <w:r>
        <w:t xml:space="preserve"> </w:t>
      </w:r>
      <w:hyperlink r:id="rId187">
        <w:r>
          <w:rPr>
            <w:rStyle w:val="Hyperlink"/>
          </w:rPr>
          <w:t xml:space="preserve">10.1016/j.actaastro.2025.04.039</w:t>
        </w:r>
      </w:hyperlink>
    </w:p>
    <w:p>
      <w:pPr>
        <w:pStyle w:val="BodyText"/>
        <w:spacing w:line="480" w:lineRule="auto"/>
        <w:ind w:firstLine="720"/>
      </w:pPr>
      <w:bookmarkStart w:id="188" w:name="ref-24"/>
      <w:bookmarkEnd w:id="188"/>
      <w:r>
        <w:t xml:space="preserve">24. Judit Slíz‐Balogh; Dániel Horváth; Gábor Horváth. Jupiter, the great celestial organizer: On the origin of orbits of some asteroid families in mean motion resonances with Jupiter (2023). doi:</w:t>
      </w:r>
      <w:r>
        <w:t xml:space="preserve"> </w:t>
      </w:r>
      <w:hyperlink r:id="rId189">
        <w:r>
          <w:rPr>
            <w:rStyle w:val="Hyperlink"/>
          </w:rPr>
          <w:t xml:space="preserve">10.1016/j.actaastro.2023.06.005</w:t>
        </w:r>
      </w:hyperlink>
    </w:p>
    <w:p>
      <w:pPr>
        <w:pStyle w:val="BodyText"/>
        <w:spacing w:line="480" w:lineRule="auto"/>
        <w:ind w:firstLine="720"/>
      </w:pPr>
      <w:bookmarkStart w:id="190" w:name="ref-25"/>
      <w:bookmarkEnd w:id="190"/>
      <w:r>
        <w:t xml:space="preserve">25. Tor Blomqvist; Ralph Fritsche. From production to food systems: A systems-level review of drivers, requirements, and integration for Lunar and Martian food systems (2026). doi:</w:t>
      </w:r>
      <w:r>
        <w:t xml:space="preserve"> </w:t>
      </w:r>
      <w:hyperlink r:id="rId191">
        <w:r>
          <w:rPr>
            <w:rStyle w:val="Hyperlink"/>
          </w:rPr>
          <w:t xml:space="preserve">10.1016/j.actaastro.2026.02.021</w:t>
        </w:r>
      </w:hyperlink>
    </w:p>
    <w:p>
      <w:pPr>
        <w:pStyle w:val="BodyText"/>
        <w:spacing w:line="480" w:lineRule="auto"/>
        <w:ind w:firstLine="720"/>
      </w:pPr>
      <w:bookmarkStart w:id="192" w:name="ref-26"/>
      <w:bookmarkEnd w:id="192"/>
      <w:r>
        <w:t xml:space="preserve">26. S. Kazemi; Nasser L. Azad; Kuindersma Scott; Haroon B. Oqab; George B. Dietrich. Orbit determination for space situational awareness: A survey (2024). doi:</w:t>
      </w:r>
      <w:r>
        <w:t xml:space="preserve"> </w:t>
      </w:r>
      <w:hyperlink r:id="rId163">
        <w:r>
          <w:rPr>
            <w:rStyle w:val="Hyperlink"/>
          </w:rPr>
          <w:t xml:space="preserve">10.1016/j.actaastro.2024.06.015</w:t>
        </w:r>
      </w:hyperlink>
    </w:p>
    <w:p>
      <w:pPr>
        <w:pStyle w:val="BodyText"/>
        <w:spacing w:line="480" w:lineRule="auto"/>
        <w:ind w:firstLine="720"/>
      </w:pPr>
      <w:bookmarkStart w:id="193" w:name="ref-27"/>
      <w:bookmarkEnd w:id="193"/>
      <w:r>
        <w:t xml:space="preserve">27. Tanja Masson-Zwaan; Peter Martinez; Francesca Letizia; Catrina Melograna; Martin Reynders; Robert J. Rovetto; Mark A. Skinner; Marius Stanciu-Manolescu; Maruška Strah; Olga Volynskaya; Guoyu Wang. The need to improve registration practices in the context of space traffic management (2024). doi:</w:t>
      </w:r>
      <w:r>
        <w:t xml:space="preserve"> </w:t>
      </w:r>
      <w:hyperlink r:id="rId165">
        <w:r>
          <w:rPr>
            <w:rStyle w:val="Hyperlink"/>
          </w:rPr>
          <w:t xml:space="preserve">10.1016/j.actaastro.2024.06.052</w:t>
        </w:r>
      </w:hyperlink>
    </w:p>
    <w:p>
      <w:pPr>
        <w:pStyle w:val="BodyText"/>
        <w:spacing w:line="480" w:lineRule="auto"/>
        <w:ind w:firstLine="720"/>
      </w:pPr>
      <w:bookmarkStart w:id="194" w:name="ref-28"/>
      <w:bookmarkEnd w:id="194"/>
      <w:r>
        <w:t xml:space="preserve">28. Liu Yuan; Bin Li; Xin Tian; Wei Liang; Peng Lv; Jizhang Sang. Orbit determination and prediction for uncooperative spacecrafts with continuous low-thrust maneuver via piecewise estimation (2026). doi:</w:t>
      </w:r>
      <w:r>
        <w:t xml:space="preserve"> </w:t>
      </w:r>
      <w:hyperlink r:id="rId195">
        <w:r>
          <w:rPr>
            <w:rStyle w:val="Hyperlink"/>
          </w:rPr>
          <w:t xml:space="preserve">10.1016/j.actaastro.2026.01.033</w:t>
        </w:r>
      </w:hyperlink>
    </w:p>
    <w:p>
      <w:pPr>
        <w:pStyle w:val="BodyText"/>
        <w:spacing w:line="480" w:lineRule="auto"/>
        <w:ind w:firstLine="720"/>
      </w:pPr>
      <w:bookmarkStart w:id="196" w:name="ref-29"/>
      <w:bookmarkEnd w:id="196"/>
      <w:r>
        <w:t xml:space="preserve">29. Lucia Lambertini; Giuseppe Coccarelli; Elisa Toto; Maria Gabriella Santonicola; Susanna Laurenzi. Poly(vinyl alcohol) gels cross-linked by boric acid for radiation protection of astronauts (2024). doi:</w:t>
      </w:r>
      <w:r>
        <w:t xml:space="preserve"> </w:t>
      </w:r>
      <w:hyperlink r:id="rId197">
        <w:r>
          <w:rPr>
            <w:rStyle w:val="Hyperlink"/>
          </w:rPr>
          <w:t xml:space="preserve">10.1016/j.actaastro.2024.05.020</w:t>
        </w:r>
      </w:hyperlink>
    </w:p>
    <w:bookmarkEnd w:id="198"/>
    <w:bookmarkEnd w:id="199"/>
    <w:bookmarkStart w:id="21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7" w:name="X425e09d1fe2c353a865f82f4410b5b895a13ccc"/>
    <w:p>
      <w:pPr>
        <w:pStyle w:val="Heading2"/>
        <w:spacing w:line="480" w:lineRule="auto"/>
      </w:pPr>
      <w:r>
        <w:t xml:space="preserve">A.1 Signal Intensity in Allison’s Trap on Orbit Do Capability-Transition Indicators Predict US-China Sp: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20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5.8825</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5.1203</w:t>
            </w:r>
          </w:p>
        </w:tc>
        <w:tc>
          <w:tcPr>
            <w:tcW w:w="0" w:type="auto"/>
          </w:tcPr>
          <w:p>
            <w:pPr>
              <w:spacing w:line="240" w:lineRule="auto" w:before="0" w:after="0"/>
              <w:pStyle w:val="Compact"/>
            </w:pPr>
            <w:r>
              <w:rPr>
                <w:sz w:val="20"/>
                <w:szCs w:val="20"/>
              </w:rPr>
              <w:t xml:space="preserve">3.051e-07</w:t>
            </w:r>
          </w:p>
        </w:tc>
        <w:tc>
          <w:tcPr>
            <w:tcW w:w="0" w:type="auto"/>
          </w:tcPr>
          <w:p>
            <w:pPr>
              <w:spacing w:line="240" w:lineRule="auto" w:before="0" w:after="0"/>
              <w:pStyle w:val="Compact"/>
            </w:pPr>
            <w:r>
              <w:rPr>
                <w:sz w:val="20"/>
                <w:szCs w:val="20"/>
              </w:rPr>
              <w:t xml:space="preserve">[3.6307, 8.1342]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0.5547</w:t>
            </w:r>
          </w:p>
        </w:tc>
        <w:tc>
          <w:tcPr>
            <w:tcW w:w="0" w:type="auto"/>
          </w:tcPr>
          <w:p>
            <w:pPr>
              <w:spacing w:line="240" w:lineRule="auto" w:before="0" w:after="0"/>
              <w:pStyle w:val="Compact"/>
            </w:pPr>
            <w:r>
              <w:rPr>
                <w:sz w:val="20"/>
                <w:szCs w:val="20"/>
              </w:rPr>
              <w:t xml:space="preserve">0.5791</w:t>
            </w:r>
          </w:p>
        </w:tc>
        <w:tc>
          <w:tcPr>
            <w:tcW w:w="0" w:type="auto"/>
          </w:tcPr>
          <w:p>
            <w:pPr>
              <w:spacing w:line="240" w:lineRule="auto" w:before="0" w:after="0"/>
              <w:pStyle w:val="Compact"/>
            </w:pPr>
            <w:r>
              <w:rPr>
                <w:sz w:val="20"/>
                <w:szCs w:val="20"/>
              </w:rPr>
              <w:t xml:space="preserve">[-0.0827, 0.1481]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0.9744</w:t>
            </w:r>
          </w:p>
        </w:tc>
        <w:tc>
          <w:tcPr>
            <w:tcW w:w="0" w:type="auto"/>
          </w:tcPr>
          <w:p>
            <w:pPr>
              <w:spacing w:line="240" w:lineRule="auto" w:before="0" w:after="0"/>
              <w:pStyle w:val="Compact"/>
            </w:pPr>
            <w:r>
              <w:rPr>
                <w:sz w:val="20"/>
                <w:szCs w:val="20"/>
              </w:rPr>
              <w:t xml:space="preserve">0.3299</w:t>
            </w:r>
          </w:p>
        </w:tc>
        <w:tc>
          <w:tcPr>
            <w:tcW w:w="0" w:type="auto"/>
          </w:tcPr>
          <w:p>
            <w:pPr>
              <w:spacing w:line="240" w:lineRule="auto" w:before="0" w:after="0"/>
              <w:pStyle w:val="Compact"/>
            </w:pPr>
            <w:r>
              <w:rPr>
                <w:sz w:val="20"/>
                <w:szCs w:val="20"/>
              </w:rPr>
              <w:t xml:space="preserve">[-0.0282, 0.0838]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-1.6004</w:t>
            </w:r>
          </w:p>
        </w:tc>
        <w:tc>
          <w:tcPr>
            <w:tcW w:w="0" w:type="auto"/>
          </w:tcPr>
          <w:p>
            <w:pPr>
              <w:spacing w:line="240" w:lineRule="auto" w:before="0" w:after="0"/>
              <w:pStyle w:val="Compact"/>
            </w:pPr>
            <w:r>
              <w:rPr>
                <w:sz w:val="20"/>
                <w:szCs w:val="20"/>
              </w:rPr>
              <w:t xml:space="preserve">0.3991</w:t>
            </w:r>
          </w:p>
        </w:tc>
        <w:tc>
          <w:tcPr>
            <w:tcW w:w="0" w:type="auto"/>
          </w:tcPr>
          <w:p>
            <w:pPr>
              <w:spacing w:line="240" w:lineRule="auto" w:before="0" w:after="0"/>
              <w:pStyle w:val="Compact"/>
            </w:pPr>
            <w:r>
              <w:rPr>
                <w:sz w:val="20"/>
                <w:szCs w:val="20"/>
              </w:rPr>
              <w:t xml:space="preserve">-4.0102</w:t>
            </w:r>
          </w:p>
        </w:tc>
        <w:tc>
          <w:tcPr>
            <w:tcW w:w="0" w:type="auto"/>
          </w:tcPr>
          <w:p>
            <w:pPr>
              <w:spacing w:line="240" w:lineRule="auto" w:before="0" w:after="0"/>
              <w:pStyle w:val="Compact"/>
            </w:pPr>
            <w:r>
              <w:rPr>
                <w:sz w:val="20"/>
                <w:szCs w:val="20"/>
              </w:rPr>
              <w:t xml:space="preserve">6.066e-05</w:t>
            </w:r>
          </w:p>
        </w:tc>
        <w:tc>
          <w:tcPr>
            <w:tcW w:w="0" w:type="auto"/>
          </w:tcPr>
          <w:p>
            <w:pPr>
              <w:spacing w:line="240" w:lineRule="auto" w:before="0" w:after="0"/>
              <w:pStyle w:val="Compact"/>
            </w:pPr>
            <w:r>
              <w:rPr>
                <w:sz w:val="20"/>
                <w:szCs w:val="20"/>
              </w:rPr>
              <w:t xml:space="preserve">[-2.3826, -0.8182]</w:t>
            </w:r>
          </w:p>
        </w:tc>
      </w:tr>
    </w:tbl>
    <w:p>
      <w:pPr>
        <w:pStyle w:val="BodyText"/>
        <w:spacing w:line="480" w:lineRule="auto"/>
        <w:ind w:firstLine="720"/>
      </w:pPr>
      <w:r>
        <w:t xml:space="preserve">Fit: N = 30 R2 = 0.3533 R2_adj = 0.2787 F = 5.9672 F_p = 0.0031</w:t>
      </w:r>
    </w:p>
    <w:bookmarkEnd w:id="200"/>
    <w:bookmarkStart w:id="20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202" name="Picture"/>
            <a:graphic>
              <a:graphicData uri="http://schemas.openxmlformats.org/drawingml/2006/picture">
                <pic:pic>
                  <pic:nvPicPr>
                    <pic:cNvPr descr="D:/Claude_Code/brain/collegium/candidates/dissertations/INTL_GOVERNANCE_03/research_papers/p1/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204"/>
    <w:bookmarkStart w:id="20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10.64861/IIBK7636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https://amostech.space/year/2007/the-sodium-lgs-brightness-model-over-the-sor/</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10.1016/j.actaastro.2025.10.072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10.1016/j.actaastro.2026.04.063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10.1016/j.actaastro.2025.07.006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205"/>
    <w:bookmarkStart w:id="20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206"/>
    <w:bookmarkEnd w:id="207"/>
    <w:bookmarkStart w:id="215" w:name="Xceeef6edf7193586a017aeb202f786cc125fb62"/>
    <w:p>
      <w:pPr>
        <w:pStyle w:val="Heading2"/>
        <w:spacing w:line="480" w:lineRule="auto"/>
      </w:pPr>
      <w:r>
        <w:t xml:space="preserve">A.2 Attention Accumulation in Allison’s Trap on Orbit Do Capability-Transition Indicators Predict US-China Sp: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20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0.683</w:t>
            </w:r>
          </w:p>
        </w:tc>
        <w:tc>
          <w:tcPr>
            <w:tcW w:w="0" w:type="auto"/>
          </w:tcPr>
          <w:p>
            <w:pPr>
              <w:spacing w:line="240" w:lineRule="auto" w:before="0" w:after="0"/>
              <w:pStyle w:val="Compact"/>
            </w:pPr>
            <w:r>
              <w:rPr>
                <w:sz w:val="20"/>
                <w:szCs w:val="20"/>
              </w:rPr>
              <w:t xml:space="preserve">0.2683</w:t>
            </w:r>
          </w:p>
        </w:tc>
        <w:tc>
          <w:tcPr>
            <w:tcW w:w="0" w:type="auto"/>
          </w:tcPr>
          <w:p>
            <w:pPr>
              <w:spacing w:line="240" w:lineRule="auto" w:before="0" w:after="0"/>
              <w:pStyle w:val="Compact"/>
            </w:pPr>
            <w:r>
              <w:rPr>
                <w:sz w:val="20"/>
                <w:szCs w:val="20"/>
              </w:rPr>
              <w:t xml:space="preserve">2.5452</w:t>
            </w:r>
          </w:p>
        </w:tc>
        <w:tc>
          <w:tcPr>
            <w:tcW w:w="0" w:type="auto"/>
          </w:tcPr>
          <w:p>
            <w:pPr>
              <w:spacing w:line="240" w:lineRule="auto" w:before="0" w:after="0"/>
              <w:pStyle w:val="Compact"/>
            </w:pPr>
            <w:r>
              <w:rPr>
                <w:sz w:val="20"/>
                <w:szCs w:val="20"/>
              </w:rPr>
              <w:t xml:space="preserve">0.0109</w:t>
            </w:r>
          </w:p>
        </w:tc>
        <w:tc>
          <w:tcPr>
            <w:tcW w:w="0" w:type="auto"/>
          </w:tcPr>
          <w:p>
            <w:pPr>
              <w:spacing w:line="240" w:lineRule="auto" w:before="0" w:after="0"/>
              <w:pStyle w:val="Compact"/>
            </w:pPr>
            <w:r>
              <w:rPr>
                <w:sz w:val="20"/>
                <w:szCs w:val="20"/>
              </w:rPr>
              <w:t xml:space="preserve">[0.157, 1.209]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-0.2088</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-1.9809</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[-0.4155, -0.0022]</w:t>
            </w:r>
          </w:p>
        </w:tc>
      </w:tr>
    </w:tbl>
    <w:p>
      <w:pPr>
        <w:pStyle w:val="BodyText"/>
        <w:spacing w:line="480" w:lineRule="auto"/>
        <w:ind w:firstLine="720"/>
      </w:pPr>
      <w:r>
        <w:t xml:space="preserve">Fit: N = 30 R2 = 0.0293 elasticity_b = -0.2088 progress_ratio_2^b = 0.8652</w:t>
      </w:r>
    </w:p>
    <w:bookmarkEnd w:id="208"/>
    <w:bookmarkStart w:id="21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10" name="Picture"/>
            <a:graphic>
              <a:graphicData uri="http://schemas.openxmlformats.org/drawingml/2006/picture">
                <pic:pic>
                  <pic:nvPicPr>
                    <pic:cNvPr descr="D:/Claude_Code/brain/collegium/candidates/dissertations/INTL_GOVERNANCE_03/research_papers/p2/paper_fig1.png" id="211" name="Picture"/>
                    <pic:cNvPicPr>
                      <a:picLocks noChangeArrowheads="1" noChangeAspect="1"/>
                    </pic:cNvPicPr>
                  </pic:nvPicPr>
                  <pic:blipFill>
                    <a:blip r:embed="rId20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12"/>
    <w:bookmarkStart w:id="21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10.64861/IIBK7636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https://amostech.space/year/2007/the-sodium-lgs-brightness-model-over-the-sor/</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10.1016/j.actaastro.2025.10.072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10.1016/j.actaastro.2026.04.063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10.1016/j.actaastro.2025.07.006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213"/>
    <w:bookmarkStart w:id="21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14"/>
    <w:bookmarkEnd w:id="215"/>
    <w:bookmarkEnd w:id="21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1" Type="http://schemas.openxmlformats.org/officeDocument/2006/relationships/image" Target="media/rId201.png"/><Relationship Id="rId209" Type="http://schemas.openxmlformats.org/officeDocument/2006/relationships/image" Target="media/rId209.png"/><Relationship Id="rId170" Type="http://schemas.openxmlformats.org/officeDocument/2006/relationships/hyperlink" Target="https://doi.org/10.1016/j.actaastro.2017.04.034" TargetMode="External"/><Relationship Id="rId189" Type="http://schemas.openxmlformats.org/officeDocument/2006/relationships/hyperlink" Target="https://doi.org/10.1016/j.actaastro.2023.06.005" TargetMode="External"/><Relationship Id="rId197" Type="http://schemas.openxmlformats.org/officeDocument/2006/relationships/hyperlink" Target="https://doi.org/10.1016/j.actaastro.2024.05.020" TargetMode="External"/><Relationship Id="rId163" Type="http://schemas.openxmlformats.org/officeDocument/2006/relationships/hyperlink" Target="https://doi.org/10.1016/j.actaastro.2024.06.015" TargetMode="External"/><Relationship Id="rId165" Type="http://schemas.openxmlformats.org/officeDocument/2006/relationships/hyperlink" Target="https://doi.org/10.1016/j.actaastro.2024.06.052" TargetMode="External"/><Relationship Id="rId167" Type="http://schemas.openxmlformats.org/officeDocument/2006/relationships/hyperlink" Target="https://doi.org/10.1016/j.actaastro.2025.01.069" TargetMode="External"/><Relationship Id="rId187" Type="http://schemas.openxmlformats.org/officeDocument/2006/relationships/hyperlink" Target="https://doi.org/10.1016/j.actaastro.2025.04.039" TargetMode="External"/><Relationship Id="rId185" Type="http://schemas.openxmlformats.org/officeDocument/2006/relationships/hyperlink" Target="https://doi.org/10.1016/j.actaastro.2025.08.042" TargetMode="External"/><Relationship Id="rId195" Type="http://schemas.openxmlformats.org/officeDocument/2006/relationships/hyperlink" Target="https://doi.org/10.1016/j.actaastro.2026.01.033" TargetMode="External"/><Relationship Id="rId191" Type="http://schemas.openxmlformats.org/officeDocument/2006/relationships/hyperlink" Target="https://doi.org/10.1016/j.actaastro.2026.02.021" TargetMode="External"/><Relationship Id="rId178" Type="http://schemas.openxmlformats.org/officeDocument/2006/relationships/hyperlink" Target="https://doi.org/10.64861/CKQN3841" TargetMode="External"/><Relationship Id="rId182" Type="http://schemas.openxmlformats.org/officeDocument/2006/relationships/hyperlink" Target="https://doi.org/10.64861/DXXP4768" TargetMode="External"/><Relationship Id="rId159" Type="http://schemas.openxmlformats.org/officeDocument/2006/relationships/hyperlink" Target="https://doi.org/10.64861/GDIM2412" TargetMode="External"/><Relationship Id="rId157" Type="http://schemas.openxmlformats.org/officeDocument/2006/relationships/hyperlink" Target="https://doi.org/10.64861/GVCM1752" TargetMode="External"/><Relationship Id="rId155" Type="http://schemas.openxmlformats.org/officeDocument/2006/relationships/hyperlink" Target="https://doi.org/10.64861/IIBK7636" TargetMode="External"/></Relationships>
</file>

<file path=word/_rels/footnotes.xml.rels><?xml version='1.0' encoding='UTF-8' standalone='yes'?>
<Relationships xmlns="http://schemas.openxmlformats.org/package/2006/relationships"><Relationship Id="rId170" Type="http://schemas.openxmlformats.org/officeDocument/2006/relationships/hyperlink" Target="https://doi.org/10.1016/j.actaastro.2017.04.034" TargetMode="External"/><Relationship Id="rId189" Type="http://schemas.openxmlformats.org/officeDocument/2006/relationships/hyperlink" Target="https://doi.org/10.1016/j.actaastro.2023.06.005" TargetMode="External"/><Relationship Id="rId197" Type="http://schemas.openxmlformats.org/officeDocument/2006/relationships/hyperlink" Target="https://doi.org/10.1016/j.actaastro.2024.05.020" TargetMode="External"/><Relationship Id="rId163" Type="http://schemas.openxmlformats.org/officeDocument/2006/relationships/hyperlink" Target="https://doi.org/10.1016/j.actaastro.2024.06.015" TargetMode="External"/><Relationship Id="rId165" Type="http://schemas.openxmlformats.org/officeDocument/2006/relationships/hyperlink" Target="https://doi.org/10.1016/j.actaastro.2024.06.052" TargetMode="External"/><Relationship Id="rId167" Type="http://schemas.openxmlformats.org/officeDocument/2006/relationships/hyperlink" Target="https://doi.org/10.1016/j.actaastro.2025.01.069" TargetMode="External"/><Relationship Id="rId187" Type="http://schemas.openxmlformats.org/officeDocument/2006/relationships/hyperlink" Target="https://doi.org/10.1016/j.actaastro.2025.04.039" TargetMode="External"/><Relationship Id="rId185" Type="http://schemas.openxmlformats.org/officeDocument/2006/relationships/hyperlink" Target="https://doi.org/10.1016/j.actaastro.2025.08.042" TargetMode="External"/><Relationship Id="rId195" Type="http://schemas.openxmlformats.org/officeDocument/2006/relationships/hyperlink" Target="https://doi.org/10.1016/j.actaastro.2026.01.033" TargetMode="External"/><Relationship Id="rId191" Type="http://schemas.openxmlformats.org/officeDocument/2006/relationships/hyperlink" Target="https://doi.org/10.1016/j.actaastro.2026.02.021" TargetMode="External"/><Relationship Id="rId178" Type="http://schemas.openxmlformats.org/officeDocument/2006/relationships/hyperlink" Target="https://doi.org/10.64861/CKQN3841" TargetMode="External"/><Relationship Id="rId182" Type="http://schemas.openxmlformats.org/officeDocument/2006/relationships/hyperlink" Target="https://doi.org/10.64861/DXXP4768" TargetMode="External"/><Relationship Id="rId159" Type="http://schemas.openxmlformats.org/officeDocument/2006/relationships/hyperlink" Target="https://doi.org/10.64861/GDIM2412" TargetMode="External"/><Relationship Id="rId157" Type="http://schemas.openxmlformats.org/officeDocument/2006/relationships/hyperlink" Target="https://doi.org/10.64861/GVCM1752" TargetMode="External"/><Relationship Id="rId155" Type="http://schemas.openxmlformats.org/officeDocument/2006/relationships/hyperlink" Target="https://doi.org/10.64861/IIBK76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Allison’s Trap on Orbit: Do Capability-Transition Indicators Predict US-China Space Coordination Breakdowns?</dc:title>
  <dc:creator>Ravi Suzuki (1B-IGV-162)</dc:creator>
  <cp:keywords/>
  <dcterms:created xsi:type="dcterms:W3CDTF">2026-07-04T11:10:00Z</dcterms:created>
  <dcterms:modified xsi:type="dcterms:W3CDTF">2026-07-04T11:10:00Z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