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297aa2adfbd54b7539eeb2306554096e2c182a4"/>
    <w:p>
      <w:pPr>
        <w:pStyle w:val="Heading1"/>
      </w:pPr>
      <w:r>
        <w:t xml:space="preserve">Attention Accumulation in Two Orders or One Mapping the Overlap and Divergence Between Artemis Accords an: A Learning-Curve Analysis of Citation Growth by Article Age</w:t>
      </w:r>
    </w:p>
    <w:bookmarkStart w:id="61" w:name="introduction"/>
    <w:p>
      <w:pPr>
        <w:pStyle w:val="Heading2"/>
      </w:pPr>
      <w:r>
        <w:t xml:space="preserve">1. Introduction</w:t>
      </w:r>
    </w:p>
    <w:p>
      <w:pPr>
        <w:pStyle w:val="FirstParagraph"/>
      </w:pPr>
      <w:r>
        <w:t xml:space="preserve">This empirical paper supports Sofia Aziz (1B-IGV-206) and the dissertation project</w:t>
      </w:r>
      <w:r>
        <w:t xml:space="preserve"> </w:t>
      </w:r>
      <w:r>
        <w:rPr>
          <w:i/>
          <w:iCs/>
        </w:rPr>
        <w:t xml:space="preserve">Two Orders or One? Mapping the Overlap and Divergence Between Artemis Accords an</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R2=0.09074451746668699, elasticity_b=-0.4721777389272476, progress_ratio_2^b=0.7208756189334259. The exact term summary is: const coef=1.3502859007890768 p=0.001106428008930556; _ln_x coef=-0.4721777389272476 p=0.018676479480251706.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Harvey Reed, MITRE; Nathaniel Dailey, MITRE; Ruth Stilwell, Aerospace Policy Solutions, LLC; Brian Weeden, Secure World Foundation. Decentralized Space Information Sharing as a Key Enabler of Trust and the Preservation of Space (2021). [AMOS]</w:t>
      </w:r>
      <w:r>
        <w:t xml:space="preserve"> </w:t>
      </w:r>
      <w:bookmarkStart w:id="68" w:name="ref-2"/>
      <w:bookmarkEnd w:id="68"/>
      <w:r>
        <w:t xml:space="preserve">2. John T. McGraw (The University of New Mexico), Mark R. Ackermann (The University of New Mexico), Peter C. Zimmer (The University of New Mexico), M. Suzanne Taylor (The University of New Mexico), Jeffrey R. Pier (US Naval Observatory), Maj. Brian Smith (AFRL/RDSA). Angles and Range: Initial Orbital Determination with the Air Force Space Surveillance Telescope (2008). [AMOS]</w:t>
      </w:r>
      <w:r>
        <w:t xml:space="preserve"> </w:t>
      </w:r>
      <w:bookmarkStart w:id="69" w:name="ref-3"/>
      <w:bookmarkEnd w:id="69"/>
      <w:r>
        <w:t xml:space="preserve">3. Timothy S. Murphy, The Guggenheim School of Aerospace Engineering – Georgia Institute of Technology, Marcus J. Holzinger, The Guggenheim School of Aerospace Engineering – Georgia Institute of Technology. Generalized Minimum-Time Follow-up Approaches Applied to Tasking Electro-Optical Sensor Tasking (2017). [AMOS]</w:t>
      </w:r>
      <w:r>
        <w:t xml:space="preserve"> </w:t>
      </w:r>
      <w:bookmarkStart w:id="70" w:name="ref-4"/>
      <w:bookmarkEnd w:id="70"/>
      <w:r>
        <w:t xml:space="preserve">4. Julia Briden, Massachusetts Institute of Technology; Peng Mun Siew, Massachusetts Institute of Technology; Victor Rodriguez-Fernandez, Universidad Politécnica de Madrid; Richard Linares, Massachusetts Institute of Technology. Transformer-based Atmospheric Density Forecasting (2023). doi:</w:t>
      </w:r>
      <w:r>
        <w:t xml:space="preserve"> </w:t>
      </w:r>
      <w:hyperlink r:id="rId71">
        <w:r>
          <w:rPr>
            <w:rStyle w:val="Hyperlink"/>
          </w:rPr>
          <w:t xml:space="preserve">10.64861/XAZU7498</w:t>
        </w:r>
      </w:hyperlink>
      <w:r>
        <w:t xml:space="preserve"> </w:t>
      </w:r>
      <w:bookmarkStart w:id="72" w:name="ref-5"/>
      <w:bookmarkEnd w:id="72"/>
      <w:r>
        <w:t xml:space="preserve">5. Islam Hussein (Applied Defense Solutions), Paul. W. Schumacher, Jr. (Air Force Research Laboratory), Matthew P. Wilkins (Applied Defense Solutions), Christopher W. T. Roscoe (Applied Defense Solutions). Information Theoretic Criteria for Observation-to-Observation Association (2014). [AMOS]</w:t>
      </w:r>
      <w:r>
        <w:t xml:space="preserve"> </w:t>
      </w:r>
      <w:bookmarkStart w:id="73" w:name="ref-6"/>
      <w:bookmarkEnd w:id="73"/>
      <w:r>
        <w:t xml:space="preserve">6. Gavin Hofer, Katalyst Space Technologies; Gabrielle Jones, Katalyst Space Technologies; Will Oldroyd, Katalyst Space Technologies. Post-Maneuver UCT Correlation Using Multi-Source Data Streams (2024). doi:</w:t>
      </w:r>
      <w:r>
        <w:t xml:space="preserve"> </w:t>
      </w:r>
      <w:hyperlink r:id="rId74">
        <w:r>
          <w:rPr>
            <w:rStyle w:val="Hyperlink"/>
          </w:rPr>
          <w:t xml:space="preserve">10.64861/FISF4828</w:t>
        </w:r>
      </w:hyperlink>
      <w:r>
        <w:t xml:space="preserve"> </w:t>
      </w:r>
      <w:bookmarkStart w:id="75" w:name="ref-7"/>
      <w:bookmarkEnd w:id="75"/>
      <w:r>
        <w:t xml:space="preserve">7. Cedric Petion, The University of Texas at Austin; Brandon Jones, The University of Texas at Austin. Cislunar Admissible Regions from Periodic Orbit Manifolds (2025). doi:</w:t>
      </w:r>
      <w:r>
        <w:t xml:space="preserve"> </w:t>
      </w:r>
      <w:hyperlink r:id="rId76">
        <w:r>
          <w:rPr>
            <w:rStyle w:val="Hyperlink"/>
          </w:rPr>
          <w:t xml:space="preserve">10.64861/VSAT2607</w:t>
        </w:r>
      </w:hyperlink>
      <w:r>
        <w:t xml:space="preserve"> </w:t>
      </w:r>
      <w:bookmarkStart w:id="77" w:name="ref-8"/>
      <w:bookmarkEnd w:id="77"/>
      <w:r>
        <w:t xml:space="preserve">8. Sam Wright, Spaceflux &amp; University College London; Marco Rocchetto, Spaceflux; Ingo Waldmann, Spaceflux. SSA Data Analysis With a Two-Pronged Approach Including Machine Learning for RSO Detection (2023). doi:</w:t>
      </w:r>
      <w:r>
        <w:t xml:space="preserve"> </w:t>
      </w:r>
      <w:hyperlink r:id="rId78">
        <w:r>
          <w:rPr>
            <w:rStyle w:val="Hyperlink"/>
          </w:rPr>
          <w:t xml:space="preserve">10.64861/ITTQ1262</w:t>
        </w:r>
      </w:hyperlink>
    </w:p>
    <w:bookmarkEnd w:id="79"/>
    <w:bookmarkStart w:id="80"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1.3503</w:t>
            </w:r>
          </w:p>
        </w:tc>
        <w:tc>
          <w:tcPr>
            <w:tcW w:w="0" w:type="auto"/>
          </w:tcPr>
          <w:p>
            <w:pPr>
              <w:spacing w:line="240" w:lineRule="auto" w:before="0" w:after="0"/>
              <w:pStyle w:val="Compact"/>
            </w:pPr>
            <w:r>
              <w:rPr>
                <w:sz w:val="20"/>
                <w:szCs w:val="20"/>
              </w:rPr>
              <w:t xml:space="preserve">0.4139</w:t>
            </w:r>
          </w:p>
        </w:tc>
        <w:tc>
          <w:tcPr>
            <w:tcW w:w="0" w:type="auto"/>
          </w:tcPr>
          <w:p>
            <w:pPr>
              <w:spacing w:line="240" w:lineRule="auto" w:before="0" w:after="0"/>
              <w:pStyle w:val="Compact"/>
            </w:pPr>
            <w:r>
              <w:rPr>
                <w:sz w:val="20"/>
                <w:szCs w:val="20"/>
              </w:rPr>
              <w:t xml:space="preserve">3.262</w:t>
            </w:r>
          </w:p>
        </w:tc>
        <w:tc>
          <w:tcPr>
            <w:tcW w:w="0" w:type="auto"/>
          </w:tcPr>
          <w:p>
            <w:pPr>
              <w:spacing w:line="240" w:lineRule="auto" w:before="0" w:after="0"/>
              <w:pStyle w:val="Compact"/>
            </w:pPr>
            <w:r>
              <w:rPr>
                <w:sz w:val="20"/>
                <w:szCs w:val="20"/>
              </w:rPr>
              <w:t xml:space="preserve">0.0011</w:t>
            </w:r>
          </w:p>
        </w:tc>
        <w:tc>
          <w:tcPr>
            <w:tcW w:w="0" w:type="auto"/>
          </w:tcPr>
          <w:p>
            <w:pPr>
              <w:spacing w:line="240" w:lineRule="auto" w:before="0" w:after="0"/>
              <w:pStyle w:val="Compact"/>
            </w:pPr>
            <w:r>
              <w:rPr>
                <w:sz w:val="20"/>
                <w:szCs w:val="20"/>
              </w:rPr>
              <w:t xml:space="preserve">[0.539, 2.1616]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-0.4722</w:t>
            </w:r>
          </w:p>
        </w:tc>
        <w:tc>
          <w:tcPr>
            <w:tcW w:w="0" w:type="auto"/>
          </w:tcPr>
          <w:p>
            <w:pPr>
              <w:spacing w:line="240" w:lineRule="auto" w:before="0" w:after="0"/>
              <w:pStyle w:val="Compact"/>
            </w:pPr>
            <w:r>
              <w:rPr>
                <w:sz w:val="20"/>
                <w:szCs w:val="20"/>
              </w:rPr>
              <w:t xml:space="preserve">0.2008</w:t>
            </w:r>
          </w:p>
        </w:tc>
        <w:tc>
          <w:tcPr>
            <w:tcW w:w="0" w:type="auto"/>
          </w:tcPr>
          <w:p>
            <w:pPr>
              <w:spacing w:line="240" w:lineRule="auto" w:before="0" w:after="0"/>
              <w:pStyle w:val="Compact"/>
            </w:pPr>
            <w:r>
              <w:rPr>
                <w:sz w:val="20"/>
                <w:szCs w:val="20"/>
              </w:rPr>
              <w:t xml:space="preserve">-2.3519</w:t>
            </w:r>
          </w:p>
        </w:tc>
        <w:tc>
          <w:tcPr>
            <w:tcW w:w="0" w:type="auto"/>
          </w:tcPr>
          <w:p>
            <w:pPr>
              <w:spacing w:line="240" w:lineRule="auto" w:before="0" w:after="0"/>
              <w:pStyle w:val="Compact"/>
            </w:pPr>
            <w:r>
              <w:rPr>
                <w:sz w:val="20"/>
                <w:szCs w:val="20"/>
              </w:rPr>
              <w:t xml:space="preserve">0.0187</w:t>
            </w:r>
          </w:p>
        </w:tc>
        <w:tc>
          <w:tcPr>
            <w:tcW w:w="0" w:type="auto"/>
          </w:tcPr>
          <w:p>
            <w:pPr>
              <w:spacing w:line="240" w:lineRule="auto" w:before="0" w:after="0"/>
              <w:pStyle w:val="Compact"/>
            </w:pPr>
            <w:r>
              <w:rPr>
                <w:sz w:val="20"/>
                <w:szCs w:val="20"/>
              </w:rPr>
              <w:t xml:space="preserve">[-0.8657, -0.0787]</w:t>
            </w:r>
          </w:p>
        </w:tc>
      </w:tr>
    </w:tbl>
    <w:p>
      <w:pPr>
        <w:pStyle w:val="BodyText"/>
      </w:pPr>
      <w:r>
        <w:t xml:space="preserve">Fit: N = 30 R2 = 0.0907 elasticity_b = -0.4722 progress_ratio_2^b = 0.7209</w:t>
      </w:r>
    </w:p>
    <w:p>
      <w:pPr>
        <w:pStyle w:val="CaptionedFigure"/>
      </w:pPr>
      <w:r>
        <w:drawing>
          <wp:inline>
            <wp:extent cx="5669280" cy="3657600"/>
            <wp:effectExtent b="0" l="0" r="0" t="0"/>
            <wp:docPr descr="Figure 1. Citation accumulation against article age in the retrieved topic literature." title="" id="82" name="Picture"/>
            <a:graphic>
              <a:graphicData uri="http://schemas.openxmlformats.org/drawingml/2006/picture">
                <pic:pic>
                  <pic:nvPicPr>
                    <pic:cNvPr descr="D:\Claude_Code\brain\collegium\candidates\dissertations\INTL_GOVERNANCE_02\research_papers\p2\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https://amostech.space/year/2008/angles-and-range-initial-orbital-determination-with-the-air-force-space-surveillance-telescope/</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https://amostech.space/year/2017/generalized-minimum-time-follow-up-approaches-applied-to-tasking-electro-optical-sensor-tasking/</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10.64861/XAZU7498</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https://amostech.space/year/2014/information-theoretic-criteria-for-observation-to-observation-association/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10.64861/FISF4828</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10.64861/VSAT2607</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10.64861/ITTQ1262</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10.64861/FFYG1923</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10.64861/FNTR8656</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10.64861/SYQO6621</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https://amostech.space/year/2013/sensitivity-of-attitude-determination-on-the-model-assumed-for-isar-radar-mappings/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10.1016/j.actaastro.2024.10.049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10.1016/j.actaastro.2025.02.010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10.1016/j.actaastro.2025.09.088</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10.1016/j.actaastro.2025.06.012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10.1016/j.actaastro.2025.09.070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10.1016/j.actaastro.2025.03.004</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10.1016/j.actaastro.2022.08.053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10.1016/j.actaastro.2026.01.045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10.1016/j.actaastro.2023.05.007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MITRE white paper arguing that Australia’s geolocational Delta-V advantage, automated mining expertise, and university smallsat capacity can underpin a commercial space economy analogous to Japan’s and Germany’s post-WWII economic miracles, provided the country prioritizes LTS Guidelines, orbital debris governance, and Artemis Accords leadership over defense-budget reliance.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Common-Pool Resources Approach to Space Sustainability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https://amostech.space/year/2021/maximizing-the-utility-of-non-traditional-sensor-network-data-for-sda/</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https://amostech.space/year/2020/evaluating-conops-for-geo-spacecraft-identification-and-custody-from-non-ssa-architectures-in-leo/</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https://amostech.space/year/2020/optimal-incorporation-of-non-traditional-sensors-into-the-space-domain-awareness-architecture/</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1.3503</w:t>
            </w:r>
          </w:p>
        </w:tc>
        <w:tc>
          <w:tcPr>
            <w:tcW w:w="0" w:type="auto"/>
          </w:tcPr>
          <w:p>
            <w:pPr>
              <w:spacing w:line="240" w:lineRule="auto" w:before="0" w:after="0"/>
              <w:pStyle w:val="Compact"/>
            </w:pPr>
            <w:r>
              <w:rPr>
                <w:sz w:val="20"/>
                <w:szCs w:val="20"/>
              </w:rPr>
              <w:t xml:space="preserve">0.4139</w:t>
            </w:r>
          </w:p>
        </w:tc>
        <w:tc>
          <w:tcPr>
            <w:tcW w:w="0" w:type="auto"/>
          </w:tcPr>
          <w:p>
            <w:pPr>
              <w:spacing w:line="240" w:lineRule="auto" w:before="0" w:after="0"/>
              <w:pStyle w:val="Compact"/>
            </w:pPr>
            <w:r>
              <w:rPr>
                <w:sz w:val="20"/>
                <w:szCs w:val="20"/>
              </w:rPr>
              <w:t xml:space="preserve">3.262</w:t>
            </w:r>
          </w:p>
        </w:tc>
        <w:tc>
          <w:tcPr>
            <w:tcW w:w="0" w:type="auto"/>
          </w:tcPr>
          <w:p>
            <w:pPr>
              <w:spacing w:line="240" w:lineRule="auto" w:before="0" w:after="0"/>
              <w:pStyle w:val="Compact"/>
            </w:pPr>
            <w:r>
              <w:rPr>
                <w:sz w:val="20"/>
                <w:szCs w:val="20"/>
              </w:rPr>
              <w:t xml:space="preserve">0.0011</w:t>
            </w:r>
          </w:p>
        </w:tc>
        <w:tc>
          <w:tcPr>
            <w:tcW w:w="0" w:type="auto"/>
          </w:tcPr>
          <w:p>
            <w:pPr>
              <w:spacing w:line="240" w:lineRule="auto" w:before="0" w:after="0"/>
              <w:pStyle w:val="Compact"/>
            </w:pPr>
            <w:r>
              <w:rPr>
                <w:sz w:val="20"/>
                <w:szCs w:val="20"/>
              </w:rPr>
              <w:t xml:space="preserve">[0.539, 2.1616]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-0.4722</w:t>
            </w:r>
          </w:p>
        </w:tc>
        <w:tc>
          <w:tcPr>
            <w:tcW w:w="0" w:type="auto"/>
          </w:tcPr>
          <w:p>
            <w:pPr>
              <w:spacing w:line="240" w:lineRule="auto" w:before="0" w:after="0"/>
              <w:pStyle w:val="Compact"/>
            </w:pPr>
            <w:r>
              <w:rPr>
                <w:sz w:val="20"/>
                <w:szCs w:val="20"/>
              </w:rPr>
              <w:t xml:space="preserve">0.2008</w:t>
            </w:r>
          </w:p>
        </w:tc>
        <w:tc>
          <w:tcPr>
            <w:tcW w:w="0" w:type="auto"/>
          </w:tcPr>
          <w:p>
            <w:pPr>
              <w:spacing w:line="240" w:lineRule="auto" w:before="0" w:after="0"/>
              <w:pStyle w:val="Compact"/>
            </w:pPr>
            <w:r>
              <w:rPr>
                <w:sz w:val="20"/>
                <w:szCs w:val="20"/>
              </w:rPr>
              <w:t xml:space="preserve">-2.3519</w:t>
            </w:r>
          </w:p>
        </w:tc>
        <w:tc>
          <w:tcPr>
            <w:tcW w:w="0" w:type="auto"/>
          </w:tcPr>
          <w:p>
            <w:pPr>
              <w:spacing w:line="240" w:lineRule="auto" w:before="0" w:after="0"/>
              <w:pStyle w:val="Compact"/>
            </w:pPr>
            <w:r>
              <w:rPr>
                <w:sz w:val="20"/>
                <w:szCs w:val="20"/>
              </w:rPr>
              <w:t xml:space="preserve">0.0187</w:t>
            </w:r>
          </w:p>
        </w:tc>
        <w:tc>
          <w:tcPr>
            <w:tcW w:w="0" w:type="auto"/>
          </w:tcPr>
          <w:p>
            <w:pPr>
              <w:spacing w:line="240" w:lineRule="auto" w:before="0" w:after="0"/>
              <w:pStyle w:val="Compact"/>
            </w:pPr>
            <w:r>
              <w:rPr>
                <w:sz w:val="20"/>
                <w:szCs w:val="20"/>
              </w:rPr>
              <w:t xml:space="preserve">[-0.8657, -0.0787]</w:t>
            </w:r>
          </w:p>
        </w:tc>
      </w:tr>
    </w:tbl>
    <w:p>
      <w:pPr>
        <w:pStyle w:val="BodyText"/>
      </w:pPr>
      <w:r>
        <w:t xml:space="preserve">Fit: N = 30 R2 = 0.0907 elasticity_b = -0.4722 progress_ratio_2^b = 0.7209</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4" Target="https://doi.org/10.64861/FISF4828" TargetMode="External" /><Relationship Type="http://schemas.openxmlformats.org/officeDocument/2006/relationships/hyperlink" Id="rId78" Target="https://doi.org/10.64861/ITTQ1262" TargetMode="External" /><Relationship Type="http://schemas.openxmlformats.org/officeDocument/2006/relationships/hyperlink" Id="rId76" Target="https://doi.org/10.64861/VSAT2607" TargetMode="External" /><Relationship Type="http://schemas.openxmlformats.org/officeDocument/2006/relationships/hyperlink" Id="rId71" Target="https://doi.org/10.64861/XAZU7498" TargetMode="External" /></Relationships>
</file>

<file path=word/_rels/footnotes.xml.rels><?xml version="1.0" encoding="UTF-8"?><Relationships xmlns="http://schemas.openxmlformats.org/package/2006/relationships"><Relationship Type="http://schemas.openxmlformats.org/officeDocument/2006/relationships/hyperlink" Id="rId74" Target="https://doi.org/10.64861/FISF4828" TargetMode="External" /><Relationship Type="http://schemas.openxmlformats.org/officeDocument/2006/relationships/hyperlink" Id="rId78" Target="https://doi.org/10.64861/ITTQ1262" TargetMode="External" /><Relationship Type="http://schemas.openxmlformats.org/officeDocument/2006/relationships/hyperlink" Id="rId76" Target="https://doi.org/10.64861/VSAT2607" TargetMode="External" /><Relationship Type="http://schemas.openxmlformats.org/officeDocument/2006/relationships/hyperlink" Id="rId71" Target="https://doi.org/10.64861/XAZU749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2026-06-29T09:40:12Z</dcterms:created>
  <dcterms:modified xsi:type="dcterms:W3CDTF">2026-06-29T09:40:12Z</dcterms:modified>
</cp:coreProperties>
</file>

<file path=docProps/custom.xml><?xml version="1.0" encoding="utf-8"?>
<Properties xmlns="http://schemas.openxmlformats.org/officeDocument/2006/custom-properties" xmlns:vt="http://schemas.openxmlformats.org/officeDocument/2006/docPropsVTypes"/>
</file>