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TWO ORDERS OR ONE? MAPPING THE OVERLAP AND DIVERGENCE BETWEEN ARTEMIS ACCORDS AN</w:t>
      </w:r>
    </w:p>
    <w:p>
      <w:pPr>
        <w:jc w:val="center"/>
      </w:pPr>
    </w:p>
    <w:p>
      <w:pPr>
        <w:jc w:val="center"/>
      </w:pPr>
      <w:r>
        <w:rPr>
          <w:rFonts w:ascii="Times New Roman" w:hAnsi="Times New Roman"/>
          <w:sz w:val="24"/>
        </w:rPr>
        <w:t>by</w:t>
      </w:r>
    </w:p>
    <w:p>
      <w:pPr>
        <w:jc w:val="center"/>
      </w:pPr>
      <w:r>
        <w:rPr>
          <w:rFonts w:ascii="Times New Roman" w:hAnsi="Times New Roman"/>
          <w:b/>
          <w:sz w:val="28"/>
        </w:rPr>
        <w:t>Sofia Aziz</w:t>
      </w:r>
    </w:p>
    <w:p>
      <w:pPr>
        <w:jc w:val="center"/>
      </w:pPr>
      <w:r>
        <w:rPr>
          <w:rFonts w:ascii="Times New Roman" w:hAnsi="Times New Roman"/>
          <w:sz w:val="24"/>
        </w:rPr>
        <w:t>1B-IGV-206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Two lunar orders share the same sky. The first has been written into the Artemis Accords, the framework of principles that the United States and a widening group of partner states have signed to shape civil exploration and use of the Moon, Mars, and the space beyond them. The second survives in the older body of treaty law, and in the gentler instruments clustered around it, among them sustainability guidelines and the common-pool habits of resource governance that long precede any one nation’s program</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This dissertation puts a question that is simple to state and stubborn to settle. Do the two orders drift toward a single operating rule, or split into rival regimes destined to fight over the same physical and legal ground? Argument about space governance usually rides on hunch. Someone asserts, with confidence, that a norm is setting or a coalition is coming apart, and no visible thread connects the claim to any evidence. This project declines that habit. It takes the early visibility of a governance problem to be a measurable thing, one that leaves marks in when work gets published, in how much notice a body of writing draws, and in the venues authors pick to be heard</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bet is straightforward. If the Artemis question is truly remaking the field, the remaking will surface in the shape of the retrieved record, and not only in what its participants say about themselves.</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Not since Apollo has the Moon sat this squarely inside policy. Firms pitch plans to mine it. State programs schedule long stays at the south pole. Multilateral forums argue over whether the treaty text on the books can carry the load of resource extraction, safety zones, and the interoperability standards the Accords bring in</w:t>
      </w:r>
      <w:r>
        <w:t xml:space="preserve"> </w:t>
      </w:r>
      <w:hyperlink w:anchor="ref-9">
        <w:r>
          <w:rPr>
            <w:rStyle w:val="Hyperlink"/>
          </w:rPr>
          <w:t xml:space="preserve">[9]</w:t>
        </w:r>
      </w:hyperlink>
      <w:r>
        <w:t xml:space="preserve"> </w:t>
      </w:r>
      <w:hyperlink w:anchor="ref-15">
        <w:r>
          <w:rPr>
            <w:rStyle w:val="Hyperlink"/>
          </w:rPr>
          <w:t xml:space="preserve">[15]</w:t>
        </w:r>
      </w:hyperlink>
      <w:r>
        <w:t xml:space="preserve">. Every one of these moves throws off documents, and documents are the first place governance shows its face. The safety-zone idea surfaces in a technical paper well ahead of any signed instrument. A sustainability principle makes the rounds in a white paper before a delegation stands up to defend it in a treaty body</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None of this is a parlor exercise. Should the orders be merging, then the world is quietly assembling one lunar regime wearing two names, and the real job becomes reconciling the vocabulary. Should they be splitting, then the field is drifting into a stretch of contested legitimacy, signatories and non-signatories running on clashing expectations, and the real job becomes managing the seam before it sets into open conflict. A wrong read is costly, and the cost lands unevenly. Cry convergence too soon and you breed complacency; cry divergence too soon and you kindle a contest of postures that makes itself come true; either way the bill falls heaviest on the actors with the least room to absorb it.</w:t>
      </w:r>
    </w:p>
    <w:p>
      <w:pPr>
        <w:pStyle w:val="BodyText"/>
        <w:spacing w:line="480" w:lineRule="auto"/>
        <w:ind w:firstLine="720"/>
      </w:pPr>
      <w:r>
        <w:t xml:space="preserve">Against a risk like that, measurement is the honest reply. Any dissertation moving through this pipeline should hand a reader an inspectable chain, running from how the sources were picked, through how the variables were built, out to what the estimators returned, and back again to what it all means. That chain counts for as much as any lone coefficient, because it turns a loose policy hunch into a bounded, falsifiable claim a second analyst can rerun, contest, or carry further</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1"/>
    <w:bookmarkStart w:id="62" w:name="the-gap-this-dissertation-addresses"/>
    <w:p>
      <w:pPr>
        <w:pStyle w:val="Heading2"/>
        <w:spacing w:line="480" w:lineRule="auto"/>
      </w:pPr>
      <w:r>
        <w:t xml:space="preserve">1.2 The gap this dissertation addresses</w:t>
      </w:r>
    </w:p>
    <w:p>
      <w:pPr>
        <w:pStyle w:val="FirstParagraph"/>
        <w:spacing w:line="480" w:lineRule="auto"/>
      </w:pPr>
      <w:r>
        <w:t xml:space="preserve">Two gaps set the design in motion. The first opens up between technical work and institutional explanation. The retrieved literature brims with operational detail, laying out how to spot an uncooperative object, how to tie a maneuver back to its source, how to read a landing site</w:t>
      </w:r>
      <w:r>
        <w:t xml:space="preserve"> </w:t>
      </w:r>
      <w:hyperlink w:anchor="ref-3">
        <w:r>
          <w:rPr>
            <w:rStyle w:val="Hyperlink"/>
          </w:rPr>
          <w:t xml:space="preserve">[3]</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What it seldom does is account for why governance language tightens around some of those operations and stays slack around others. Capability and institutional response keep different clocks, and a record of the one is not, by default, a record of the other. The second gap opens between policy salience and measurement. Analysts pronounce with assurance on which topics are climbing and which coalitions are gaining, yet they rarely fasten those pronouncements to any visible property of the corpus they lean on. Publication recency, citation attention, and venue family are precisely such visible properties. On their own they will not close the Artemis question, but they can hold it to account, revealing whether the topic signal a governance analyst expects to see actually registers in the field’s metadata</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falsifiable claim carries this dissertation, and it is put in the open. The claim is that how visible the Artemis-versus-common-order question is in the retrieved literature moves in step with publication recency, citation attention, and venue family. The null denies any such link.</w:t>
      </w:r>
    </w:p>
    <w:p>
      <w:pPr>
        <w:pStyle w:val="BodyText"/>
        <w:spacing w:line="480" w:lineRule="auto"/>
        <w:ind w:firstLine="720"/>
      </w:pPr>
      <w:r>
        <w:t xml:space="preserve">Put formally, the null holds that a source record’s topic-signal score bears no relation to how new it is, how much citation notice it has gathered, or which venue family it sits in.</w:t>
      </w:r>
    </w:p>
    <w:p>
      <w:pPr>
        <w:pStyle w:val="BodyText"/>
        <w:spacing w:line="480" w:lineRule="auto"/>
        <w:ind w:firstLine="720"/>
      </w:pPr>
      <w:r>
        <w:t xml:space="preserve">The alternative holds that the signal is ordered along at least one of these axes, and specifically that it climbs with recency and with attention. The dissertation puts the claim to two estimators, an ordinary least squares model of signal intensity and a log-log learning-curve model of how citations pile up with age, both run over the same thirty-record corpus and reported precisely as the workbooks left them</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claim stays narrow on purpose. It does not pretend to settle whether the Accords are lawful, prudent, or built to last. It reaches only to show, through a rerunnable test, whether the field’s own record carries the structure a convergence-or-divergence argument would need before it counted as more than assertion. A tight claim that survives its test outweighs a sweeping claim no test can touch, and living inside that trade is the bargain the whole design accepts.</w:t>
      </w:r>
    </w:p>
    <w:bookmarkEnd w:id="63"/>
    <w:bookmarkStart w:id="64" w:name="what-the-design-can-and-cannot-show"/>
    <w:p>
      <w:pPr>
        <w:pStyle w:val="Heading2"/>
        <w:spacing w:line="480" w:lineRule="auto"/>
      </w:pPr>
      <w:r>
        <w:t xml:space="preserve">1.4 What the design can and cannot show</w:t>
      </w:r>
    </w:p>
    <w:p>
      <w:pPr>
        <w:pStyle w:val="FirstParagraph"/>
        <w:spacing w:line="480" w:lineRule="auto"/>
      </w:pPr>
      <w:r>
        <w:t xml:space="preserve">Being candid about scope belongs to the method itself. The design probes the structure of a corpus, not any final causal imprint of policy. A signed instrument bends behavior through routes a citation index will never see: the closed negotiation, the domestic statute, the budget line, the alliance calculation. The data hold none of that. What the data can reveal is whether the topic in question spreads across the retrieved literature in some patterned way, and whether the pattern reads clearly enough to bear inference or noisily enough to warn against it</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From that scope, several threats to validity follow at once, and the chapters ahead take up each one.</w:t>
      </w:r>
    </w:p>
    <w:p>
      <w:pPr>
        <w:pStyle w:val="BodyText"/>
        <w:spacing w:line="480" w:lineRule="auto"/>
        <w:ind w:firstLine="720"/>
      </w:pPr>
      <w:r>
        <w:t xml:space="preserve">Noise in the sources can loosen topic fit. Citation tallies are the local index’s numbers rather than universal ones, so they undercount notice for records the index tracks poorly. The venue-family code is ordinal and must never be read as a cardinal ladder of quality. And thirty records buy only so much statistical power, which conditions how firmly any single coefficient can be taken</w:t>
      </w:r>
      <w:r>
        <w:t xml:space="preserve"> </w:t>
      </w:r>
      <w:hyperlink w:anchor="ref-2">
        <w:r>
          <w:rPr>
            <w:rStyle w:val="Hyperlink"/>
          </w:rPr>
          <w:t xml:space="preserve">[2]</w:t>
        </w:r>
      </w:hyperlink>
      <w:r>
        <w:t xml:space="preserve"> </w:t>
      </w:r>
      <w:hyperlink w:anchor="ref-13">
        <w:r>
          <w:rPr>
            <w:rStyle w:val="Hyperlink"/>
          </w:rPr>
          <w:t xml:space="preserve">[13]</w:t>
        </w:r>
      </w:hyperlink>
      <w:r>
        <w:t xml:space="preserve">. These are not death blows. They are the boundary markers of an honest design, and setting them down is what tells a disciplined screen apart from an overreaching one.</w:t>
      </w:r>
    </w:p>
    <w:bookmarkEnd w:id="64"/>
    <w:bookmarkStart w:id="65" w:name="roadmap"/>
    <w:p>
      <w:pPr>
        <w:pStyle w:val="Heading2"/>
        <w:spacing w:line="480" w:lineRule="auto"/>
      </w:pPr>
      <w:r>
        <w:t xml:space="preserve">1.5 Roadmap</w:t>
      </w:r>
    </w:p>
    <w:p>
      <w:pPr>
        <w:pStyle w:val="FirstParagraph"/>
        <w:spacing w:line="480" w:lineRule="auto"/>
      </w:pPr>
      <w:r>
        <w:t xml:space="preserve">Order carries the argument, and the chapters ahead keep that order. Chapter 2 places the project beside prior work, using the retrieved literature to trace where the technical, economic, and governance strands touch and where they slide past one another</w:t>
      </w:r>
      <w:r>
        <w:t xml:space="preserve"> </w:t>
      </w:r>
      <w:hyperlink w:anchor="ref-1">
        <w:r>
          <w:rPr>
            <w:rStyle w:val="Hyperlink"/>
          </w:rPr>
          <w:t xml:space="preserve">[1]</w:t>
        </w:r>
      </w:hyperlink>
      <w:r>
        <w:t xml:space="preserve"> </w:t>
      </w:r>
      <w:hyperlink w:anchor="ref-10">
        <w:r>
          <w:rPr>
            <w:rStyle w:val="Hyperlink"/>
          </w:rPr>
          <w:t xml:space="preserve">[10]</w:t>
        </w:r>
      </w:hyperlink>
      <w:r>
        <w:t xml:space="preserve">. Chapter 3 builds the theory and sets down the testable predictions, spelling out why recency, attention, and venue ought to register a governance signal if any signal is there to register. Chapter 4 sets out the two estimators and the identification logic, saying what each model can fairly draw from cross-sectional metadata</w:t>
      </w:r>
      <w:r>
        <w:t xml:space="preserve"> </w:t>
      </w:r>
      <w:hyperlink w:anchor="ref-4">
        <w:r>
          <w:rPr>
            <w:rStyle w:val="Hyperlink"/>
          </w:rPr>
          <w:t xml:space="preserve">[4]</w:t>
        </w:r>
      </w:hyperlink>
      <w:r>
        <w:t xml:space="preserve"> </w:t>
      </w:r>
      <w:hyperlink w:anchor="ref-6">
        <w:r>
          <w:rPr>
            <w:rStyle w:val="Hyperlink"/>
          </w:rPr>
          <w:t xml:space="preserve">[6]</w:t>
        </w:r>
      </w:hyperlink>
      <w:r>
        <w:t xml:space="preserve">. Chapter 5 records the data and the measurement, walking the reader through how each variable was built, where each source came from, and how the thirty-record sample is composed</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Chapter 6 sets out the results, reproducing the ordinary least squares output and the learning-curve output just as the configurations and prose files fix them, then reading the signs and magnitudes without puffing them up</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Chapter 7 works through what the findings mean and meets the threats to validity in the open, separating what the evidence backs from what it merely tolerates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Chapter 8 gathers the contribution, ties it to governance and program stakes, and lays down the document-coding design a follow-on study would want in order to cross from corpus structure into institutional explanation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Whoever finishes should be able to walk any claim back to a source, a variable, or a number, which is the entire reason for building the argument this way. Restraint sets the tone from start to finish, and by design. Space policy invites bold forecasting, and bold forecasting is exactly what a thin evidentiary base cannot underwrite. This project keeps its discipline by voicing only what thirty records will support, voicing it in rerunnable terms, and flagging without ambiguity where its argument ends and the next study has to pick up</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5"/>
    <w:bookmarkStart w:id="66" w:name="why-bibliometric-evidence-and-why-now"/>
    <w:p>
      <w:pPr>
        <w:pStyle w:val="Heading2"/>
        <w:spacing w:line="480" w:lineRule="auto"/>
      </w:pPr>
      <w:r>
        <w:t xml:space="preserve">1.6 Why bibliometric evidence, and why now</w:t>
      </w:r>
    </w:p>
    <w:p>
      <w:pPr>
        <w:pStyle w:val="FirstParagraph"/>
        <w:spacing w:line="480" w:lineRule="auto"/>
      </w:pPr>
      <w:r>
        <w:t xml:space="preserve">A fair objection runs like this: governance gets decided in negotiation rooms, not in publication records, so why bother with the literature at all. The objection lands, and the reply is not that the literature stands in for the negotiation. The reply is that the literature is the earliest publicly visible mark a governance problem leaves, on hand years before a signed instrument or a floor fight, and open to any analyst without inside access</w:t>
      </w:r>
      <w:r>
        <w:t xml:space="preserve"> </w:t>
      </w:r>
      <w:hyperlink w:anchor="ref-1">
        <w:r>
          <w:rPr>
            <w:rStyle w:val="Hyperlink"/>
          </w:rPr>
          <w:t xml:space="preserve">[1]</w:t>
        </w:r>
      </w:hyperlink>
      <w:r>
        <w:t xml:space="preserve"> </w:t>
      </w:r>
      <w:hyperlink w:anchor="ref-2">
        <w:r>
          <w:rPr>
            <w:rStyle w:val="Hyperlink"/>
          </w:rPr>
          <w:t xml:space="preserve">[2]</w:t>
        </w:r>
      </w:hyperlink>
      <w:r>
        <w:t xml:space="preserve">. Once a field starts to fret over a question, its practitioners write, and they write about it first in the venues nearest their daily work. A study that learns to read that early mark picks up a leading indicator, imperfect but genuine, of where institutional attention is drifting</w:t>
      </w:r>
      <w:r>
        <w:t xml:space="preserve"> </w:t>
      </w:r>
      <w:hyperlink w:anchor="ref-3">
        <w:r>
          <w:rPr>
            <w:rStyle w:val="Hyperlink"/>
          </w:rPr>
          <w:t xml:space="preserve">[3]</w:t>
        </w:r>
      </w:hyperlink>
      <w:r>
        <w:t xml:space="preserve">. The moment also suits the exercise. The Artemis Accords are new enough that their bibliometric footprint has yet to firm up, which makes now an unusually telling time to take its measure. A footprint gone hard tells you where a debate came to rest; a footprint still soft tells you how it is coming to rest, which is the more useful reading while the two orders are still moving</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corpus gathered here reaches from 2008 to 2026, straddling the pre-Accords and post-Accords stretches, so it holds both the technical baseline the field carried before the instrument and whatever reshaping came after</w:t>
      </w:r>
      <w:r>
        <w:t xml:space="preserve"> </w:t>
      </w:r>
      <w:hyperlink w:anchor="ref-9">
        <w:r>
          <w:rPr>
            <w:rStyle w:val="Hyperlink"/>
          </w:rPr>
          <w:t xml:space="preserve">[9]</w:t>
        </w:r>
      </w:hyperlink>
      <w:r>
        <w:t xml:space="preserve">. That reach is what keeps a recency test honest rather than circular.</w:t>
      </w:r>
    </w:p>
    <w:bookmarkEnd w:id="66"/>
    <w:bookmarkStart w:id="67" w:name="X0e59b6c80587b57b96f46a41ea5e550cc114579"/>
    <w:p>
      <w:pPr>
        <w:pStyle w:val="Heading2"/>
        <w:spacing w:line="480" w:lineRule="auto"/>
      </w:pPr>
      <w:r>
        <w:t xml:space="preserve">1.7 The unit of analysis and the burden of proof</w:t>
      </w:r>
    </w:p>
    <w:p>
      <w:pPr>
        <w:pStyle w:val="FirstParagraph"/>
        <w:spacing w:line="480" w:lineRule="auto"/>
      </w:pPr>
      <w:r>
        <w:t xml:space="preserve">The unit of analysis is the single source record, and pinning that unit down shapes all that follows. Each record is one document bearing a resolvable identifier, a year of publication, a venue family, and a set of variables built from its metadata</w:t>
      </w:r>
      <w:r>
        <w:t xml:space="preserve"> </w:t>
      </w:r>
      <w:hyperlink w:anchor="ref-3">
        <w:r>
          <w:rPr>
            <w:rStyle w:val="Hyperlink"/>
          </w:rPr>
          <w:t xml:space="preserve">[3]</w:t>
        </w:r>
      </w:hyperlink>
      <w:r>
        <w:t xml:space="preserve"> </w:t>
      </w:r>
      <w:hyperlink w:anchor="ref-5">
        <w:r>
          <w:rPr>
            <w:rStyle w:val="Hyperlink"/>
          </w:rPr>
          <w:t xml:space="preserve">[5]</w:t>
        </w:r>
      </w:hyperlink>
      <w:r>
        <w:t xml:space="preserve">. Authors, institutions, and countries fall outside the frame, though each would serve a different question well enough. Documents earn the frame because documents are where a governance signal, if there is one, is inscribed most directly, and because document-level provenance is what keeps the workbook auditable one row at a time</w:t>
      </w:r>
      <w:r>
        <w:t xml:space="preserve"> </w:t>
      </w:r>
      <w:hyperlink w:anchor="ref-6">
        <w:r>
          <w:rPr>
            <w:rStyle w:val="Hyperlink"/>
          </w:rPr>
          <w:t xml:space="preserve">[6]</w:t>
        </w:r>
      </w:hyperlink>
      <w:r>
        <w:t xml:space="preserve">. The burden of proof is laid, deliberately, on the alternative rather than the null. The design grants no structure until the data force it, and it demands that any structure it does grant be both rightly signed and tightly estimated before it earns the name of support</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stance is cautious, and cautious by choice. In a field quick to see pattern where there is noise, the error worth dreading most is the false positive, the assured claim of a trend a bigger or cleaner sample would melt away. Loading the burden this way guarantees the dissertation will now and then post a null where a bolder design would post an effect, and it takes that trade with eyes open, because a null that endures is worth more than an effect that folds</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67"/>
    <w:bookmarkStart w:id="68" w:name="situating-the-two-orders"/>
    <w:p>
      <w:pPr>
        <w:pStyle w:val="Heading2"/>
        <w:spacing w:line="480" w:lineRule="auto"/>
      </w:pPr>
      <w:r>
        <w:t xml:space="preserve">1.8 Situating the two orders</w:t>
      </w:r>
    </w:p>
    <w:p>
      <w:pPr>
        <w:pStyle w:val="FirstParagraph"/>
        <w:spacing w:line="480" w:lineRule="auto"/>
      </w:pPr>
      <w:r>
        <w:t xml:space="preserve">Getting concrete about what each order actually holds helps, since the talk of convergence and divergence can drift loose of the substance it means to name. The Accords order pushes a slate of operational principles: openness about activities, interoperability of systems, registration of objects, protection of heritage, deconfliction by way of safety zones, and the claim that pulling resources out of the Moon squares with the treaty law already in force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Every one is a statement about how actors ought to conduct themselves, and every one throws off technical requirements, since a safety zone has to be watchable and interoperability has to be engineered before either can be governed</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The common-order tradition leans a different way. It reads orbital and lunar space as a shared holding whose long-run usefulness turns on restraint, and it borrows from a line of institutional thought about how communities steward what they own together, keeping it from being fenced off on one side or choked by crowding on the other</w:t>
      </w:r>
      <w:r>
        <w:t xml:space="preserve"> </w:t>
      </w:r>
      <w:hyperlink w:anchor="ref-15">
        <w:r>
          <w:rPr>
            <w:rStyle w:val="Hyperlink"/>
          </w:rPr>
          <w:t xml:space="preserve">[15]</w:t>
        </w:r>
      </w:hyperlink>
      <w:r>
        <w:t xml:space="preserve">. Its instruments run softer, its enforcement more scattered, and depletion rather than deconfliction sits at the center of its worry</w:t>
      </w:r>
      <w:r>
        <w:t xml:space="preserve"> </w:t>
      </w:r>
      <w:hyperlink w:anchor="ref-10">
        <w:r>
          <w:rPr>
            <w:rStyle w:val="Hyperlink"/>
          </w:rPr>
          <w:t xml:space="preserve">[10]</w:t>
        </w:r>
      </w:hyperlink>
      <w:r>
        <w:t xml:space="preserve">. The two orders are not tidy opposites. They agree on sustainability and part ways on whether appropriation is legitimate, which is exactly what leaves the convergence-or-divergence question genuinely live instead of merely rhetorical</w:t>
      </w:r>
      <w:r>
        <w:t xml:space="preserve"> </w:t>
      </w:r>
      <w:hyperlink w:anchor="ref-10">
        <w:r>
          <w:rPr>
            <w:rStyle w:val="Hyperlink"/>
          </w:rPr>
          <w:t xml:space="preserve">[10]</w:t>
        </w:r>
      </w:hyperlink>
      <w:r>
        <w:t xml:space="preserve">.</w:t>
      </w:r>
    </w:p>
    <w:p>
      <w:pPr>
        <w:pStyle w:val="BodyText"/>
        <w:spacing w:line="480" w:lineRule="auto"/>
        <w:ind w:firstLine="720"/>
      </w:pPr>
      <w:r>
        <w:t xml:space="preserve">The dissertation renders no verdict on the merits between the orders. It does not hold that one is lawful and the other spent, or that convergence is welcome and divergence dangerous. It puts the prior, empirical question any normative argument ought to stand on: does the field’s own record show the orders closing or drawing apart, and does it show it sharply enough to trust</w:t>
      </w:r>
      <w:r>
        <w:t xml:space="preserve"> </w:t>
      </w:r>
      <w:hyperlink w:anchor="ref-5">
        <w:r>
          <w:rPr>
            <w:rStyle w:val="Hyperlink"/>
          </w:rPr>
          <w:t xml:space="preserve">[5]</w:t>
        </w:r>
      </w:hyperlink>
      <w:r>
        <w:t xml:space="preserve"> </w:t>
      </w:r>
      <w:hyperlink w:anchor="ref-6">
        <w:r>
          <w:rPr>
            <w:rStyle w:val="Hyperlink"/>
          </w:rPr>
          <w:t xml:space="preserve">[6]</w:t>
        </w:r>
      </w:hyperlink>
      <w:r>
        <w:t xml:space="preserve">? Answering the normative question before the empirical one is how policy talk slides into assertion, and refusing that slide is the entire discipline of the project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8"/>
    <w:bookmarkStart w:id="69" w:name="X9b1188942ddc15a61ad078ae25ba6f762a4ee8c"/>
    <w:p>
      <w:pPr>
        <w:pStyle w:val="Heading2"/>
        <w:spacing w:line="480" w:lineRule="auto"/>
      </w:pPr>
      <w:r>
        <w:t xml:space="preserve">1.9 The reader this dissertation is written for</w:t>
      </w:r>
    </w:p>
    <w:p>
      <w:pPr>
        <w:pStyle w:val="FirstParagraph"/>
        <w:spacing w:line="480" w:lineRule="auto"/>
      </w:pPr>
      <w:r>
        <w:t xml:space="preserve">A design-stage dissertation answers to two readers at once, and naming them helps. The first is the methodological reader, who wants to know whether the estimators fit, whether the identification claims are honest, and whether the reported numbers line up with the workbooks behind them</w:t>
      </w:r>
      <w:r>
        <w:t xml:space="preserve"> </w:t>
      </w:r>
      <w:hyperlink w:anchor="ref-4">
        <w:r>
          <w:rPr>
            <w:rStyle w:val="Hyperlink"/>
          </w:rPr>
          <w:t xml:space="preserve">[4]</w:t>
        </w:r>
      </w:hyperlink>
      <w:r>
        <w:t xml:space="preserve"> </w:t>
      </w:r>
      <w:hyperlink w:anchor="ref-5">
        <w:r>
          <w:rPr>
            <w:rStyle w:val="Hyperlink"/>
          </w:rPr>
          <w:t xml:space="preserve">[5]</w:t>
        </w:r>
      </w:hyperlink>
      <w:r>
        <w:t xml:space="preserve">. For that reader the payoff lives in the machinery: a cross-sectional model set against an accumulation model, robust standard errors, an interpretive rule that pins each coefficient’s meaning before the coefficient is seen</w:t>
      </w:r>
      <w:r>
        <w:t xml:space="preserve"> </w:t>
      </w:r>
      <w:hyperlink w:anchor="ref-6">
        <w:r>
          <w:rPr>
            <w:rStyle w:val="Hyperlink"/>
          </w:rPr>
          <w:t xml:space="preserve">[6]</w:t>
        </w:r>
      </w:hyperlink>
      <w:r>
        <w:t xml:space="preserve">. The second is the governance reader, who wants to know whether any of this says something about the Moon, and who will grade the project on whether it sharpens the two-orders question or merely gilds it with statistics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Answering to both means flattering neither. The methodological reader has to hear, flatly, that thirty records buy limited power and that the identification is associational rather than causal</w:t>
      </w:r>
      <w:r>
        <w:t xml:space="preserve"> </w:t>
      </w:r>
      <w:hyperlink w:anchor="ref-13">
        <w:r>
          <w:rPr>
            <w:rStyle w:val="Hyperlink"/>
          </w:rPr>
          <w:t xml:space="preserve">[13]</w:t>
        </w:r>
      </w:hyperlink>
      <w:r>
        <w:t xml:space="preserve">. The governance reader has to hear, just as flatly, that a citation index sees no negotiation rooms and that the firmest result concerns how attention piles up, not how lunar governance ends</w:t>
      </w:r>
      <w:r>
        <w:t xml:space="preserve"> </w:t>
      </w:r>
      <w:hyperlink w:anchor="ref-7">
        <w:r>
          <w:rPr>
            <w:rStyle w:val="Hyperlink"/>
          </w:rPr>
          <w:t xml:space="preserve">[7]</w:t>
        </w:r>
      </w:hyperlink>
      <w:r>
        <w:t xml:space="preserve"> </w:t>
      </w:r>
      <w:hyperlink w:anchor="ref-11">
        <w:r>
          <w:rPr>
            <w:rStyle w:val="Hyperlink"/>
          </w:rPr>
          <w:t xml:space="preserve">[11]</w:t>
        </w:r>
      </w:hyperlink>
      <w:r>
        <w:t xml:space="preserve">. What each reader walks away with is the same object: a claim small enough to be true, stated tightly enough to be checked, fenced clearly enough that neither the method nor the policy is asked to shoulder more than it can</w:t>
      </w:r>
      <w:r>
        <w:t xml:space="preserve"> </w:t>
      </w:r>
      <w:hyperlink w:anchor="ref-5">
        <w:r>
          <w:rPr>
            <w:rStyle w:val="Hyperlink"/>
          </w:rPr>
          <w:t xml:space="preserve">[5]</w:t>
        </w:r>
      </w:hyperlink>
      <w:r>
        <w:t xml:space="preserve">. A dissertation that pleases both by overpromising to each pleases neither; this one tries to please both by underpromising in good faith and delivering exactly its word</w:t>
      </w:r>
      <w:r>
        <w:t xml:space="preserve"> </w:t>
      </w:r>
      <w:hyperlink w:anchor="ref-6">
        <w:r>
          <w:rPr>
            <w:rStyle w:val="Hyperlink"/>
          </w:rPr>
          <w:t xml:space="preserve">[6]</w:t>
        </w:r>
      </w:hyperlink>
      <w:r>
        <w:t xml:space="preserve">.</w:t>
      </w:r>
    </w:p>
    <w:bookmarkEnd w:id="69"/>
    <w:bookmarkStart w:id="70" w:name="how-to-read-the-chapters-that-follow"/>
    <w:p>
      <w:pPr>
        <w:pStyle w:val="Heading2"/>
        <w:spacing w:line="480" w:lineRule="auto"/>
      </w:pPr>
      <w:r>
        <w:t xml:space="preserve">1.10 How to read the chapters that follow</w:t>
      </w:r>
    </w:p>
    <w:p>
      <w:pPr>
        <w:pStyle w:val="FirstParagraph"/>
        <w:spacing w:line="480" w:lineRule="auto"/>
      </w:pPr>
      <w:r>
        <w:t xml:space="preserve">The argument accumulates, and each chapter rests on the one before. Skip ahead to the results in Chapter 6 and the numbers arrive stripped of the theory that gives them meaning, and the meaning is where the contribution lives</w:t>
      </w:r>
      <w:r>
        <w:t xml:space="preserve"> </w:t>
      </w:r>
      <w:hyperlink w:anchor="ref-3">
        <w:r>
          <w:rPr>
            <w:rStyle w:val="Hyperlink"/>
          </w:rPr>
          <w:t xml:space="preserve">[3]</w:t>
        </w:r>
      </w:hyperlink>
      <w:r>
        <w:t xml:space="preserve">. The literature review sets out why a governance signal might be legible in the record at all; the theory chapter says what each observable mark would mean if the signal exists; the methodology and data chapters assemble the instruments that make the marks measurable; and only then does the results chapter report what those instruments turned up</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From there the discussion and conclusion chapters carry the reading back out toward the governance question, marking with care where the evidence runs dry. So reading in sequence is no favor to the author but a demand of the argument. The interpretive discipline that keeps the results honest, the rule that a coefficient must be both signed and precise before it counts, is fixed before any coefficient shows up, exactly so the reader can confirm the results were not re-spun after the fact to suit a favored story</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chapters are short enough to take in sequence and shaped so each passes the next just what it needs. Whoever reads them in order will close the book able to trace every claim in the conclusion back through the results, the data, and the theory to one specific record in the corpus, which is the standard of inspectability the whole project exists to meet</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70"/>
    <w:bookmarkEnd w:id="71"/>
    <w:bookmarkStart w:id="81" w:name="chapter-2.-literature-review"/>
    <w:p>
      <w:pPr>
        <w:pStyle w:val="Heading1"/>
        <w:spacing w:line="480" w:lineRule="auto"/>
      </w:pPr>
      <w:r>
        <w:t xml:space="preserve">Chapter 2. Literature Review</w:t>
      </w:r>
    </w:p>
    <w:p>
      <w:pPr>
        <w:pStyle w:val="FirstParagraph"/>
        <w:spacing w:line="480" w:lineRule="auto"/>
      </w:pPr>
      <w:r>
        <w:t xml:space="preserve">The writing that bears on the Artemis question flows in three currents that seldom converge. One current is technical, bent on detecting, tracking, and characterizing objects and sites across cislunar and near-Earth space. A second is economic, bent on whether a lunar or orbital economy can be stood up and kept running. A third is about governance, bent on the treaties, guidelines, and norms meant to hold the whole enterprise together. This dissertation lodges itself at the seam where those currents ought to knit, and this chapter’s task is to show both where they meet and where they speak past one another</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bookmarkStart w:id="72" w:name="the-technical-current"/>
    <w:p>
      <w:pPr>
        <w:pStyle w:val="Heading2"/>
        <w:spacing w:line="480" w:lineRule="auto"/>
      </w:pPr>
      <w:r>
        <w:t xml:space="preserve">2.1 The technical current</w:t>
      </w:r>
    </w:p>
    <w:p>
      <w:pPr>
        <w:pStyle w:val="FirstParagraph"/>
        <w:spacing w:line="480" w:lineRule="auto"/>
      </w:pPr>
      <w:r>
        <w:t xml:space="preserve">The bulk of the retrieved corpus is technical, mapping capability rather than governance.</w:t>
      </w:r>
    </w:p>
    <w:p>
      <w:pPr>
        <w:pStyle w:val="BodyText"/>
        <w:spacing w:line="480" w:lineRule="auto"/>
        <w:ind w:firstLine="720"/>
      </w:pPr>
      <w:r>
        <w:t xml:space="preserve">Take initial orbital determination: it wrestles with fixing an object’s trajectory from thin angular and range measurements, a problem older than any Artemis debate and one that would persist whichever lunar order won out</w:t>
      </w:r>
      <w:r>
        <w:t xml:space="preserve"> </w:t>
      </w:r>
      <w:hyperlink w:anchor="ref-2">
        <w:r>
          <w:rPr>
            <w:rStyle w:val="Hyperlink"/>
          </w:rPr>
          <w:t xml:space="preserve">[2]</w:t>
        </w:r>
      </w:hyperlink>
      <w:r>
        <w:t xml:space="preserve">. Sensor-tasking work carries that worry forward, asking how a limited stock of telescopes ought to be aimed to hold custody of a swelling object population</w:t>
      </w:r>
      <w:r>
        <w:t xml:space="preserve"> </w:t>
      </w:r>
      <w:hyperlink w:anchor="ref-3">
        <w:r>
          <w:rPr>
            <w:rStyle w:val="Hyperlink"/>
          </w:rPr>
          <w:t xml:space="preserve">[3]</w:t>
        </w:r>
      </w:hyperlink>
      <w:r>
        <w:t xml:space="preserve">. Engineering problems, met with engineering answers, yet hardly governance-free. Holding custody of objects is the very capability a safety-zone or interoperability regime would depend on to have any teeth. Detection and correlation press the same theme. Two-pronged schemes pairing machine learning with conventional analysis work to lift resident space objects clear of noisy data</w:t>
      </w:r>
      <w:r>
        <w:t xml:space="preserve"> </w:t>
      </w:r>
      <w:hyperlink w:anchor="ref-8">
        <w:r>
          <w:rPr>
            <w:rStyle w:val="Hyperlink"/>
          </w:rPr>
          <w:t xml:space="preserve">[8]</w:t>
        </w:r>
      </w:hyperlink>
      <w:r>
        <w:t xml:space="preserve">. Post-maneuver correlation takes on the stiffer task of re-identifying an object once it has shifted orbit, fusing several data streams to bridge the gap</w:t>
      </w:r>
      <w:r>
        <w:t xml:space="preserve"> </w:t>
      </w:r>
      <w:hyperlink w:anchor="ref-6">
        <w:r>
          <w:rPr>
            <w:rStyle w:val="Hyperlink"/>
          </w:rPr>
          <w:t xml:space="preserve">[6]</w:t>
        </w:r>
      </w:hyperlink>
      <w:r>
        <w:t xml:space="preserve">. Information-theoretic tests for tying one observation to another supply the statistical spine for judging when two sightings belong to a single object</w:t>
      </w:r>
      <w:r>
        <w:t xml:space="preserve"> </w:t>
      </w:r>
      <w:hyperlink w:anchor="ref-5">
        <w:r>
          <w:rPr>
            <w:rStyle w:val="Hyperlink"/>
          </w:rPr>
          <w:t xml:space="preserve">[5]</w:t>
        </w:r>
      </w:hyperlink>
      <w:r>
        <w:t xml:space="preserve">. Each pushes forward the field’s power to know what sits where, and each is a precondition for governance that governance debates rarely acknowledge.</w:t>
      </w:r>
    </w:p>
    <w:p>
      <w:pPr>
        <w:pStyle w:val="BodyText"/>
        <w:spacing w:line="480" w:lineRule="auto"/>
        <w:ind w:firstLine="720"/>
      </w:pPr>
      <w:r>
        <w:t xml:space="preserve">The technical current touches the Moon head-on as well. Multi-criteria appraisal of Artemis III landing sites turns decision analysis loose on where a crewed mission should set down, trading off science return, safety, and operational limits</w:t>
      </w:r>
      <w:r>
        <w:t xml:space="preserve"> </w:t>
      </w:r>
      <w:hyperlink w:anchor="ref-9">
        <w:r>
          <w:rPr>
            <w:rStyle w:val="Hyperlink"/>
          </w:rPr>
          <w:t xml:space="preserve">[9]</w:t>
        </w:r>
      </w:hyperlink>
      <w:r>
        <w:t xml:space="preserve">. Crater-maturity work links optical morphology to the age of surface features at old landing sites, a matter for science and for the practical placement of future infrastructure alike</w:t>
      </w:r>
      <w:r>
        <w:t xml:space="preserve"> </w:t>
      </w:r>
      <w:hyperlink w:anchor="ref-14">
        <w:r>
          <w:rPr>
            <w:rStyle w:val="Hyperlink"/>
          </w:rPr>
          <w:t xml:space="preserve">[14]</w:t>
        </w:r>
      </w:hyperlink>
      <w:r>
        <w:t xml:space="preserve">. In-orbit assembly of modular structures carries the frontier further still, picturing infrastructure built in place rather than lofted whole</w:t>
      </w:r>
      <w:r>
        <w:t xml:space="preserve"> </w:t>
      </w:r>
      <w:hyperlink w:anchor="ref-13">
        <w:r>
          <w:rPr>
            <w:rStyle w:val="Hyperlink"/>
          </w:rPr>
          <w:t xml:space="preserve">[13]</w:t>
        </w:r>
      </w:hyperlink>
      <w:r>
        <w:t xml:space="preserve">. Here the technical current draws nearest the governance question, because siting, assembly, and sustained presence are just the activities the Accords set out to regulate.</w:t>
      </w:r>
    </w:p>
    <w:bookmarkEnd w:id="72"/>
    <w:bookmarkStart w:id="73" w:name="the-economic-current"/>
    <w:p>
      <w:pPr>
        <w:pStyle w:val="Heading2"/>
        <w:spacing w:line="480" w:lineRule="auto"/>
      </w:pPr>
      <w:r>
        <w:t xml:space="preserve">2.2 The economic current</w:t>
      </w:r>
    </w:p>
    <w:p>
      <w:pPr>
        <w:pStyle w:val="FirstParagraph"/>
        <w:spacing w:line="480" w:lineRule="auto"/>
      </w:pPr>
      <w:r>
        <w:t xml:space="preserve">A leaner but weighty current addresses the economics of space activity. A common-pool-resources reading casts orbital and lunar space as a shared asset prone to crowding and depletion, borrowing from a tradition of institutional analysis long trained on fisheries, forests, and irrigation systems</w:t>
      </w:r>
      <w:r>
        <w:t xml:space="preserve"> </w:t>
      </w:r>
      <w:hyperlink w:anchor="ref-15">
        <w:r>
          <w:rPr>
            <w:rStyle w:val="Hyperlink"/>
          </w:rPr>
          <w:t xml:space="preserve">[15]</w:t>
        </w:r>
      </w:hyperlink>
      <w:r>
        <w:t xml:space="preserve">. The reading earns its place by handing over a vocabulary for sustainability that is neither strictly legal nor strictly technical. It asks who eats the cost of degradation and who pockets the gain from use. That is the buried question in any fight over lunar resources. Roadmap and white-paper work stands beside the common-pool literature. A national roadmap contending that a country’s geographic and industrial edges could carry a commercial space economy makes a frankly economic case, and it binds that case to governance choices, casting sustainability guidelines, debris governance, and Artemis leadership as the ground of durable commercial success rather than a drag on it</w:t>
      </w:r>
      <w:r>
        <w:t xml:space="preserve"> </w:t>
      </w:r>
      <w:hyperlink w:anchor="ref-10">
        <w:r>
          <w:rPr>
            <w:rStyle w:val="Hyperlink"/>
          </w:rPr>
          <w:t xml:space="preserve">[10]</w:t>
        </w:r>
      </w:hyperlink>
      <w:r>
        <w:t xml:space="preserve">. Weighing commercialization against sustainability is the direct subject of recent journal work, which reads the tension as a design puzzle and not a zero-sum brawl</w:t>
      </w:r>
      <w:r>
        <w:t xml:space="preserve"> </w:t>
      </w:r>
      <w:hyperlink w:anchor="ref-10">
        <w:r>
          <w:rPr>
            <w:rStyle w:val="Hyperlink"/>
          </w:rPr>
          <w:t xml:space="preserve">[10]</w:t>
        </w:r>
      </w:hyperlink>
      <w:r>
        <w:t xml:space="preserve">. Mining-feasibility analysis anchors the abstraction, setting lunar resource research against the economics of terrestrial mining and asking whether the arithmetic can ever close</w:t>
      </w:r>
      <w:r>
        <w:t xml:space="preserve"> </w:t>
      </w:r>
      <w:hyperlink w:anchor="ref-15">
        <w:r>
          <w:rPr>
            <w:rStyle w:val="Hyperlink"/>
          </w:rPr>
          <w:t xml:space="preserve">[15]</w:t>
        </w:r>
      </w:hyperlink>
      <w:r>
        <w:t xml:space="preserve">.</w:t>
      </w:r>
    </w:p>
    <w:p>
      <w:pPr>
        <w:pStyle w:val="BodyText"/>
        <w:spacing w:line="480" w:lineRule="auto"/>
        <w:ind w:firstLine="720"/>
      </w:pPr>
      <w:r>
        <w:t xml:space="preserve">Where the economic current has muscle, it is because it will not pry apart the question of whether space activity pays from the question of how it is governed.</w:t>
      </w:r>
    </w:p>
    <w:p>
      <w:pPr>
        <w:pStyle w:val="BodyText"/>
        <w:spacing w:line="480" w:lineRule="auto"/>
        <w:ind w:firstLine="720"/>
      </w:pPr>
      <w:r>
        <w:t xml:space="preserve">Commercialization stripped of sustainability wears down the asset. Sustainability stripped of commercialization finds no constituency. The Accords perch right on that seam, offering a frame where private extraction and public order might live together, and the economic literature is where that offer’s plausibility gets its real test</w:t>
      </w:r>
      <w:r>
        <w:t xml:space="preserve"> </w:t>
      </w:r>
      <w:hyperlink w:anchor="ref-10">
        <w:r>
          <w:rPr>
            <w:rStyle w:val="Hyperlink"/>
          </w:rPr>
          <w:t xml:space="preserve">[10]</w:t>
        </w:r>
      </w:hyperlink>
      <w:r>
        <w:t xml:space="preserve">.</w:t>
      </w:r>
    </w:p>
    <w:bookmarkEnd w:id="73"/>
    <w:bookmarkStart w:id="74" w:name="the-governance-current"/>
    <w:p>
      <w:pPr>
        <w:pStyle w:val="Heading2"/>
        <w:spacing w:line="480" w:lineRule="auto"/>
      </w:pPr>
      <w:r>
        <w:t xml:space="preserve">2.3 The governance current</w:t>
      </w:r>
    </w:p>
    <w:p>
      <w:pPr>
        <w:pStyle w:val="FirstParagraph"/>
        <w:spacing w:line="480" w:lineRule="auto"/>
      </w:pPr>
      <w:r>
        <w:t xml:space="preserve">Of the retrieved corpus, the governance current is the thinnest sliver, and that thinness is a finding in its own right.</w:t>
      </w:r>
    </w:p>
    <w:p>
      <w:pPr>
        <w:pStyle w:val="BodyText"/>
        <w:spacing w:line="480" w:lineRule="auto"/>
        <w:ind w:firstLine="720"/>
      </w:pPr>
      <w:r>
        <w:t xml:space="preserve">Decentralized information sharing turns up as a governance enabler, holding that trust among actors, grown from shared data rather than central control, is what keeps space usable over the long haul</w:t>
      </w:r>
      <w:r>
        <w:t xml:space="preserve"> </w:t>
      </w:r>
      <w:hyperlink w:anchor="ref-1">
        <w:r>
          <w:rPr>
            <w:rStyle w:val="Hyperlink"/>
          </w:rPr>
          <w:t xml:space="preserve">[1]</w:t>
        </w:r>
      </w:hyperlink>
      <w:r>
        <w:t xml:space="preserve">. That is governance in its most practical guise. It poses no question about what a treaty ought to say. It poses the question of what institutional arrangement would make cooperation feed itself, and its answer is a data-sharing architecture in place of a legal instrument. The common-pool reading belongs to this current every bit as much as to the economic one, since institutional design is its final concern</w:t>
      </w:r>
      <w:r>
        <w:t xml:space="preserve"> </w:t>
      </w:r>
      <w:hyperlink w:anchor="ref-15">
        <w:r>
          <w:rPr>
            <w:rStyle w:val="Hyperlink"/>
          </w:rPr>
          <w:t xml:space="preserve">[15]</w:t>
        </w:r>
      </w:hyperlink>
      <w:r>
        <w:t xml:space="preserve">. And the sustainability thread woven through the roadmap and commercialization writing is governance too, so long as it treats guidelines and debris norms as load-bearing rather than ornamental</w:t>
      </w:r>
      <w:r>
        <w:t xml:space="preserve"> </w:t>
      </w:r>
      <w:hyperlink w:anchor="ref-10">
        <w:r>
          <w:rPr>
            <w:rStyle w:val="Hyperlink"/>
          </w:rPr>
          <w:t xml:space="preserve">[10]</w:t>
        </w:r>
      </w:hyperlink>
      <w:r>
        <w:t xml:space="preserve">. What stands out is how thinly the corpus argues the Accords head-on. The governance conversation is here, but scattered, tucked inside technical and economic work rather than holding ground of its own. That scattering is part of what this dissertation sets out to gauge.</w:t>
      </w:r>
    </w:p>
    <w:bookmarkEnd w:id="74"/>
    <w:bookmarkStart w:id="75" w:name="the-measurement-literature-and-the-gap"/>
    <w:p>
      <w:pPr>
        <w:pStyle w:val="Heading2"/>
        <w:spacing w:line="480" w:lineRule="auto"/>
      </w:pPr>
      <w:r>
        <w:t xml:space="preserve">2.4 The measurement literature and the gap</w:t>
      </w:r>
    </w:p>
    <w:p>
      <w:pPr>
        <w:pStyle w:val="FirstParagraph"/>
        <w:spacing w:line="480" w:lineRule="auto"/>
      </w:pPr>
      <w:r>
        <w:t xml:space="preserve">Behind all three currents stands a fourth body of work this dissertation leans on in a different way: the craft of turning documents into data. Bibliometric and learning-curve methods treat publications, citations, years, and venues as observable quantities to be modeled rather than merely recounted. Learning-curve analysis carries a long pedigree in studying how attention or performance builds with experience, and the log-log form used here is a standard expression of that tradition</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Transformer and generative approaches to forecasting show how far the modeling of structured records has come, even where the thing forecast is atmospheric density rather than governance attention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gap this dissertation works is the space among these bodies of work. The technical current can measure objects but not institutions. The economic current can reason about incentives but seldom ties its claims to any observable structure in the field. The governance current knows which questions matter but rarely tries them against a corpus. And the measurement tradition knows how to turn records into variables but is usually pointed at problems far from space governance. Knitting them means asking a governance question, answering it with a measurement method, and grounding the answer in the technical and economic record the field actually laid down</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0">
        <w:r>
          <w:rPr>
            <w:rStyle w:val="Hyperlink"/>
          </w:rPr>
          <w:t xml:space="preserve">[10]</w:t>
        </w:r>
      </w:hyperlink>
      <w:r>
        <w:t xml:space="preserve">. That knitting is the contribution, and the chapters that follow assemble it one component at a time.</w:t>
      </w:r>
    </w:p>
    <w:p>
      <w:pPr>
        <w:pStyle w:val="BodyText"/>
        <w:spacing w:line="480" w:lineRule="auto"/>
        <w:ind w:firstLine="720"/>
      </w:pPr>
      <w:r>
        <w:t xml:space="preserve">Two cautions close the review. The retrieved corpus is a convenience sample of a far larger literature, and what it contains shapes what can be found. A field that files its governance thinking inside technical papers will register a fainter standalone governance signal than one that debates governance in the open, and that is a fact of publishing culture as much as of substance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Beyond that, citation notice in a local index is a partial stand-in for influence, understated by rule for records the index tracks poorly</w:t>
      </w:r>
      <w:r>
        <w:t xml:space="preserve"> </w:t>
      </w:r>
      <w:hyperlink w:anchor="ref-5">
        <w:r>
          <w:rPr>
            <w:rStyle w:val="Hyperlink"/>
          </w:rPr>
          <w:t xml:space="preserve">[5]</w:t>
        </w:r>
      </w:hyperlink>
      <w:r>
        <w:t xml:space="preserve"> </w:t>
      </w:r>
      <w:hyperlink w:anchor="ref-8">
        <w:r>
          <w:rPr>
            <w:rStyle w:val="Hyperlink"/>
          </w:rPr>
          <w:t xml:space="preserve">[8]</w:t>
        </w:r>
      </w:hyperlink>
      <w:r>
        <w:t xml:space="preserve">. Neither caution sinks the design. Both school how its results are read, and both come back when the numbers land in Chapter 6.</w:t>
      </w:r>
    </w:p>
    <w:bookmarkEnd w:id="75"/>
    <w:bookmarkStart w:id="76" w:name="how-the-currents-fail-to-meet"/>
    <w:p>
      <w:pPr>
        <w:pStyle w:val="Heading2"/>
        <w:spacing w:line="480" w:lineRule="auto"/>
      </w:pPr>
      <w:r>
        <w:t xml:space="preserve">2.5 How the currents fail to meet</w:t>
      </w:r>
    </w:p>
    <w:p>
      <w:pPr>
        <w:pStyle w:val="FirstParagraph"/>
        <w:spacing w:line="480" w:lineRule="auto"/>
      </w:pPr>
      <w:r>
        <w:t xml:space="preserve">The failure of these currents to link up is worth lingering over, because the failure is no side effect of the Artemis question; it is a piece of the answer. Take the safety-zone concept, a signature move of the Accords order. Governing a safety zone means knowing where every relevant object sits and catching the moment one crosses a line, which is exactly the custody problem the sensor-tasking and correlation literature has spent years cracking</w:t>
      </w:r>
      <w:r>
        <w:t xml:space="preserve"> </w:t>
      </w:r>
      <w:hyperlink w:anchor="ref-3">
        <w:r>
          <w:rPr>
            <w:rStyle w:val="Hyperlink"/>
          </w:rPr>
          <w:t xml:space="preserve">[3]</w:t>
        </w:r>
      </w:hyperlink>
      <w:r>
        <w:t xml:space="preserve"> </w:t>
      </w:r>
      <w:hyperlink w:anchor="ref-6">
        <w:r>
          <w:rPr>
            <w:rStyle w:val="Hyperlink"/>
          </w:rPr>
          <w:t xml:space="preserve">[6]</w:t>
        </w:r>
      </w:hyperlink>
      <w:r>
        <w:t xml:space="preserve">. Yet the technical papers that crack custody almost never name safety zones, and the governance discussions that lean on safety zones almost never touch the custody literature. Capability and norm are being grown in separate rooms by people who cite different works. The same rift cuts through the resource question. The economic current asks whether lunar mining can ever pay, planting the abstraction in mining-feasibility economics and the physical facts of extraction</w:t>
      </w:r>
      <w:r>
        <w:t xml:space="preserve"> </w:t>
      </w:r>
      <w:hyperlink w:anchor="ref-15">
        <w:r>
          <w:rPr>
            <w:rStyle w:val="Hyperlink"/>
          </w:rPr>
          <w:t xml:space="preserve">[15]</w:t>
        </w:r>
      </w:hyperlink>
      <w:r>
        <w:t xml:space="preserve">. The governance current asks whether extraction is lawful and sustainable under the instruments in force and the ones emerging</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technical current, for its part, works out how to characterize a landing site and gauge the maturity of surface features that bear on where infrastructure could rise</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All three answer facets of a single question, whether and how humans can draw value from the Moon under a durable order, and yet each answers its facet in a tongue the others do not speak. The corpus is a bank of parallel monologues where the governance question wants a dialogue.</w:t>
      </w:r>
    </w:p>
    <w:p>
      <w:pPr>
        <w:pStyle w:val="BodyText"/>
        <w:spacing w:line="480" w:lineRule="auto"/>
        <w:ind w:firstLine="720"/>
      </w:pPr>
      <w:r>
        <w:t xml:space="preserve">That structural split is a testable prediction as much as a description. Were the currents converging, one would look for governance-oriented records to start citing technical and economic work, for venues to blur, and for a shared vocabulary to rise that a signal-scoring instrument could register as swelling theme density in recent, cross-venue records</w:t>
      </w:r>
      <w:r>
        <w:t xml:space="preserve"> </w:t>
      </w:r>
      <w:hyperlink w:anchor="ref-1">
        <w:r>
          <w:rPr>
            <w:rStyle w:val="Hyperlink"/>
          </w:rPr>
          <w:t xml:space="preserve">[1]</w:t>
        </w:r>
      </w:hyperlink>
      <w:r>
        <w:t xml:space="preserve"> </w:t>
      </w:r>
      <w:hyperlink w:anchor="ref-4">
        <w:r>
          <w:rPr>
            <w:rStyle w:val="Hyperlink"/>
          </w:rPr>
          <w:t xml:space="preserve">[4]</w:t>
        </w:r>
      </w:hyperlink>
      <w:r>
        <w:t xml:space="preserve">. Were they staying apart, the signal should hold within currents rather than reaching across them, and the cross-sectional model should strain to find any coherent gradient. So the literature review lays the empirical test out plainly: the shape of the split the currents display is precisely what Chapters 6 and 7 try to measure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6"/>
    <w:bookmarkStart w:id="77" w:name="the-measurement-tradition-in-more-detail"/>
    <w:p>
      <w:pPr>
        <w:pStyle w:val="Heading2"/>
        <w:spacing w:line="480" w:lineRule="auto"/>
      </w:pPr>
      <w:r>
        <w:t xml:space="preserve">2.6 The measurement tradition in more detail</w:t>
      </w:r>
    </w:p>
    <w:p>
      <w:pPr>
        <w:pStyle w:val="FirstParagraph"/>
        <w:spacing w:line="480" w:lineRule="auto"/>
      </w:pPr>
      <w:r>
        <w:t xml:space="preserve">Since the measurement method is carrying real weight here, it earns more than a nod. The learning-curve form has a long history in the study of how piled-up experience relates to piled-up output, and its log-log version is the standard way to state a constant elasticity between the two</w:t>
      </w:r>
      <w:r>
        <w:t xml:space="preserve"> </w:t>
      </w:r>
      <w:hyperlink w:anchor="ref-7">
        <w:r>
          <w:rPr>
            <w:rStyle w:val="Hyperlink"/>
          </w:rPr>
          <w:t xml:space="preserve">[7]</w:t>
        </w:r>
      </w:hyperlink>
      <w:r>
        <w:t xml:space="preserve">. Turned on citations, the form asks whether the log of gathered attention rises in line with the log of the time available for that attention to gather, which reduces a tangled citation record to a single readable slope</w:t>
      </w:r>
      <w:r>
        <w:t xml:space="preserve"> </w:t>
      </w:r>
      <w:hyperlink w:anchor="ref-11">
        <w:r>
          <w:rPr>
            <w:rStyle w:val="Hyperlink"/>
          </w:rPr>
          <w:t xml:space="preserve">[11]</w:t>
        </w:r>
      </w:hyperlink>
      <w:r>
        <w:t xml:space="preserve">. Its appeal is not flash but discipline. It fixes a functional shape up front and reports how well the data meet it, rather than trawling across specifications until something reads as significant. Ordinary least squares takes the matching role for the cross-section. It is the least demanding linear model on offer, and yoked to a heteroskedasticity-consistent correction it returns coefficients whose uncertainty is stated in good faith even when the error variance shifts across venue families</w:t>
      </w:r>
      <w:r>
        <w:t xml:space="preserve"> </w:t>
      </w:r>
      <w:hyperlink w:anchor="ref-5">
        <w:r>
          <w:rPr>
            <w:rStyle w:val="Hyperlink"/>
          </w:rPr>
          <w:t xml:space="preserve">[5]</w:t>
        </w:r>
      </w:hyperlink>
      <w:r>
        <w:t xml:space="preserve">. Neither method is exotic, and the plainness is chosen. A design that rests on elaborate estimators invites the charge that its results are relics of modeling choices; a design that rests on the simplest defensible tools turns scrutiny toward the data, which is where scrutiny belongs</w:t>
      </w:r>
      <w:r>
        <w:t xml:space="preserve"> </w:t>
      </w:r>
      <w:hyperlink w:anchor="ref-2">
        <w:r>
          <w:rPr>
            <w:rStyle w:val="Hyperlink"/>
          </w:rPr>
          <w:t xml:space="preserve">[2]</w:t>
        </w:r>
      </w:hyperlink>
      <w:r>
        <w:t xml:space="preserve"> </w:t>
      </w:r>
      <w:hyperlink w:anchor="ref-13">
        <w:r>
          <w:rPr>
            <w:rStyle w:val="Hyperlink"/>
          </w:rPr>
          <w:t xml:space="preserve">[13]</w:t>
        </w:r>
      </w:hyperlink>
      <w:r>
        <w:t xml:space="preserve">. So the measurement tradition is picked for its transparency as much as its power, and it is the span that lets a governance question be asked as a bibliometric one without either half surrendering its integrity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7"/>
    <w:bookmarkStart w:id="78" w:name="where-this-dissertation-enters"/>
    <w:p>
      <w:pPr>
        <w:pStyle w:val="Heading2"/>
        <w:spacing w:line="480" w:lineRule="auto"/>
      </w:pPr>
      <w:r>
        <w:t xml:space="preserve">2.7 Where this dissertation enters</w:t>
      </w:r>
    </w:p>
    <w:p>
      <w:pPr>
        <w:pStyle w:val="FirstParagraph"/>
        <w:spacing w:line="480" w:lineRule="auto"/>
      </w:pPr>
      <w:r>
        <w:t xml:space="preserve">Set against that backdrop, the dissertation’s place is exact. It adds nothing to the technical current; it settles nothing in the economic current; it closes nothing in the governance current. It asks whether the record those currents jointly produce carries a measurable governance signal, and it answers with the measurement tradition worked honestly over a small, auditable corpus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novelty rides in the knitting, not in any single component. Others have counted citations, others have argued the Accords, others have fit learning curves. Drawing a governance question, a bibliometric method, and a fully traceable dataset into one inspectable argument is the gap this project fills, and the chapters ahead build that knitting piece by piece from theory through data to result</w:t>
      </w:r>
      <w:r>
        <w:t xml:space="preserve"> </w:t>
      </w:r>
      <w:hyperlink w:anchor="ref-7">
        <w:r>
          <w:rPr>
            <w:rStyle w:val="Hyperlink"/>
          </w:rPr>
          <w:t xml:space="preserve">[7]</w:t>
        </w:r>
      </w:hyperlink>
      <w:r>
        <w:t xml:space="preserve"> </w:t>
      </w:r>
      <w:hyperlink w:anchor="ref-10">
        <w:r>
          <w:rPr>
            <w:rStyle w:val="Hyperlink"/>
          </w:rPr>
          <w:t xml:space="preserve">[10]</w:t>
        </w:r>
      </w:hyperlink>
      <w:r>
        <w:t xml:space="preserve">.</w:t>
      </w:r>
    </w:p>
    <w:bookmarkEnd w:id="78"/>
    <w:bookmarkStart w:id="79" w:name="adjacent-debates-the-corpus-touches"/>
    <w:p>
      <w:pPr>
        <w:pStyle w:val="Heading2"/>
        <w:spacing w:line="480" w:lineRule="auto"/>
      </w:pPr>
      <w:r>
        <w:t xml:space="preserve">2.8 Adjacent debates the corpus touches</w:t>
      </w:r>
    </w:p>
    <w:p>
      <w:pPr>
        <w:pStyle w:val="FirstParagraph"/>
        <w:spacing w:line="480" w:lineRule="auto"/>
      </w:pPr>
      <w:r>
        <w:t xml:space="preserve">Several debates run in parallel to the two-orders question, and the corpus brushes each, which helps fix the dissertation in a wider talk. One is the debris and sustainability debate, where the fear is that crowding and collision could spoil orbital space for all comers</w:t>
      </w:r>
      <w:r>
        <w:t xml:space="preserve"> </w:t>
      </w:r>
      <w:hyperlink w:anchor="ref-10">
        <w:r>
          <w:rPr>
            <w:rStyle w:val="Hyperlink"/>
          </w:rPr>
          <w:t xml:space="preserve">[10]</w:t>
        </w:r>
      </w:hyperlink>
      <w:r>
        <w:t xml:space="preserve">. Here the common-order tradition is strongest, because the depletion of a shared holding is exactly the trouble common-pool thinking was built to dissect</w:t>
      </w:r>
      <w:r>
        <w:t xml:space="preserve"> </w:t>
      </w:r>
      <w:hyperlink w:anchor="ref-15">
        <w:r>
          <w:rPr>
            <w:rStyle w:val="Hyperlink"/>
          </w:rPr>
          <w:t xml:space="preserve">[15]</w:t>
        </w:r>
      </w:hyperlink>
      <w:r>
        <w:t xml:space="preserve">. The Accords meet the same fear by a different door, stressing deconfliction and coordination over collective restraint, and the strain between these two readings of one sustainability problem is among the clearest spots where the orders overlap without fusing</w:t>
      </w:r>
      <w:r>
        <w:t xml:space="preserve"> </w:t>
      </w:r>
      <w:hyperlink w:anchor="ref-10">
        <w:r>
          <w:rPr>
            <w:rStyle w:val="Hyperlink"/>
          </w:rPr>
          <w:t xml:space="preserve">[10]</w:t>
        </w:r>
      </w:hyperlink>
      <w:r>
        <w:t xml:space="preserve">. A second adjacent debate turns on commercialization and the legitimacy of appropriation. Whether extracted lunar resources can be owned, and under which order, is where the two traditions split hardest</w:t>
      </w:r>
      <w:r>
        <w:t xml:space="preserve"> </w:t>
      </w:r>
      <w:hyperlink w:anchor="ref-15">
        <w:r>
          <w:rPr>
            <w:rStyle w:val="Hyperlink"/>
          </w:rPr>
          <w:t xml:space="preserve">[15]</w:t>
        </w:r>
      </w:hyperlink>
      <w:r>
        <w:t xml:space="preserve">. The economic literature reads it as a feasibility and incentive problem, asking whether extraction can pay and what property arrangement would make the investment rational</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governance literature reads it as a legitimacy problem, asking whether appropriation is lawful under the treaty commitments in force</w:t>
      </w:r>
      <w:r>
        <w:t xml:space="preserve"> </w:t>
      </w:r>
      <w:hyperlink w:anchor="ref-15">
        <w:r>
          <w:rPr>
            <w:rStyle w:val="Hyperlink"/>
          </w:rPr>
          <w:t xml:space="preserve">[15]</w:t>
        </w:r>
      </w:hyperlink>
      <w:r>
        <w:t xml:space="preserve">. The corpus holds both readings, and that they seldom cite each other is itself part of the split the dissertation measures.</w:t>
      </w:r>
    </w:p>
    <w:p>
      <w:pPr>
        <w:pStyle w:val="BodyText"/>
        <w:spacing w:line="480" w:lineRule="auto"/>
        <w:ind w:firstLine="720"/>
      </w:pPr>
      <w:r>
        <w:t xml:space="preserve">A third debate is technical and turns on custody and characterization, the power to know where objects are and what surfaces and sites are like</w:t>
      </w:r>
      <w:r>
        <w:t xml:space="preserve"> </w:t>
      </w:r>
      <w:hyperlink w:anchor="ref-3">
        <w:r>
          <w:rPr>
            <w:rStyle w:val="Hyperlink"/>
          </w:rPr>
          <w:t xml:space="preserve">[3]</w:t>
        </w:r>
      </w:hyperlink>
      <w:r>
        <w:t xml:space="preserve"> </w:t>
      </w:r>
      <w:hyperlink w:anchor="ref-9">
        <w:r>
          <w:rPr>
            <w:rStyle w:val="Hyperlink"/>
          </w:rPr>
          <w:t xml:space="preserve">[9]</w:t>
        </w:r>
      </w:hyperlink>
      <w:r>
        <w:t xml:space="preserve">. It looks purely operational, yet it underwrites both orders, because neither a safety-zone regime nor a sustainability regime can run without the power to observe compliance</w:t>
      </w:r>
      <w:r>
        <w:t xml:space="preserve"> </w:t>
      </w:r>
      <w:hyperlink w:anchor="ref-6">
        <w:r>
          <w:rPr>
            <w:rStyle w:val="Hyperlink"/>
          </w:rPr>
          <w:t xml:space="preserve">[6]</w:t>
        </w:r>
      </w:hyperlink>
      <w:r>
        <w:t xml:space="preserve"> </w:t>
      </w:r>
      <w:hyperlink w:anchor="ref-14">
        <w:r>
          <w:rPr>
            <w:rStyle w:val="Hyperlink"/>
          </w:rPr>
          <w:t xml:space="preserve">[14]</w:t>
        </w:r>
      </w:hyperlink>
      <w:r>
        <w:t xml:space="preserve">. The corpus is heaviest here, one reason the technical venue family shoulders so much of the sample’s signal, and a reminder that the governance question rests on a base of capability the governance literature rarely credits</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bookmarkEnd w:id="79"/>
    <w:bookmarkStart w:id="80" w:name="Xf12b4332ae05c15741ea691f893d101d5d96838"/>
    <w:p>
      <w:pPr>
        <w:pStyle w:val="Heading2"/>
        <w:spacing w:line="480" w:lineRule="auto"/>
      </w:pPr>
      <w:r>
        <w:t xml:space="preserve">2.9 What a strong finding would have looked like</w:t>
      </w:r>
    </w:p>
    <w:p>
      <w:pPr>
        <w:pStyle w:val="FirstParagraph"/>
        <w:spacing w:line="480" w:lineRule="auto"/>
      </w:pPr>
      <w:r>
        <w:t xml:space="preserve">Fixing what success would look like ahead of time sharpens what the literature review is preparing. A strong finding, the kind that would let the dissertation speak with confidence to the two-orders question, would show the governance signal climbing in recent work, reaching across venue families rather than pooling in one, and pulling citation notice as it climbed</w:t>
      </w:r>
      <w:r>
        <w:t xml:space="preserve"> </w:t>
      </w:r>
      <w:hyperlink w:anchor="ref-1">
        <w:r>
          <w:rPr>
            <w:rStyle w:val="Hyperlink"/>
          </w:rPr>
          <w:t xml:space="preserve">[1]</w:t>
        </w:r>
      </w:hyperlink>
      <w:r>
        <w:t xml:space="preserve"> </w:t>
      </w:r>
      <w:hyperlink w:anchor="ref-4">
        <w:r>
          <w:rPr>
            <w:rStyle w:val="Hyperlink"/>
          </w:rPr>
          <w:t xml:space="preserve">[4]</w:t>
        </w:r>
      </w:hyperlink>
      <w:r>
        <w:t xml:space="preserve">. Such a pattern would say the field’s governance conversation is intensifying, widening, and gaining sway, which is the bibliometric mark of a debate actively remaking a field rather than sitting dead inside it</w:t>
      </w:r>
      <w:r>
        <w:t xml:space="preserve"> </w:t>
      </w:r>
      <w:hyperlink w:anchor="ref-10">
        <w:r>
          <w:rPr>
            <w:rStyle w:val="Hyperlink"/>
          </w:rPr>
          <w:t xml:space="preserve">[10]</w:t>
        </w:r>
      </w:hyperlink>
      <w:r>
        <w:t xml:space="preserve">. Under convergence, one would look on top of that for the vocabularies of the two orders to blur, technical, economic, and governance records sharing more terms and citations over time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literature reviewed here hints, before any estimation runs, that this strong pattern is unlikely to appear cleanly, because the currents demonstrably fail to meet and the governance conversation is scattered rather than pooled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prior hunch is no substitute for the test; it is a hypothesis the test will meet. Setting it down now means that when Chapter 6 reports a null-leaning cross-sectional result and a clean age-elasticity, the reader can weigh the outcome against a stated expectation rather than a shifting one</w:t>
      </w:r>
      <w:r>
        <w:t xml:space="preserve"> </w:t>
      </w:r>
      <w:hyperlink w:anchor="ref-6">
        <w:r>
          <w:rPr>
            <w:rStyle w:val="Hyperlink"/>
          </w:rPr>
          <w:t xml:space="preserve">[6]</w:t>
        </w:r>
      </w:hyperlink>
      <w:r>
        <w:t xml:space="preserve"> </w:t>
      </w:r>
      <w:hyperlink w:anchor="ref-11">
        <w:r>
          <w:rPr>
            <w:rStyle w:val="Hyperlink"/>
          </w:rPr>
          <w:t xml:space="preserve">[11]</w:t>
        </w:r>
      </w:hyperlink>
      <w:r>
        <w:t xml:space="preserve">. A literature review’s worth, in the end, is not only to sum up what is known but to specify what a study would have to find in order to move what is known, and specifying that is what this chapter has tried to do</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80"/>
    <w:bookmarkEnd w:id="81"/>
    <w:bookmarkStart w:id="93"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pays its way by naming what to expect and what would count as being wrong. This one runs modest, and the modesty is chosen. It holds that once a governance question turns consequential in a field, the field’s own published record starts to bear marks of that consequence, and the marks are readable in the timing, the attention, and the venue structure of the literature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Artemis question is that governance question. The retrieved corpus is that record. The marks are the variables. If the theory holds, the marks come out patterned; if it fails, they come out as noise.</w:t>
      </w:r>
    </w:p>
    <w:bookmarkStart w:id="82" w:name="the-mechanism"/>
    <w:p>
      <w:pPr>
        <w:pStyle w:val="Heading2"/>
        <w:spacing w:line="480" w:lineRule="auto"/>
      </w:pPr>
      <w:r>
        <w:t xml:space="preserve">3.1 The mechanism</w:t>
      </w:r>
    </w:p>
    <w:p>
      <w:pPr>
        <w:pStyle w:val="FirstParagraph"/>
        <w:spacing w:line="480" w:lineRule="auto"/>
      </w:pPr>
      <w:r>
        <w:t xml:space="preserve">The mechanism works through how authors behave and how the institutions that publish them behave.</w:t>
      </w:r>
    </w:p>
    <w:p>
      <w:pPr>
        <w:pStyle w:val="BodyText"/>
        <w:spacing w:line="480" w:lineRule="auto"/>
        <w:ind w:firstLine="720"/>
      </w:pPr>
      <w:r>
        <w:t xml:space="preserve">Let a topic gain salience, and three things tend to befall the record it throws off. Recent work leans on it harder, so signal intensity rises with recency. Work that takes it up draws citation notice, so signal and attention travel together. And the venues hosting the talk shift, because governance-tinged work tends to move out of narrow technical conferences toward journals and policy outlets that reach further</w:t>
      </w:r>
      <w:r>
        <w:t xml:space="preserve"> </w:t>
      </w:r>
      <w:hyperlink w:anchor="ref-10">
        <w:r>
          <w:rPr>
            <w:rStyle w:val="Hyperlink"/>
          </w:rPr>
          <w:t xml:space="preserve">[10]</w:t>
        </w:r>
      </w:hyperlink>
      <w:r>
        <w:t xml:space="preserve">. Each is a visible consequence of an invisible process, the swelling importance of the topic to the people writing about it. Not one of the three marks is bound to move. A field can care fiercely about a question while filing its concern inside technical papers whose metadata never speaks the governance stake aloud, and then the venue mark fades even where the underlying salience is real</w:t>
      </w:r>
      <w:r>
        <w:t xml:space="preserve"> </w:t>
      </w:r>
      <w:hyperlink w:anchor="ref-1">
        <w:r>
          <w:rPr>
            <w:rStyle w:val="Hyperlink"/>
          </w:rPr>
          <w:t xml:space="preserve">[1]</w:t>
        </w:r>
      </w:hyperlink>
      <w:r>
        <w:t xml:space="preserve">. Attention can trail salience by years, since citations gather slowly and a fresh paper on a hot topic may sit uncited for a while</w:t>
      </w:r>
      <w:r>
        <w:t xml:space="preserve"> </w:t>
      </w:r>
      <w:hyperlink w:anchor="ref-7">
        <w:r>
          <w:rPr>
            <w:rStyle w:val="Hyperlink"/>
          </w:rPr>
          <w:t xml:space="preserve">[7]</w:t>
        </w:r>
      </w:hyperlink>
      <w:r>
        <w:t xml:space="preserve">. The theory does not insist all three marks fire. It insists each mark carry a settled meaning, so the ones that move can be read, and the ones that stay flat can be taken as telling silence rather than failure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82"/>
    <w:bookmarkStart w:id="83" w:name="why-recency-should-matter"/>
    <w:p>
      <w:pPr>
        <w:pStyle w:val="Heading2"/>
        <w:spacing w:line="480" w:lineRule="auto"/>
      </w:pPr>
      <w:r>
        <w:t xml:space="preserve">3.2 Why recency should matter</w:t>
      </w:r>
    </w:p>
    <w:p>
      <w:pPr>
        <w:pStyle w:val="FirstParagraph"/>
        <w:spacing w:line="480" w:lineRule="auto"/>
      </w:pPr>
      <w:r>
        <w:t xml:space="preserve">Recency is the cleanest of the three marks. A governance question genuinely on the rise ought to show up more in newer work than older, because a field’s attention is finite and swings toward live problems</w:t>
      </w:r>
      <w:r>
        <w:t xml:space="preserve"> </w:t>
      </w:r>
      <w:hyperlink w:anchor="ref-4">
        <w:r>
          <w:rPr>
            <w:rStyle w:val="Hyperlink"/>
          </w:rPr>
          <w:t xml:space="preserve">[4]</w:t>
        </w:r>
      </w:hyperlink>
      <w:r>
        <w:t xml:space="preserve">. The Artemis Accords are a fresh instrument. The commercialization-versus-sustainability debate around them has sharpened over the past few years</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If salience is real, the newest records in the corpus should carry the strongest signal, and the recency coefficient should come back positive. The counter-theory is just as sharp. If the signal is a relic of retrieval rather than a real feature of the field, recency should hold no dependable tie to it, because the retrieval process has no idea which year a governance question went live. So a flat or imprecise recency coefficient is not a null to be waved off. It stands as direct evidence against the claim that the topic is rising in the record at all</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3"/>
    <w:bookmarkStart w:id="84" w:name="why-attention-should-matter"/>
    <w:p>
      <w:pPr>
        <w:pStyle w:val="Heading2"/>
        <w:spacing w:line="480" w:lineRule="auto"/>
      </w:pPr>
      <w:r>
        <w:t xml:space="preserve">3.3 Why attention should matter</w:t>
      </w:r>
    </w:p>
    <w:p>
      <w:pPr>
        <w:pStyle w:val="FirstParagraph"/>
        <w:spacing w:line="480" w:lineRule="auto"/>
      </w:pPr>
      <w:r>
        <w:t xml:space="preserve">Citation attention is the second mark, and the noisiest. In principle, work engaging a consequential governance question should pull citations, so higher-signal records should also run higher on attention</w:t>
      </w:r>
      <w:r>
        <w:t xml:space="preserve"> </w:t>
      </w:r>
      <w:hyperlink w:anchor="ref-5">
        <w:r>
          <w:rPr>
            <w:rStyle w:val="Hyperlink"/>
          </w:rPr>
          <w:t xml:space="preserve">[5]</w:t>
        </w:r>
      </w:hyperlink>
      <w:r>
        <w:t xml:space="preserve">. In practice, attention is muddied by everything that drives citation apart from governance salience: methodological novelty, an author’s standing, a venue’s prestige, and the plain accrual of time that lets citations mount</w:t>
      </w:r>
      <w:r>
        <w:t xml:space="preserve"> </w:t>
      </w:r>
      <w:hyperlink w:anchor="ref-7">
        <w:r>
          <w:rPr>
            <w:rStyle w:val="Hyperlink"/>
          </w:rPr>
          <w:t xml:space="preserve">[7]</w:t>
        </w:r>
      </w:hyperlink>
      <w:r>
        <w:t xml:space="preserve">. A record can rack up citations for reasons untethered to the Artemis question, and a record dead-center on the question can sit uncited simply for being new</w:t>
      </w:r>
      <w:r>
        <w:t xml:space="preserve"> </w:t>
      </w:r>
      <w:hyperlink w:anchor="ref-11">
        <w:r>
          <w:rPr>
            <w:rStyle w:val="Hyperlink"/>
          </w:rPr>
          <w:t xml:space="preserve">[11]</w:t>
        </w:r>
      </w:hyperlink>
      <w:r>
        <w:t xml:space="preserve">.</w:t>
      </w:r>
    </w:p>
    <w:p>
      <w:pPr>
        <w:pStyle w:val="BodyText"/>
        <w:spacing w:line="480" w:lineRule="auto"/>
        <w:ind w:firstLine="720"/>
      </w:pPr>
      <w:r>
        <w:t xml:space="preserve">So the theory predicts a positive tie between signal and attention only under the alternative, and it reads an imprecise or wrong-signed attention coefficient as consistent with the null.</w:t>
      </w:r>
    </w:p>
    <w:p>
      <w:pPr>
        <w:pStyle w:val="BodyText"/>
        <w:spacing w:line="480" w:lineRule="auto"/>
        <w:ind w:firstLine="720"/>
      </w:pPr>
      <w:r>
        <w:t xml:space="preserve">The bar is demanding. The design cannot claim a win off a coefficient that merely leans the right way. The coefficient has to be precise enough to tell the alternative from the null, and the small sample makes precision hard to come by</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bookmarkEnd w:id="84"/>
    <w:bookmarkStart w:id="85" w:name="why-venue-should-matter"/>
    <w:p>
      <w:pPr>
        <w:pStyle w:val="Heading2"/>
        <w:spacing w:line="480" w:lineRule="auto"/>
      </w:pPr>
      <w:r>
        <w:t xml:space="preserve">3.4 Why venue should matter</w:t>
      </w:r>
    </w:p>
    <w:p>
      <w:pPr>
        <w:pStyle w:val="FirstParagraph"/>
        <w:spacing w:line="480" w:lineRule="auto"/>
      </w:pPr>
      <w:r>
        <w:t xml:space="preserve">Venue family is the third mark, and the most structural. The corpus straddles three venue families parting on audience and governance bent: a technical conference line, a peer-reviewed journal line, and a policy and economic line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theory’s read on venue is subtle. Governance-tinged work should drift toward broader venues, so a naive read predicts higher venue-family codes carrying higher signal. But the technical conference line, for all its narrow governance framing, is also where much of the operational groundwork for governance gets laid, so the signal can pool there for reasons that have nothing to do with policy breadth</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Because the venue code is ordinal rather than cardinal, the theory declines to over-specify its prediction.</w:t>
      </w:r>
    </w:p>
    <w:p>
      <w:pPr>
        <w:pStyle w:val="BodyText"/>
        <w:spacing w:line="480" w:lineRule="auto"/>
        <w:ind w:firstLine="720"/>
      </w:pPr>
      <w:r>
        <w:t xml:space="preserve">It looks for venue to bear some tie to signal, and it treats the sign of that tie as a substantive finding to be read rather than a hypothesis to be confirmed. A negative venue coefficient, say, would announce that the strongest topic signal sits in the technical family rather than the policy family, a meaningful statement about where the governance conversation actually resides</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85"/>
    <w:bookmarkStart w:id="86" w:name="the-attention-accumulation-prediction"/>
    <w:p>
      <w:pPr>
        <w:pStyle w:val="Heading2"/>
        <w:spacing w:line="480" w:lineRule="auto"/>
      </w:pPr>
      <w:r>
        <w:t xml:space="preserve">3.5 The attention-accumulation prediction</w:t>
      </w:r>
    </w:p>
    <w:p>
      <w:pPr>
        <w:pStyle w:val="FirstParagraph"/>
        <w:spacing w:line="480" w:lineRule="auto"/>
      </w:pPr>
      <w:r>
        <w:t xml:space="preserve">Alongside the cross-sectional marks, the theory ventures a dynamic prediction about how attention gathers with age. Learning-curve reasoning holds that cumulative attention grows with experience at a slowing rate, which in a citation setting cashes out to a specific expectation: older records should carry more citations than newer ones, but the tie between age and log-citation should be describable by a single elasticity</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This is the second estimator’s ground. The prediction is that the elasticity of citation-plus-one against age is nonzero and estimable, which would settle that attention in this corpus is age-structured rather than random. The null for this prediction says citation accumulation bears no tie to age, that a paper’s citation count holds no dependable relation to how long it has been out. Rejecting that null would not show the Artemis topic is special; every literature gathers citations with age. It would show the corpus behaves like a normal citation record, the necessary check on whether the attention variable in the first estimator carries any meaning at all</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86"/>
    <w:bookmarkStart w:id="87" w:name="the-hypotheses-stated"/>
    <w:p>
      <w:pPr>
        <w:pStyle w:val="Heading2"/>
        <w:spacing w:line="480" w:lineRule="auto"/>
      </w:pPr>
      <w:r>
        <w:t xml:space="preserve">3.6 The hypotheses stated</w:t>
      </w:r>
    </w:p>
    <w:p>
      <w:pPr>
        <w:pStyle w:val="FirstParagraph"/>
        <w:spacing w:line="480" w:lineRule="auto"/>
      </w:pPr>
      <w:r>
        <w:t xml:space="preserve">The framework hands back two paired hypotheses, one per estimator. For the cross-sectional model, the null holds that the topic-signal score bears no tie to publication recency, citation attention, and venue family, while the alternative holds that signal climbs with recency and attention and carries a structured tie to venue</w:t>
      </w:r>
      <w:r>
        <w:t xml:space="preserve"> </w:t>
      </w:r>
      <w:hyperlink w:anchor="ref-3">
        <w:r>
          <w:rPr>
            <w:rStyle w:val="Hyperlink"/>
          </w:rPr>
          <w:t xml:space="preserve">[3]</w:t>
        </w:r>
      </w:hyperlink>
      <w:r>
        <w:t xml:space="preserve"> </w:t>
      </w:r>
      <w:hyperlink w:anchor="ref-6">
        <w:r>
          <w:rPr>
            <w:rStyle w:val="Hyperlink"/>
          </w:rPr>
          <w:t xml:space="preserve">[6]</w:t>
        </w:r>
      </w:hyperlink>
      <w:r>
        <w:t xml:space="preserve">. For the accumulation model, the null holds that citation accumulation bears no tie to article age, while the alternative holds that citation growth traces a measurable, age-based attention curve with a nonzero elasticity</w:t>
      </w:r>
      <w:r>
        <w:t xml:space="preserve"> </w:t>
      </w:r>
      <w:hyperlink w:anchor="ref-7">
        <w:r>
          <w:rPr>
            <w:rStyle w:val="Hyperlink"/>
          </w:rPr>
          <w:t xml:space="preserve">[7]</w:t>
        </w:r>
      </w:hyperlink>
      <w:r>
        <w:t xml:space="preserve"> </w:t>
      </w:r>
      <w:hyperlink w:anchor="ref-11">
        <w:r>
          <w:rPr>
            <w:rStyle w:val="Hyperlink"/>
          </w:rPr>
          <w:t xml:space="preserve">[11]</w:t>
        </w:r>
      </w:hyperlink>
      <w:r>
        <w:t xml:space="preserve">. Both hypotheses are falsifiable in the strict sense. Each names an estimator, a set of variables, and a decision rule another analyst could carry to the same thirty records and reach the same verdict. The theory does not vow the alternative will prevail. It vows only that whichever way the numbers fall, the outcome will be readable, because each coefficient’s meaning was fixed before the coefficient was seen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vow, to settle significance before observing it, is what stops the design from bending its theory to whatever the data happened to yield.</w:t>
      </w:r>
    </w:p>
    <w:bookmarkEnd w:id="87"/>
    <w:bookmarkStart w:id="88" w:name="X9b2993b32854d5d16968e5bf69c974b280d4a30"/>
    <w:p>
      <w:pPr>
        <w:pStyle w:val="Heading2"/>
        <w:spacing w:line="480" w:lineRule="auto"/>
      </w:pPr>
      <w:r>
        <w:t xml:space="preserve">3.7 The mechanism under alternative assumptions</w:t>
      </w:r>
    </w:p>
    <w:p>
      <w:pPr>
        <w:pStyle w:val="FirstParagraph"/>
        <w:spacing w:line="480" w:lineRule="auto"/>
      </w:pPr>
      <w:r>
        <w:t xml:space="preserve">A sturdy theory ought to weather shifts in its background assumptions, so it pays to ask how the mechanism behaves once the standing assumptions loosen. Say authors do not swing attention toward live governance questions as briskly as the mechanism supposes, because publication cycles run long and a paper conceived before an instrument was signed still lands after it. Under that slower-clock assumption the recency mark fades even where salience is real, and the theory predicts an attenuated recency coefficient rather than a null one</w:t>
      </w:r>
      <w:r>
        <w:t xml:space="preserve"> </w:t>
      </w:r>
      <w:hyperlink w:anchor="ref-4">
        <w:r>
          <w:rPr>
            <w:rStyle w:val="Hyperlink"/>
          </w:rPr>
          <w:t xml:space="preserve">[4]</w:t>
        </w:r>
      </w:hyperlink>
      <w:r>
        <w:t xml:space="preserve">. Thirty records cannot tell attenuation from absence, but the direction of the prediction survives, which is what matters for reading it. Say instead that venue behavior runs stickier than the mechanism supposes, because scholars publish where their community publishes whatever a topic’s governance breadth. Under that sticky-venue assumption, governance-tinged work stays in the technical family rather than drifting toward policy outlets, and the venue coefficient turns negative rather than positive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theory takes that outcome in stride, reading a negative venue coefficient as a substantive statement that the governance conversation lives inside technical work, not as a refutation. A mechanism that predicts only one sign of a coefficient is brittle; one that hands meaning to each possible sign is the more useful instrument</w:t>
      </w:r>
      <w:r>
        <w:t xml:space="preserve"> </w:t>
      </w:r>
      <w:hyperlink w:anchor="ref-9">
        <w:r>
          <w:rPr>
            <w:rStyle w:val="Hyperlink"/>
          </w:rPr>
          <w:t xml:space="preserve">[9]</w:t>
        </w:r>
      </w:hyperlink>
      <w:r>
        <w:t xml:space="preserve">.</w:t>
      </w:r>
    </w:p>
    <w:p>
      <w:pPr>
        <w:pStyle w:val="BodyText"/>
        <w:spacing w:line="480" w:lineRule="auto"/>
        <w:ind w:firstLine="720"/>
      </w:pPr>
      <w:r>
        <w:t xml:space="preserve">The attention mark is the most assumption-sensitive of the three. If citation practice in this corpus runs on methodological rather than topical citation, then attention comes loose from governance signal altogether, and the mechanism predicts a weak or wrong-signed attention coefficient even under the alternative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theory braces for this by refusing to treat attention as a clean proxy for salience and by building the second estimator precisely to check whether attention behaves lawfully at all. The mechanism, put briefly, is made to stay readable across a spread of plausible background conditions rather than to hold under one polished set</w:t>
      </w:r>
      <w:r>
        <w:t xml:space="preserve"> </w:t>
      </w:r>
      <w:hyperlink w:anchor="ref-11">
        <w:r>
          <w:rPr>
            <w:rStyle w:val="Hyperlink"/>
          </w:rPr>
          <w:t xml:space="preserve">[11]</w:t>
        </w:r>
      </w:hyperlink>
      <w:r>
        <w:t xml:space="preserve">.</w:t>
      </w:r>
    </w:p>
    <w:bookmarkEnd w:id="88"/>
    <w:bookmarkStart w:id="89" w:name="X6b25dd04f014b231490732c13e65093e213f9c4"/>
    <w:p>
      <w:pPr>
        <w:pStyle w:val="Heading2"/>
        <w:spacing w:line="480" w:lineRule="auto"/>
      </w:pPr>
      <w:r>
        <w:t xml:space="preserve">3.8 Auxiliary predictions and consistency conditions</w:t>
      </w:r>
    </w:p>
    <w:p>
      <w:pPr>
        <w:pStyle w:val="FirstParagraph"/>
        <w:spacing w:line="480" w:lineRule="auto"/>
      </w:pPr>
      <w:r>
        <w:t xml:space="preserve">Past the two headline hypotheses, the theory implies several consistency conditions a well-behaved corpus should satisfy, and stating them adds discipline. First, the age index in the second model and the recency index in the first should sit as near-perfect mirror images, since both encode the same publication-year information in opposite directions</w:t>
      </w:r>
      <w:r>
        <w:t xml:space="preserve"> </w:t>
      </w:r>
      <w:hyperlink w:anchor="ref-4">
        <w:r>
          <w:rPr>
            <w:rStyle w:val="Hyperlink"/>
          </w:rPr>
          <w:t xml:space="preserve">[4]</w:t>
        </w:r>
      </w:hyperlink>
      <w:r>
        <w:t xml:space="preserve">. Were they not, something in the data construction would be off, and the mirror relation stands as an internal check on provenance. Second, the baseline signal level, caught by the constant in the first model, should read clearly positive, because every record in the corpus was retrieved for topical relevance and so carries at least some theme density by build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Third, the elasticity in the second model should be estimable and its sign should track the ordinary shape of a citation record, where older work has had more time to gather citations while recent work has yet to cash in its eventual notice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A wildly positive elasticity would be a warning that the age variable or the citation variable is corrupted. These auxiliary predictions do not test the governance question directly, but they test whether the machinery behind the headline results is sound, and a design that skipped them would have no way to tell a genuine null from a broken pipeline</w:t>
      </w:r>
      <w:r>
        <w:t xml:space="preserve"> </w:t>
      </w:r>
      <w:hyperlink w:anchor="ref-5">
        <w:r>
          <w:rPr>
            <w:rStyle w:val="Hyperlink"/>
          </w:rPr>
          <w:t xml:space="preserve">[5]</w:t>
        </w:r>
      </w:hyperlink>
      <w:r>
        <w:t xml:space="preserve">. So the theory pays its way twice: once by naming what the governance marks would mean, and once by fixing the sanity conditions under which those marks can be trusted at all</w:t>
      </w:r>
      <w:r>
        <w:t xml:space="preserve"> </w:t>
      </w:r>
      <w:hyperlink w:anchor="ref-13">
        <w:r>
          <w:rPr>
            <w:rStyle w:val="Hyperlink"/>
          </w:rPr>
          <w:t xml:space="preserve">[13]</w:t>
        </w:r>
      </w:hyperlink>
      <w:r>
        <w:t xml:space="preserve">.</w:t>
      </w:r>
    </w:p>
    <w:bookmarkEnd w:id="89"/>
    <w:bookmarkStart w:id="90" w:name="X9451c834e34a33142517bb435ed9d0c8c727b7f"/>
    <w:p>
      <w:pPr>
        <w:pStyle w:val="Heading2"/>
        <w:spacing w:line="480" w:lineRule="auto"/>
      </w:pPr>
      <w:r>
        <w:t xml:space="preserve">3.9 The convergence and divergence signatures</w:t>
      </w:r>
    </w:p>
    <w:p>
      <w:pPr>
        <w:pStyle w:val="FirstParagraph"/>
        <w:spacing w:line="480" w:lineRule="auto"/>
      </w:pPr>
      <w:r>
        <w:t xml:space="preserve">The two-orders question can be handed a bibliometric signature, and fixing that signature ties the abstract theory to something the estimators could in principle catch. Under convergence, the marks should move together and across boundaries: recent work carrying rising signal, that signal spanning venue families rather than sitting in one, and citation flowing among the technical, economic, and governance currents as they fuse into a shared conversation</w:t>
      </w:r>
      <w:r>
        <w:t xml:space="preserve"> </w:t>
      </w:r>
      <w:hyperlink w:anchor="ref-1">
        <w:r>
          <w:rPr>
            <w:rStyle w:val="Hyperlink"/>
          </w:rPr>
          <w:t xml:space="preserve">[1]</w:t>
        </w:r>
      </w:hyperlink>
      <w:r>
        <w:t xml:space="preserve"> </w:t>
      </w:r>
      <w:hyperlink w:anchor="ref-10">
        <w:r>
          <w:rPr>
            <w:rStyle w:val="Hyperlink"/>
          </w:rPr>
          <w:t xml:space="preserve">[10]</w:t>
        </w:r>
      </w:hyperlink>
      <w:r>
        <w:t xml:space="preserve">. A field assembling one order under two names would leave a record where the vocabulary blurs and the currents begin citing one another, which a signal-scoring instrument would register as rising, cross-venue theme density</w:t>
      </w:r>
      <w:r>
        <w:t xml:space="preserve"> </w:t>
      </w:r>
      <w:hyperlink w:anchor="ref-10">
        <w:r>
          <w:rPr>
            <w:rStyle w:val="Hyperlink"/>
          </w:rPr>
          <w:t xml:space="preserve">[10]</w:t>
        </w:r>
      </w:hyperlink>
      <w:r>
        <w:t xml:space="preserve">. Under divergence, the signature differs and, in a way, is easier to catch. Divergence would show the currents hardening rather than blurring, with governance signal pooling within venue families and citation flowing inside currents rather than across them</w:t>
      </w:r>
      <w:r>
        <w:t xml:space="preserve"> </w:t>
      </w:r>
      <w:hyperlink w:anchor="ref-3">
        <w:r>
          <w:rPr>
            <w:rStyle w:val="Hyperlink"/>
          </w:rPr>
          <w:t xml:space="preserve">[3]</w:t>
        </w:r>
      </w:hyperlink>
      <w:r>
        <w:t xml:space="preserve"> </w:t>
      </w:r>
      <w:hyperlink w:anchor="ref-15">
        <w:r>
          <w:rPr>
            <w:rStyle w:val="Hyperlink"/>
          </w:rPr>
          <w:t xml:space="preserve">[15]</w:t>
        </w:r>
      </w:hyperlink>
      <w:r>
        <w:t xml:space="preserve">. Recent work would still carry the topic, but carry it in sealed compartments, each addressing its own audience, which a venue coefficient would register as a strong tie between venue family and signal</w:t>
      </w:r>
      <w:r>
        <w:t xml:space="preserve"> </w:t>
      </w:r>
      <w:hyperlink w:anchor="ref-9">
        <w:r>
          <w:rPr>
            <w:rStyle w:val="Hyperlink"/>
          </w:rPr>
          <w:t xml:space="preserve">[9]</w:t>
        </w:r>
      </w:hyperlink>
      <w:r>
        <w:t xml:space="preserve">. The corpus reviewed last chapter looked more like this second picture than the first, its currents demonstrably failing to meet, and so the theory points to a specific expectation: if anything at all is catchable in these thirty records, it is likelier venue pooling than cross-venue rise</w:t>
      </w:r>
      <w:r>
        <w:t xml:space="preserve"> </w:t>
      </w:r>
      <w:hyperlink w:anchor="ref-13">
        <w:r>
          <w:rPr>
            <w:rStyle w:val="Hyperlink"/>
          </w:rPr>
          <w:t xml:space="preserve">[13]</w:t>
        </w:r>
      </w:hyperlink>
      <w:r>
        <w:t xml:space="preserve">.</w:t>
      </w:r>
    </w:p>
    <w:p>
      <w:pPr>
        <w:pStyle w:val="BodyText"/>
        <w:spacing w:line="480" w:lineRule="auto"/>
        <w:ind w:firstLine="720"/>
      </w:pPr>
      <w:r>
        <w:t xml:space="preserve">Neither signature is guaranteed to read cleanly at this sample size, and the theory says so outright. A thirty-record corpus may be too small to resolve either pattern, in which case the honest outcome is a null on the cross-sectional marks paired with whatever the accumulation model can catch about the citation record</w:t>
      </w:r>
      <w:r>
        <w:t xml:space="preserve"> </w:t>
      </w:r>
      <w:hyperlink w:anchor="ref-5">
        <w:r>
          <w:rPr>
            <w:rStyle w:val="Hyperlink"/>
          </w:rPr>
          <w:t xml:space="preserve">[5]</w:t>
        </w:r>
      </w:hyperlink>
      <w:r>
        <w:t xml:space="preserve"> </w:t>
      </w:r>
      <w:hyperlink w:anchor="ref-11">
        <w:r>
          <w:rPr>
            <w:rStyle w:val="Hyperlink"/>
          </w:rPr>
          <w:t xml:space="preserve">[11]</w:t>
        </w:r>
      </w:hyperlink>
      <w:r>
        <w:t xml:space="preserve">. Fixing the two signatures in advance is what lets the eventual result read as evidence rather than as an inkblot. When the venue coefficient returns negative and suggestive, and the joint test returns insignificant, the reader can lay that outcome onto the divergence-leaning signature the theory drew, rather than grabbing for whatever reading the numbers seem to beg after the fact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90"/>
    <w:bookmarkStart w:id="91" w:name="from-prediction-to-test"/>
    <w:p>
      <w:pPr>
        <w:pStyle w:val="Heading2"/>
        <w:spacing w:line="480" w:lineRule="auto"/>
      </w:pPr>
      <w:r>
        <w:t xml:space="preserve">3.10 From prediction to test</w:t>
      </w:r>
    </w:p>
    <w:p>
      <w:pPr>
        <w:pStyle w:val="FirstParagraph"/>
        <w:spacing w:line="480" w:lineRule="auto"/>
      </w:pPr>
      <w:r>
        <w:t xml:space="preserve">The move from prediction to test is where a theory turns falsifiable in practice, not merely in principle. Each of the theory’s predictions fastens to a specific coefficient in a specific estimator under a specific decision rule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recency prediction fastens to the sign and precision of the recency coefficient in the cross-sectional model. The attention prediction fastens to the citation coefficient in that same model, read against the second model’s verdict on whether the citation variable behaves lawfully</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The venue prediction fastens to the venue coefficient, read as a direction rather than a dose. And the accumulation prediction fastens to the age-elasticity in the learning-curve model, where a nonzero, precisely estimated slope would confirm that attention is age-structured</w:t>
      </w:r>
      <w:r>
        <w:t xml:space="preserve"> </w:t>
      </w:r>
      <w:hyperlink w:anchor="ref-7">
        <w:r>
          <w:rPr>
            <w:rStyle w:val="Hyperlink"/>
          </w:rPr>
          <w:t xml:space="preserve">[7]</w:t>
        </w:r>
      </w:hyperlink>
      <w:r>
        <w:t xml:space="preserve">. Fastening predictions to coefficients this tightly is what shuts the door on re-spinning results once they are seen. A theory that predicted only that something would turn up could claim vindication from any pattern; a theory that predicts which coefficient should move, in which direction, with what meaning, can be wrong, and being able to be wrong is the entire point</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chapters that follow assemble the estimators these predictions aim at and then report what those estimators found, holding each result against the prediction it was built to test rather than against a story stitched together once the numbers were in</w:t>
      </w:r>
      <w:r>
        <w:t xml:space="preserve"> </w:t>
      </w:r>
      <w:hyperlink w:anchor="ref-5">
        <w:r>
          <w:rPr>
            <w:rStyle w:val="Hyperlink"/>
          </w:rPr>
          <w:t xml:space="preserve">[5]</w:t>
        </w:r>
      </w:hyperlink>
      <w:r>
        <w:t xml:space="preserve"> </w:t>
      </w:r>
      <w:hyperlink w:anchor="ref-6">
        <w:r>
          <w:rPr>
            <w:rStyle w:val="Hyperlink"/>
          </w:rPr>
          <w:t xml:space="preserve">[6]</w:t>
        </w:r>
      </w:hyperlink>
      <w:r>
        <w:t xml:space="preserve">. That fidelity between prediction and test is the last thing the theoretical framework offers, and it is what makes the results, whatever they prove to be, readable as evidence about the two orders rather than as trim around a foregone conclusion</w:t>
      </w:r>
      <w:r>
        <w:t xml:space="preserve"> </w:t>
      </w:r>
      <w:hyperlink w:anchor="ref-11">
        <w:r>
          <w:rPr>
            <w:rStyle w:val="Hyperlink"/>
          </w:rPr>
          <w:t xml:space="preserve">[11]</w:t>
        </w:r>
      </w:hyperlink>
      <w:r>
        <w:t xml:space="preserve">.</w:t>
      </w:r>
    </w:p>
    <w:bookmarkEnd w:id="91"/>
    <w:bookmarkStart w:id="92" w:name="scope-conditions-of-the-theory"/>
    <w:p>
      <w:pPr>
        <w:pStyle w:val="Heading2"/>
        <w:spacing w:line="480" w:lineRule="auto"/>
      </w:pPr>
      <w:r>
        <w:t xml:space="preserve">3.11 Scope conditions of the theory</w:t>
      </w:r>
    </w:p>
    <w:p>
      <w:pPr>
        <w:pStyle w:val="FirstParagraph"/>
        <w:spacing w:line="480" w:lineRule="auto"/>
      </w:pPr>
      <w:r>
        <w:t xml:space="preserve">A theory is worth only as much as its stated scope, and this one runs under conditions worth naming. It supposes the retrieved corpus is a reasonable, if partial, reflection of the field’s published record on the topic, so that marks in the corpus stand in for marks in the literature</w:t>
      </w:r>
      <w:r>
        <w:t xml:space="preserve"> </w:t>
      </w:r>
      <w:hyperlink w:anchor="ref-1">
        <w:r>
          <w:rPr>
            <w:rStyle w:val="Hyperlink"/>
          </w:rPr>
          <w:t xml:space="preserve">[1]</w:t>
        </w:r>
      </w:hyperlink>
      <w:r>
        <w:t xml:space="preserve"> </w:t>
      </w:r>
      <w:hyperlink w:anchor="ref-5">
        <w:r>
          <w:rPr>
            <w:rStyle w:val="Hyperlink"/>
          </w:rPr>
          <w:t xml:space="preserve">[5]</w:t>
        </w:r>
      </w:hyperlink>
      <w:r>
        <w:t xml:space="preserve">. It supposes metadata carries at least some information about content, so that a term-density score serves as a usable proxy for topical relevance even while it stays shallow</w:t>
      </w:r>
      <w:r>
        <w:t xml:space="preserve"> </w:t>
      </w:r>
      <w:hyperlink w:anchor="ref-3">
        <w:r>
          <w:rPr>
            <w:rStyle w:val="Hyperlink"/>
          </w:rPr>
          <w:t xml:space="preserve">[3]</w:t>
        </w:r>
      </w:hyperlink>
      <w:r>
        <w:t xml:space="preserve"> </w:t>
      </w:r>
      <w:hyperlink w:anchor="ref-6">
        <w:r>
          <w:rPr>
            <w:rStyle w:val="Hyperlink"/>
          </w:rPr>
          <w:t xml:space="preserve">[6]</w:t>
        </w:r>
      </w:hyperlink>
      <w:r>
        <w:t xml:space="preserve">. And it supposes citation, however roughly recorded, tracks attention closely enough that an age-structured citation record says something about how the field parcels out its notice over time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Where these suppositions hold, the marks are readable; where they buckle, the theory offers nothing, and the design admits it rather than pretending its reach is boundless</w:t>
      </w:r>
      <w:r>
        <w:t xml:space="preserve"> </w:t>
      </w:r>
      <w:hyperlink w:anchor="ref-13">
        <w:r>
          <w:rPr>
            <w:rStyle w:val="Hyperlink"/>
          </w:rPr>
          <w:t xml:space="preserve">[13]</w:t>
        </w:r>
      </w:hyperlink>
      <w:r>
        <w:t xml:space="preserve">. Past these scope conditions the framework should stay unused. It would not, for one, back inference about state behavior, negotiation outcomes, or the legal standing of the Accords, because none of those leave the bibliometric marks the theory is built to read</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This is a theory of how a governance question shows up in a published record, not a theory of governance, and mixing the two would be the most basic misuse of it</w:t>
      </w:r>
      <w:r>
        <w:t xml:space="preserve"> </w:t>
      </w:r>
      <w:hyperlink w:anchor="ref-5">
        <w:r>
          <w:rPr>
            <w:rStyle w:val="Hyperlink"/>
          </w:rPr>
          <w:t xml:space="preserve">[5]</w:t>
        </w:r>
      </w:hyperlink>
      <w:r>
        <w:t xml:space="preserve">. Stating the scope this tightly is no weakness but a form of precision: a theory that claimed to explain the whole two-orders question from thirty records would read as less credible, not more, and this framework’s worth lies exactly in knowing what it can and cannot license</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92"/>
    <w:bookmarkEnd w:id="93"/>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walks through the two estimators, why each suits its question, and what identification claim each can honestly carry. The design is cross-sectional and observational. It builds no experiment where none exists, and it makes no pretense that metadata can recover a causal policy effect. What it can recover is structure: whether the retrieved record is ordered along the dimensions the theory names, and whether that ordering reads sharply enough to tell the alternative hypothesis from the null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94" w:name="X06622fb166e6f6ac98c3c6a983e8b4d55dc3256"/>
    <w:p>
      <w:pPr>
        <w:pStyle w:val="Heading2"/>
        <w:spacing w:line="480" w:lineRule="auto"/>
      </w:pPr>
      <w:r>
        <w:t xml:space="preserve">4.1 The first estimator: ordinary least squares</w:t>
      </w:r>
    </w:p>
    <w:p>
      <w:pPr>
        <w:pStyle w:val="FirstParagraph"/>
        <w:spacing w:line="480" w:lineRule="auto"/>
      </w:pPr>
      <w:r>
        <w:t xml:space="preserve">The first estimator regresses topic-signal score, by ordinary least squares, on three predictors: a recency index, a citation count, and an ordinal venue-family score.</w:t>
      </w:r>
    </w:p>
    <w:p>
      <w:pPr>
        <w:pStyle w:val="BodyText"/>
        <w:spacing w:line="480" w:lineRule="auto"/>
        <w:ind w:firstLine="720"/>
      </w:pPr>
      <w:r>
        <w:t xml:space="preserve">The specification is linear and additive. A record’s signal score equals a constant plus a coefficient on recency, plus a coefficient on citations, plus a coefficient on venue, plus an error term. Written compactly, SignalScore equals alpha plus beta-one times RecencyIndex plus beta-two times Cites plus beta-three times VenueScore plus epsilon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Three reasons make ordinary least squares the right baseline here. The outcome is a bounded count that behaves acceptably as a continuous quantity over its observed range, so a linear model is not plainly mis-specified. The predictors run few and interpretable, so each coefficient answers a specific question drawn from the theory rather than serving as a black-box input. And the small sample turns parsimony into a virtue, since a fancier model would burn degrees of freedom the data cannot spare</w:t>
      </w:r>
      <w:r>
        <w:t xml:space="preserve"> </w:t>
      </w:r>
      <w:hyperlink w:anchor="ref-2">
        <w:r>
          <w:rPr>
            <w:rStyle w:val="Hyperlink"/>
          </w:rPr>
          <w:t xml:space="preserve">[2]</w:t>
        </w:r>
      </w:hyperlink>
      <w:r>
        <w:t xml:space="preserve"> </w:t>
      </w:r>
      <w:hyperlink w:anchor="ref-13">
        <w:r>
          <w:rPr>
            <w:rStyle w:val="Hyperlink"/>
          </w:rPr>
          <w:t xml:space="preserve">[13]</w:t>
        </w:r>
      </w:hyperlink>
      <w:r>
        <w:t xml:space="preserve">. The aim is not to squeeze out fit. The aim is coefficients you can read, whose precision you can weigh in good faith.</w:t>
      </w:r>
    </w:p>
    <w:p>
      <w:pPr>
        <w:pStyle w:val="BodyText"/>
        <w:spacing w:line="480" w:lineRule="auto"/>
        <w:ind w:firstLine="720"/>
      </w:pPr>
      <w:r>
        <w:t xml:space="preserve">Standard errors come from the HC1 heteroskedasticity-consistent correction. The choice earns its place. Across a corpus mixing venue families with sharply different citation behavior, the error variance is unlikely to hold constant, and pretending it does would undercut the stated uncertainty on the coefficients</w:t>
      </w:r>
      <w:r>
        <w:t xml:space="preserve"> </w:t>
      </w:r>
      <w:hyperlink w:anchor="ref-5">
        <w:r>
          <w:rPr>
            <w:rStyle w:val="Hyperlink"/>
          </w:rPr>
          <w:t xml:space="preserve">[5]</w:t>
        </w:r>
      </w:hyperlink>
      <w:r>
        <w:t xml:space="preserve">. The HC1 correction eases the homoskedasticity assumption without pinning a specific form on the error variance, which is exactly the modesty the design is after. It trades some efficiency for robustness, a bargain worth striking when the alternative is overconfident inference.</w:t>
      </w:r>
    </w:p>
    <w:bookmarkEnd w:id="94"/>
    <w:bookmarkStart w:id="95" w:name="what-the-first-estimator-identifies"/>
    <w:p>
      <w:pPr>
        <w:pStyle w:val="Heading2"/>
        <w:spacing w:line="480" w:lineRule="auto"/>
      </w:pPr>
      <w:r>
        <w:t xml:space="preserve">4.2 What the first estimator identifies</w:t>
      </w:r>
    </w:p>
    <w:p>
      <w:pPr>
        <w:pStyle w:val="FirstParagraph"/>
        <w:spacing w:line="480" w:lineRule="auto"/>
      </w:pPr>
      <w:r>
        <w:t xml:space="preserve">Identification in this model is associational, and the chapter says so flatly.</w:t>
      </w:r>
    </w:p>
    <w:p>
      <w:pPr>
        <w:pStyle w:val="BodyText"/>
        <w:spacing w:line="480" w:lineRule="auto"/>
        <w:ind w:firstLine="720"/>
      </w:pPr>
      <w:r>
        <w:t xml:space="preserve">The recency coefficient captures the average difference in signal score that goes with a one-unit rise in the recency index, citations and venue held fixed. It does not capture the effect of time on governance salience, because time is bound up with everything that shifted across the years the corpus spans</w:t>
      </w:r>
      <w:r>
        <w:t xml:space="preserve"> </w:t>
      </w:r>
      <w:hyperlink w:anchor="ref-4">
        <w:r>
          <w:rPr>
            <w:rStyle w:val="Hyperlink"/>
          </w:rPr>
          <w:t xml:space="preserve">[4]</w:t>
        </w:r>
      </w:hyperlink>
      <w:r>
        <w:t xml:space="preserve">. The same reasoning covers the other coefficients. Each recovers a conditional association inside the retrieved corpus, not a structural parameter of the governance process.</w:t>
      </w:r>
    </w:p>
    <w:p>
      <w:pPr>
        <w:pStyle w:val="BodyText"/>
        <w:spacing w:line="480" w:lineRule="auto"/>
        <w:ind w:firstLine="720"/>
      </w:pPr>
      <w:r>
        <w:t xml:space="preserve">That limit is nothing to apologize for; it is the honest edge of what cross-sectional metadata can deliver.</w:t>
      </w:r>
    </w:p>
    <w:p>
      <w:pPr>
        <w:pStyle w:val="BodyText"/>
        <w:spacing w:line="480" w:lineRule="auto"/>
        <w:ind w:firstLine="720"/>
      </w:pPr>
      <w:r>
        <w:t xml:space="preserve">The identifying assumption is weak and stated plainly: conditional on the three predictors, the error term runs uncorrelated with each predictor to a degree that would bias the coefficient of interest. Confounders surely exist. A topic can be both recent and heavily cited for one shared underlying reason, and the model cannot pull those channels apart</w:t>
      </w:r>
      <w:r>
        <w:t xml:space="preserve"> </w:t>
      </w:r>
      <w:hyperlink w:anchor="ref-7">
        <w:r>
          <w:rPr>
            <w:rStyle w:val="Hyperlink"/>
          </w:rPr>
          <w:t xml:space="preserve">[7]</w:t>
        </w:r>
      </w:hyperlink>
      <w:r>
        <w:t xml:space="preserve">. The design copes not by claiming the assumption holds perfectly but by reporting the coefficients with robust standard errors and refusing to read an imprecise estimate as proof of an effect</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95"/>
    <w:bookmarkStart w:id="96" w:name="the-second-estimator-the-learning-curve"/>
    <w:p>
      <w:pPr>
        <w:pStyle w:val="Heading2"/>
        <w:spacing w:line="480" w:lineRule="auto"/>
      </w:pPr>
      <w:r>
        <w:t xml:space="preserve">4.3 The second estimator: the learning curve</w:t>
      </w:r>
    </w:p>
    <w:p>
      <w:pPr>
        <w:pStyle w:val="FirstParagraph"/>
        <w:spacing w:line="480" w:lineRule="auto"/>
      </w:pPr>
      <w:r>
        <w:t xml:space="preserve">The second estimator is a log-log learning-curve regression of citation accumulation on article age. The outcome is the natural log of citations-plus-one; the predictor is the natural log of an age index. The specification is ln(CitesPlus1) equals alpha plus beta-one times ln(AgeIndex) plus epsilon</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plus-one transformation is not window dressing. Many records in the corpus show zero recorded citations, and the log of zero is undefined, so adding one before taking the log keeps every record in the estimation rather than quietly dropping the uncited ones, which would tilt the sample toward already-cited work. The log-log form is picked because it estimates an elasticity outright. The log-age coefficient is the percentage change in citations-plus-one that goes with a one-percent change in age, and that elasticity reads cleanly as a learning-curve slope</w:t>
      </w:r>
      <w:r>
        <w:t xml:space="preserve"> </w:t>
      </w:r>
      <w:hyperlink w:anchor="ref-7">
        <w:r>
          <w:rPr>
            <w:rStyle w:val="Hyperlink"/>
          </w:rPr>
          <w:t xml:space="preserve">[7]</w:t>
        </w:r>
      </w:hyperlink>
      <w:r>
        <w:t xml:space="preserve">. The paired progress ratio, two raised to the elasticity, states how citation accumulation scales as age doubles, a summary that ties the estimate to the wider learning-curve tradition without any added assumptions. Robust HC1 standard errors carry over here for the same reason as in the first model: citation behavior runs heteroskedastic across venue families and article ages, and the correction keeps the inference honest</w:t>
      </w:r>
      <w:r>
        <w:t xml:space="preserve"> </w:t>
      </w:r>
      <w:hyperlink w:anchor="ref-5">
        <w:r>
          <w:rPr>
            <w:rStyle w:val="Hyperlink"/>
          </w:rPr>
          <w:t xml:space="preserve">[5]</w:t>
        </w:r>
      </w:hyperlink>
      <w:r>
        <w:t xml:space="preserve">.</w:t>
      </w:r>
    </w:p>
    <w:bookmarkEnd w:id="96"/>
    <w:bookmarkStart w:id="97" w:name="what-the-second-estimator-identifies"/>
    <w:p>
      <w:pPr>
        <w:pStyle w:val="Heading2"/>
        <w:spacing w:line="480" w:lineRule="auto"/>
      </w:pPr>
      <w:r>
        <w:t xml:space="preserve">4.4 What the second estimator identifies</w:t>
      </w:r>
    </w:p>
    <w:p>
      <w:pPr>
        <w:pStyle w:val="FirstParagraph"/>
        <w:spacing w:line="480" w:lineRule="auto"/>
      </w:pPr>
      <w:r>
        <w:t xml:space="preserve">The learning-curve model identifies the age-elasticity of citation accumulation inside the corpus. A negative elasticity would say that older records, on a per-unit-age basis, gather citations at a slowing rate against newer ones once the log transformation is applied, the ordinary shape of a citation record where recent work has had less time to be cited than its eventual total warrants</w:t>
      </w:r>
      <w:r>
        <w:t xml:space="preserve"> </w:t>
      </w:r>
      <w:hyperlink w:anchor="ref-11">
        <w:r>
          <w:rPr>
            <w:rStyle w:val="Hyperlink"/>
          </w:rPr>
          <w:t xml:space="preserve">[11]</w:t>
        </w:r>
      </w:hyperlink>
      <w:r>
        <w:t xml:space="preserve">. A precise, nonzero elasticity settles that attention in this corpus is age-structured, the necessary check that the citation variable feeding the first model carries real information rather than noise</w:t>
      </w:r>
      <w:r>
        <w:t xml:space="preserve"> </w:t>
      </w:r>
      <w:hyperlink w:anchor="ref-5">
        <w:r>
          <w:rPr>
            <w:rStyle w:val="Hyperlink"/>
          </w:rPr>
          <w:t xml:space="preserve">[5]</w:t>
        </w:r>
      </w:hyperlink>
      <w:r>
        <w:t xml:space="preserve"> </w:t>
      </w:r>
      <w:hyperlink w:anchor="ref-7">
        <w:r>
          <w:rPr>
            <w:rStyle w:val="Hyperlink"/>
          </w:rPr>
          <w:t xml:space="preserve">[7]</w:t>
        </w:r>
      </w:hyperlink>
      <w:r>
        <w:t xml:space="preserve">. What this estimator cannot identify is why any one record is cited. It takes age as the sole predictor and knows nothing of quality, venue, or topic fit. The narrowness is deliberate. The point is not to explain citation whole. The point is to confirm that citation behaves lawfully with age, so the first model’s attention coefficient stands on a variable that is doing something rather than nothing</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97"/>
    <w:bookmarkStart w:id="98" w:name="why-two-estimators-rather-than-one"/>
    <w:p>
      <w:pPr>
        <w:pStyle w:val="Heading2"/>
        <w:spacing w:line="480" w:lineRule="auto"/>
      </w:pPr>
      <w:r>
        <w:t xml:space="preserve">4.5 Why two estimators rather than one</w:t>
      </w:r>
    </w:p>
    <w:p>
      <w:pPr>
        <w:pStyle w:val="FirstParagraph"/>
        <w:spacing w:line="480" w:lineRule="auto"/>
      </w:pPr>
      <w:r>
        <w:t xml:space="preserve">Running two estimators is a design decision, not padding. The cross-sectional model tests whether signal is ordered by the three theoretical marks. The accumulation model tests whether the attention mark behaves like a normal citation record. Together they let the dissertation say what one model alone could not: whether a weak attention coefficient in the first model reflects a genuinely weak governance signal or merely a citation variable too noisy to catch anything</w:t>
      </w:r>
      <w:r>
        <w:t xml:space="preserve"> </w:t>
      </w:r>
      <w:hyperlink w:anchor="ref-5">
        <w:r>
          <w:rPr>
            <w:rStyle w:val="Hyperlink"/>
          </w:rPr>
          <w:t xml:space="preserve">[5]</w:t>
        </w:r>
      </w:hyperlink>
      <w:r>
        <w:t xml:space="preserve"> </w:t>
      </w:r>
      <w:hyperlink w:anchor="ref-11">
        <w:r>
          <w:rPr>
            <w:rStyle w:val="Hyperlink"/>
          </w:rPr>
          <w:t xml:space="preserve">[11]</w:t>
        </w:r>
      </w:hyperlink>
      <w:r>
        <w:t xml:space="preserve">. Should the second model find a clean age-elasticity, the attention variable is well-behaved, and a weak first-model coefficient carries substance. Should the second model find nothing, the attention variable is itself in doubt, and the first model’s attention result cannot be read at all. This cross-check is what turns two small regressions into one coherent argument. Neither model stands strong alone. The dissertation never claims otherwise. What lends the design its discipline is the bond between them, the way each estimator fences the reading of the other, and the shared demand that a coefficient be both signed and precise before it is let anywhere near a claim</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98"/>
    <w:bookmarkStart w:id="99" w:name="assumptions-and-how-each-is-stressed"/>
    <w:p>
      <w:pPr>
        <w:pStyle w:val="Heading2"/>
        <w:spacing w:line="480" w:lineRule="auto"/>
      </w:pPr>
      <w:r>
        <w:t xml:space="preserve">4.6 Assumptions, and how each is stressed</w:t>
      </w:r>
    </w:p>
    <w:p>
      <w:pPr>
        <w:pStyle w:val="FirstParagraph"/>
        <w:spacing w:line="480" w:lineRule="auto"/>
      </w:pPr>
      <w:r>
        <w:t xml:space="preserve">Every estimator rests on assumptions, and honesty means naming them and asking how much a breach would sting. Ordinary least squares assumes linearity in the parameters, defensible here because the outcome is a bounded count read over a narrow observed range rather than pushed to the extremes where a linear approximation gives way</w:t>
      </w:r>
      <w:r>
        <w:t xml:space="preserve"> </w:t>
      </w:r>
      <w:hyperlink w:anchor="ref-3">
        <w:r>
          <w:rPr>
            <w:rStyle w:val="Hyperlink"/>
          </w:rPr>
          <w:t xml:space="preserve">[3]</w:t>
        </w:r>
      </w:hyperlink>
      <w:r>
        <w:t xml:space="preserve">. It assumes the errors run mean-independent of the predictors, the identifying assumption already aired and the one most open to confounding</w:t>
      </w:r>
      <w:r>
        <w:t xml:space="preserve"> </w:t>
      </w:r>
      <w:hyperlink w:anchor="ref-4">
        <w:r>
          <w:rPr>
            <w:rStyle w:val="Hyperlink"/>
          </w:rPr>
          <w:t xml:space="preserve">[4]</w:t>
        </w:r>
      </w:hyperlink>
      <w:r>
        <w:t xml:space="preserve">. And in its classical form it assumes homoskedastic errors, an assumption the HC1 correction lets go on purpose, since the corpus mixes venue families whose citation and signal behavior part sharply</w:t>
      </w:r>
      <w:r>
        <w:t xml:space="preserve"> </w:t>
      </w:r>
      <w:hyperlink w:anchor="ref-5">
        <w:r>
          <w:rPr>
            <w:rStyle w:val="Hyperlink"/>
          </w:rPr>
          <w:t xml:space="preserve">[5]</w:t>
        </w:r>
      </w:hyperlink>
      <w:r>
        <w:t xml:space="preserve">. The log-log model brings its own assumptions. It assumes a constant elasticity across the age range, meaning the tie between log-age and log-citation is a straight line rather than a curve that bends at old or young ages</w:t>
      </w:r>
      <w:r>
        <w:t xml:space="preserve"> </w:t>
      </w:r>
      <w:hyperlink w:anchor="ref-7">
        <w:r>
          <w:rPr>
            <w:rStyle w:val="Hyperlink"/>
          </w:rPr>
          <w:t xml:space="preserve">[7]</w:t>
        </w:r>
      </w:hyperlink>
      <w:r>
        <w:t xml:space="preserve">. With thirty points spanning ages one to nineteen, that constant-elasticity assumption cannot be tested finely, and a real citation record might well show a slope that shifts as work matures</w:t>
      </w:r>
      <w:r>
        <w:t xml:space="preserve"> </w:t>
      </w:r>
      <w:hyperlink w:anchor="ref-11">
        <w:r>
          <w:rPr>
            <w:rStyle w:val="Hyperlink"/>
          </w:rPr>
          <w:t xml:space="preserve">[11]</w:t>
        </w:r>
      </w:hyperlink>
      <w:r>
        <w:t xml:space="preserve">. The plus-one transformation, needed to keep uncited records in the sample, also warps the low end of the distribution, squeezing the gap between an uncited record and a barely-cited one</w:t>
      </w:r>
      <w:r>
        <w:t xml:space="preserve"> </w:t>
      </w:r>
      <w:hyperlink w:anchor="ref-5">
        <w:r>
          <w:rPr>
            <w:rStyle w:val="Hyperlink"/>
          </w:rPr>
          <w:t xml:space="preserve">[5]</w:t>
        </w:r>
      </w:hyperlink>
      <w:r>
        <w:t xml:space="preserve">. None of this is a reason to ditch the model; it is a reason to report its single elasticity as a summary rather than a law, and to hold the second model as a check on the first rather than a structural theory of citation.</w:t>
      </w:r>
    </w:p>
    <w:bookmarkEnd w:id="99"/>
    <w:bookmarkStart w:id="100" w:name="X9bff38de835b685076702c9f035a7ff797c5165"/>
    <w:p>
      <w:pPr>
        <w:pStyle w:val="Heading2"/>
        <w:spacing w:line="480" w:lineRule="auto"/>
      </w:pPr>
      <w:r>
        <w:t xml:space="preserve">4.7 What a robust design would add, and why it is deferred</w:t>
      </w:r>
    </w:p>
    <w:p>
      <w:pPr>
        <w:pStyle w:val="FirstParagraph"/>
        <w:spacing w:line="480" w:lineRule="auto"/>
      </w:pPr>
      <w:r>
        <w:t xml:space="preserve">A reader schooled in causal inference will spot what this design leaves untried, and naming those omissions belongs to stating the identification claim honestly. There is no instrumental variable, because no plausible instrument would shift recency or venue without also shifting signal through other channels</w:t>
      </w:r>
      <w:r>
        <w:t xml:space="preserve"> </w:t>
      </w:r>
      <w:hyperlink w:anchor="ref-4">
        <w:r>
          <w:rPr>
            <w:rStyle w:val="Hyperlink"/>
          </w:rPr>
          <w:t xml:space="preserve">[4]</w:t>
        </w:r>
      </w:hyperlink>
      <w:r>
        <w:t xml:space="preserve">. There is no fixed-effects structure, because the cross-section holds no repeated observation of the same document over time that a panel would demand</w:t>
      </w:r>
      <w:r>
        <w:t xml:space="preserve"> </w:t>
      </w:r>
      <w:hyperlink w:anchor="ref-11">
        <w:r>
          <w:rPr>
            <w:rStyle w:val="Hyperlink"/>
          </w:rPr>
          <w:t xml:space="preserve">[11]</w:t>
        </w:r>
      </w:hyperlink>
      <w:r>
        <w:t xml:space="preserve">. There is no matching or weighting to balance venue families, because the sample is too small to bear it without shedding records the design cannot spare</w:t>
      </w:r>
      <w:r>
        <w:t xml:space="preserve"> </w:t>
      </w:r>
      <w:hyperlink w:anchor="ref-13">
        <w:r>
          <w:rPr>
            <w:rStyle w:val="Hyperlink"/>
          </w:rPr>
          <w:t xml:space="preserve">[13]</w:t>
        </w:r>
      </w:hyperlink>
      <w:r>
        <w:t xml:space="preserve">. Each tool would firm up a causal claim, and each is put off to the larger, richer design Chapter 8 proposes rather than forced onto data that cannot hold it. The deferral is a design choice, not a lapse. Bolting a causal apparatus onto thirty cross-sectional records would yield estimates whose show of rigor outruns their real content, exactly the overreach the project is built to dodge</w:t>
      </w:r>
      <w:r>
        <w:t xml:space="preserve"> </w:t>
      </w:r>
      <w:hyperlink w:anchor="ref-5">
        <w:r>
          <w:rPr>
            <w:rStyle w:val="Hyperlink"/>
          </w:rPr>
          <w:t xml:space="preserve">[5]</w:t>
        </w:r>
      </w:hyperlink>
      <w:r>
        <w:t xml:space="preserve">. The identification claim here runs modest and matched to the data. The estimators recover conditional associations and an age-elasticity, reported with robust uncertainty. Nothing sturdier is asserted</w:t>
      </w:r>
      <w:r>
        <w:t xml:space="preserve"> </w:t>
      </w:r>
      <w:hyperlink w:anchor="ref-6">
        <w:r>
          <w:rPr>
            <w:rStyle w:val="Hyperlink"/>
          </w:rPr>
          <w:t xml:space="preserve">[6]</w:t>
        </w:r>
      </w:hyperlink>
      <w:r>
        <w:t xml:space="preserve">. A design that claims just what it can deliver, and flags plainly what it cannot, serves a later analyst better than one that dresses association in causal language</w:t>
      </w:r>
      <w:r>
        <w:t xml:space="preserve"> </w:t>
      </w:r>
      <w:hyperlink w:anchor="ref-2">
        <w:r>
          <w:rPr>
            <w:rStyle w:val="Hyperlink"/>
          </w:rPr>
          <w:t xml:space="preserve">[2]</w:t>
        </w:r>
      </w:hyperlink>
      <w:r>
        <w:t xml:space="preserve">.</w:t>
      </w:r>
    </w:p>
    <w:bookmarkEnd w:id="100"/>
    <w:bookmarkStart w:id="101" w:name="from-estimator-to-interpretation"/>
    <w:p>
      <w:pPr>
        <w:pStyle w:val="Heading2"/>
        <w:spacing w:line="480" w:lineRule="auto"/>
      </w:pPr>
      <w:r>
        <w:t xml:space="preserve">4.8 From estimator to interpretation</w:t>
      </w:r>
    </w:p>
    <w:p>
      <w:pPr>
        <w:pStyle w:val="FirstParagraph"/>
        <w:spacing w:line="480" w:lineRule="auto"/>
      </w:pPr>
      <w:r>
        <w:t xml:space="preserve">The last methodological commitment concerns how coefficients turn into claims. The rule is simple and applied evenly: a coefficient backs a substantive statement only when it is both rightly signed against the theory and precise enough to tell the alternative from the null at conventional confidence</w:t>
      </w:r>
      <w:r>
        <w:t xml:space="preserve"> </w:t>
      </w:r>
      <w:hyperlink w:anchor="ref-3">
        <w:r>
          <w:rPr>
            <w:rStyle w:val="Hyperlink"/>
          </w:rPr>
          <w:t xml:space="preserve">[3]</w:t>
        </w:r>
      </w:hyperlink>
      <w:r>
        <w:t xml:space="preserve"> </w:t>
      </w:r>
      <w:hyperlink w:anchor="ref-5">
        <w:r>
          <w:rPr>
            <w:rStyle w:val="Hyperlink"/>
          </w:rPr>
          <w:t xml:space="preserve">[5]</w:t>
        </w:r>
      </w:hyperlink>
      <w:r>
        <w:t xml:space="preserve">. A coefficient that leans the right way but reads imprecise is filed as suggestive and no more. A coefficient that is precise but wrong-signed is filed as evidence against the theory’s prediction, not quietly re-read to fit</w:t>
      </w:r>
      <w:r>
        <w:t xml:space="preserve"> </w:t>
      </w:r>
      <w:hyperlink w:anchor="ref-4">
        <w:r>
          <w:rPr>
            <w:rStyle w:val="Hyperlink"/>
          </w:rPr>
          <w:t xml:space="preserve">[4]</w:t>
        </w:r>
      </w:hyperlink>
      <w:r>
        <w:t xml:space="preserve">. And a jointly insignificant model is filed as a failure to reject the joint null, its individual coefficients read only for what their signs and magnitudes hint about where a sharper design should look</w:t>
      </w:r>
      <w:r>
        <w:t xml:space="preserve"> </w:t>
      </w:r>
      <w:hyperlink w:anchor="ref-13">
        <w:r>
          <w:rPr>
            <w:rStyle w:val="Hyperlink"/>
          </w:rPr>
          <w:t xml:space="preserve">[13]</w:t>
        </w:r>
      </w:hyperlink>
      <w:r>
        <w:t xml:space="preserve">. This interpretive rule, fixed before any output shows, is what keeps Chapter 6 from turning into a hunt for a story in noise.</w:t>
      </w:r>
    </w:p>
    <w:bookmarkEnd w:id="101"/>
    <w:bookmarkStart w:id="102" w:name="X9e603c047529d68e7f9497f8768eb2993fc285b"/>
    <w:p>
      <w:pPr>
        <w:pStyle w:val="Heading2"/>
        <w:spacing w:line="480" w:lineRule="auto"/>
      </w:pPr>
      <w:r>
        <w:t xml:space="preserve">4.9 The role of the constant and the fit statistics</w:t>
      </w:r>
    </w:p>
    <w:p>
      <w:pPr>
        <w:pStyle w:val="FirstParagraph"/>
        <w:spacing w:line="480" w:lineRule="auto"/>
      </w:pPr>
      <w:r>
        <w:t xml:space="preserve">Two elements of the output that slip past easily carry real interpretive weight, and the methodology should say how they will be read. The constant in the cross-sectional model is no nuisance parameter; it estimates the baseline signal level in the corpus with the predictors at their reference values, and since every record was retrieved for topical relevance, a clearly positive and precisely estimated constant serves as a consistency check that the sample is what it claims to be</w:t>
      </w:r>
      <w:r>
        <w:t xml:space="preserve"> </w:t>
      </w:r>
      <w:hyperlink w:anchor="ref-3">
        <w:r>
          <w:rPr>
            <w:rStyle w:val="Hyperlink"/>
          </w:rPr>
          <w:t xml:space="preserve">[3]</w:t>
        </w:r>
      </w:hyperlink>
      <w:r>
        <w:t xml:space="preserve"> </w:t>
      </w:r>
      <w:hyperlink w:anchor="ref-6">
        <w:r>
          <w:rPr>
            <w:rStyle w:val="Hyperlink"/>
          </w:rPr>
          <w:t xml:space="preserve">[6]</w:t>
        </w:r>
      </w:hyperlink>
      <w:r>
        <w:t xml:space="preserve">. A constant near zero or loosely estimated would hint that the retrieval or the scoring instrument had gone wrong, so the constant works as a diagnostic even while it is the object of no hypothesis</w:t>
      </w:r>
      <w:r>
        <w:t xml:space="preserve"> </w:t>
      </w:r>
      <w:hyperlink w:anchor="ref-5">
        <w:r>
          <w:rPr>
            <w:rStyle w:val="Hyperlink"/>
          </w:rPr>
          <w:t xml:space="preserve">[5]</w:t>
        </w:r>
      </w:hyperlink>
      <w:r>
        <w:t xml:space="preserve">. The fit statistics take a parallel diagnostic role. The R-squared and adjusted R-squared together lay bare how much of the outcome the predictors explain and how much of that explanation lives through the penalty for spending parameters on a small sample</w:t>
      </w:r>
      <w:r>
        <w:t xml:space="preserve"> </w:t>
      </w:r>
      <w:hyperlink w:anchor="ref-13">
        <w:r>
          <w:rPr>
            <w:rStyle w:val="Hyperlink"/>
          </w:rPr>
          <w:t xml:space="preserve">[13]</w:t>
        </w:r>
      </w:hyperlink>
      <w:r>
        <w:t xml:space="preserve">. The joint F test asks whether the predictors, as a group, carry the outcome, and it is the primary verdict on the cross-sectional hypothesis, more telling than any single coefficient because it reckons the predictors acting together</w:t>
      </w:r>
      <w:r>
        <w:t xml:space="preserve"> </w:t>
      </w:r>
      <w:hyperlink w:anchor="ref-6">
        <w:r>
          <w:rPr>
            <w:rStyle w:val="Hyperlink"/>
          </w:rPr>
          <w:t xml:space="preserve">[6]</w:t>
        </w:r>
      </w:hyperlink>
      <w:r>
        <w:t xml:space="preserve">. The methodology binds itself in advance to reading these statistics as a package: a low adjusted R-squared and an insignificant F together spell a failure to reject the joint null, and no lone coefficient will be let to overrule that joint verdict by being read off on its own</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102"/>
    <w:bookmarkStart w:id="103" w:name="X9b8c5f9b189975acf3f102d59962be7442dcfae"/>
    <w:p>
      <w:pPr>
        <w:pStyle w:val="Heading2"/>
        <w:spacing w:line="480" w:lineRule="auto"/>
      </w:pPr>
      <w:r>
        <w:t xml:space="preserve">4.10 Reproducibility as a methodological commitment</w:t>
      </w:r>
    </w:p>
    <w:p>
      <w:pPr>
        <w:pStyle w:val="FirstParagraph"/>
        <w:spacing w:line="480" w:lineRule="auto"/>
      </w:pPr>
      <w:r>
        <w:t xml:space="preserve">Reproducibility is no ornament stuck onto this design; it is baked into the estimator choices and the data handling. Both models run deterministic given the input: the same thirty records pushed through the same specification return the same coefficients, standard errors, and p values every time, with no random seed, no simulation, and no discretionary tuning</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signal-scoring instrument runs deterministic too, tallying theme-term hits by a fixed rule, so a second analyst applying the same rule to the same records would build the same outcome variable</w:t>
      </w:r>
      <w:r>
        <w:t xml:space="preserve"> </w:t>
      </w:r>
      <w:hyperlink w:anchor="ref-6">
        <w:r>
          <w:rPr>
            <w:rStyle w:val="Hyperlink"/>
          </w:rPr>
          <w:t xml:space="preserve">[6]</w:t>
        </w:r>
      </w:hyperlink>
      <w:r>
        <w:t xml:space="preserve">. That determinism is what makes the numbers in Chapter 6 verifiable rather than merely asserted. The commitment reaches the reporting itself. Every coefficient, standard error, and p value is reported to the precision the workbook holds, with no rounding to blur a value and no grooming to flatter the model</w:t>
      </w:r>
      <w:r>
        <w:t xml:space="preserve"> </w:t>
      </w:r>
      <w:hyperlink w:anchor="ref-5">
        <w:r>
          <w:rPr>
            <w:rStyle w:val="Hyperlink"/>
          </w:rPr>
          <w:t xml:space="preserve">[5]</w:t>
        </w:r>
      </w:hyperlink>
      <w:r>
        <w:t xml:space="preserve">. The fit statistics are reported whole, the unflattering adjusted R-squared and the insignificant F included, because burying the statistics that weaken a story is exactly the practice a reproducible design exists to head off</w:t>
      </w:r>
      <w:r>
        <w:t xml:space="preserve"> </w:t>
      </w:r>
      <w:hyperlink w:anchor="ref-13">
        <w:r>
          <w:rPr>
            <w:rStyle w:val="Hyperlink"/>
          </w:rPr>
          <w:t xml:space="preserve">[13]</w:t>
        </w:r>
      </w:hyperlink>
      <w:r>
        <w:t xml:space="preserve">. A reader can take the specification described here, the data documented next chapter, and rebuild the whole result independently, the strongest form of validation a design-stage dissertation can offer and the one this project stakes its credibility on</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03"/>
    <w:bookmarkStart w:id="104" w:name="why-not-a-richer-functional-form"/>
    <w:p>
      <w:pPr>
        <w:pStyle w:val="Heading2"/>
        <w:spacing w:line="480" w:lineRule="auto"/>
      </w:pPr>
      <w:r>
        <w:t xml:space="preserve">4.11 Why not a richer functional form</w:t>
      </w:r>
    </w:p>
    <w:p>
      <w:pPr>
        <w:pStyle w:val="FirstParagraph"/>
        <w:spacing w:line="480" w:lineRule="auto"/>
      </w:pPr>
      <w:r>
        <w:t xml:space="preserve">A methodologically curious reader might ask why the cross-sectional model holds linear rather than reaching for a count model fitted to the bounded, non-negative nature of the signal score. The answer is a chosen trade. A count model, Poisson or negative-binomial, would honor the outcome’s support more faithfully, but it would also load in distributional assumptions the thirty-record sample cannot check and would muddy each coefficient’s reading</w:t>
      </w:r>
      <w:r>
        <w:t xml:space="preserve"> </w:t>
      </w:r>
      <w:hyperlink w:anchor="ref-3">
        <w:r>
          <w:rPr>
            <w:rStyle w:val="Hyperlink"/>
          </w:rPr>
          <w:t xml:space="preserve">[3]</w:t>
        </w:r>
      </w:hyperlink>
      <w:r>
        <w:t xml:space="preserve"> </w:t>
      </w:r>
      <w:hyperlink w:anchor="ref-5">
        <w:r>
          <w:rPr>
            <w:rStyle w:val="Hyperlink"/>
          </w:rPr>
          <w:t xml:space="preserve">[5]</w:t>
        </w:r>
      </w:hyperlink>
      <w:r>
        <w:t xml:space="preserve">. Ordinary least squares, over the narrow observed range of the signal score, hands back coefficients that read straight off as changes in signal per unit of predictor, and that transparency outweighs a marginal gain in distributional fidelity here</w:t>
      </w:r>
      <w:r>
        <w:t xml:space="preserve"> </w:t>
      </w:r>
      <w:hyperlink w:anchor="ref-13">
        <w:r>
          <w:rPr>
            <w:rStyle w:val="Hyperlink"/>
          </w:rPr>
          <w:t xml:space="preserve">[13]</w:t>
        </w:r>
      </w:hyperlink>
      <w:r>
        <w:t xml:space="preserve">. The same reasoning governs the learning-curve model. A fancier dynamic specification could let the citation-age tie bend, but with thirty points across a modest age range, a bending curve would chase noise rather than catch a real change in slope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log-log form binds itself to a single elasticity and reports how well the data meet it, exactly the discipline a small sample rewards</w:t>
      </w:r>
      <w:r>
        <w:t xml:space="preserve"> </w:t>
      </w:r>
      <w:hyperlink w:anchor="ref-5">
        <w:r>
          <w:rPr>
            <w:rStyle w:val="Hyperlink"/>
          </w:rPr>
          <w:t xml:space="preserve">[5]</w:t>
        </w:r>
      </w:hyperlink>
      <w:r>
        <w:t xml:space="preserve">. The methodological principle across both models is one and the same: match the estimator’s complexity to the data’s power to pin it down, and favor a simple model whose limits show over a complex one whose limits hide</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04"/>
    <w:bookmarkStart w:id="105" w:name="diagnostics-the-design-relies-on"/>
    <w:p>
      <w:pPr>
        <w:pStyle w:val="Heading2"/>
        <w:spacing w:line="480" w:lineRule="auto"/>
      </w:pPr>
      <w:r>
        <w:t xml:space="preserve">4.12 Diagnostics the design relies on</w:t>
      </w:r>
    </w:p>
    <w:p>
      <w:pPr>
        <w:pStyle w:val="FirstParagraph"/>
        <w:spacing w:line="480" w:lineRule="auto"/>
      </w:pPr>
      <w:r>
        <w:t xml:space="preserve">Even a simple design earns trust through diagnostics, and this one leans on a small set fitted to its scale. The first is the internal-consistency check between recency and age, which should sit as near-perfect mirror images because both encode publication year; a break there would flag a construction error before any coefficient is read</w:t>
      </w:r>
      <w:r>
        <w:t xml:space="preserve"> </w:t>
      </w:r>
      <w:hyperlink w:anchor="ref-4">
        <w:r>
          <w:rPr>
            <w:rStyle w:val="Hyperlink"/>
          </w:rPr>
          <w:t xml:space="preserve">[4]</w:t>
        </w:r>
      </w:hyperlink>
      <w:r>
        <w:t xml:space="preserve">. The second is the sign and precision of the constant in each model, sanity checks that the outcome variables behave as retrieval and construction imply they should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third is the pairing of overall fit with joint significance in the cross-sectional model, read together so a low adjusted fit and an insignificant F shore each other up rather than clash</w:t>
      </w:r>
      <w:r>
        <w:t xml:space="preserve"> </w:t>
      </w:r>
      <w:hyperlink w:anchor="ref-13">
        <w:r>
          <w:rPr>
            <w:rStyle w:val="Hyperlink"/>
          </w:rPr>
          <w:t xml:space="preserve">[13]</w:t>
        </w:r>
      </w:hyperlink>
      <w:r>
        <w:t xml:space="preserve">. These diagnostics run deliberately modest, because a thirty-record sample cannot bear the elaborate specification tests a larger study would run</w:t>
      </w:r>
      <w:r>
        <w:t xml:space="preserve"> </w:t>
      </w:r>
      <w:hyperlink w:anchor="ref-5">
        <w:r>
          <w:rPr>
            <w:rStyle w:val="Hyperlink"/>
          </w:rPr>
          <w:t xml:space="preserve">[5]</w:t>
        </w:r>
      </w:hyperlink>
      <w:r>
        <w:t xml:space="preserve">. There is no room for out-of-sample validation, no room for wide influence diagnostics past naming the high-leverage records, and no room for formal tests of the constant-elasticity assumption in the learning curve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design makes up for it by keeping every choice transparent and every number reproducible, so the diagnostics it cannot run are at least ones a reader can try independently on the same data</w:t>
      </w:r>
      <w:r>
        <w:t xml:space="preserve"> </w:t>
      </w:r>
      <w:hyperlink w:anchor="ref-6">
        <w:r>
          <w:rPr>
            <w:rStyle w:val="Hyperlink"/>
          </w:rPr>
          <w:t xml:space="preserve">[6]</w:t>
        </w:r>
      </w:hyperlink>
      <w:r>
        <w:t xml:space="preserve">. Matching the diagnostic ambition to the sample, rather than staging tests the data cannot honestly bear, is the last piece of the methodological discipline this chapter has tried to set</w:t>
      </w:r>
      <w:r>
        <w:t xml:space="preserve"> </w:t>
      </w:r>
      <w:hyperlink w:anchor="ref-13">
        <w:r>
          <w:rPr>
            <w:rStyle w:val="Hyperlink"/>
          </w:rPr>
          <w:t xml:space="preserve">[13]</w:t>
        </w:r>
      </w:hyperlink>
      <w:r>
        <w:t xml:space="preserve">. The next chapter turns to the data those estimators consume, documenting how each variable was built and where every record came from</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05"/>
    <w:bookmarkEnd w:id="106"/>
    <w:bookmarkStart w:id="118" w:name="chapter-5.-data-and-measurement"/>
    <w:p>
      <w:pPr>
        <w:pStyle w:val="Heading1"/>
        <w:spacing w:line="480" w:lineRule="auto"/>
      </w:pPr>
      <w:r>
        <w:t xml:space="preserve">Chapter 5. Data and Measurement</w:t>
      </w:r>
    </w:p>
    <w:p>
      <w:pPr>
        <w:pStyle w:val="FirstParagraph"/>
        <w:spacing w:line="480" w:lineRule="auto"/>
      </w:pPr>
      <w:r>
        <w:t xml:space="preserve">This dissertation’s credibility stands on data a reader can inspect. Every claim about structure in the field runs back to a specific record, a specific variable, and a specific source string a second analyst can follow. This chapter sets the dataset down in full: how many records it holds, where they came from, how each variable was built, and what the sample’s composition implies for the results ahead</w:t>
      </w:r>
      <w:r>
        <w:t xml:space="preserve"> </w:t>
      </w:r>
      <w:hyperlink w:anchor="ref-1">
        <w:r>
          <w:rPr>
            <w:rStyle w:val="Hyperlink"/>
          </w:rPr>
          <w:t xml:space="preserve">[1]</w:t>
        </w:r>
      </w:hyperlink>
      <w:r>
        <w:t xml:space="preserve"> </w:t>
      </w:r>
      <w:hyperlink w:anchor="ref-3">
        <w:r>
          <w:rPr>
            <w:rStyle w:val="Hyperlink"/>
          </w:rPr>
          <w:t xml:space="preserve">[3]</w:t>
        </w:r>
      </w:hyperlink>
      <w:r>
        <w:t xml:space="preserve">. Nothing sits behind a black box here, because the whole design turns on a reader being able to move from a coefficient in Chapter 6 back to a row in the data and out again to a reading.</w:t>
      </w:r>
    </w:p>
    <w:bookmarkStart w:id="107" w:name="the-sample"/>
    <w:p>
      <w:pPr>
        <w:pStyle w:val="Heading2"/>
        <w:spacing w:line="480" w:lineRule="auto"/>
      </w:pPr>
      <w:r>
        <w:t xml:space="preserve">5.1 The sample</w:t>
      </w:r>
    </w:p>
    <w:p>
      <w:pPr>
        <w:pStyle w:val="FirstParagraph"/>
        <w:spacing w:line="480" w:lineRule="auto"/>
      </w:pPr>
      <w:r>
        <w:t xml:space="preserve">The estimation sample holds thirty retrieved source records. Each stands for one document pulled from the candidate’s local source collection, running across technical conference papers, peer-reviewed journal articles, and policy or economic writing. Publication years reach from 2008 to 2026, which lends the sample real temporal spread even at its small size</w:t>
      </w:r>
      <w:r>
        <w:t xml:space="preserve"> </w:t>
      </w:r>
      <w:hyperlink w:anchor="ref-2">
        <w:r>
          <w:rPr>
            <w:rStyle w:val="Hyperlink"/>
          </w:rPr>
          <w:t xml:space="preserve">[2]</w:t>
        </w:r>
      </w:hyperlink>
      <w:r>
        <w:t xml:space="preserve"> </w:t>
      </w:r>
      <w:hyperlink w:anchor="ref-9">
        <w:r>
          <w:rPr>
            <w:rStyle w:val="Hyperlink"/>
          </w:rPr>
          <w:t xml:space="preserve">[9]</w:t>
        </w:r>
      </w:hyperlink>
      <w:r>
        <w:t xml:space="preserve">. Every row carries a source column, a document identifier, a publication year, and the derived variables the estimators consume. The source column is no ornament. It is the anchor that keeps the workbook auditable, since it lets a reader confirm a given record is the document its metadata claims. Thirty records is a small sample. The dissertation neither buries that nor apologizes for it. A small sample pinches statistical power, widens confidence intervals, and makes precise estimation hard</w:t>
      </w:r>
      <w:r>
        <w:t xml:space="preserve"> </w:t>
      </w:r>
      <w:hyperlink w:anchor="ref-13">
        <w:r>
          <w:rPr>
            <w:rStyle w:val="Hyperlink"/>
          </w:rPr>
          <w:t xml:space="preserve">[13]</w:t>
        </w:r>
      </w:hyperlink>
      <w:r>
        <w:t xml:space="preserve">. It also leaves the dataset fully legible, a genuine offset at the design stage. A reader can read every source string, check every year, and form an independent judgment about topic fit for each record. None of that is possible with a corpus of thousands. The design swaps power for transparency, and it does so with open eyes</w:t>
      </w:r>
      <w:r>
        <w:t xml:space="preserve"> </w:t>
      </w:r>
      <w:hyperlink w:anchor="ref-5">
        <w:r>
          <w:rPr>
            <w:rStyle w:val="Hyperlink"/>
          </w:rPr>
          <w:t xml:space="preserve">[5]</w:t>
        </w:r>
      </w:hyperlink>
      <w:r>
        <w:t xml:space="preserve">.</w:t>
      </w:r>
    </w:p>
    <w:bookmarkEnd w:id="107"/>
    <w:bookmarkStart w:id="108" w:name="the-outcome-variable-signal-score"/>
    <w:p>
      <w:pPr>
        <w:pStyle w:val="Heading2"/>
        <w:spacing w:line="480" w:lineRule="auto"/>
      </w:pPr>
      <w:r>
        <w:t xml:space="preserve">5.2 The outcome variable: signal score</w:t>
      </w:r>
    </w:p>
    <w:p>
      <w:pPr>
        <w:pStyle w:val="FirstParagraph"/>
        <w:spacing w:line="480" w:lineRule="auto"/>
      </w:pPr>
      <w:r>
        <w:t xml:space="preserve">The outcome in the first estimator is a composite topic-signal score. It is a deterministic count, built by summing candidate-theme term hits across four fields of each record: the title, the snippet, the keyword field, and the author metadata. A record whose title, keywords, and snippet all brush the governance theme scores higher than one that grazes it in passing. Because the score is deterministic, it reproduces: the same record run through the same term list returns the same score every time, with no discretionary coding</w:t>
      </w:r>
      <w:r>
        <w:t xml:space="preserve"> </w:t>
      </w:r>
      <w:hyperlink w:anchor="ref-3">
        <w:r>
          <w:rPr>
            <w:rStyle w:val="Hyperlink"/>
          </w:rPr>
          <w:t xml:space="preserve">[3]</w:t>
        </w:r>
      </w:hyperlink>
      <w:r>
        <w:t xml:space="preserve"> </w:t>
      </w:r>
      <w:hyperlink w:anchor="ref-6">
        <w:r>
          <w:rPr>
            <w:rStyle w:val="Hyperlink"/>
          </w:rPr>
          <w:t xml:space="preserve">[6]</w:t>
        </w:r>
      </w:hyperlink>
      <w:r>
        <w:t xml:space="preserve">. Signal scores in the sample run from one to eight, most records bunched low.</w:t>
      </w:r>
    </w:p>
    <w:p>
      <w:pPr>
        <w:pStyle w:val="BodyText"/>
        <w:spacing w:line="480" w:lineRule="auto"/>
        <w:ind w:firstLine="720"/>
      </w:pPr>
      <w:r>
        <w:t xml:space="preserve">Two sit apart at the top of the distribution. A 2025 cislunar-regions record scores eight, the highest in the sample, driven by dense theme hits across its fields</w:t>
      </w:r>
      <w:r>
        <w:t xml:space="preserve"> </w:t>
      </w:r>
      <w:hyperlink w:anchor="ref-7">
        <w:r>
          <w:rPr>
            <w:rStyle w:val="Hyperlink"/>
          </w:rPr>
          <w:t xml:space="preserve">[7]</w:t>
        </w:r>
      </w:hyperlink>
      <w:r>
        <w:t xml:space="preserve">. A 2024 record scores six. A governance-oriented AMOS record on non-traditional sensor data also scores six</w:t>
      </w:r>
      <w:r>
        <w:t xml:space="preserve"> </w:t>
      </w:r>
      <w:hyperlink w:anchor="ref-1">
        <w:r>
          <w:rPr>
            <w:rStyle w:val="Hyperlink"/>
          </w:rPr>
          <w:t xml:space="preserve">[1]</w:t>
        </w:r>
      </w:hyperlink>
      <w:r>
        <w:t xml:space="preserve">. The bulk of the sample falls between one and four. That distribution shapes the reading. When most of the outcome variance sits in a narrow band with a few high-scoring records, the regression bends toward those few, and the coefficients should be read with that sensitivity in view</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08"/>
    <w:bookmarkStart w:id="109" w:name="the-predictors"/>
    <w:p>
      <w:pPr>
        <w:pStyle w:val="Heading2"/>
        <w:spacing w:line="480" w:lineRule="auto"/>
      </w:pPr>
      <w:r>
        <w:t xml:space="preserve">5.3 The predictors</w:t>
      </w:r>
    </w:p>
    <w:p>
      <w:pPr>
        <w:pStyle w:val="FirstParagraph"/>
        <w:spacing w:line="480" w:lineRule="auto"/>
      </w:pPr>
      <w:r>
        <w:t xml:space="preserve">The recency index is publication year minus the sample’s minimum publication year plus one.</w:t>
      </w:r>
    </w:p>
    <w:p>
      <w:pPr>
        <w:pStyle w:val="BodyText"/>
        <w:spacing w:line="480" w:lineRule="auto"/>
        <w:ind w:firstLine="720"/>
      </w:pPr>
      <w:r>
        <w:t xml:space="preserve">With the earliest record at 2008, a 2008 paper takes a recency index of one and a 2026 paper takes eighteen or nineteen, depending on the exact year span. The build is monotonic and plain. It steers clear of any weighting that would sneak in an assumption about how fast salience decays</w:t>
      </w:r>
      <w:r>
        <w:t xml:space="preserve"> </w:t>
      </w:r>
      <w:hyperlink w:anchor="ref-4">
        <w:r>
          <w:rPr>
            <w:rStyle w:val="Hyperlink"/>
          </w:rPr>
          <w:t xml:space="preserve">[4]</w:t>
        </w:r>
      </w:hyperlink>
      <w:r>
        <w:t xml:space="preserve">. Recency is ordered time, rescaled to start at one. Nothing further is read into it.</w:t>
      </w:r>
    </w:p>
    <w:p>
      <w:pPr>
        <w:pStyle w:val="BodyText"/>
        <w:spacing w:line="480" w:lineRule="auto"/>
        <w:ind w:firstLine="720"/>
      </w:pPr>
      <w:r>
        <w:t xml:space="preserve">Citation count is pulled from the local index’s cites field, set to zero where the index reported none.</w:t>
      </w:r>
    </w:p>
    <w:p>
      <w:pPr>
        <w:pStyle w:val="BodyText"/>
        <w:spacing w:line="480" w:lineRule="auto"/>
        <w:ind w:firstLine="720"/>
      </w:pPr>
      <w:r>
        <w:t xml:space="preserve">This is the variable most exposed to measurement limits. The local index tracks some venue families better than others, and many records, the technical conference papers above all, carry a recorded count of zero even where they may hold real citations the index never sees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highest recorded counts belong to the journal articles: one 2023 article records twenty-five citations, another 2024 article records nineteen, a 2022 article records thirteen</w:t>
      </w:r>
      <w:r>
        <w:t xml:space="preserve"> </w:t>
      </w:r>
      <w:hyperlink w:anchor="ref-16">
        <w:r>
          <w:rPr>
            <w:rStyle w:val="Hyperlink"/>
          </w:rPr>
          <w:t xml:space="preserve">[16]</w:t>
        </w:r>
      </w:hyperlink>
      <w:r>
        <w:t xml:space="preserve">. The conference and policy records log zero almost across the board. This is a structural feature of the index, not of the underlying influence, and it conditions how the attention coefficient must be read.</w:t>
      </w:r>
    </w:p>
    <w:p>
      <w:pPr>
        <w:pStyle w:val="BodyText"/>
        <w:spacing w:line="480" w:lineRule="auto"/>
        <w:ind w:firstLine="720"/>
      </w:pPr>
      <w:r>
        <w:t xml:space="preserve">Venue score is an ordinal code across three levels: the technical conference family scores one, the journal family scores two, the policy and economic family scores three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code is ordered, not cardinal. A journal article is not twice a conference paper in any real sense. The numbers merely rank the families by breadth of audience. The dissertation takes venue as a coarse structural control and refuses to read its coefficient as a quality ladder</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09"/>
    <w:bookmarkStart w:id="110" w:name="the-accumulation-variables"/>
    <w:p>
      <w:pPr>
        <w:pStyle w:val="Heading2"/>
        <w:spacing w:line="480" w:lineRule="auto"/>
      </w:pPr>
      <w:r>
        <w:t xml:space="preserve">5.4 The accumulation variables</w:t>
      </w:r>
    </w:p>
    <w:p>
      <w:pPr>
        <w:pStyle w:val="FirstParagraph"/>
        <w:spacing w:line="480" w:lineRule="auto"/>
      </w:pPr>
      <w:r>
        <w:t xml:space="preserve">The second estimator draws two variables from those same records. Citations-plus-one is the recorded citation count plus one, built so the log stays defined for every record, uncited ones included</w:t>
      </w:r>
      <w:r>
        <w:t xml:space="preserve"> </w:t>
      </w:r>
      <w:hyperlink w:anchor="ref-11">
        <w:r>
          <w:rPr>
            <w:rStyle w:val="Hyperlink"/>
          </w:rPr>
          <w:t xml:space="preserve">[11]</w:t>
        </w:r>
      </w:hyperlink>
      <w:r>
        <w:t xml:space="preserve">. The age index is 2026 minus publication year plus one, so a 2026 record has an age of one and a 2008 record an age of nineteen. Age and recency mirror the same time information, one counting up from the oldest record and one counting down from the reference year, and carrying both across the two estimators keeps each model’s variable pointed the natural way for its question</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citations-plus-one distribution runs heavily skewed. Most records land at one, meaning zero recorded citations, and a handful of journal articles shoulder the mass of the attention: values of twenty-six, twenty, fourteen, thirteen, and nine turn up among the journal records, while the whole conference and policy portion sits at one</w:t>
      </w:r>
      <w:r>
        <w:t xml:space="preserve"> </w:t>
      </w:r>
      <w:hyperlink w:anchor="ref-16">
        <w:r>
          <w:rPr>
            <w:rStyle w:val="Hyperlink"/>
          </w:rPr>
          <w:t xml:space="preserve">[16]</w:t>
        </w:r>
      </w:hyperlink>
      <w:r>
        <w:t xml:space="preserve">. That skew is precisely why the log transformation is used, and precisely why the second estimator’s job is to check whether attention still behaves lawfully with age despite the pileup</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110"/>
    <w:bookmarkStart w:id="111" w:name="provenance-and-reproducibility"/>
    <w:p>
      <w:pPr>
        <w:pStyle w:val="Heading2"/>
        <w:spacing w:line="480" w:lineRule="auto"/>
      </w:pPr>
      <w:r>
        <w:t xml:space="preserve">5.5 Provenance and reproducibility</w:t>
      </w:r>
    </w:p>
    <w:p>
      <w:pPr>
        <w:pStyle w:val="FirstParagraph"/>
        <w:spacing w:line="480" w:lineRule="auto"/>
      </w:pPr>
      <w:r>
        <w:t xml:space="preserve">Provenance is kept at the row level. Records named by a digital object identifier carry that identifier in the source column, and records named by a conference URL carry the URL, so each row points to a resolvable document</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journal records resolve to Acta Astronautica articles on landing-site evaluation, commercialization and sustainability, debris removal, in-orbit assembly, lunar resources, and kindred topics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conference records resolve to technical papers on orbital determination, sensor tasking, correlation, and space-domain awareness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policy records resolve to a national space roadmap, a common-pool sustainability piece, and related governance writing</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That row-level traceability is the methodological core of the design. The dataset is no summary a reader must trust. It is a ledger a reader can audit. Should a coefficient next chapter look odd, a reader can locate the records driving it, read their source strings, and decide for themselves whether the oddity marks real structure or a quirk of a few high-leverage rows</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dataset is small enough that hands-on scrutiny of this kind is actually workable. That workability is the offsetting strength a thirty-record design hands back in exchange for its limited power.</w:t>
      </w:r>
    </w:p>
    <w:bookmarkEnd w:id="111"/>
    <w:bookmarkStart w:id="112" w:name="the-composition-of-the-corpus-by-venue"/>
    <w:p>
      <w:pPr>
        <w:pStyle w:val="Heading2"/>
        <w:spacing w:line="480" w:lineRule="auto"/>
      </w:pPr>
      <w:r>
        <w:t xml:space="preserve">5.6 The composition of the corpus by venue</w:t>
      </w:r>
    </w:p>
    <w:p>
      <w:pPr>
        <w:pStyle w:val="FirstParagraph"/>
        <w:spacing w:line="480" w:lineRule="auto"/>
      </w:pPr>
      <w:r>
        <w:t xml:space="preserve">Grasping what the estimators will find means grasping how the sample splits across venue families, because that split shapes every coefficient. The technical conference family is the largest group, drawn from work on orbital determination, sensor tasking, correlation, and space-domain awareness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Two features of these records bear on the analysis. Their recorded citation counts run almost uniformly zero. Their signal scores run relatively high, because their metadata is thick with the operational terms the scoring instrument tallies</w:t>
      </w:r>
      <w:r>
        <w:t xml:space="preserve"> </w:t>
      </w:r>
      <w:hyperlink w:anchor="ref-1">
        <w:r>
          <w:rPr>
            <w:rStyle w:val="Hyperlink"/>
          </w:rPr>
          <w:t xml:space="preserve">[1]</w:t>
        </w:r>
      </w:hyperlink>
      <w:r>
        <w:t xml:space="preserve">. That pairing, high signal and zero recorded attention, is what drives the negative raw tie between signal and citation the first estimator meets later. The journal family, drawn from Acta Astronautica, sits in the middle of the venue ordering and shoulders almost all the sample’s recorded citations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Its records range across landing-site evaluation, commercialization and sustainability, active debris removal, in-orbit assembly, lunar resources, crater maturity, and propulsion improvements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Their signal scores run generally modest, because their metadata is written in the measured register of peer-reviewed work rather than packed with theme terms. So the contrast between the technical and journal families runs stark: the technical records high-signal and low-attention, the journal records lower-signal and higher-attention, and the venue coefficient in the first model in essence gauges that contrast</w:t>
      </w:r>
      <w:r>
        <w:t xml:space="preserve"> </w:t>
      </w:r>
      <w:hyperlink w:anchor="ref-5">
        <w:r>
          <w:rPr>
            <w:rStyle w:val="Hyperlink"/>
          </w:rPr>
          <w:t xml:space="preserve">[5]</w:t>
        </w:r>
      </w:hyperlink>
      <w:r>
        <w:t xml:space="preserve">.</w:t>
      </w:r>
    </w:p>
    <w:p>
      <w:pPr>
        <w:pStyle w:val="BodyText"/>
        <w:spacing w:line="480" w:lineRule="auto"/>
        <w:ind w:firstLine="720"/>
      </w:pPr>
      <w:r>
        <w:t xml:space="preserve">The policy and economic family is the smallest group, a national space roadmap, a common-pool sustainability piece, and related governance writing</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These records log zero recorded citations in the local index and modest signal scores, and their small number leaves the top of the venue ordering resting on very few observations</w:t>
      </w:r>
      <w:r>
        <w:t xml:space="preserve"> </w:t>
      </w:r>
      <w:hyperlink w:anchor="ref-13">
        <w:r>
          <w:rPr>
            <w:rStyle w:val="Hyperlink"/>
          </w:rPr>
          <w:t xml:space="preserve">[13]</w:t>
        </w:r>
      </w:hyperlink>
      <w:r>
        <w:t xml:space="preserve">. A reader should hold that thinness in mind at the venue coefficient, because a coefficient estimated across three ordered families, one holding only a handful of records, is bound to bend toward those few</w:t>
      </w:r>
      <w:r>
        <w:t xml:space="preserve"> </w:t>
      </w:r>
      <w:hyperlink w:anchor="ref-5">
        <w:r>
          <w:rPr>
            <w:rStyle w:val="Hyperlink"/>
          </w:rPr>
          <w:t xml:space="preserve">[5]</w:t>
        </w:r>
      </w:hyperlink>
      <w:r>
        <w:t xml:space="preserve">.</w:t>
      </w:r>
    </w:p>
    <w:bookmarkEnd w:id="112"/>
    <w:bookmarkStart w:id="113" w:name="Xab9df276aabd24be7ae95c5591e5cbbbf459d12"/>
    <w:p>
      <w:pPr>
        <w:pStyle w:val="Heading2"/>
        <w:spacing w:line="480" w:lineRule="auto"/>
      </w:pPr>
      <w:r>
        <w:t xml:space="preserve">5.7 Leverage, influence, and the high-signal records</w:t>
      </w:r>
    </w:p>
    <w:p>
      <w:pPr>
        <w:pStyle w:val="FirstParagraph"/>
        <w:spacing w:line="480" w:lineRule="auto"/>
      </w:pPr>
      <w:r>
        <w:t xml:space="preserve">A small sample lends individual records leverage, and the design is open about which records carry the most. Two high-signal records stand out. A 2025 cislunar-regions paper scores eight, the sample maximum, and sits at the recent, low-citation end of the distribution, so it tugs the recency coefficient upward and the citation coefficient in a direction that reflects its high signal despite few citations</w:t>
      </w:r>
      <w:r>
        <w:t xml:space="preserve"> </w:t>
      </w:r>
      <w:hyperlink w:anchor="ref-7">
        <w:r>
          <w:rPr>
            <w:rStyle w:val="Hyperlink"/>
          </w:rPr>
          <w:t xml:space="preserve">[7]</w:t>
        </w:r>
      </w:hyperlink>
      <w:r>
        <w:t xml:space="preserve">. A 2024 record scores six and a governance-oriented sensor paper also scores six, both reinforcing the same pattern of high signal without matching recorded attention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These records are no errors; they are legitimate observations that happen to carry weight, and the honest reply is to name them so a reader can weigh their pull. On the citation side, the leverage sits with a few journal articles. A 2023 article logging twenty-five citations, a 2024 article logging nineteen, a 2022 article logging thirteen carry most of the attention mass in the sample</w:t>
      </w:r>
      <w:r>
        <w:t xml:space="preserve"> </w:t>
      </w:r>
      <w:hyperlink w:anchor="ref-16">
        <w:r>
          <w:rPr>
            <w:rStyle w:val="Hyperlink"/>
          </w:rPr>
          <w:t xml:space="preserve">[16]</w:t>
        </w:r>
      </w:hyperlink>
      <w:r>
        <w:t xml:space="preserve">. Because these high-citation records also carry modest signal scores, they anchor the negative slope between signal and citation in the first model and shape the age-elasticity in the second</w:t>
      </w:r>
      <w:r>
        <w:t xml:space="preserve"> </w:t>
      </w:r>
      <w:hyperlink w:anchor="ref-11">
        <w:r>
          <w:rPr>
            <w:rStyle w:val="Hyperlink"/>
          </w:rPr>
          <w:t xml:space="preserve">[11]</w:t>
        </w:r>
      </w:hyperlink>
      <w:r>
        <w:t xml:space="preserve">. A design that hid the concentration would let a reader take a pattern driven by three or four records for a general property of the field. This design surfaces it instead, in keeping with the principle that a small, auditable dataset earns trust by showing exactly where its results come from</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13"/>
    <w:bookmarkStart w:id="114" w:name="X0a676d8bba3efd3862d88a6498b3a22ec373048"/>
    <w:p>
      <w:pPr>
        <w:pStyle w:val="Heading2"/>
        <w:spacing w:line="480" w:lineRule="auto"/>
      </w:pPr>
      <w:r>
        <w:t xml:space="preserve">5.8 Temporal distribution and what it enables</w:t>
      </w:r>
    </w:p>
    <w:p>
      <w:pPr>
        <w:pStyle w:val="FirstParagraph"/>
        <w:spacing w:line="480" w:lineRule="auto"/>
      </w:pPr>
      <w:r>
        <w:t xml:space="preserve">The sample’s spread across years runs uneven, and that unevenness bears on the recency and age variables. The corpus is thin before 2020 and thick after, a cluster of journal records dated 2023 through 2026 alongside a smaller set of technical records reaching back to 2008</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shape has a clear cause: the retrieval favored recent work because the governance question sharpened recently, and it reached back only far enough to catch the technical baseline the field carried before the Accords</w:t>
      </w:r>
      <w:r>
        <w:t xml:space="preserve"> </w:t>
      </w:r>
      <w:hyperlink w:anchor="ref-3">
        <w:r>
          <w:rPr>
            <w:rStyle w:val="Hyperlink"/>
          </w:rPr>
          <w:t xml:space="preserve">[3]</w:t>
        </w:r>
      </w:hyperlink>
      <w:r>
        <w:t xml:space="preserve">. The practical upshot is that the recency and age indices hold most of their variation in the recent years, so the estimators end up comparing recent records to one another more than recent records to old ones</w:t>
      </w:r>
      <w:r>
        <w:t xml:space="preserve"> </w:t>
      </w:r>
      <w:hyperlink w:anchor="ref-4">
        <w:r>
          <w:rPr>
            <w:rStyle w:val="Hyperlink"/>
          </w:rPr>
          <w:t xml:space="preserve">[4]</w:t>
        </w:r>
      </w:hyperlink>
      <w:r>
        <w:t xml:space="preserve">. That concentration is at once a limit and a feature. As a limit, it means the recency coefficient is identified mostly off differences among recent records, where topic salience may barely move, which could pull the estimate toward zero</w:t>
      </w:r>
      <w:r>
        <w:t xml:space="preserve"> </w:t>
      </w:r>
      <w:hyperlink w:anchor="ref-4">
        <w:r>
          <w:rPr>
            <w:rStyle w:val="Hyperlink"/>
          </w:rPr>
          <w:t xml:space="preserve">[4]</w:t>
        </w:r>
      </w:hyperlink>
      <w:r>
        <w:t xml:space="preserve"> </w:t>
      </w:r>
      <w:hyperlink w:anchor="ref-13">
        <w:r>
          <w:rPr>
            <w:rStyle w:val="Hyperlink"/>
          </w:rPr>
          <w:t xml:space="preserve">[13]</w:t>
        </w:r>
      </w:hyperlink>
      <w:r>
        <w:t xml:space="preserve">. As a feature, it means the sample runs dense exactly where the governance question is live, so whatever signal sits in the recent literature is well represented even where the historical baseline is thin</w:t>
      </w:r>
      <w:r>
        <w:t xml:space="preserve"> </w:t>
      </w:r>
      <w:hyperlink w:anchor="ref-1">
        <w:r>
          <w:rPr>
            <w:rStyle w:val="Hyperlink"/>
          </w:rPr>
          <w:t xml:space="preserve">[1]</w:t>
        </w:r>
      </w:hyperlink>
      <w:r>
        <w:t xml:space="preserve">. The design takes that trade because the alternative, a sample spread evenly across two decades, would dilute the recent records carrying the governance conversation in favor of older technical work that predates the question outright</w:t>
      </w:r>
      <w:r>
        <w:t xml:space="preserve"> </w:t>
      </w:r>
      <w:hyperlink w:anchor="ref-9">
        <w:r>
          <w:rPr>
            <w:rStyle w:val="Hyperlink"/>
          </w:rPr>
          <w:t xml:space="preserve">[9]</w:t>
        </w:r>
      </w:hyperlink>
      <w:r>
        <w:t xml:space="preserve">.</w:t>
      </w:r>
    </w:p>
    <w:bookmarkEnd w:id="114"/>
    <w:bookmarkStart w:id="115" w:name="X2909b4c4e2dac55d76079fee0a3136eaf03fe1e"/>
    <w:p>
      <w:pPr>
        <w:pStyle w:val="Heading2"/>
        <w:spacing w:line="480" w:lineRule="auto"/>
      </w:pPr>
      <w:r>
        <w:t xml:space="preserve">5.9 Measurement integrity and the limits of metadata</w:t>
      </w:r>
    </w:p>
    <w:p>
      <w:pPr>
        <w:pStyle w:val="FirstParagraph"/>
        <w:spacing w:line="480" w:lineRule="auto"/>
      </w:pPr>
      <w:r>
        <w:t xml:space="preserve">A last measurement point concerns what metadata can and cannot catch, because the whole signal variable is built from metadata rather than full text. The scoring instrument reads titles, snippets, keyword fields, and author metadata, so it sees a record’s surface, not its argument</w:t>
      </w:r>
      <w:r>
        <w:t xml:space="preserve"> </w:t>
      </w:r>
      <w:hyperlink w:anchor="ref-3">
        <w:r>
          <w:rPr>
            <w:rStyle w:val="Hyperlink"/>
          </w:rPr>
          <w:t xml:space="preserve">[3]</w:t>
        </w:r>
      </w:hyperlink>
      <w:r>
        <w:t xml:space="preserve"> </w:t>
      </w:r>
      <w:hyperlink w:anchor="ref-6">
        <w:r>
          <w:rPr>
            <w:rStyle w:val="Hyperlink"/>
          </w:rPr>
          <w:t xml:space="preserve">[6]</w:t>
        </w:r>
      </w:hyperlink>
      <w:r>
        <w:t xml:space="preserve">. A paper that works the governance question hard in its body but names it only glancingly in its abstract will score low. A paper that drops governance terms in passing while being about something else will score high</w:t>
      </w:r>
      <w:r>
        <w:t xml:space="preserve"> </w:t>
      </w:r>
      <w:hyperlink w:anchor="ref-5">
        <w:r>
          <w:rPr>
            <w:rStyle w:val="Hyperlink"/>
          </w:rPr>
          <w:t xml:space="preserve">[5]</w:t>
        </w:r>
      </w:hyperlink>
      <w:r>
        <w:t xml:space="preserve">. This is the deepest measurement limit in the study. It is why the signal variable is called, throughout, a proxy for topical relevance rather than a measure of governance content. The integrity of the metadata itself runs generally good, since each record resolves to a real document with a checkable identifier, but sound provenance does nothing to fix the shallowness of metadata as a window into content</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 reader should hold both facts at once: the dataset is honest about where each record came from and what its metadata says, and the metadata is a thin instrument for the governance question it is asked to light up</w:t>
      </w:r>
      <w:r>
        <w:t xml:space="preserve"> </w:t>
      </w:r>
      <w:hyperlink w:anchor="ref-5">
        <w:r>
          <w:rPr>
            <w:rStyle w:val="Hyperlink"/>
          </w:rPr>
          <w:t xml:space="preserve">[5]</w:t>
        </w:r>
      </w:hyperlink>
      <w:r>
        <w:t xml:space="preserve"> </w:t>
      </w:r>
      <w:hyperlink w:anchor="ref-13">
        <w:r>
          <w:rPr>
            <w:rStyle w:val="Hyperlink"/>
          </w:rPr>
          <w:t xml:space="preserve">[13]</w:t>
        </w:r>
      </w:hyperlink>
      <w:r>
        <w:t xml:space="preserve">. Naming the limit here, in the data chapter, rather than tucking it into a later caveat, is deliberate, because a reader deserves to know the shallowness of the outcome variable before meeting the coefficients that variable throws off</w:t>
      </w:r>
      <w:r>
        <w:t xml:space="preserve"> </w:t>
      </w:r>
      <w:hyperlink w:anchor="ref-6">
        <w:r>
          <w:rPr>
            <w:rStyle w:val="Hyperlink"/>
          </w:rPr>
          <w:t xml:space="preserve">[6]</w:t>
        </w:r>
      </w:hyperlink>
      <w:r>
        <w:t xml:space="preserve">. With the data documented, its leverage points named, its temporal shape drawn, and its measurement limits set down plainly, Chapter 6 turns to what the estimators found</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15"/>
    <w:bookmarkStart w:id="116" w:name="Xbd9fa72dd731943d78b7ebe49ee94bf1a46bd14"/>
    <w:p>
      <w:pPr>
        <w:pStyle w:val="Heading2"/>
        <w:spacing w:line="480" w:lineRule="auto"/>
      </w:pPr>
      <w:r>
        <w:t xml:space="preserve">5.10 The signal score as a constructed variable</w:t>
      </w:r>
    </w:p>
    <w:p>
      <w:pPr>
        <w:pStyle w:val="FirstParagraph"/>
        <w:spacing w:line="480" w:lineRule="auto"/>
      </w:pPr>
      <w:r>
        <w:t xml:space="preserve">Because the signal score carries the whole cross-sectional analysis, it earns one more pass, this time on how its construction shapes what it can catch. The score sums theme-term hits across four fields, so it rewards records whose relevance is spread over title, snippet, keywords, and author metadata rather than packed into one field</w:t>
      </w:r>
      <w:r>
        <w:t xml:space="preserve"> </w:t>
      </w:r>
      <w:hyperlink w:anchor="ref-3">
        <w:r>
          <w:rPr>
            <w:rStyle w:val="Hyperlink"/>
          </w:rPr>
          <w:t xml:space="preserve">[3]</w:t>
        </w:r>
      </w:hyperlink>
      <w:r>
        <w:t xml:space="preserve"> </w:t>
      </w:r>
      <w:hyperlink w:anchor="ref-6">
        <w:r>
          <w:rPr>
            <w:rStyle w:val="Hyperlink"/>
          </w:rPr>
          <w:t xml:space="preserve">[6]</w:t>
        </w:r>
      </w:hyperlink>
      <w:r>
        <w:t xml:space="preserve">. A record that names the governance theme in its title but nowhere else scores lower than one that touches the theme in all four, even where the first is substantively more on point. That four-field summation reproduces and stays transparent, but it encodes an implicit judgment that breadth of mention proxies for depth of relevance, and the judgment is worth surfacing because it is not self-evidently right</w:t>
      </w:r>
      <w:r>
        <w:t xml:space="preserve"> </w:t>
      </w:r>
      <w:hyperlink w:anchor="ref-5">
        <w:r>
          <w:rPr>
            <w:rStyle w:val="Hyperlink"/>
          </w:rPr>
          <w:t xml:space="preserve">[5]</w:t>
        </w:r>
      </w:hyperlink>
      <w:r>
        <w:t xml:space="preserve">. The upshot for the reading is concrete. The instrument favors records written in a term-dense register, which is why the technical conference family, its abstracts packed with operational terminology, tends to score high</w:t>
      </w:r>
      <w:r>
        <w:t xml:space="preserve"> </w:t>
      </w:r>
      <w:hyperlink w:anchor="ref-1">
        <w:r>
          <w:rPr>
            <w:rStyle w:val="Hyperlink"/>
          </w:rPr>
          <w:t xml:space="preserve">[1]</w:t>
        </w:r>
      </w:hyperlink>
      <w:r>
        <w:t xml:space="preserve"> </w:t>
      </w:r>
      <w:hyperlink w:anchor="ref-2">
        <w:r>
          <w:rPr>
            <w:rStyle w:val="Hyperlink"/>
          </w:rPr>
          <w:t xml:space="preserve">[2]</w:t>
        </w:r>
      </w:hyperlink>
      <w:r>
        <w:t xml:space="preserve">. It disfavors records written in the sparer register of peer-reviewed journal metadata, which is why the journal family scores lower despite often working the governance question more directly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register effect is no bug the data chapter can patch; it is a property of building an outcome from metadata, and the right reply is to name it so the venue coefficient in Chapter 6 is read with the register effect in view rather than mistaken for a pure content difference</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16"/>
    <w:bookmarkStart w:id="117" w:name="X60cfe9ad559955c157f5cfc8574edb055b0132c"/>
    <w:p>
      <w:pPr>
        <w:pStyle w:val="Heading2"/>
        <w:spacing w:line="480" w:lineRule="auto"/>
      </w:pPr>
      <w:r>
        <w:t xml:space="preserve">5.11 What a reader should carry into the results</w:t>
      </w:r>
    </w:p>
    <w:p>
      <w:pPr>
        <w:pStyle w:val="FirstParagraph"/>
        <w:spacing w:line="480" w:lineRule="auto"/>
      </w:pPr>
      <w:r>
        <w:t xml:space="preserve">Before turning to the estimates, three facts about the data most worth fixing carry the reading. First, the citation variable pools in a handful of journal records and runs near-zero everywhere else, so any coefficient touching citation is really a coefficient about that handful</w:t>
      </w:r>
      <w:r>
        <w:t xml:space="preserve"> </w:t>
      </w:r>
      <w:hyperlink w:anchor="ref-5">
        <w:r>
          <w:rPr>
            <w:rStyle w:val="Hyperlink"/>
          </w:rPr>
          <w:t xml:space="preserve">[5]</w:t>
        </w:r>
      </w:hyperlink>
      <w:r>
        <w:t xml:space="preserve"> </w:t>
      </w:r>
      <w:hyperlink w:anchor="ref-16">
        <w:r>
          <w:rPr>
            <w:rStyle w:val="Hyperlink"/>
          </w:rPr>
          <w:t xml:space="preserve">[16]</w:t>
        </w:r>
      </w:hyperlink>
      <w:r>
        <w:t xml:space="preserve">. Second, the signal variable is a term-density proxy tilted toward the technical register, so the venue coefficient blends a real content difference with a stylistic one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Third, the sample is small and recent-heavy, so the recency coefficient is identified mostly off recent records and the whole design holds limited power to reject a null</w:t>
      </w:r>
      <w:r>
        <w:t xml:space="preserve"> </w:t>
      </w:r>
      <w:hyperlink w:anchor="ref-4">
        <w:r>
          <w:rPr>
            <w:rStyle w:val="Hyperlink"/>
          </w:rPr>
          <w:t xml:space="preserve">[4]</w:t>
        </w:r>
      </w:hyperlink>
      <w:r>
        <w:t xml:space="preserve"> </w:t>
      </w:r>
      <w:hyperlink w:anchor="ref-13">
        <w:r>
          <w:rPr>
            <w:rStyle w:val="Hyperlink"/>
          </w:rPr>
          <w:t xml:space="preserve">[13]</w:t>
        </w:r>
      </w:hyperlink>
      <w:r>
        <w:t xml:space="preserve">. A reader who carries those three facts into Chapter 6 will read every coefficient right, weighting each against the feature of the data that drives it, which is exactly the informed scrutiny a fully documented dataset is meant to enable</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17"/>
    <w:bookmarkEnd w:id="118"/>
    <w:bookmarkStart w:id="130" w:name="chapter-6.-results"/>
    <w:p>
      <w:pPr>
        <w:pStyle w:val="Heading1"/>
        <w:spacing w:line="480" w:lineRule="auto"/>
      </w:pPr>
      <w:r>
        <w:t xml:space="preserve">Chapter 6. Results</w:t>
      </w:r>
    </w:p>
    <w:p>
      <w:pPr>
        <w:pStyle w:val="FirstParagraph"/>
        <w:spacing w:line="480" w:lineRule="auto"/>
      </w:pPr>
      <w:r>
        <w:t xml:space="preserve">This chapter sets out what the two estimators found and reads the signs and magnitudes without puffing them. Every number here reproduces exactly from the empirical workbooks. Nothing is rounded past the precision the configurations hold, and nothing is nudged to tidy the story. A reader should be able to lay this chapter beside the paper output and find the two identical</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Start w:id="119" w:name="the-cross-sectional-model"/>
    <w:p>
      <w:pPr>
        <w:pStyle w:val="Heading2"/>
        <w:spacing w:line="480" w:lineRule="auto"/>
      </w:pPr>
      <w:r>
        <w:t xml:space="preserve">6.1 The cross-sectional model</w:t>
      </w:r>
    </w:p>
    <w:p>
      <w:pPr>
        <w:pStyle w:val="FirstParagraph"/>
        <w:spacing w:line="480" w:lineRule="auto"/>
      </w:pPr>
      <w:r>
        <w:t xml:space="preserve">Paper 1 fits an ordinary least squares model with robust HC1 standard errors over the thirty-record sample.</w:t>
      </w:r>
    </w:p>
    <w:p>
      <w:pPr>
        <w:pStyle w:val="BodyText"/>
        <w:spacing w:line="480" w:lineRule="auto"/>
        <w:ind w:firstLine="720"/>
      </w:pPr>
      <w:r>
        <w:t xml:space="preserve">Overall fit runs modest. The model returns N = 30, R2 = 0.1396, adjusted R2 = 0.0404, F = 1.2417, and F_p = 0.3148. The three predictors together account for about fourteen percent of the variance in signal score. Once the model is charged for the parameters it spends, the adjusted figure drops to about four percent. The F statistic of 1.2417 at a p value of 0.3148 does not reject the joint null that all three slopes are zero. Taken as a package, the predictors do not carry the outcome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individual coefficients tell a more textured story. The constant lands at 2.8637 with a standard error of 0.6453 and a p value of 9.08e-06, so the baseline signal level is precisely estimated and clearly nonzero. Recency carries a coefficient of 0.0794 with a standard error of 0.0644 and a p value of 0.2175. Its sign runs positive, the direction the theory called for, yet its p value sits well outside conventional significance, so the design cannot claim signal climbs dependably with recency. Citation count carries a coefficient of -0.0492 with a standard error of 0.0421 and a p value of 0.242. Venue score carries a coefficient of -0.7795 with a standard error of 0.5233 and a p value of 0.1364</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19"/>
    <w:bookmarkStart w:id="120" w:name="X5f3e0804361fdddd3c4e55a6600aeabdd55412a"/>
    <w:p>
      <w:pPr>
        <w:pStyle w:val="Heading2"/>
        <w:spacing w:line="480" w:lineRule="auto"/>
      </w:pPr>
      <w:r>
        <w:t xml:space="preserve">6.2 Interpreting the cross-sectional coefficients</w:t>
      </w:r>
    </w:p>
    <w:p>
      <w:pPr>
        <w:pStyle w:val="FirstParagraph"/>
        <w:spacing w:line="480" w:lineRule="auto"/>
      </w:pPr>
      <w:r>
        <w:t xml:space="preserve">Held against the hypotheses of Chapter 3, this is a null-leaning result, and the design treats it as one rather than straining to salvage an effect.</w:t>
      </w:r>
    </w:p>
    <w:p>
      <w:pPr>
        <w:pStyle w:val="BodyText"/>
        <w:spacing w:line="480" w:lineRule="auto"/>
        <w:ind w:firstLine="720"/>
      </w:pPr>
      <w:r>
        <w:t xml:space="preserve">The recency coefficient leans the right way but reads imprecise. Taken at face value, each one-unit rise in the recency index goes with a signal score higher by about 0.08 points, so crossing the full eighteen-point span of the index would add roughly 1.4 points of signal, a magnitude hardly trivial against a scale running one to eight. But the standard error nearly matches the coefficient, and the p value of 0.2175 means the apparent gradient sits well within the range sampling noise alone would throw off in a sample this small</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citation coefficient runs small and negative both, which cuts against the theory’s call that attention and signal move together. At -0.0492 it says a record with more recorded citations carries slightly lower signal, and at a p value of 0.242 the estimate reads imprecise enough that the design takes it as no dependable tie at all. Here the measurement limits of the citation variable bite hardest. The records with the highest recorded counts are journal articles whose governance signal, as scored, often runs modest, while the highest-signal records are recent papers with few recorded citations, so the raw correlation runs backward for reasons owing more to how the index tracks venues than to any governance mechanism</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Venue is the largest coefficient in absolute terms and the most interesting substantively. At -0.7795 it says climbing the ordinal venue ladder, from the technical conference family toward the policy and economic family, goes with lower signal score, by nearly eight-tenths of a point per level. The p value of 0.1364 keeps it short of conventional significance, so it is a suggestive pattern rather than a settled one. Read with care, it points to what the literature review foresaw: the strongest topic signal in this corpus sits in the technical conference family rather than the policy family, because much of the governance-relevant groundwork is filed as engineering work whose metadata runs dense with theme terms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20"/>
    <w:bookmarkStart w:id="121" w:name="the-accumulation-model"/>
    <w:p>
      <w:pPr>
        <w:pStyle w:val="Heading2"/>
        <w:spacing w:line="480" w:lineRule="auto"/>
      </w:pPr>
      <w:r>
        <w:t xml:space="preserve">6.3 The accumulation model</w:t>
      </w:r>
    </w:p>
    <w:p>
      <w:pPr>
        <w:pStyle w:val="FirstParagraph"/>
        <w:spacing w:line="480" w:lineRule="auto"/>
      </w:pPr>
      <w:r>
        <w:t xml:space="preserve">Paper 2 fits a log-log learning-curve model with robust HC1 standard errors over the same thirty records. The fit summary reads N = 30, R2 = 0.0907, an estimated elasticity of -0.4722, and a progress ratio of 0.7209, the progress ratio being two raised to the elasticity. The term summary runs precise where it counts. The constant lands at 1.3503 with a p value of 0.001106, and the log-age term carries a coefficient of -0.4722 with a p value of 0.018676</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log-age coefficient reaches significance at conventional levels, the one clean rejection of a null in the dissertation. The elasticity of -0.4722 says citation accumulation is ordered by age, and the negative sign carries a specific meaning in this log-log setting. With both variables logged, a one-percent rise in article age goes with roughly a 0.47-percent change in citations-plus-one in the direction the coefficient marks, and the progress ratio of 0.7209 states the same fact as a scaling rule: as age doubles, the fitted citation-plus-one quantity scales by about seventy-two percent along the estimated curve</w:t>
      </w:r>
      <w:r>
        <w:t xml:space="preserve"> </w:t>
      </w:r>
      <w:hyperlink w:anchor="ref-7">
        <w:r>
          <w:rPr>
            <w:rStyle w:val="Hyperlink"/>
          </w:rPr>
          <w:t xml:space="preserve">[7]</w:t>
        </w:r>
      </w:hyperlink>
      <w:r>
        <w:t xml:space="preserve">. The corpus behaves like a citation record with a lawful age structure. It does not behave like random noise.</w:t>
      </w:r>
    </w:p>
    <w:bookmarkEnd w:id="121"/>
    <w:bookmarkStart w:id="122" w:name="what-the-two-models-say-together"/>
    <w:p>
      <w:pPr>
        <w:pStyle w:val="Heading2"/>
        <w:spacing w:line="480" w:lineRule="auto"/>
      </w:pPr>
      <w:r>
        <w:t xml:space="preserve">6.4 What the two models say together</w:t>
      </w:r>
    </w:p>
    <w:p>
      <w:pPr>
        <w:pStyle w:val="FirstParagraph"/>
        <w:spacing w:line="480" w:lineRule="auto"/>
      </w:pPr>
      <w:r>
        <w:t xml:space="preserve">The cross-check the two-estimator design was built to run now pays off. The accumulation model settles that the citation variable is well-behaved: attention in this corpus is age-structured, precisely and significantly, with an elasticity a follow-on analyst could reproduce</w:t>
      </w:r>
      <w:r>
        <w:t xml:space="preserve"> </w:t>
      </w:r>
      <w:hyperlink w:anchor="ref-11">
        <w:r>
          <w:rPr>
            <w:rStyle w:val="Hyperlink"/>
          </w:rPr>
          <w:t xml:space="preserve">[11]</w:t>
        </w:r>
      </w:hyperlink>
      <w:r>
        <w:t xml:space="preserve">. That finding licenses a specific reading of the first model’s weak attention coefficient. Because the citation variable does real work in the second model, the near-zero, wrong-signed attention coefficient in the first is no relic of a broken variable. It is a substantive statement that, inside this corpus, recorded citation attention does not track the governance signal, itself telling about how attention and governance salience relate in the field</w:t>
      </w:r>
      <w:r>
        <w:t xml:space="preserve"> </w:t>
      </w:r>
      <w:hyperlink w:anchor="ref-5">
        <w:r>
          <w:rPr>
            <w:rStyle w:val="Hyperlink"/>
          </w:rPr>
          <w:t xml:space="preserve">[5]</w:t>
        </w:r>
      </w:hyperlink>
      <w:r>
        <w:t xml:space="preserve"> </w:t>
      </w:r>
      <w:hyperlink w:anchor="ref-7">
        <w:r>
          <w:rPr>
            <w:rStyle w:val="Hyperlink"/>
          </w:rPr>
          <w:t xml:space="preserve">[7]</w:t>
        </w:r>
      </w:hyperlink>
      <w:r>
        <w:t xml:space="preserve">. Set beside the joint F test of the first model, the overall verdict runs clear and modest. The cross-sectional structure a convergence-or-divergence argument would need, a signal climbing dependably with recency and attention across venue families, is absent at conventional confidence in these thirty records</w:t>
      </w:r>
      <w:r>
        <w:t xml:space="preserve"> </w:t>
      </w:r>
      <w:hyperlink w:anchor="ref-3">
        <w:r>
          <w:rPr>
            <w:rStyle w:val="Hyperlink"/>
          </w:rPr>
          <w:t xml:space="preserve">[3]</w:t>
        </w:r>
      </w:hyperlink>
      <w:r>
        <w:t xml:space="preserve"> </w:t>
      </w:r>
      <w:hyperlink w:anchor="ref-6">
        <w:r>
          <w:rPr>
            <w:rStyle w:val="Hyperlink"/>
          </w:rPr>
          <w:t xml:space="preserve">[6]</w:t>
        </w:r>
      </w:hyperlink>
      <w:r>
        <w:t xml:space="preserve">. What is present is a precise baseline signal level, a suggestive pooling of signal in the technical venue family, and a clean, significant age-elasticity of citation accumulation</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Artemis question leaves a legible mark in how attention gathers over time, but it does not yet leave a strong, jointly significant mark in the cross-sectional metadata of this corpus.</w:t>
      </w:r>
    </w:p>
    <w:bookmarkEnd w:id="122"/>
    <w:bookmarkStart w:id="123" w:name="magnitudes-in-context"/>
    <w:p>
      <w:pPr>
        <w:pStyle w:val="Heading2"/>
        <w:spacing w:line="480" w:lineRule="auto"/>
      </w:pPr>
      <w:r>
        <w:t xml:space="preserve">6.5 Magnitudes in context</w:t>
      </w:r>
    </w:p>
    <w:p>
      <w:pPr>
        <w:pStyle w:val="FirstParagraph"/>
        <w:spacing w:line="480" w:lineRule="auto"/>
      </w:pPr>
      <w:r>
        <w:t xml:space="preserve">Translating the coefficients into plain terms one more time pays off, because magnitude without context invites both overreading and dismissal. The venue coefficient of -0.7795 is the largest single association in the study, and across the two-level span from conference to policy it shifts fitted signal by more than one and a half points, a real slice of the one-to-eight scale</w:t>
      </w:r>
      <w:r>
        <w:t xml:space="preserve"> </w:t>
      </w:r>
      <w:hyperlink w:anchor="ref-9">
        <w:r>
          <w:rPr>
            <w:rStyle w:val="Hyperlink"/>
          </w:rPr>
          <w:t xml:space="preserve">[9]</w:t>
        </w:r>
      </w:hyperlink>
      <w:r>
        <w:t xml:space="preserve">. The recency association, imprecise though it is, runs not negligible in magnitude across the full time span</w:t>
      </w:r>
      <w:r>
        <w:t xml:space="preserve"> </w:t>
      </w:r>
      <w:hyperlink w:anchor="ref-4">
        <w:r>
          <w:rPr>
            <w:rStyle w:val="Hyperlink"/>
          </w:rPr>
          <w:t xml:space="preserve">[4]</w:t>
        </w:r>
      </w:hyperlink>
      <w:r>
        <w:t xml:space="preserve">. The citation association is small in every sense, in coefficient and in reliability alike</w:t>
      </w:r>
      <w:r>
        <w:t xml:space="preserve"> </w:t>
      </w:r>
      <w:hyperlink w:anchor="ref-5">
        <w:r>
          <w:rPr>
            <w:rStyle w:val="Hyperlink"/>
          </w:rPr>
          <w:t xml:space="preserve">[5]</w:t>
        </w:r>
      </w:hyperlink>
      <w:r>
        <w:t xml:space="preserve">. And the age-elasticity of -0.4722, the study’s one significant result, is a moderate learning-curve slope, well inside the range citation records commonly show</w:t>
      </w:r>
      <w:r>
        <w:t xml:space="preserve"> </w:t>
      </w:r>
      <w:hyperlink w:anchor="ref-7">
        <w:r>
          <w:rPr>
            <w:rStyle w:val="Hyperlink"/>
          </w:rPr>
          <w:t xml:space="preserve">[7]</w:t>
        </w:r>
      </w:hyperlink>
      <w:r>
        <w:t xml:space="preserve"> </w:t>
      </w:r>
      <w:hyperlink w:anchor="ref-11">
        <w:r>
          <w:rPr>
            <w:rStyle w:val="Hyperlink"/>
          </w:rPr>
          <w:t xml:space="preserve">[11]</w:t>
        </w:r>
      </w:hyperlink>
      <w:r>
        <w:t xml:space="preserve">. Reported honestly, the results back a bounded claim: the corpus is age-structured in its attention and venue-structured in its signal, yet it does not deliver the strong, jointly significant cross-sectional pattern a confident convergence-or-divergence verdict would demand</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23"/>
    <w:bookmarkStart w:id="124" w:name="fit-statistics-read-carefully"/>
    <w:p>
      <w:pPr>
        <w:pStyle w:val="Heading2"/>
        <w:spacing w:line="480" w:lineRule="auto"/>
      </w:pPr>
      <w:r>
        <w:t xml:space="preserve">6.6 Fit statistics read carefully</w:t>
      </w:r>
    </w:p>
    <w:p>
      <w:pPr>
        <w:pStyle w:val="FirstParagraph"/>
        <w:spacing w:line="480" w:lineRule="auto"/>
      </w:pPr>
      <w:r>
        <w:t xml:space="preserve">The two R-squared values deserve a careful moment, because they are easy to misuse. The first model’s R-squared of 0.1396 says the three predictors jointly account for about fourteen percent of the variance in signal score, and the adjusted figure of 0.0404 says that once the model is charged for the three parameters it spends, nearly all that apparent explanatory power drains off</w:t>
      </w:r>
      <w:r>
        <w:t xml:space="preserve"> </w:t>
      </w:r>
      <w:hyperlink w:anchor="ref-3">
        <w:r>
          <w:rPr>
            <w:rStyle w:val="Hyperlink"/>
          </w:rPr>
          <w:t xml:space="preserve">[3]</w:t>
        </w:r>
      </w:hyperlink>
      <w:r>
        <w:t xml:space="preserve">. The gap between raw and adjusted is itself the story: it signals the predictors are buying very little once the cost of estimating them on thirty records is paid, exactly what a jointly insignificant F test of 1.2417 at a p value of 0.3148 would lead one to expect</w:t>
      </w:r>
      <w:r>
        <w:t xml:space="preserve"> </w:t>
      </w:r>
      <w:hyperlink w:anchor="ref-6">
        <w:r>
          <w:rPr>
            <w:rStyle w:val="Hyperlink"/>
          </w:rPr>
          <w:t xml:space="preserve">[6]</w:t>
        </w:r>
      </w:hyperlink>
      <w:r>
        <w:t xml:space="preserve">. A reader who saw only the raw R-squared might overrate the model. The adjusted figure and the F test together keep the reading honest. The second model’s R-squared of 0.0907 runs lower still, and here the low value carries a different lesson</w:t>
      </w:r>
      <w:r>
        <w:t xml:space="preserve"> </w:t>
      </w:r>
      <w:hyperlink w:anchor="ref-11">
        <w:r>
          <w:rPr>
            <w:rStyle w:val="Hyperlink"/>
          </w:rPr>
          <w:t xml:space="preserve">[11]</w:t>
        </w:r>
      </w:hyperlink>
      <w:r>
        <w:t xml:space="preserve">. A learning-curve model does not aim to explain most of the variance in citation counts, because citation is driven by many things age cannot catch. What matters is that the single predictor, log-age, carries a precisely estimated coefficient, and it does: the log-age term reaches significance at a p value of 0.018676 despite the model explaining under ten percent of the variance</w:t>
      </w:r>
      <w:r>
        <w:t xml:space="preserve"> </w:t>
      </w:r>
      <w:hyperlink w:anchor="ref-7">
        <w:r>
          <w:rPr>
            <w:rStyle w:val="Hyperlink"/>
          </w:rPr>
          <w:t xml:space="preserve">[7]</w:t>
        </w:r>
      </w:hyperlink>
      <w:r>
        <w:t xml:space="preserve">. Low overall fit paired with a precise, significant slope is the ordinary mark of a learning-curve estimate, and it is a reminder that explanatory power and inferential precision are different things a careless reading would run together</w:t>
      </w:r>
      <w:r>
        <w:t xml:space="preserve"> </w:t>
      </w:r>
      <w:hyperlink w:anchor="ref-5">
        <w:r>
          <w:rPr>
            <w:rStyle w:val="Hyperlink"/>
          </w:rPr>
          <w:t xml:space="preserve">[5]</w:t>
        </w:r>
      </w:hyperlink>
      <w:r>
        <w:t xml:space="preserve">.</w:t>
      </w:r>
    </w:p>
    <w:bookmarkEnd w:id="124"/>
    <w:bookmarkStart w:id="125" w:name="robustness-of-the-reported-pattern"/>
    <w:p>
      <w:pPr>
        <w:pStyle w:val="Heading2"/>
        <w:spacing w:line="480" w:lineRule="auto"/>
      </w:pPr>
      <w:r>
        <w:t xml:space="preserve">6.7 Robustness of the reported pattern</w:t>
      </w:r>
    </w:p>
    <w:p>
      <w:pPr>
        <w:pStyle w:val="FirstParagraph"/>
        <w:spacing w:line="480" w:lineRule="auto"/>
      </w:pPr>
      <w:r>
        <w:t xml:space="preserve">The results should be read with an eye to how fragile they run, and the small sample makes fragility a live worry rather than a formality. The venue coefficient, the largest cross-sectional association, rests on a venue ordering whose top level, the policy family, holds only a few records, so one reclassification or one influential policy record could move its magnitude by a visible amount</w:t>
      </w:r>
      <w:r>
        <w:t xml:space="preserve"> </w:t>
      </w:r>
      <w:hyperlink w:anchor="ref-13">
        <w:r>
          <w:rPr>
            <w:rStyle w:val="Hyperlink"/>
          </w:rPr>
          <w:t xml:space="preserve">[13]</w:t>
        </w:r>
      </w:hyperlink>
      <w:r>
        <w:t xml:space="preserve"> </w:t>
      </w:r>
      <w:hyperlink w:anchor="ref-10">
        <w:r>
          <w:rPr>
            <w:rStyle w:val="Hyperlink"/>
          </w:rPr>
          <w:t xml:space="preserve">[10]</w:t>
        </w:r>
      </w:hyperlink>
      <w:r>
        <w:t xml:space="preserve">. The design does not claim the venue coefficient is robust; it claims the coefficient is suggestive and read right only as a direction, and the imprecise p value of 0.1364 squares with that caution</w:t>
      </w:r>
      <w:r>
        <w:t xml:space="preserve"> </w:t>
      </w:r>
      <w:hyperlink w:anchor="ref-9">
        <w:r>
          <w:rPr>
            <w:rStyle w:val="Hyperlink"/>
          </w:rPr>
          <w:t xml:space="preserve">[9]</w:t>
        </w:r>
      </w:hyperlink>
      <w:r>
        <w:t xml:space="preserve">. A larger sample with a finer venue coding would be needed before the pattern could be called stable. The age-elasticity is the sturdier of the study’s findings, and the reason is structural. The negative tie between age and log-citation is anchored by the ordinary fact that the corpus’s most-cited records are journal articles several years old while its highest-signal records are recent papers with little accumulated citation</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That pattern would survive the removal of any single record, because it reflects a general property of how citation accrues with time rather than a quirk of one high-leverage observation</w:t>
      </w:r>
      <w:r>
        <w:t xml:space="preserve"> </w:t>
      </w:r>
      <w:hyperlink w:anchor="ref-5">
        <w:r>
          <w:rPr>
            <w:rStyle w:val="Hyperlink"/>
          </w:rPr>
          <w:t xml:space="preserve">[5]</w:t>
        </w:r>
      </w:hyperlink>
      <w:r>
        <w:t xml:space="preserve">. The significance of the log-age term at 0.018676, joined to a precisely estimated constant at a p value of 0.001106, is therefore the study’s most trustworthy result, and it is the one the discussion in Chapter 7 leans on hardest</w:t>
      </w:r>
      <w:r>
        <w:t xml:space="preserve"> </w:t>
      </w:r>
      <w:hyperlink w:anchor="ref-11">
        <w:r>
          <w:rPr>
            <w:rStyle w:val="Hyperlink"/>
          </w:rPr>
          <w:t xml:space="preserve">[11]</w:t>
        </w:r>
      </w:hyperlink>
      <w:r>
        <w:t xml:space="preserve">.</w:t>
      </w:r>
    </w:p>
    <w:bookmarkEnd w:id="125"/>
    <w:bookmarkStart w:id="126" w:name="what-the-numbers-permit-and-forbid"/>
    <w:p>
      <w:pPr>
        <w:pStyle w:val="Heading2"/>
        <w:spacing w:line="480" w:lineRule="auto"/>
      </w:pPr>
      <w:r>
        <w:t xml:space="preserve">6.8 What the numbers permit and forbid</w:t>
      </w:r>
    </w:p>
    <w:p>
      <w:pPr>
        <w:pStyle w:val="FirstParagraph"/>
        <w:spacing w:line="480" w:lineRule="auto"/>
      </w:pPr>
      <w:r>
        <w:t xml:space="preserve">Taken together, the reported output permits a small set of claims and forbids a larger one. It permits the claim that citation attention in this corpus is age-structured, precisely and significantly</w:t>
      </w:r>
      <w:r>
        <w:t xml:space="preserve"> </w:t>
      </w:r>
      <w:hyperlink w:anchor="ref-7">
        <w:r>
          <w:rPr>
            <w:rStyle w:val="Hyperlink"/>
          </w:rPr>
          <w:t xml:space="preserve">[7]</w:t>
        </w:r>
      </w:hyperlink>
      <w:r>
        <w:t xml:space="preserve">. It permits the claim that baseline topic signal is clearly present, given the precisely estimated constant of 2.8637 at a p value of 9.08e-06</w:t>
      </w:r>
      <w:r>
        <w:t xml:space="preserve"> </w:t>
      </w:r>
      <w:hyperlink w:anchor="ref-3">
        <w:r>
          <w:rPr>
            <w:rStyle w:val="Hyperlink"/>
          </w:rPr>
          <w:t xml:space="preserve">[3]</w:t>
        </w:r>
      </w:hyperlink>
      <w:r>
        <w:t xml:space="preserve">. And it permits the suggestive claim that signal pools in the technical venue family, read off the negative venue coefficient without asserting significance</w:t>
      </w:r>
      <w:r>
        <w:t xml:space="preserve"> </w:t>
      </w:r>
      <w:hyperlink w:anchor="ref-1">
        <w:r>
          <w:rPr>
            <w:rStyle w:val="Hyperlink"/>
          </w:rPr>
          <w:t xml:space="preserve">[1]</w:t>
        </w:r>
      </w:hyperlink>
      <w:r>
        <w:t xml:space="preserve"> </w:t>
      </w:r>
      <w:hyperlink w:anchor="ref-9">
        <w:r>
          <w:rPr>
            <w:rStyle w:val="Hyperlink"/>
          </w:rPr>
          <w:t xml:space="preserve">[9]</w:t>
        </w:r>
      </w:hyperlink>
      <w:r>
        <w:t xml:space="preserve">. What it forbids is any claim that signal climbs dependably with recency or attention across the corpus, because the joint F test does not reject its null and neither individual coefficient reaches conventional precision</w:t>
      </w:r>
      <w:r>
        <w:t xml:space="preserve"> </w:t>
      </w:r>
      <w:hyperlink w:anchor="ref-4">
        <w:r>
          <w:rPr>
            <w:rStyle w:val="Hyperlink"/>
          </w:rPr>
          <w:t xml:space="preserve">[4]</w:t>
        </w:r>
      </w:hyperlink>
      <w:r>
        <w:t xml:space="preserve"> </w:t>
      </w:r>
      <w:hyperlink w:anchor="ref-6">
        <w:r>
          <w:rPr>
            <w:rStyle w:val="Hyperlink"/>
          </w:rPr>
          <w:t xml:space="preserve">[6]</w:t>
        </w:r>
      </w:hyperlink>
      <w:r>
        <w:t xml:space="preserve">. Chapter 6’s discipline is to halt exactly there, reporting each number as the workbook made it and reading only what the numbers will bear</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26"/>
    <w:bookmarkStart w:id="127" w:name="X9a33396cd1d3a2cac7d41526f519d8897035785"/>
    <w:p>
      <w:pPr>
        <w:pStyle w:val="Heading2"/>
        <w:spacing w:line="480" w:lineRule="auto"/>
      </w:pPr>
      <w:r>
        <w:t xml:space="preserve">6.9 Mapping the results onto the two-orders signatures</w:t>
      </w:r>
    </w:p>
    <w:p>
      <w:pPr>
        <w:pStyle w:val="FirstParagraph"/>
        <w:spacing w:line="480" w:lineRule="auto"/>
      </w:pPr>
      <w:r>
        <w:t xml:space="preserve">The theory in Chapter 3 laid down two bibliometric signatures, one for convergence and one for divergence, and the results can now be laid onto them. The convergence signature called for signal climbing with recency, spanning venue families, and drawing attention as it climbed</w:t>
      </w:r>
      <w:r>
        <w:t xml:space="preserve"> </w:t>
      </w:r>
      <w:hyperlink w:anchor="ref-1">
        <w:r>
          <w:rPr>
            <w:rStyle w:val="Hyperlink"/>
          </w:rPr>
          <w:t xml:space="preserve">[1]</w:t>
        </w:r>
      </w:hyperlink>
      <w:r>
        <w:t xml:space="preserve"> </w:t>
      </w:r>
      <w:hyperlink w:anchor="ref-10">
        <w:r>
          <w:rPr>
            <w:rStyle w:val="Hyperlink"/>
          </w:rPr>
          <w:t xml:space="preserve">[10]</w:t>
        </w:r>
      </w:hyperlink>
      <w:r>
        <w:t xml:space="preserve">. None of that shows cleanly. The recency coefficient of 0.0794 runs positive but imprecise, the signal does not span venues but pools toward the technical family as the negative venue coefficient of -0.7795 marks, and the citation coefficient of -0.0492 cuts against the attention call outright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convergence signature is simply absent from these thirty records. The divergence signature fits somewhat better, which the theory foresaw. Divergence called for signal pooling within venue families rather than blurring across them, and the negative venue coefficient squares with exactly that pooling, placing the strongest topic signal in the technical conference family where the currents run in isolation</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The fit is only partial, because the venue coefficient falls short of conventional significance at a p value of 0.1364, so the divergence reading is suggestive rather than settled</w:t>
      </w:r>
      <w:r>
        <w:t xml:space="preserve"> </w:t>
      </w:r>
      <w:hyperlink w:anchor="ref-13">
        <w:r>
          <w:rPr>
            <w:rStyle w:val="Hyperlink"/>
          </w:rPr>
          <w:t xml:space="preserve">[13]</w:t>
        </w:r>
      </w:hyperlink>
      <w:r>
        <w:t xml:space="preserve">. What the results permit is a careful statement: to the degree these records show any cross-sectional structure at all, it leans toward the divergence signature of compartmentalized signal over the convergence signature of a merging conversation</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27"/>
    <w:bookmarkStart w:id="128" w:name="the-accumulation-result-in-its-own-right"/>
    <w:p>
      <w:pPr>
        <w:pStyle w:val="Heading2"/>
        <w:spacing w:line="480" w:lineRule="auto"/>
      </w:pPr>
      <w:r>
        <w:t xml:space="preserve">6.10 The accumulation result in its own right</w:t>
      </w:r>
    </w:p>
    <w:p>
      <w:pPr>
        <w:pStyle w:val="FirstParagraph"/>
        <w:spacing w:line="480" w:lineRule="auto"/>
      </w:pPr>
      <w:r>
        <w:t xml:space="preserve">The age-elasticity deserves reading not only as a cross-check but as a finding about the corpus in its own right. An elasticity of -0.4722, significant at a p value of 0.018676, with a progress ratio of 0.7209, sketches a citation record where attention scales sublinearly as documents age along the fitted curve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This is the ordinary shape of a healthy literature: older work has gathered the citations its age permits, recent work has yet to cash in its eventual notice, and the tie between the two is describable by a single stable slope rather than by chaos</w:t>
      </w:r>
      <w:r>
        <w:t xml:space="preserve"> </w:t>
      </w:r>
      <w:hyperlink w:anchor="ref-11">
        <w:r>
          <w:rPr>
            <w:rStyle w:val="Hyperlink"/>
          </w:rPr>
          <w:t xml:space="preserve">[11]</w:t>
        </w:r>
      </w:hyperlink>
      <w:r>
        <w:t xml:space="preserve">. The corpus, whatever its limits as a window into governance, behaves as a normal bibliometric record. That normalcy quietly matters for the whole argument. It means the citation variable used throughout is no noise; it carries lawful information about how attention accrues, which is what licenses reading the first model’s weak attention coefficient as substantive rather than as instrument failure</w:t>
      </w:r>
      <w:r>
        <w:t xml:space="preserve"> </w:t>
      </w:r>
      <w:hyperlink w:anchor="ref-5">
        <w:r>
          <w:rPr>
            <w:rStyle w:val="Hyperlink"/>
          </w:rPr>
          <w:t xml:space="preserve">[5]</w:t>
        </w:r>
      </w:hyperlink>
      <w:r>
        <w:t xml:space="preserve"> </w:t>
      </w:r>
      <w:hyperlink w:anchor="ref-7">
        <w:r>
          <w:rPr>
            <w:rStyle w:val="Hyperlink"/>
          </w:rPr>
          <w:t xml:space="preserve">[7]</w:t>
        </w:r>
      </w:hyperlink>
      <w:r>
        <w:t xml:space="preserve">. Had the accumulation model returned an insignificant or wildly signed elasticity, the whole attention story in the cross-sectional model would collapse into unreadability, because a broken attention variable can back no reading, weak or strong</w:t>
      </w:r>
      <w:r>
        <w:t xml:space="preserve"> </w:t>
      </w:r>
      <w:hyperlink w:anchor="ref-11">
        <w:r>
          <w:rPr>
            <w:rStyle w:val="Hyperlink"/>
          </w:rPr>
          <w:t xml:space="preserve">[11]</w:t>
        </w:r>
      </w:hyperlink>
      <w:r>
        <w:t xml:space="preserve">. The significant elasticity is therefore load-bearing for the dissertation’s central move, the move that lets a null-leaning cross-sectional result read as evidence rather than as failure, and it is set down here as the study’s firmest empirical ground</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28"/>
    <w:bookmarkStart w:id="129" w:name="summary-of-the-reported-evidence"/>
    <w:p>
      <w:pPr>
        <w:pStyle w:val="Heading2"/>
        <w:spacing w:line="480" w:lineRule="auto"/>
      </w:pPr>
      <w:r>
        <w:t xml:space="preserve">6.11 Summary of the reported evidence</w:t>
      </w:r>
    </w:p>
    <w:p>
      <w:pPr>
        <w:pStyle w:val="FirstParagraph"/>
        <w:spacing w:line="480" w:lineRule="auto"/>
      </w:pPr>
      <w:r>
        <w:t xml:space="preserve">The chapter’s numbers gather into a single ledger. The cross-sectional model returns N = 30, R2 = 0.1396, adjusted R2 = 0.0404, F = 1.2417, and F_p = 0.3148, with a constant of 2.8637 at p = 9.08e-06, a recency coefficient of 0.0794 at p = 0.2175, a citation coefficient of -0.0492 at p = 0.242, and a venue coefficient of -0.7795 at p = 0.1364</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accumulation model returns N = 30, R2 = 0.0907, an elasticity of -0.4722 at p = 0.018676, a constant of 1.3503 at p = 0.001106, and a progress ratio of 0.7209</w:t>
      </w:r>
      <w:r>
        <w:t xml:space="preserve"> </w:t>
      </w:r>
      <w:hyperlink w:anchor="ref-7">
        <w:r>
          <w:rPr>
            <w:rStyle w:val="Hyperlink"/>
          </w:rPr>
          <w:t xml:space="preserve">[7]</w:t>
        </w:r>
      </w:hyperlink>
      <w:r>
        <w:t xml:space="preserve"> </w:t>
      </w:r>
      <w:hyperlink w:anchor="ref-11">
        <w:r>
          <w:rPr>
            <w:rStyle w:val="Hyperlink"/>
          </w:rPr>
          <w:t xml:space="preserve">[11]</w:t>
        </w:r>
      </w:hyperlink>
      <w:r>
        <w:t xml:space="preserve">. Every value here reproduces from the workbooks unaltered, and the reading offered has held inside what those values support: a precise baseline, a suggestive venue pooling, an undependable recency and attention signal, and a single clean, significant age-elasticity</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29"/>
    <w:bookmarkEnd w:id="130"/>
    <w:bookmarkStart w:id="141"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run modest, and this chapter takes their modesty in earnest. A disciplined dissertation does not read a null-leaning cross-sectional model as a letdown to be spun toward significance. It reads the pattern of what turned up and what did not as the real object of interpretation. This chapter asks what the findings mean for the two-orders question, meets the threats to validity in the open, and draws the line between what the thirty records back and what they cannot show</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Start w:id="131" w:name="what-the-findings-mean"/>
    <w:p>
      <w:pPr>
        <w:pStyle w:val="Heading2"/>
        <w:spacing w:line="480" w:lineRule="auto"/>
      </w:pPr>
      <w:r>
        <w:t xml:space="preserve">7.1 What the findings mean</w:t>
      </w:r>
    </w:p>
    <w:p>
      <w:pPr>
        <w:pStyle w:val="FirstParagraph"/>
        <w:spacing w:line="480" w:lineRule="auto"/>
      </w:pPr>
      <w:r>
        <w:t xml:space="preserve">The headline is a split verdict. The accumulation model rejected its null cleanly: citation attention in this corpus is ordered by article age, with an elasticity of -0.4722 significant at conventional levels</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cross-sectional model did not reject its joint null: the three theoretical marks, taken together, fail to carry the topic signal at conventional confidence, and the F test of 1.2417 at a p value of 0.3148 says as much plainly</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Artemis question, as this corpus records it, behaves like a normal literature in how attention gathers over time yet does not yet show the strong cross-sectional signature a confident convergence-or-divergence claim would need. That split is substantively meaningful, not merely a technical outcome. It says the governance conversation is present in the field but scattered, tucked inside technical and economic work rather than pooled into a distinct, metadata-legible governance signal</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suggestive venue coefficient shores up the reading. The strongest topic signal sits toward the technical conference family. That is exactly where a field lays operational groundwork before its governance stakes get named aloud</w:t>
      </w:r>
      <w:r>
        <w:t xml:space="preserve"> </w:t>
      </w:r>
      <w:hyperlink w:anchor="ref-2">
        <w:r>
          <w:rPr>
            <w:rStyle w:val="Hyperlink"/>
          </w:rPr>
          <w:t xml:space="preserve">[2]</w:t>
        </w:r>
      </w:hyperlink>
      <w:r>
        <w:t xml:space="preserve"> </w:t>
      </w:r>
      <w:hyperlink w:anchor="ref-3">
        <w:r>
          <w:rPr>
            <w:rStyle w:val="Hyperlink"/>
          </w:rPr>
          <w:t xml:space="preserve">[3]</w:t>
        </w:r>
      </w:hyperlink>
      <w:r>
        <w:t xml:space="preserve">. If the two orders are converging or diverging, the process is running beneath the surface of the published record rather than announcing itself in it, at least in the slice this corpus catches.</w:t>
      </w:r>
    </w:p>
    <w:bookmarkEnd w:id="131"/>
    <w:bookmarkStart w:id="132" w:name="the-signal-that-was-not-there"/>
    <w:p>
      <w:pPr>
        <w:pStyle w:val="Heading2"/>
        <w:spacing w:line="480" w:lineRule="auto"/>
      </w:pPr>
      <w:r>
        <w:t xml:space="preserve">7.2 The signal that was not there</w:t>
      </w:r>
    </w:p>
    <w:p>
      <w:pPr>
        <w:pStyle w:val="FirstParagraph"/>
        <w:spacing w:line="480" w:lineRule="auto"/>
      </w:pPr>
      <w:r>
        <w:t xml:space="preserve">The missing strong recency effect earns particular notice, because the theory called it most confidently. Chapter 3 argued that a rising governance question should show up more in newer work, so the recency coefficient should come back positive and precise</w:t>
      </w:r>
      <w:r>
        <w:t xml:space="preserve"> </w:t>
      </w:r>
      <w:hyperlink w:anchor="ref-4">
        <w:r>
          <w:rPr>
            <w:rStyle w:val="Hyperlink"/>
          </w:rPr>
          <w:t xml:space="preserve">[4]</w:t>
        </w:r>
      </w:hyperlink>
      <w:r>
        <w:t xml:space="preserve">. It came back positive and imprecise: 0.0794 at a p value of 0.2175</w:t>
      </w:r>
      <w:r>
        <w:t xml:space="preserve"> </w:t>
      </w:r>
      <w:hyperlink w:anchor="ref-3">
        <w:r>
          <w:rPr>
            <w:rStyle w:val="Hyperlink"/>
          </w:rPr>
          <w:t xml:space="preserve">[3]</w:t>
        </w:r>
      </w:hyperlink>
      <w:r>
        <w:t xml:space="preserve">. The honest reading is that this corpus does not settle a dependable recency gradient in topic signal. Two routes lead there. Either the topic is not, in fact, rising the way the framing supposed, or the rise is real but the signal-scoring instrument runs too coarse to catch it against the noise of a thirty-record sample</w:t>
      </w:r>
      <w:r>
        <w:t xml:space="preserve"> </w:t>
      </w:r>
      <w:hyperlink w:anchor="ref-13">
        <w:r>
          <w:rPr>
            <w:rStyle w:val="Hyperlink"/>
          </w:rPr>
          <w:t xml:space="preserve">[13]</w:t>
        </w:r>
      </w:hyperlink>
      <w:r>
        <w:t xml:space="preserve">. The design cannot referee between them, and it makes no pretense of doing so.</w:t>
      </w:r>
    </w:p>
    <w:p>
      <w:pPr>
        <w:pStyle w:val="BodyText"/>
        <w:spacing w:line="480" w:lineRule="auto"/>
        <w:ind w:firstLine="720"/>
      </w:pPr>
      <w:r>
        <w:t xml:space="preserve">The negative citation coefficient teaches just as much once the second model is folded in.</w:t>
      </w:r>
    </w:p>
    <w:p>
      <w:pPr>
        <w:pStyle w:val="BodyText"/>
        <w:spacing w:line="480" w:lineRule="auto"/>
        <w:ind w:firstLine="720"/>
      </w:pPr>
      <w:r>
        <w:t xml:space="preserve">Because the accumulation model showed the citation variable well-behaved with respect to age, the wrong-signed, imprecise attention coefficient in the first model cannot be waved off as a broken variable</w:t>
      </w:r>
      <w:r>
        <w:t xml:space="preserve"> </w:t>
      </w:r>
      <w:hyperlink w:anchor="ref-11">
        <w:r>
          <w:rPr>
            <w:rStyle w:val="Hyperlink"/>
          </w:rPr>
          <w:t xml:space="preserve">[11]</w:t>
        </w:r>
      </w:hyperlink>
      <w:r>
        <w:t xml:space="preserve">. The more credible reading is structural. The highest recorded citation counts belong to journal articles whose governance signal, as scored, runs modest. The highest-signal records are recent papers the index has barely started to cite</w:t>
      </w:r>
      <w:r>
        <w:t xml:space="preserve"> </w:t>
      </w:r>
      <w:hyperlink w:anchor="ref-5">
        <w:r>
          <w:rPr>
            <w:rStyle w:val="Hyperlink"/>
          </w:rPr>
          <w:t xml:space="preserve">[5]</w:t>
        </w:r>
      </w:hyperlink>
      <w:r>
        <w:t xml:space="preserve">. Attention and governance salience come apart in this corpus. That coming-apart is a finding about the field’s citation ecology rather than a flaw in the model.</w:t>
      </w:r>
    </w:p>
    <w:bookmarkEnd w:id="132"/>
    <w:bookmarkStart w:id="133" w:name="threats-to-validity"/>
    <w:p>
      <w:pPr>
        <w:pStyle w:val="Heading2"/>
        <w:spacing w:line="480" w:lineRule="auto"/>
      </w:pPr>
      <w:r>
        <w:t xml:space="preserve">7.3 Threats to validity</w:t>
      </w:r>
    </w:p>
    <w:p>
      <w:pPr>
        <w:pStyle w:val="FirstParagraph"/>
        <w:spacing w:line="480" w:lineRule="auto"/>
      </w:pPr>
      <w:r>
        <w:t xml:space="preserve">Several threats fence these readings, and each was flagged back in Chapter 1 rather than discovered after the fact.</w:t>
      </w:r>
    </w:p>
    <w:p>
      <w:pPr>
        <w:pStyle w:val="BodyText"/>
        <w:spacing w:line="480" w:lineRule="auto"/>
        <w:ind w:firstLine="720"/>
      </w:pPr>
      <w:r>
        <w:t xml:space="preserve">The first is topic-fit noise in the signal-scoring instrument. The score tallies theme-term hits across four metadata fields, reproducible but coarse. A record can score high because its abstract runs term-dense without being centrally about the governance question, and a record can score low while being dead-center on point if its metadata runs terse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measurement noise pulls coefficients toward zero, which means the null-leaning cross-sectional result may owe partly to instrument coarseness rather than to a genuine absence of structure</w:t>
      </w:r>
      <w:r>
        <w:t xml:space="preserve"> </w:t>
      </w:r>
      <w:hyperlink w:anchor="ref-5">
        <w:r>
          <w:rPr>
            <w:rStyle w:val="Hyperlink"/>
          </w:rPr>
          <w:t xml:space="preserve">[5]</w:t>
        </w:r>
      </w:hyperlink>
      <w:r>
        <w:t xml:space="preserve">. The second threat is the citation variable itself. Counts come from a local index that tracks venue families unevenly, understating attention by rule for the conference and policy records that make up much of the sample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accumulation model works through this because age structure survives the skew, but the first model’s attention coefficient meets it head-on. A better-measured citation variable, drawn from a comprehensive index, could plausibly flip the sign or the precision of that coefficient, and the dissertation says so rather than overclaiming.</w:t>
      </w:r>
    </w:p>
    <w:p>
      <w:pPr>
        <w:pStyle w:val="BodyText"/>
        <w:spacing w:line="480" w:lineRule="auto"/>
        <w:ind w:firstLine="720"/>
      </w:pPr>
      <w:r>
        <w:t xml:space="preserve">The third threat is the ordinal venue coding. Three levels ranked by audience breadth is a blunt tool, and treating an ordinal code as a continuous regressor loads in a linearity the coding does not really earn</w:t>
      </w:r>
      <w:r>
        <w:t xml:space="preserve"> </w:t>
      </w:r>
      <w:hyperlink w:anchor="ref-9">
        <w:r>
          <w:rPr>
            <w:rStyle w:val="Hyperlink"/>
          </w:rPr>
          <w:t xml:space="preserve">[9]</w:t>
        </w:r>
      </w:hyperlink>
      <w:r>
        <w:t xml:space="preserve"> </w:t>
      </w:r>
      <w:hyperlink w:anchor="ref-13">
        <w:r>
          <w:rPr>
            <w:rStyle w:val="Hyperlink"/>
          </w:rPr>
          <w:t xml:space="preserve">[13]</w:t>
        </w:r>
      </w:hyperlink>
      <w:r>
        <w:t xml:space="preserve">. So the venue coefficient should be read as a direction, not a dose. The fourth threat is the most basic: thirty records buy limited statistical power, so the failure to reject the joint null is at least partly a power problem, and a larger corpus could turn up structure this sample cannot catch</w:t>
      </w:r>
      <w:r>
        <w:t xml:space="preserve"> </w:t>
      </w:r>
      <w:hyperlink w:anchor="ref-13">
        <w:r>
          <w:rPr>
            <w:rStyle w:val="Hyperlink"/>
          </w:rPr>
          <w:t xml:space="preserve">[13]</w:t>
        </w:r>
      </w:hyperlink>
      <w:r>
        <w:t xml:space="preserve">. None of these threats hides. None is fatal. Together they mark the confidence band inside which the results should be read.</w:t>
      </w:r>
    </w:p>
    <w:bookmarkEnd w:id="133"/>
    <w:bookmarkStart w:id="134" w:name="what-the-data-cannot-show"/>
    <w:p>
      <w:pPr>
        <w:pStyle w:val="Heading2"/>
        <w:spacing w:line="480" w:lineRule="auto"/>
      </w:pPr>
      <w:r>
        <w:t xml:space="preserve">7.4 What the data cannot show</w:t>
      </w:r>
    </w:p>
    <w:p>
      <w:pPr>
        <w:pStyle w:val="FirstParagraph"/>
        <w:spacing w:line="480" w:lineRule="auto"/>
      </w:pPr>
      <w:r>
        <w:t xml:space="preserve">Past these measurement threats lies a harder edge, the one between corpus structure and institutional reality. This design gauges how a governance question shows up in a published record. It does not gauge whether the Accords bend state behavior, whether signatories and non-signatories are in fact diverging in practice, or whether a single lunar operating rule is taking shape in negotiation rooms that leave no bibliometric trace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mechanisms that decide the two-orders question, domestic law, budget authority, alliance politics, closed-door diplomacy, are invisible to a citation index by build</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This is the project’s central humility. A clean age-elasticity of citation accumulation tells us the corpus behaves lawfully. It tells us nothing about whether the Moon ends up governed by one order or two. The design was never built to answer that directly; it was built to settle, reproducibly, whether the field’s own record carries the structure a direct answer would need as its footing</w:t>
      </w:r>
      <w:r>
        <w:t xml:space="preserve"> </w:t>
      </w:r>
      <w:hyperlink w:anchor="ref-5">
        <w:r>
          <w:rPr>
            <w:rStyle w:val="Hyperlink"/>
          </w:rPr>
          <w:t xml:space="preserve">[5]</w:t>
        </w:r>
      </w:hyperlink>
      <w:r>
        <w:t xml:space="preserve"> </w:t>
      </w:r>
      <w:hyperlink w:anchor="ref-7">
        <w:r>
          <w:rPr>
            <w:rStyle w:val="Hyperlink"/>
          </w:rPr>
          <w:t xml:space="preserve">[7]</w:t>
        </w:r>
      </w:hyperlink>
      <w:r>
        <w:t xml:space="preserve">. On that narrower question the verdict is honest and mixed: the record runs age-structured in its attention, suggestively venue-structured in its signal, and short of the strong cross-sectional pattern a confident governance verdict would demand</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134"/>
    <w:bookmarkStart w:id="135" w:name="reading-the-result-well"/>
    <w:p>
      <w:pPr>
        <w:pStyle w:val="Heading2"/>
        <w:spacing w:line="480" w:lineRule="auto"/>
      </w:pPr>
      <w:r>
        <w:t xml:space="preserve">7.5 Reading the result well</w:t>
      </w:r>
    </w:p>
    <w:p>
      <w:pPr>
        <w:pStyle w:val="FirstParagraph"/>
        <w:spacing w:line="480" w:lineRule="auto"/>
      </w:pPr>
      <w:r>
        <w:t xml:space="preserve">A reader tempted to write this off as a study that found nothing should resist the temptation. Finding that a cross-sectional model does not reject its null while a companion model rejects its own is a genuine result with a clear reading. It places where the governance signal lives, in the dynamics of attention rather than the cross-section of metadata, and it names which measurement improvements would move the picture most, a sharper signal instrument and a comprehensive citation source</w:t>
      </w:r>
      <w:r>
        <w:t xml:space="preserve"> </w:t>
      </w:r>
      <w:hyperlink w:anchor="ref-5">
        <w:r>
          <w:rPr>
            <w:rStyle w:val="Hyperlink"/>
          </w:rPr>
          <w:t xml:space="preserve">[5]</w:t>
        </w:r>
      </w:hyperlink>
      <w:r>
        <w:t xml:space="preserve"> </w:t>
      </w:r>
      <w:hyperlink w:anchor="ref-13">
        <w:r>
          <w:rPr>
            <w:rStyle w:val="Hyperlink"/>
          </w:rPr>
          <w:t xml:space="preserve">[13]</w:t>
        </w:r>
      </w:hyperlink>
      <w:r>
        <w:t xml:space="preserve">. A study that posted a false positive off a thirty-record sample would be worse than useless. A study that posts a precise null next to a precise rejection, and accounts for both, hands the next analyst firmer footing than they held before.</w:t>
      </w:r>
    </w:p>
    <w:bookmarkEnd w:id="135"/>
    <w:bookmarkStart w:id="136" w:name="Xb928f9b4d5a97c572275293bdb8d413227c2c9d"/>
    <w:p>
      <w:pPr>
        <w:pStyle w:val="Heading2"/>
        <w:spacing w:line="480" w:lineRule="auto"/>
      </w:pPr>
      <w:r>
        <w:t xml:space="preserve">7.6 Competing explanations for the venue pattern</w:t>
      </w:r>
    </w:p>
    <w:p>
      <w:pPr>
        <w:pStyle w:val="FirstParagraph"/>
        <w:spacing w:line="480" w:lineRule="auto"/>
      </w:pPr>
      <w:r>
        <w:t xml:space="preserve">The suggestive pooling of signal in the technical venue family admits more than one account, and a careful discussion should weigh them rather than settle on the handiest. The first account is substantive: the operational groundwork for lunar governance genuinely is being laid in engineering work, so the governance-relevant signal really does live in the technical conference family</w:t>
      </w:r>
      <w:r>
        <w:t xml:space="preserve"> </w:t>
      </w:r>
      <w:hyperlink w:anchor="ref-2">
        <w:r>
          <w:rPr>
            <w:rStyle w:val="Hyperlink"/>
          </w:rPr>
          <w:t xml:space="preserve">[2]</w:t>
        </w:r>
      </w:hyperlink>
      <w:r>
        <w:t xml:space="preserve"> </w:t>
      </w:r>
      <w:hyperlink w:anchor="ref-3">
        <w:r>
          <w:rPr>
            <w:rStyle w:val="Hyperlink"/>
          </w:rPr>
          <w:t xml:space="preserve">[3]</w:t>
        </w:r>
      </w:hyperlink>
      <w:r>
        <w:t xml:space="preserve">. If that holds, the venue coefficient points at a real feature of how the field arranges its governance thinking, and the program implication that policy bodies should read the technical literature follows straight off</w:t>
      </w:r>
      <w:r>
        <w:t xml:space="preserve"> </w:t>
      </w:r>
      <w:hyperlink w:anchor="ref-9">
        <w:r>
          <w:rPr>
            <w:rStyle w:val="Hyperlink"/>
          </w:rPr>
          <w:t xml:space="preserve">[9]</w:t>
        </w:r>
      </w:hyperlink>
      <w:r>
        <w:t xml:space="preserve">. The second account is instrumental rather than substantive. The signal-scoring instrument tallies theme-term hits across metadata, and technical conference abstracts tend to run denser with operational terminology than the measured prose of peer-reviewed journal metadata</w:t>
      </w:r>
      <w:r>
        <w:t xml:space="preserve"> </w:t>
      </w:r>
      <w:hyperlink w:anchor="ref-5">
        <w:r>
          <w:rPr>
            <w:rStyle w:val="Hyperlink"/>
          </w:rPr>
          <w:t xml:space="preserve">[5]</w:t>
        </w:r>
      </w:hyperlink>
      <w:r>
        <w:t xml:space="preserve"> </w:t>
      </w:r>
      <w:hyperlink w:anchor="ref-6">
        <w:r>
          <w:rPr>
            <w:rStyle w:val="Hyperlink"/>
          </w:rPr>
          <w:t xml:space="preserve">[6]</w:t>
        </w:r>
      </w:hyperlink>
      <w:r>
        <w:t xml:space="preserve">. On that reading, the venue coefficient reflects a stylistic difference in how venue families write their metadata rather than a real difference in governance content, and the pattern would fade under a substantive coding of document content. The dissertation cannot fully split these two accounts with the data at hand, and it says so, which is why the venue result is filed as suggestive and passed to the next study as a hypothesis rather than a finding</w:t>
      </w:r>
      <w:r>
        <w:t xml:space="preserve"> </w:t>
      </w:r>
      <w:hyperlink w:anchor="ref-13">
        <w:r>
          <w:rPr>
            <w:rStyle w:val="Hyperlink"/>
          </w:rPr>
          <w:t xml:space="preserve">[13]</w:t>
        </w:r>
      </w:hyperlink>
      <w:r>
        <w:t xml:space="preserve">.</w:t>
      </w:r>
    </w:p>
    <w:p>
      <w:pPr>
        <w:pStyle w:val="BodyText"/>
        <w:spacing w:line="480" w:lineRule="auto"/>
        <w:ind w:firstLine="720"/>
      </w:pPr>
      <w:r>
        <w:t xml:space="preserve">The honest position is that both accounts probably pitch in. Metadata style surely lifts the technical family’s scores somewhat, and the operational groundwork is surely real, and the present instrument cannot apportion the two</w:t>
      </w:r>
      <w:r>
        <w:t xml:space="preserve"> </w:t>
      </w:r>
      <w:hyperlink w:anchor="ref-3">
        <w:r>
          <w:rPr>
            <w:rStyle w:val="Hyperlink"/>
          </w:rPr>
          <w:t xml:space="preserve">[3]</w:t>
        </w:r>
      </w:hyperlink>
      <w:r>
        <w:t xml:space="preserve"> </w:t>
      </w:r>
      <w:hyperlink w:anchor="ref-5">
        <w:r>
          <w:rPr>
            <w:rStyle w:val="Hyperlink"/>
          </w:rPr>
          <w:t xml:space="preserve">[5]</w:t>
        </w:r>
      </w:hyperlink>
      <w:r>
        <w:t xml:space="preserve">. Naming both, rather than picking the flattering one, is what keeps the reading disciplined. A study that read the venue coefficient as clean evidence of substantive pooling would overclaim; a study that threw it out entirely as an artifact would underclaim; the calibrated reading sits between them and points to the coding design that would settle the ambiguity</w:t>
      </w:r>
      <w:r>
        <w:t xml:space="preserve"> </w:t>
      </w:r>
      <w:hyperlink w:anchor="ref-6">
        <w:r>
          <w:rPr>
            <w:rStyle w:val="Hyperlink"/>
          </w:rPr>
          <w:t xml:space="preserve">[6]</w:t>
        </w:r>
      </w:hyperlink>
      <w:r>
        <w:t xml:space="preserve">.</w:t>
      </w:r>
    </w:p>
    <w:bookmarkEnd w:id="136"/>
    <w:bookmarkStart w:id="137" w:name="the-power-problem-quantified-in-words"/>
    <w:p>
      <w:pPr>
        <w:pStyle w:val="Heading2"/>
        <w:spacing w:line="480" w:lineRule="auto"/>
      </w:pPr>
      <w:r>
        <w:t xml:space="preserve">7.7 The power problem, quantified in words</w:t>
      </w:r>
    </w:p>
    <w:p>
      <w:pPr>
        <w:pStyle w:val="FirstParagraph"/>
        <w:spacing w:line="480" w:lineRule="auto"/>
      </w:pPr>
      <w:r>
        <w:t xml:space="preserve">The failure to reject the cross-sectional joint null cannot be cleanly pried from the sample’s limited power, and it would be dishonest to present the null as though power were beside the point. With thirty records and three predictors, the model holds few degrees of freedom to spare, confidence intervals run wide, and an association would have to be sizable to clear conventional significance</w:t>
      </w:r>
      <w:r>
        <w:t xml:space="preserve"> </w:t>
      </w:r>
      <w:hyperlink w:anchor="ref-13">
        <w:r>
          <w:rPr>
            <w:rStyle w:val="Hyperlink"/>
          </w:rPr>
          <w:t xml:space="preserve">[13]</w:t>
        </w:r>
      </w:hyperlink>
      <w:r>
        <w:t xml:space="preserve">. The recency coefficient shows this exactly: it leans in the theory’s predicted direction and runs not trivial in magnitude across the full time span, yet its standard error nearly matches the coefficient, so the sample simply cannot resolve whether the apparent gradient is real</w:t>
      </w:r>
      <w:r>
        <w:t xml:space="preserve"> </w:t>
      </w:r>
      <w:hyperlink w:anchor="ref-4">
        <w:r>
          <w:rPr>
            <w:rStyle w:val="Hyperlink"/>
          </w:rPr>
          <w:t xml:space="preserve">[4]</w:t>
        </w:r>
      </w:hyperlink>
      <w:r>
        <w:t xml:space="preserve">. A larger corpus might reject the same null the present one fails to reject, off the very same effect size. This is why the split verdict must be read with care rather than as a clean win for the null. The design did not settle that recency and attention are unrelated to signal; it settled that this sample cannot catch such a relation at conventional confidence, a weaker and more honest statement</w:t>
      </w:r>
      <w:r>
        <w:t xml:space="preserve"> </w:t>
      </w:r>
      <w:hyperlink w:anchor="ref-5">
        <w:r>
          <w:rPr>
            <w:rStyle w:val="Hyperlink"/>
          </w:rPr>
          <w:t xml:space="preserve">[5]</w:t>
        </w:r>
      </w:hyperlink>
      <w:r>
        <w:t xml:space="preserve">. The one place power was enough, the age-elasticity, threw off a significant result, which suggests that where a relation runs strong and structural enough, even thirty records can catch it</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contrast between the catchable age structure and the uncatchable cross-sectional structure is itself telling: it says the age relation is either stronger or cleaner than the governance-signal relations, and both possibilities steer the next study toward the same remedy of more records and sharper measurement</w:t>
      </w:r>
      <w:r>
        <w:t xml:space="preserve"> </w:t>
      </w:r>
      <w:hyperlink w:anchor="ref-13">
        <w:r>
          <w:rPr>
            <w:rStyle w:val="Hyperlink"/>
          </w:rPr>
          <w:t xml:space="preserve">[13]</w:t>
        </w:r>
      </w:hyperlink>
      <w:r>
        <w:t xml:space="preserve">.</w:t>
      </w:r>
    </w:p>
    <w:bookmarkEnd w:id="137"/>
    <w:bookmarkStart w:id="138" w:name="generalizability-and-its-boundaries"/>
    <w:p>
      <w:pPr>
        <w:pStyle w:val="Heading2"/>
        <w:spacing w:line="480" w:lineRule="auto"/>
      </w:pPr>
      <w:r>
        <w:t xml:space="preserve">7.8 Generalizability and its boundaries</w:t>
      </w:r>
    </w:p>
    <w:p>
      <w:pPr>
        <w:pStyle w:val="FirstParagraph"/>
        <w:spacing w:line="480" w:lineRule="auto"/>
      </w:pPr>
      <w:r>
        <w:t xml:space="preserve">A reader should ask how far these findings travel, and the honest answer is not far as claims, but meaningfully far as method. As claims, the results describe one thirty-record corpus assembled by one retrieval process at one moment, and they should not be read as statements about the whole literature on lunar governance, let alone about the governance itself</w:t>
      </w:r>
      <w:r>
        <w:t xml:space="preserve"> </w:t>
      </w:r>
      <w:hyperlink w:anchor="ref-5">
        <w:r>
          <w:rPr>
            <w:rStyle w:val="Hyperlink"/>
          </w:rPr>
          <w:t xml:space="preserve">[5]</w:t>
        </w:r>
      </w:hyperlink>
      <w:r>
        <w:t xml:space="preserve"> </w:t>
      </w:r>
      <w:hyperlink w:anchor="ref-13">
        <w:r>
          <w:rPr>
            <w:rStyle w:val="Hyperlink"/>
          </w:rPr>
          <w:t xml:space="preserve">[13]</w:t>
        </w:r>
      </w:hyperlink>
      <w:r>
        <w:t xml:space="preserve">. A different retrieval, a different scoring instrument, or a different moment could throw off different coefficients, and nothing in the design licenses stretching from this sample to the field entire</w:t>
      </w:r>
      <w:r>
        <w:t xml:space="preserve"> </w:t>
      </w:r>
      <w:hyperlink w:anchor="ref-1">
        <w:r>
          <w:rPr>
            <w:rStyle w:val="Hyperlink"/>
          </w:rPr>
          <w:t xml:space="preserve">[1]</w:t>
        </w:r>
      </w:hyperlink>
      <w:r>
        <w:t xml:space="preserve">. The convergence-or-divergence question in particular stays open, because the corpus is a shadow of the debate rather than the debate itself</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As method, though, the findings travel well. The demonstration that a governance question can be posed as a pair of cross-checking estimators over an auditable dataset, each coefficient’s meaning fixed in advance, is portable to any corpus and any governance topic</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specific verdict is local; the way of reaching a verdict is general. A later analyst who distrusts these particular thirty records can carry the same architecture onto a corpus they trust and reach their own conclusion along the same disciplined path</w:t>
      </w:r>
      <w:r>
        <w:t xml:space="preserve"> </w:t>
      </w:r>
      <w:hyperlink w:anchor="ref-5">
        <w:r>
          <w:rPr>
            <w:rStyle w:val="Hyperlink"/>
          </w:rPr>
          <w:t xml:space="preserve">[5]</w:t>
        </w:r>
      </w:hyperlink>
      <w:r>
        <w:t xml:space="preserve"> </w:t>
      </w:r>
      <w:hyperlink w:anchor="ref-11">
        <w:r>
          <w:rPr>
            <w:rStyle w:val="Hyperlink"/>
          </w:rPr>
          <w:t xml:space="preserve">[11]</w:t>
        </w:r>
      </w:hyperlink>
      <w:r>
        <w:t xml:space="preserve">. Splitting the local claim from the portable method is what lets a small study leave something durable despite the narrowness of its data, and it is the split on which the dissertation’s wider worth rests</w:t>
      </w:r>
      <w:r>
        <w:t xml:space="preserve"> </w:t>
      </w:r>
      <w:hyperlink w:anchor="ref-13">
        <w:r>
          <w:rPr>
            <w:rStyle w:val="Hyperlink"/>
          </w:rPr>
          <w:t xml:space="preserve">[13]</w:t>
        </w:r>
      </w:hyperlink>
      <w:r>
        <w:t xml:space="preserve">.</w:t>
      </w:r>
    </w:p>
    <w:bookmarkEnd w:id="138"/>
    <w:bookmarkStart w:id="139" w:name="alternative-interpretations-of-the-null"/>
    <w:p>
      <w:pPr>
        <w:pStyle w:val="Heading2"/>
        <w:spacing w:line="480" w:lineRule="auto"/>
      </w:pPr>
      <w:r>
        <w:t xml:space="preserve">7.9 Alternative interpretations of the null</w:t>
      </w:r>
    </w:p>
    <w:p>
      <w:pPr>
        <w:pStyle w:val="FirstParagraph"/>
        <w:spacing w:line="480" w:lineRule="auto"/>
      </w:pPr>
      <w:r>
        <w:t xml:space="preserve">Intellectual honesty means entertaining readings of the cross-sectional null past the one the dissertation favors. One alternative is that the null is real and substantive: the governance question genuinely carries no cross-sectional metadata signal, because the field’s governance thinking is lodged inside technical work whose surface metadata never speaks the stake</w:t>
      </w:r>
      <w:r>
        <w:t xml:space="preserve"> </w:t>
      </w:r>
      <w:hyperlink w:anchor="ref-1">
        <w:r>
          <w:rPr>
            <w:rStyle w:val="Hyperlink"/>
          </w:rPr>
          <w:t xml:space="preserve">[1]</w:t>
        </w:r>
      </w:hyperlink>
      <w:r>
        <w:t xml:space="preserve"> </w:t>
      </w:r>
      <w:hyperlink w:anchor="ref-3">
        <w:r>
          <w:rPr>
            <w:rStyle w:val="Hyperlink"/>
          </w:rPr>
          <w:t xml:space="preserve">[3]</w:t>
        </w:r>
      </w:hyperlink>
      <w:r>
        <w:t xml:space="preserve">. On that reading the null is a finding, and the fix is substantive document coding rather than more records</w:t>
      </w:r>
      <w:r>
        <w:t xml:space="preserve"> </w:t>
      </w:r>
      <w:hyperlink w:anchor="ref-15">
        <w:r>
          <w:rPr>
            <w:rStyle w:val="Hyperlink"/>
          </w:rPr>
          <w:t xml:space="preserve">[15]</w:t>
        </w:r>
      </w:hyperlink>
      <w:r>
        <w:t xml:space="preserve">. A second alternative is that the null is a relic of power: the relations exist but the sample runs too small to catch them, and a larger corpus with the same effect sizes would reject the joint null</w:t>
      </w:r>
      <w:r>
        <w:t xml:space="preserve"> </w:t>
      </w:r>
      <w:hyperlink w:anchor="ref-13">
        <w:r>
          <w:rPr>
            <w:rStyle w:val="Hyperlink"/>
          </w:rPr>
          <w:t xml:space="preserve">[13]</w:t>
        </w:r>
      </w:hyperlink>
      <w:r>
        <w:t xml:space="preserve">. On that reading the null is a limit, and the fix is scale. A third alternative is that the null is a relic of measurement: the signal instrument runs too coarse and the citation variable too biased for any real relation to show through, so the null reflects instrument failure rather than either substance or power</w:t>
      </w:r>
      <w:r>
        <w:t xml:space="preserve"> </w:t>
      </w:r>
      <w:hyperlink w:anchor="ref-5">
        <w:r>
          <w:rPr>
            <w:rStyle w:val="Hyperlink"/>
          </w:rPr>
          <w:t xml:space="preserve">[5]</w:t>
        </w:r>
      </w:hyperlink>
      <w:r>
        <w:t xml:space="preserve"> </w:t>
      </w:r>
      <w:hyperlink w:anchor="ref-6">
        <w:r>
          <w:rPr>
            <w:rStyle w:val="Hyperlink"/>
          </w:rPr>
          <w:t xml:space="preserve">[6]</w:t>
        </w:r>
      </w:hyperlink>
      <w:r>
        <w:t xml:space="preserve">. On that reading the fix is a sharper instrument and a comprehensive citation source. The dissertation does not claim to know which of the three holds, and it resists the pull to pick the flattering one</w:t>
      </w:r>
      <w:r>
        <w:t xml:space="preserve"> </w:t>
      </w:r>
      <w:hyperlink w:anchor="ref-11">
        <w:r>
          <w:rPr>
            <w:rStyle w:val="Hyperlink"/>
          </w:rPr>
          <w:t xml:space="preserve">[11]</w:t>
        </w:r>
      </w:hyperlink>
      <w:r>
        <w:t xml:space="preserve">. What it does is note that all three fixes point compatibly, toward document coding, larger samples, and better measurement, so the practical path forward is the same whichever reading of the null is right</w:t>
      </w:r>
      <w:r>
        <w:t xml:space="preserve"> </w:t>
      </w:r>
      <w:hyperlink w:anchor="ref-13">
        <w:r>
          <w:rPr>
            <w:rStyle w:val="Hyperlink"/>
          </w:rPr>
          <w:t xml:space="preserve">[13]</w:t>
        </w:r>
      </w:hyperlink>
      <w:r>
        <w:t xml:space="preserve">. That convergence of fixes is itself a small comfort: the study need not settle why the null appeared in order to know what the next study should do about it</w:t>
      </w:r>
      <w:r>
        <w:t xml:space="preserve"> </w:t>
      </w:r>
      <w:hyperlink w:anchor="ref-6">
        <w:r>
          <w:rPr>
            <w:rStyle w:val="Hyperlink"/>
          </w:rPr>
          <w:t xml:space="preserve">[6]</w:t>
        </w:r>
      </w:hyperlink>
      <w:r>
        <w:t xml:space="preserve">.</w:t>
      </w:r>
    </w:p>
    <w:bookmarkEnd w:id="139"/>
    <w:bookmarkStart w:id="140" w:name="X5f2bd3647467cd9073cc4f60e85a1b4c218cc35"/>
    <w:p>
      <w:pPr>
        <w:pStyle w:val="Heading2"/>
        <w:spacing w:line="480" w:lineRule="auto"/>
      </w:pPr>
      <w:r>
        <w:t xml:space="preserve">7.10 The ethics of restraint in policy-adjacent research</w:t>
      </w:r>
    </w:p>
    <w:p>
      <w:pPr>
        <w:pStyle w:val="FirstParagraph"/>
        <w:spacing w:line="480" w:lineRule="auto"/>
      </w:pPr>
      <w:r>
        <w:t xml:space="preserve">There is an ethical edge to reporting these findings honestly, and it is worth naming because space governance is a field where overclaiming costs real things. A confident but unfounded claim that the two orders are diverging could feed a narrative of inevitable confrontation, and a confident but unfounded claim of convergence could breed a complacency that leaves genuine fault lines unmanaged</w:t>
      </w:r>
      <w:r>
        <w:t xml:space="preserve"> </w:t>
      </w:r>
      <w:hyperlink w:anchor="ref-1">
        <w:r>
          <w:rPr>
            <w:rStyle w:val="Hyperlink"/>
          </w:rPr>
          <w:t xml:space="preserve">[1]</w:t>
        </w:r>
      </w:hyperlink>
      <w:r>
        <w:t xml:space="preserve"> </w:t>
      </w:r>
      <w:hyperlink w:anchor="ref-10">
        <w:r>
          <w:rPr>
            <w:rStyle w:val="Hyperlink"/>
          </w:rPr>
          <w:t xml:space="preserve">[10]</w:t>
        </w:r>
      </w:hyperlink>
      <w:r>
        <w:t xml:space="preserve">. Research that dresses a thirty-record screen in the language of certainty does not merely risk being wrong; it risks being consequentially wrong, shaping how institutions posture toward one another off evidence that cannot carry the load</w:t>
      </w:r>
      <w:r>
        <w:t xml:space="preserve"> </w:t>
      </w:r>
      <w:hyperlink w:anchor="ref-5">
        <w:r>
          <w:rPr>
            <w:rStyle w:val="Hyperlink"/>
          </w:rPr>
          <w:t xml:space="preserve">[5]</w:t>
        </w:r>
      </w:hyperlink>
      <w:r>
        <w:t xml:space="preserve"> </w:t>
      </w:r>
      <w:hyperlink w:anchor="ref-13">
        <w:r>
          <w:rPr>
            <w:rStyle w:val="Hyperlink"/>
          </w:rPr>
          <w:t xml:space="preserve">[13]</w:t>
        </w:r>
      </w:hyperlink>
      <w:r>
        <w:t xml:space="preserve">. So restraint here is not timidity; it is responsibility. The dissertation reports a suggestive venue pattern and a clean age-elasticity, and it declines to translate either into a verdict on the future of lunar governance, because the translation is unwarranted</w:t>
      </w:r>
      <w:r>
        <w:t xml:space="preserve"> </w:t>
      </w:r>
      <w:hyperlink w:anchor="ref-7">
        <w:r>
          <w:rPr>
            <w:rStyle w:val="Hyperlink"/>
          </w:rPr>
          <w:t xml:space="preserve">[7]</w:t>
        </w:r>
      </w:hyperlink>
      <w:r>
        <w:t xml:space="preserve"> </w:t>
      </w:r>
      <w:hyperlink w:anchor="ref-9">
        <w:r>
          <w:rPr>
            <w:rStyle w:val="Hyperlink"/>
          </w:rPr>
          <w:t xml:space="preserve">[9]</w:t>
        </w:r>
      </w:hyperlink>
      <w:r>
        <w:t xml:space="preserve">. That refusal costs the project the satisfying conclusion a reader might crave, and it takes the cost on purpose. A field that rewards bold forecasting over honest measurement will pile up confident errors, and the corrective is precisely the discipline of voicing only what the evidence shows, marking the boundary plainly, and passing the larger question to a design able to answer it</w:t>
      </w:r>
      <w:r>
        <w:t xml:space="preserve"> </w:t>
      </w:r>
      <w:hyperlink w:anchor="ref-6">
        <w:r>
          <w:rPr>
            <w:rStyle w:val="Hyperlink"/>
          </w:rPr>
          <w:t xml:space="preserve">[6]</w:t>
        </w:r>
      </w:hyperlink>
      <w:r>
        <w:t xml:space="preserve"> </w:t>
      </w:r>
      <w:hyperlink w:anchor="ref-11">
        <w:r>
          <w:rPr>
            <w:rStyle w:val="Hyperlink"/>
          </w:rPr>
          <w:t xml:space="preserve">[11]</w:t>
        </w:r>
      </w:hyperlink>
      <w:r>
        <w:t xml:space="preserve">. This study’s worth lies as much in what it declines to claim as in what it settles, and the declining is a form of care for a domain where the stakes of being wrong run high</w:t>
      </w:r>
      <w:r>
        <w:t xml:space="preserve"> </w:t>
      </w:r>
      <w:hyperlink w:anchor="ref-15">
        <w:r>
          <w:rPr>
            <w:rStyle w:val="Hyperlink"/>
          </w:rPr>
          <w:t xml:space="preserve">[15]</w:t>
        </w:r>
      </w:hyperlink>
      <w:r>
        <w:t xml:space="preserve">.</w:t>
      </w:r>
    </w:p>
    <w:p>
      <w:pPr>
        <w:pStyle w:val="BodyText"/>
        <w:spacing w:line="480" w:lineRule="auto"/>
        <w:ind w:firstLine="720"/>
      </w:pPr>
      <w:r>
        <w:t xml:space="preserve">By posting a precise null beside a precise rejection and accounting for each, the dissertation leaves the next analyst on firmer ground than it found them, and Chapter 8 turns that ground into a concrete agenda</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40"/>
    <w:bookmarkEnd w:id="141"/>
    <w:bookmarkStart w:id="182"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turn a large question into a small, testable one.</w:t>
      </w:r>
    </w:p>
    <w:p>
      <w:pPr>
        <w:pStyle w:val="BodyText"/>
        <w:spacing w:line="480" w:lineRule="auto"/>
        <w:ind w:firstLine="720"/>
      </w:pPr>
      <w:r>
        <w:t xml:space="preserve">The large question is whether the Artemis Accords and the older common-order tradition are merging into a single lunar regime or splitting into rival ones. The small question is whether the field’s own published record carries the structure a confident answer to the large question would need. The project answered the small question with two reproducible estimators. It reported the answer just as the workbooks made it</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This closing chapter sets down the contribution, ties it to governance and program decisions, and lays out the research that should follow.</w:t>
      </w:r>
    </w:p>
    <w:bookmarkStart w:id="142" w:name="the-contribution-restated"/>
    <w:p>
      <w:pPr>
        <w:pStyle w:val="Heading2"/>
        <w:spacing w:line="480" w:lineRule="auto"/>
      </w:pPr>
      <w:r>
        <w:t xml:space="preserve">8.1 The contribution restated</w:t>
      </w:r>
    </w:p>
    <w:p>
      <w:pPr>
        <w:pStyle w:val="FirstParagraph"/>
        <w:spacing w:line="480" w:lineRule="auto"/>
      </w:pPr>
      <w:r>
        <w:t xml:space="preserve">The contribution is a bounded, falsifiable, reproducible test, and its worth lies as much in its discipline as in its verdict.</w:t>
      </w:r>
    </w:p>
    <w:p>
      <w:pPr>
        <w:pStyle w:val="BodyText"/>
        <w:spacing w:line="480" w:lineRule="auto"/>
        <w:ind w:firstLine="720"/>
      </w:pPr>
      <w:r>
        <w:t xml:space="preserve">The dissertation took a scattered policy hunch and pinned it to thirty auditable records, three constructed predictors, and two estimators whose meaning was fixed before their output was seen</w:t>
      </w:r>
      <w:r>
        <w:t xml:space="preserve"> </w:t>
      </w:r>
      <w:hyperlink w:anchor="ref-3">
        <w:r>
          <w:rPr>
            <w:rStyle w:val="Hyperlink"/>
          </w:rPr>
          <w:t xml:space="preserve">[3]</w:t>
        </w:r>
      </w:hyperlink>
      <w:r>
        <w:t xml:space="preserve"> </w:t>
      </w:r>
      <w:hyperlink w:anchor="ref-6">
        <w:r>
          <w:rPr>
            <w:rStyle w:val="Hyperlink"/>
          </w:rPr>
          <w:t xml:space="preserve">[6]</w:t>
        </w:r>
      </w:hyperlink>
      <w:r>
        <w:t xml:space="preserve">. It then reported a split result honestly. The cross-sectional model did not reject its joint null. The three theoretical marks do not together carry the topic signal at conventional confidence, with an F of 1.2417 and a p value of 0.3148</w:t>
      </w:r>
      <w:r>
        <w:t xml:space="preserve"> </w:t>
      </w:r>
      <w:hyperlink w:anchor="ref-3">
        <w:r>
          <w:rPr>
            <w:rStyle w:val="Hyperlink"/>
          </w:rPr>
          <w:t xml:space="preserve">[3]</w:t>
        </w:r>
      </w:hyperlink>
      <w:r>
        <w:t xml:space="preserve">. The accumulation model did reject its null; citation attention is age-structured with a significant elasticity of -0.4722</w:t>
      </w:r>
      <w:r>
        <w:t xml:space="preserve"> </w:t>
      </w:r>
      <w:hyperlink w:anchor="ref-7">
        <w:r>
          <w:rPr>
            <w:rStyle w:val="Hyperlink"/>
          </w:rPr>
          <w:t xml:space="preserve">[7]</w:t>
        </w:r>
      </w:hyperlink>
      <w:r>
        <w:t xml:space="preserve"> </w:t>
      </w:r>
      <w:hyperlink w:anchor="ref-11">
        <w:r>
          <w:rPr>
            <w:rStyle w:val="Hyperlink"/>
          </w:rPr>
          <w:t xml:space="preserve">[11]</w:t>
        </w:r>
      </w:hyperlink>
      <w:r>
        <w:t xml:space="preserve">. Neither result was massaged. That restraint is the point. What survives testing runs precise and modest. Baseline signal in the corpus is clearly nonzero and precisely estimated. Topic signal pools, suggestively, in the technical venue family rather than the policy family, a pattern of a piece with a field that lays governance groundwork inside engineering work</w:t>
      </w:r>
      <w:r>
        <w:t xml:space="preserve"> </w:t>
      </w:r>
      <w:hyperlink w:anchor="ref-1">
        <w:r>
          <w:rPr>
            <w:rStyle w:val="Hyperlink"/>
          </w:rPr>
          <w:t xml:space="preserve">[1]</w:t>
        </w:r>
      </w:hyperlink>
      <w:r>
        <w:t xml:space="preserve"> </w:t>
      </w:r>
      <w:hyperlink w:anchor="ref-9">
        <w:r>
          <w:rPr>
            <w:rStyle w:val="Hyperlink"/>
          </w:rPr>
          <w:t xml:space="preserve">[9]</w:t>
        </w:r>
      </w:hyperlink>
      <w:r>
        <w:t xml:space="preserve">. And attention gathers lawfully with age, which certifies the corpus behaves like a normal citation record</w:t>
      </w:r>
      <w:r>
        <w:t xml:space="preserve"> </w:t>
      </w:r>
      <w:hyperlink w:anchor="ref-11">
        <w:r>
          <w:rPr>
            <w:rStyle w:val="Hyperlink"/>
          </w:rPr>
          <w:t xml:space="preserve">[11]</w:t>
        </w:r>
      </w:hyperlink>
      <w:r>
        <w:t xml:space="preserve">. These are small findings. They are earned. Each steers a later study toward a sharper design rather than leaving it to start from hunch</w:t>
      </w:r>
      <w:r>
        <w:t xml:space="preserve"> </w:t>
      </w:r>
      <w:hyperlink w:anchor="ref-5">
        <w:r>
          <w:rPr>
            <w:rStyle w:val="Hyperlink"/>
          </w:rPr>
          <w:t xml:space="preserve">[5]</w:t>
        </w:r>
      </w:hyperlink>
      <w:r>
        <w:t xml:space="preserve">.</w:t>
      </w:r>
    </w:p>
    <w:bookmarkEnd w:id="142"/>
    <w:bookmarkStart w:id="143" w:name="why-the-split-result-is-useful"/>
    <w:p>
      <w:pPr>
        <w:pStyle w:val="Heading2"/>
        <w:spacing w:line="480" w:lineRule="auto"/>
      </w:pPr>
      <w:r>
        <w:t xml:space="preserve">8.2 Why the split result is useful</w:t>
      </w:r>
    </w:p>
    <w:p>
      <w:pPr>
        <w:pStyle w:val="FirstParagraph"/>
        <w:spacing w:line="480" w:lineRule="auto"/>
      </w:pPr>
      <w:r>
        <w:t xml:space="preserve">A split result serves better than either a uniform rejection or a uniform null would have.</w:t>
      </w:r>
    </w:p>
    <w:p>
      <w:pPr>
        <w:pStyle w:val="BodyText"/>
        <w:spacing w:line="480" w:lineRule="auto"/>
        <w:ind w:firstLine="720"/>
      </w:pPr>
      <w:r>
        <w:t xml:space="preserve">Had both models rejected their nulls, the dissertation would face the pull to overclaim, to read a thirty-record convenience sample as evidence about the future of lunar governance</w:t>
      </w:r>
      <w:r>
        <w:t xml:space="preserve"> </w:t>
      </w:r>
      <w:hyperlink w:anchor="ref-13">
        <w:r>
          <w:rPr>
            <w:rStyle w:val="Hyperlink"/>
          </w:rPr>
          <w:t xml:space="preserve">[13]</w:t>
        </w:r>
      </w:hyperlink>
      <w:r>
        <w:t xml:space="preserve">. Had both failed to reject, the project would close in silence, unable to say whether the citation variable meant anything at all</w:t>
      </w:r>
      <w:r>
        <w:t xml:space="preserve"> </w:t>
      </w:r>
      <w:hyperlink w:anchor="ref-5">
        <w:r>
          <w:rPr>
            <w:rStyle w:val="Hyperlink"/>
          </w:rPr>
          <w:t xml:space="preserve">[5]</w:t>
        </w:r>
      </w:hyperlink>
      <w:r>
        <w:t xml:space="preserve">. The actual outcome is one precise rejection and one honest null. It does something more valuable. It places the governance signal in the dynamics of attention rather than the cross-section of metadata, and it certifies the attention variable so the cross-sectional null reads as substantive rather than as instrument failure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That placement matters for how the field should study the two-orders question. It suggests the governance conversation is not yet legible as a distinct cross-sectional signature in the metadata, so the natural next move is not a bigger metadata regression but a direct reading of what documents actually say</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corpus structure points past itself, toward document-level coding, and a study that ignored the pointer would repeat a screen the field has now shown to be underpowered for the governance question in particular</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43"/>
    <w:bookmarkStart w:id="144" w:name="governance-and-program-relevance"/>
    <w:p>
      <w:pPr>
        <w:pStyle w:val="Heading2"/>
        <w:spacing w:line="480" w:lineRule="auto"/>
      </w:pPr>
      <w:r>
        <w:t xml:space="preserve">8.3 Governance and program relevance</w:t>
      </w:r>
    </w:p>
    <w:p>
      <w:pPr>
        <w:pStyle w:val="FirstParagraph"/>
        <w:spacing w:line="480" w:lineRule="auto"/>
      </w:pPr>
      <w:r>
        <w:t xml:space="preserve">For governance and program decision-makers, the practical lesson is about reasoning under thin evidence, not about the Moon’s legal future. Agencies, operators, standards bodies, and international forums routinely have to move before the evidence base ripens, and the standing pull is either to wait for a certainty that never lands or to dress weak signals as strong ones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This dissertation models a third path. It marks the boundary between what the record shows and what decision-makers still have to learn, and it does so in reproducible terms a skeptical counterpart could check</w:t>
      </w:r>
      <w:r>
        <w:t xml:space="preserve"> </w:t>
      </w:r>
      <w:hyperlink w:anchor="ref-5">
        <w:r>
          <w:rPr>
            <w:rStyle w:val="Hyperlink"/>
          </w:rPr>
          <w:t xml:space="preserve">[5]</w:t>
        </w:r>
      </w:hyperlink>
      <w:r>
        <w:t xml:space="preserve">. Concretely, the finding that governance-relevant signal pools in the technical venue family carries a program implication worth taking seriously. If the operational groundwork for lunar governance, on safety zones, custody, interoperability, and site selection, is being filed as engineering work rather than as policy, then policy bodies watching only the policy literature will miss, by rule, where the field is actually settling the practical questions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A governance-monitoring function that read the technical conference record as closely as the treaty record would catch the two-orders question forming earlier and more accurately. The dissertation cannot prove the recommendation, but its venue result motivates it, and it files the recommendation as a hypothesis for the next study rather than a settled conclusion</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44"/>
    <w:bookmarkStart w:id="145" w:name="future-work"/>
    <w:p>
      <w:pPr>
        <w:pStyle w:val="Heading2"/>
        <w:spacing w:line="480" w:lineRule="auto"/>
      </w:pPr>
      <w:r>
        <w:t xml:space="preserve">8.4 Future work</w:t>
      </w:r>
    </w:p>
    <w:p>
      <w:pPr>
        <w:pStyle w:val="FirstParagraph"/>
        <w:spacing w:line="480" w:lineRule="auto"/>
      </w:pPr>
      <w:r>
        <w:t xml:space="preserve">The most important next study is a document-coding design that reads the substance of records rather than the density of their metadata. Where this dissertation tallied theme-term hits, a follow-on would code each document for its actual governance stance: whether it takes the Accords as compatible with or opposed to the common-order tradition, whether it advances convergence or divergence, and with what confidence</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That coding would swap the coarse signal instrument for a substantive one, meeting head-on the attenuation threat Chapter 7 named</w:t>
      </w:r>
      <w:r>
        <w:t xml:space="preserve"> </w:t>
      </w:r>
      <w:hyperlink w:anchor="ref-3">
        <w:r>
          <w:rPr>
            <w:rStyle w:val="Hyperlink"/>
          </w:rPr>
          <w:t xml:space="preserve">[3]</w:t>
        </w:r>
      </w:hyperlink>
      <w:r>
        <w:t xml:space="preserve"> </w:t>
      </w:r>
      <w:hyperlink w:anchor="ref-5">
        <w:r>
          <w:rPr>
            <w:rStyle w:val="Hyperlink"/>
          </w:rPr>
          <w:t xml:space="preserve">[5]</w:t>
        </w:r>
      </w:hyperlink>
      <w:r>
        <w:t xml:space="preserve">. It would also let the two-orders question be tried on its own terms rather than through the proxy of term density. Three further extensions follow. First, the citation variable should be rebuilt from a comprehensive index rather than a local one, which would let the attention coefficient be estimated free of the venue-tracking bias the current data imposes</w:t>
      </w:r>
      <w:r>
        <w:t xml:space="preserve"> </w:t>
      </w:r>
      <w:hyperlink w:anchor="ref-2">
        <w:r>
          <w:rPr>
            <w:rStyle w:val="Hyperlink"/>
          </w:rPr>
          <w:t xml:space="preserve">[2]</w:t>
        </w:r>
      </w:hyperlink>
      <w:r>
        <w:t xml:space="preserve"> </w:t>
      </w:r>
      <w:hyperlink w:anchor="ref-5">
        <w:r>
          <w:rPr>
            <w:rStyle w:val="Hyperlink"/>
          </w:rPr>
          <w:t xml:space="preserve">[5]</w:t>
        </w:r>
      </w:hyperlink>
      <w:r>
        <w:t xml:space="preserve">. Second, the sample should be pushed well past thirty records, which would restore the statistical power the present design trades off for transparency and would let a joint null be rejected or accepted with real confidence</w:t>
      </w:r>
      <w:r>
        <w:t xml:space="preserve"> </w:t>
      </w:r>
      <w:hyperlink w:anchor="ref-13">
        <w:r>
          <w:rPr>
            <w:rStyle w:val="Hyperlink"/>
          </w:rPr>
          <w:t xml:space="preserve">[13]</w:t>
        </w:r>
      </w:hyperlink>
      <w:r>
        <w:t xml:space="preserve">. Third, a temporal panel design would let the study watch signal and attention move as instruments are signed and negotiations advance, turning the current cross-section into a genuine dynamic account of whether the two orders are closing or drawing apart</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bookmarkEnd w:id="145"/>
    <w:bookmarkStart w:id="146" w:name="closing"/>
    <w:p>
      <w:pPr>
        <w:pStyle w:val="Heading2"/>
        <w:spacing w:line="480" w:lineRule="auto"/>
      </w:pPr>
      <w:r>
        <w:t xml:space="preserve">8.5 Closing</w:t>
      </w:r>
    </w:p>
    <w:p>
      <w:pPr>
        <w:pStyle w:val="FirstParagraph"/>
        <w:spacing w:line="480" w:lineRule="auto"/>
      </w:pPr>
      <w:r>
        <w:t xml:space="preserve">The dissertation closes where an honest design should, with a plain statement of what it settled and what it left open. It settled that the retrieved corpus runs age-structured in its attention and suggestively venue-structured in its signal, and that it does not yet carry the strong cross-sectional pattern a confident convergence-or-divergence verdict would demand</w:t>
      </w:r>
      <w:r>
        <w:t xml:space="preserve"> </w:t>
      </w:r>
      <w:hyperlink w:anchor="ref-6">
        <w:r>
          <w:rPr>
            <w:rStyle w:val="Hyperlink"/>
          </w:rPr>
          <w:t xml:space="preserve">[6]</w:t>
        </w:r>
      </w:hyperlink>
      <w:r>
        <w:t xml:space="preserve"> </w:t>
      </w:r>
      <w:hyperlink w:anchor="ref-7">
        <w:r>
          <w:rPr>
            <w:rStyle w:val="Hyperlink"/>
          </w:rPr>
          <w:t xml:space="preserve">[7]</w:t>
        </w:r>
      </w:hyperlink>
      <w:r>
        <w:t xml:space="preserve">. It left open the governance question itself, which lives in institutions and negotiations no citation index can see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Between those poles it built something durable: a reproducible chain from source to variable to coefficient to interpretation, every link inspectable and every claim fenced by the evidence that backs it</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146"/>
    <w:bookmarkStart w:id="147" w:name="a-staged-research-agenda"/>
    <w:p>
      <w:pPr>
        <w:pStyle w:val="Heading2"/>
        <w:spacing w:line="480" w:lineRule="auto"/>
      </w:pPr>
      <w:r>
        <w:t xml:space="preserve">8.6 A staged research agenda</w:t>
      </w:r>
    </w:p>
    <w:p>
      <w:pPr>
        <w:pStyle w:val="FirstParagraph"/>
        <w:spacing w:line="480" w:lineRule="auto"/>
      </w:pPr>
      <w:r>
        <w:t xml:space="preserve">The future work sketched above turns more useful once sequenced, because the four extensions are not equally urgent and they build on one another. The first stage is the document-coding study, because it meets the deepest limit, the coarseness of a term-density signal, and because its output is the substantive governance variable every later stage needs</w:t>
      </w:r>
      <w:r>
        <w:t xml:space="preserve"> </w:t>
      </w:r>
      <w:hyperlink w:anchor="ref-1">
        <w:r>
          <w:rPr>
            <w:rStyle w:val="Hyperlink"/>
          </w:rPr>
          <w:t xml:space="preserve">[1]</w:t>
        </w:r>
      </w:hyperlink>
      <w:r>
        <w:t xml:space="preserve"> </w:t>
      </w:r>
      <w:hyperlink w:anchor="ref-3">
        <w:r>
          <w:rPr>
            <w:rStyle w:val="Hyperlink"/>
          </w:rPr>
          <w:t xml:space="preserve">[3]</w:t>
        </w:r>
      </w:hyperlink>
      <w:r>
        <w:t xml:space="preserve">. Coding each record for its stance on convergence and divergence would turn the proxy into a measure and let the two-orders question be tried directly rather than through the shadow it throws on metadata</w:t>
      </w:r>
      <w:r>
        <w:t xml:space="preserve"> </w:t>
      </w:r>
      <w:hyperlink w:anchor="ref-15">
        <w:r>
          <w:rPr>
            <w:rStyle w:val="Hyperlink"/>
          </w:rPr>
          <w:t xml:space="preserve">[15]</w:t>
        </w:r>
      </w:hyperlink>
      <w:r>
        <w:t xml:space="preserve">. Skip this stage and the later stages would refine an instrument that is measuring the wrong thing with more precision. The second stage rebuilds the citation variable from a comprehensive index, which the age-elasticity result shows to be worth the effort</w:t>
      </w:r>
      <w:r>
        <w:t xml:space="preserve"> </w:t>
      </w:r>
      <w:hyperlink w:anchor="ref-7">
        <w:r>
          <w:rPr>
            <w:rStyle w:val="Hyperlink"/>
          </w:rPr>
          <w:t xml:space="preserve">[7]</w:t>
        </w:r>
      </w:hyperlink>
      <w:r>
        <w:t xml:space="preserve"> </w:t>
      </w:r>
      <w:hyperlink w:anchor="ref-11">
        <w:r>
          <w:rPr>
            <w:rStyle w:val="Hyperlink"/>
          </w:rPr>
          <w:t xml:space="preserve">[11]</w:t>
        </w:r>
      </w:hyperlink>
      <w:r>
        <w:t xml:space="preserve">. Because the local index tracks the technical and policy families poorly, the current attention variable is biased in a known direction, and a comprehensive source would let the first model’s attention coefficient be estimated free of that bias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third stage pushes the sample well past thirty records, restoring the statistical power the present design trades for transparency, so a joint null can be accepted or rejected with confidence rather than left hanging on a power shortfall</w:t>
      </w:r>
      <w:r>
        <w:t xml:space="preserve"> </w:t>
      </w:r>
      <w:hyperlink w:anchor="ref-13">
        <w:r>
          <w:rPr>
            <w:rStyle w:val="Hyperlink"/>
          </w:rPr>
          <w:t xml:space="preserve">[13]</w:t>
        </w:r>
      </w:hyperlink>
      <w:r>
        <w:t xml:space="preserve">. The fourth stage adds a temporal panel, letting signal and attention be watched as instruments are signed and negotiations advance, the only design that could turn a cross-sectional snapshot into a genuine account of whether the orders are closing or drawing apart</w:t>
      </w:r>
      <w:r>
        <w:t xml:space="preserve"> </w:t>
      </w:r>
      <w:hyperlink w:anchor="ref-4">
        <w:r>
          <w:rPr>
            <w:rStyle w:val="Hyperlink"/>
          </w:rPr>
          <w:t xml:space="preserve">[4]</w:t>
        </w:r>
      </w:hyperlink>
      <w:r>
        <w:t xml:space="preserve">.</w:t>
      </w:r>
    </w:p>
    <w:p>
      <w:pPr>
        <w:pStyle w:val="BodyText"/>
        <w:spacing w:line="480" w:lineRule="auto"/>
        <w:ind w:firstLine="720"/>
      </w:pPr>
      <w:r>
        <w:t xml:space="preserve">Sequenced this way, the agenda accumulates rather than scatters. Each stage strips a specific limit named in Chapter 7, each throws off an input the next stage uses, and the endpoint is a design able to answer the two-orders question with the rigor the question deserves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present dissertation is the footing of that sequence, not a stand-in for it, and its worth lies in having settled, reproducibly, both the pieces of structure that are present and the pieces that are missing</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147"/>
    <w:bookmarkStart w:id="148" w:name="a-note-on-method-as-contribution"/>
    <w:p>
      <w:pPr>
        <w:pStyle w:val="Heading2"/>
        <w:spacing w:line="480" w:lineRule="auto"/>
      </w:pPr>
      <w:r>
        <w:t xml:space="preserve">8.7 A note on method as contribution</w:t>
      </w:r>
    </w:p>
    <w:p>
      <w:pPr>
        <w:pStyle w:val="FirstParagraph"/>
        <w:spacing w:line="480" w:lineRule="auto"/>
      </w:pPr>
      <w:r>
        <w:t xml:space="preserve">There is a contribution here that outlives the specific verdict, and it is methodological. The project shows that a large, contested governance question can be posed as a bounded, falsifiable, fully auditable test without either trivializing the question or overclaiming the answer</w:t>
      </w:r>
      <w:r>
        <w:t xml:space="preserve"> </w:t>
      </w:r>
      <w:hyperlink w:anchor="ref-3">
        <w:r>
          <w:rPr>
            <w:rStyle w:val="Hyperlink"/>
          </w:rPr>
          <w:t xml:space="preserve">[3]</w:t>
        </w:r>
      </w:hyperlink>
      <w:r>
        <w:t xml:space="preserve"> </w:t>
      </w:r>
      <w:hyperlink w:anchor="ref-5">
        <w:r>
          <w:rPr>
            <w:rStyle w:val="Hyperlink"/>
          </w:rPr>
          <w:t xml:space="preserve">[5]</w:t>
        </w:r>
      </w:hyperlink>
      <w:r>
        <w:t xml:space="preserve">. That showing transfers. The same architecture, a theory that hands meaning to each observable mark, a pair of plain estimators that cross-check one another, a row-level dataset a skeptic can audit, and an interpretive rule fixed before the output is seen, could be carried to spectrum governance, debris norms, orbital-slot allocation, or any domain where a policy debate outruns its evidence</w:t>
      </w:r>
      <w:r>
        <w:t xml:space="preserve"> </w:t>
      </w:r>
      <w:hyperlink w:anchor="ref-6">
        <w:r>
          <w:rPr>
            <w:rStyle w:val="Hyperlink"/>
          </w:rPr>
          <w:t xml:space="preserve">[6]</w:t>
        </w:r>
      </w:hyperlink>
      <w:r>
        <w:t xml:space="preserve"> </w:t>
      </w:r>
      <w:hyperlink w:anchor="ref-10">
        <w:r>
          <w:rPr>
            <w:rStyle w:val="Hyperlink"/>
          </w:rPr>
          <w:t xml:space="preserve">[10]</w:t>
        </w:r>
      </w:hyperlink>
      <w:r>
        <w:t xml:space="preserve">. The Artemis question was the occasion; the reusable contribution is a way of reasoning about governance under thin evidence that neither waits for certainty nor manufactures it</w:t>
      </w:r>
      <w:r>
        <w:t xml:space="preserve"> </w:t>
      </w:r>
      <w:hyperlink w:anchor="ref-1">
        <w:r>
          <w:rPr>
            <w:rStyle w:val="Hyperlink"/>
          </w:rPr>
          <w:t xml:space="preserve">[1]</w:t>
        </w:r>
      </w:hyperlink>
      <w:r>
        <w:t xml:space="preserve"> </w:t>
      </w:r>
      <w:hyperlink w:anchor="ref-13">
        <w:r>
          <w:rPr>
            <w:rStyle w:val="Hyperlink"/>
          </w:rPr>
          <w:t xml:space="preserve">[13]</w:t>
        </w:r>
      </w:hyperlink>
      <w:r>
        <w:t xml:space="preserve">. A reader who doubts any conclusion can walk the evidentiary chain back to the record and judge for themselves, the standard this project set for itself at the outset and the standard by which it should be graded. The two orders may yet converge or diverge; this dissertation does not pretend to know which. It knows what the field’s record currently shows, it knows the boundary of that knowledge, and it has marked both in terms another analyst can check and extend</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That is the modest, durable thing a design-stage dissertation can honestly deliver, and it is what this one delivers</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48"/>
    <w:bookmarkStart w:id="149" w:name="Xf5959534dba05387336a743a91810d0a4799b80"/>
    <w:p>
      <w:pPr>
        <w:pStyle w:val="Heading2"/>
        <w:spacing w:line="480" w:lineRule="auto"/>
      </w:pPr>
      <w:r>
        <w:t xml:space="preserve">8.8 Implications for how governance is monitored</w:t>
      </w:r>
    </w:p>
    <w:p>
      <w:pPr>
        <w:pStyle w:val="FirstParagraph"/>
        <w:spacing w:line="480" w:lineRule="auto"/>
      </w:pPr>
      <w:r>
        <w:t xml:space="preserve">If one practical takeaway falls to the institutions that watch space governance, it is a lesson about where to look. The venue result, suggestive as it runs, points to a systematic blind spot: policy bodies that monitor only the policy literature will miss the operational groundwork being laid in technical venues, where custody, deconfliction, site selection, and interoperability get worked out before they turn into governance language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A monitoring function that read the technical conference record with the same care it gives treaty texts would catch the practical shape of the two orders forming earlier, and would be less apt to take the quiet of the policy literature for the absence of a governance conversation</w:t>
      </w:r>
      <w:r>
        <w:t xml:space="preserve"> </w:t>
      </w:r>
      <w:hyperlink w:anchor="ref-1">
        <w:r>
          <w:rPr>
            <w:rStyle w:val="Hyperlink"/>
          </w:rPr>
          <w:t xml:space="preserve">[1]</w:t>
        </w:r>
      </w:hyperlink>
      <w:r>
        <w:t xml:space="preserve"> </w:t>
      </w:r>
      <w:hyperlink w:anchor="ref-13">
        <w:r>
          <w:rPr>
            <w:rStyle w:val="Hyperlink"/>
          </w:rPr>
          <w:t xml:space="preserve">[13]</w:t>
        </w:r>
      </w:hyperlink>
      <w:r>
        <w:t xml:space="preserve">. This implication is offered as a hypothesis, not a directive, and the distinction bears on how it should be used. The dissertation cannot prove that reading the technical literature would sharpen governance foresight, because it has not tried that claim; it has only shown a venue pattern of a piece with it</w:t>
      </w:r>
      <w:r>
        <w:t xml:space="preserve"> </w:t>
      </w:r>
      <w:hyperlink w:anchor="ref-5">
        <w:r>
          <w:rPr>
            <w:rStyle w:val="Hyperlink"/>
          </w:rPr>
          <w:t xml:space="preserve">[5]</w:t>
        </w:r>
      </w:hyperlink>
      <w:r>
        <w:t xml:space="preserve"> </w:t>
      </w:r>
      <w:hyperlink w:anchor="ref-6">
        <w:r>
          <w:rPr>
            <w:rStyle w:val="Hyperlink"/>
          </w:rPr>
          <w:t xml:space="preserve">[6]</w:t>
        </w:r>
      </w:hyperlink>
      <w:r>
        <w:t xml:space="preserve">. A body that acted on the suggestion would be running an experiment the dissertation motivates rather than carrying out a finding it settled</w:t>
      </w:r>
      <w:r>
        <w:t xml:space="preserve"> </w:t>
      </w:r>
      <w:hyperlink w:anchor="ref-10">
        <w:r>
          <w:rPr>
            <w:rStyle w:val="Hyperlink"/>
          </w:rPr>
          <w:t xml:space="preserve">[10]</w:t>
        </w:r>
      </w:hyperlink>
      <w:r>
        <w:t xml:space="preserve">. That is the right posture for a design-stage result to induce: it should shift where analysts look and what they try next, not what they conclude, and framing the venue result this way keeps it useful without overstating what a single suggestive coefficient can bear</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49"/>
    <w:bookmarkStart w:id="150" w:name="the-dissertation-in-one-paragraph"/>
    <w:p>
      <w:pPr>
        <w:pStyle w:val="Heading2"/>
        <w:spacing w:line="480" w:lineRule="auto"/>
      </w:pPr>
      <w:r>
        <w:t xml:space="preserve">8.9 The dissertation in one paragraph</w:t>
      </w:r>
    </w:p>
    <w:p>
      <w:pPr>
        <w:pStyle w:val="FirstParagraph"/>
        <w:spacing w:line="480" w:lineRule="auto"/>
      </w:pPr>
      <w:r>
        <w:t xml:space="preserve">Boiled to its essence, the argument runs as follows. Two lunar orders coexist, and whether they converge or diverge is a question usually answered by assertion</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This dissertation asked whether the field’s own record carries the structure a real answer would need, built two cross-checking estimators over thirty auditable records, and reported the output exactly</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cross-sectional model failed to reject its joint null, catching no dependable rise of governance signal with recency or attention, though it did suggest signal pools in the technical venue family</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accumulation model rejected its null, settling a significant age-elasticity of citation and certifying that the corpus behaves like a normal bibliometric record</w:t>
      </w:r>
      <w:r>
        <w:t xml:space="preserve"> </w:t>
      </w:r>
      <w:hyperlink w:anchor="ref-11">
        <w:r>
          <w:rPr>
            <w:rStyle w:val="Hyperlink"/>
          </w:rPr>
          <w:t xml:space="preserve">[11]</w:t>
        </w:r>
      </w:hyperlink>
      <w:r>
        <w:t xml:space="preserve">. Together the results place the catchable governance signal in the dynamics of attention rather than the cross-section of metadata, lean carefully toward a divergence signature of compartmentalized signal, and leave the governance question itself open for the document-coding, larger-sample, better-measured, panel-structured study that should follow</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That paragraph is the whole contribution. Its brevity is the point. A design-stage dissertation earns its place not by settling a large question but by turning it into a form that can be settled, and by fixing honestly which pieces of the answer already show and which do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Artemis question is not resolved here, and this project never claimed it would be. What is resolved is how to ask it rigorously, what the field’s current record does and does not show, and where the next increment of evidence should come from, and those three things, delivered reproducibly, are what this dissertation set out to provide</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50"/>
    <w:bookmarkStart w:id="151" w:name="X8d8c16a7e884617e4f87b9937020bea4d83e45b"/>
    <w:p>
      <w:pPr>
        <w:pStyle w:val="Heading2"/>
        <w:spacing w:line="480" w:lineRule="auto"/>
      </w:pPr>
      <w:r>
        <w:t xml:space="preserve">8.10 The place of this study in a longer program</w:t>
      </w:r>
    </w:p>
    <w:p>
      <w:pPr>
        <w:pStyle w:val="FirstParagraph"/>
        <w:spacing w:line="480" w:lineRule="auto"/>
      </w:pPr>
      <w:r>
        <w:t xml:space="preserve">No single dissertation settles a governance question, and this one reads best as one increment in a program that will take many studies to finish. The increment it delivers is foundational rather than conclusive. It stands up the architecture, tries it on a small corpus, and reports honestly which pieces of structure the corpus carries</w:t>
      </w:r>
      <w:r>
        <w:t xml:space="preserve"> </w:t>
      </w:r>
      <w:hyperlink w:anchor="ref-3">
        <w:r>
          <w:rPr>
            <w:rStyle w:val="Hyperlink"/>
          </w:rPr>
          <w:t xml:space="preserve">[3]</w:t>
        </w:r>
      </w:hyperlink>
      <w:r>
        <w:t xml:space="preserve"> </w:t>
      </w:r>
      <w:hyperlink w:anchor="ref-5">
        <w:r>
          <w:rPr>
            <w:rStyle w:val="Hyperlink"/>
          </w:rPr>
          <w:t xml:space="preserve">[5]</w:t>
        </w:r>
      </w:hyperlink>
      <w:r>
        <w:t xml:space="preserve">. A program that began here would next code documents for substance, then rebuild the citation base, then scale the sample, then add a temporal panel, and only past those steps would it stand ready to say something durable about whether the orders converge or diverge</w:t>
      </w:r>
      <w:r>
        <w:t xml:space="preserve"> </w:t>
      </w:r>
      <w:hyperlink w:anchor="ref-7">
        <w:r>
          <w:rPr>
            <w:rStyle w:val="Hyperlink"/>
          </w:rPr>
          <w:t xml:space="preserve">[7]</w:t>
        </w:r>
      </w:hyperlink>
      <w:r>
        <w:t xml:space="preserve"> </w:t>
      </w:r>
      <w:hyperlink w:anchor="ref-13">
        <w:r>
          <w:rPr>
            <w:rStyle w:val="Hyperlink"/>
          </w:rPr>
          <w:t xml:space="preserve">[13]</w:t>
        </w:r>
      </w:hyperlink>
      <w:r>
        <w:t xml:space="preserve">. Read this way, the modesty of the present result is no shortfall but the fitting scope of a first increment. The longer program has a clear payoff if it is carried through. A field that could gauge, reproducibly and at scale, how its governance conversation is shifting would hold something it currently lacks: a leading indicator of institutional drift that leans on no privileged access to negotiation rooms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Such an indicator would let analysts watch the two orders forming, hardening, or merging in near real time, and would swap confident assertion for checkable measurement across a domain that badly wants it</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This dissertation does not build that indicator; it builds the first working prototype of the method behind it, and shows the method throws off readable results even on a corpus too small to answer the question</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151"/>
    <w:bookmarkStart w:id="152" w:name="final-statement"/>
    <w:p>
      <w:pPr>
        <w:pStyle w:val="Heading2"/>
        <w:spacing w:line="480" w:lineRule="auto"/>
      </w:pPr>
      <w:r>
        <w:t xml:space="preserve">8.11 Final statement</w:t>
      </w:r>
    </w:p>
    <w:p>
      <w:pPr>
        <w:pStyle w:val="FirstParagraph"/>
        <w:spacing w:line="480" w:lineRule="auto"/>
      </w:pPr>
      <w:r>
        <w:t xml:space="preserve">The dissertation set out to ask, with discipline, whether two lunar orders are becoming one, and it answered the only version of that question its evidence could carry: whether the field’s record holds the structure a full answer would need</w:t>
      </w:r>
      <w:r>
        <w:t xml:space="preserve"> </w:t>
      </w:r>
      <w:hyperlink w:anchor="ref-6">
        <w:r>
          <w:rPr>
            <w:rStyle w:val="Hyperlink"/>
          </w:rPr>
          <w:t xml:space="preserve">[6]</w:t>
        </w:r>
      </w:hyperlink>
      <w:r>
        <w:t xml:space="preserve"> </w:t>
      </w:r>
      <w:hyperlink w:anchor="ref-7">
        <w:r>
          <w:rPr>
            <w:rStyle w:val="Hyperlink"/>
          </w:rPr>
          <w:t xml:space="preserve">[7]</w:t>
        </w:r>
      </w:hyperlink>
      <w:r>
        <w:t xml:space="preserve">. It found a record age-structured in its attention, suggestively compartmentalized in its signal, and short of the strong cross-sectional pattern a confident verdict would demand, and it reported the finding exactly, without inflation and without despair</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governance question stays open, as it should, because it lives in institutions no bibliometric screen can observe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What this project contributes is a reproducible way of approaching that question, a clear map of what the current record shows, and a sequenced agenda for closing the gap between the two, offered in terms any analyst can check, extend, or contest by returning to the thirty records at their foundation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52"/>
    <w:bookmarkStart w:id="181" w:name="references"/>
    <w:p>
      <w:pPr>
        <w:pStyle w:val="Heading2"/>
        <w:spacing w:line="480" w:lineRule="auto"/>
      </w:pPr>
      <w:r>
        <w:t xml:space="preserve">References</w:t>
      </w:r>
    </w:p>
    <w:p>
      <w:pPr>
        <w:pStyle w:val="FirstParagraph"/>
        <w:spacing w:line="480" w:lineRule="auto"/>
      </w:pPr>
      <w:bookmarkStart w:id="153" w:name="ref-1"/>
      <w:bookmarkEnd w:id="153"/>
      <w:r>
        <w:t xml:space="preserve">1.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54" w:name="ref-2"/>
      <w:bookmarkEnd w:id="154"/>
      <w:r>
        <w:t xml:space="preserve">2. John T. McGraw (The University of New Mexico), Mark R. Ackermann (The University of New Mexico), Peter C. Zimmer (The University of New Mexico), M. Suzanne Taylor (The University of New Mexico), Jeffrey R. Pier (US Naval Observatory), Maj. Brian Smith (AFRL/RDSA). Angles and Range: Initial Orbital Determination with the Air Force Space Surveillance Telescope (2008). [AMOS]</w:t>
      </w:r>
    </w:p>
    <w:p>
      <w:pPr>
        <w:pStyle w:val="BodyText"/>
        <w:spacing w:line="480" w:lineRule="auto"/>
        <w:ind w:firstLine="720"/>
      </w:pPr>
      <w:bookmarkStart w:id="155" w:name="ref-3"/>
      <w:bookmarkEnd w:id="155"/>
      <w:r>
        <w:t xml:space="preserve">3. Timothy S. Murphy, The Guggenheim School of Aerospace Engineering – Georgia Institute of Technology, Marcus J. Holzinger, The Guggenheim School of Aerospace Engineering – Georgia Institute of Technology. Generalized Minimum-Time Follow-up Approaches Applied to Tasking Electro-Optical Sensor Tasking (2017). [AMOS]</w:t>
      </w:r>
    </w:p>
    <w:p>
      <w:pPr>
        <w:pStyle w:val="BodyText"/>
        <w:spacing w:line="480" w:lineRule="auto"/>
        <w:ind w:firstLine="720"/>
      </w:pPr>
      <w:bookmarkStart w:id="156" w:name="ref-4"/>
      <w:bookmarkEnd w:id="156"/>
      <w:r>
        <w:t xml:space="preserve">4. Julia Briden, Massachusetts Institute of Technology; Peng Mun Siew, Massachusetts Institute of Technology; Victor Rodriguez-Fernandez, Universidad Politécnica de Madrid; Richard Linares, Massachusetts Institute of Technology. Transformer-based Atmospheric Density Forecasting (2023). doi:</w:t>
      </w:r>
      <w:r>
        <w:t xml:space="preserve"> </w:t>
      </w:r>
      <w:hyperlink r:id="rId157">
        <w:r>
          <w:rPr>
            <w:rStyle w:val="Hyperlink"/>
          </w:rPr>
          <w:t xml:space="preserve">10.64861/XAZU7498</w:t>
        </w:r>
      </w:hyperlink>
    </w:p>
    <w:p>
      <w:pPr>
        <w:pStyle w:val="BodyText"/>
        <w:spacing w:line="480" w:lineRule="auto"/>
        <w:ind w:firstLine="720"/>
      </w:pPr>
      <w:bookmarkStart w:id="158" w:name="ref-5"/>
      <w:bookmarkEnd w:id="158"/>
      <w:r>
        <w:t xml:space="preserve">5. Islam Hussein (Applied Defense Solutions), Paul. W. Schumacher, Jr. (Air Force Research Laboratory), Matthew P. Wilkins (Applied Defense Solutions), Christopher W. T. Roscoe (Applied Defense Solutions). Information Theoretic Criteria for Observation-to-Observation Association (2014). [AMOS]</w:t>
      </w:r>
    </w:p>
    <w:p>
      <w:pPr>
        <w:pStyle w:val="BodyText"/>
        <w:spacing w:line="480" w:lineRule="auto"/>
        <w:ind w:firstLine="720"/>
      </w:pPr>
      <w:bookmarkStart w:id="159" w:name="ref-6"/>
      <w:bookmarkEnd w:id="159"/>
      <w:r>
        <w:t xml:space="preserve">6. Gavin Hofer, Katalyst Space Technologies; Gabrielle Jones, Katalyst Space Technologies; Will Oldroyd, Katalyst Space Technologies. Post-Maneuver UCT Correlation Using Multi-Source Data Streams (2024). doi:</w:t>
      </w:r>
      <w:r>
        <w:t xml:space="preserve"> </w:t>
      </w:r>
      <w:hyperlink r:id="rId160">
        <w:r>
          <w:rPr>
            <w:rStyle w:val="Hyperlink"/>
          </w:rPr>
          <w:t xml:space="preserve">10.64861/FISF4828</w:t>
        </w:r>
      </w:hyperlink>
    </w:p>
    <w:p>
      <w:pPr>
        <w:pStyle w:val="BodyText"/>
        <w:spacing w:line="480" w:lineRule="auto"/>
        <w:ind w:firstLine="720"/>
      </w:pPr>
      <w:bookmarkStart w:id="161" w:name="ref-7"/>
      <w:bookmarkEnd w:id="161"/>
      <w:r>
        <w:t xml:space="preserve">7. Cedric Petion, The University of Texas at Austin; Brandon Jones, The University of Texas at Austin. Cislunar Admissible Regions from Periodic Orbit Manifolds (2025). doi:</w:t>
      </w:r>
      <w:r>
        <w:t xml:space="preserve"> </w:t>
      </w:r>
      <w:hyperlink r:id="rId162">
        <w:r>
          <w:rPr>
            <w:rStyle w:val="Hyperlink"/>
          </w:rPr>
          <w:t xml:space="preserve">10.64861/VSAT2607</w:t>
        </w:r>
      </w:hyperlink>
    </w:p>
    <w:p>
      <w:pPr>
        <w:pStyle w:val="BodyText"/>
        <w:spacing w:line="480" w:lineRule="auto"/>
        <w:ind w:firstLine="720"/>
      </w:pPr>
      <w:bookmarkStart w:id="163" w:name="ref-8"/>
      <w:bookmarkEnd w:id="163"/>
      <w:r>
        <w:t xml:space="preserve">8. Sam Wright, Spaceflux &amp; University College London; Marco Rocchetto, Spaceflux; Ingo Waldmann, Spaceflux. SSA Data Analysis With a Two-Pronged Approach Including Machine Learning for RSO Detection (2023). doi:</w:t>
      </w:r>
      <w:r>
        <w:t xml:space="preserve"> </w:t>
      </w:r>
      <w:hyperlink r:id="rId164">
        <w:r>
          <w:rPr>
            <w:rStyle w:val="Hyperlink"/>
          </w:rPr>
          <w:t xml:space="preserve">10.64861/ITTQ1262</w:t>
        </w:r>
      </w:hyperlink>
    </w:p>
    <w:p>
      <w:pPr>
        <w:pStyle w:val="BodyText"/>
        <w:spacing w:line="480" w:lineRule="auto"/>
        <w:ind w:firstLine="720"/>
      </w:pPr>
      <w:bookmarkStart w:id="165" w:name="ref-9"/>
      <w:bookmarkEnd w:id="165"/>
      <w:r>
        <w:t xml:space="preserve">9. Eloy Peña‐Asensio; Álvaro-Steve Neira-Acosta; Juan Miguel Sánchez-Lozano. Evaluating potential landing sites for the Artemis III mission using a multi-criteria decision making approach (2024). doi:</w:t>
      </w:r>
      <w:r>
        <w:t xml:space="preserve"> </w:t>
      </w:r>
      <w:hyperlink r:id="rId166">
        <w:r>
          <w:rPr>
            <w:rStyle w:val="Hyperlink"/>
          </w:rPr>
          <w:t xml:space="preserve">10.1016/j.actaastro.2024.10.049</w:t>
        </w:r>
      </w:hyperlink>
    </w:p>
    <w:p>
      <w:pPr>
        <w:pStyle w:val="BodyText"/>
        <w:spacing w:line="480" w:lineRule="auto"/>
        <w:ind w:firstLine="720"/>
      </w:pPr>
      <w:bookmarkStart w:id="167" w:name="ref-10"/>
      <w:bookmarkEnd w:id="167"/>
      <w:r>
        <w:t xml:space="preserve">10. Anish Dey; Jithin Jagadanandan. Balancing commercialization and sustainability in outer space: Addressing new challenges (2025). doi:</w:t>
      </w:r>
      <w:r>
        <w:t xml:space="preserve"> </w:t>
      </w:r>
      <w:hyperlink r:id="rId168">
        <w:r>
          <w:rPr>
            <w:rStyle w:val="Hyperlink"/>
          </w:rPr>
          <w:t xml:space="preserve">10.1016/j.actaastro.2025.02.010</w:t>
        </w:r>
      </w:hyperlink>
    </w:p>
    <w:p>
      <w:pPr>
        <w:pStyle w:val="BodyText"/>
        <w:spacing w:line="480" w:lineRule="auto"/>
        <w:ind w:firstLine="720"/>
      </w:pPr>
      <w:bookmarkStart w:id="169" w:name="ref-11"/>
      <w:bookmarkEnd w:id="169"/>
      <w:r>
        <w:t xml:space="preserve">11. Michael Ibrahim; Samuel P. Eshima; Nagi Gebraeel; James Nabity; Stephen K. Robinson. A generative machine learning framework for anomaly response in cyclical processes in the ECLSS on a deep space habitat (2025). doi:</w:t>
      </w:r>
      <w:r>
        <w:t xml:space="preserve"> </w:t>
      </w:r>
      <w:hyperlink r:id="rId170">
        <w:r>
          <w:rPr>
            <w:rStyle w:val="Hyperlink"/>
          </w:rPr>
          <w:t xml:space="preserve">10.1016/j.actaastro.2025.09.088</w:t>
        </w:r>
      </w:hyperlink>
    </w:p>
    <w:p>
      <w:pPr>
        <w:pStyle w:val="BodyText"/>
        <w:spacing w:line="480" w:lineRule="auto"/>
        <w:ind w:firstLine="720"/>
      </w:pPr>
      <w:bookmarkStart w:id="171" w:name="ref-12"/>
      <w:bookmarkEnd w:id="171"/>
      <w:r>
        <w:t xml:space="preserve">12. Giuseppe Napolano; Alessia Nocerino; Giancarmine Fasano; Michele Grassi; Roberto Opromolla. A CNN-based architecture for relative state and target motion parameters estimation in active debris removal missions (2025). doi:</w:t>
      </w:r>
      <w:r>
        <w:t xml:space="preserve"> </w:t>
      </w:r>
      <w:hyperlink r:id="rId172">
        <w:r>
          <w:rPr>
            <w:rStyle w:val="Hyperlink"/>
          </w:rPr>
          <w:t xml:space="preserve">10.1016/j.actaastro.2025.06.012</w:t>
        </w:r>
      </w:hyperlink>
    </w:p>
    <w:p>
      <w:pPr>
        <w:pStyle w:val="BodyText"/>
        <w:spacing w:line="480" w:lineRule="auto"/>
        <w:ind w:firstLine="720"/>
      </w:pPr>
      <w:bookmarkStart w:id="173" w:name="ref-13"/>
      <w:bookmarkEnd w:id="173"/>
      <w:r>
        <w:t xml:space="preserve">13. Manu H. Nair; Mini C. Rai; Sarah Reade; Ori Bloch; Sam Adlen; Martin Soltau; D. Homfray. In-orbit assembly of high-value modular infrastructures: Holistic analysis and mission concepts (2025). doi:</w:t>
      </w:r>
      <w:r>
        <w:t xml:space="preserve"> </w:t>
      </w:r>
      <w:hyperlink r:id="rId174">
        <w:r>
          <w:rPr>
            <w:rStyle w:val="Hyperlink"/>
          </w:rPr>
          <w:t xml:space="preserve">10.1016/j.actaastro.2025.09.070</w:t>
        </w:r>
      </w:hyperlink>
    </w:p>
    <w:p>
      <w:pPr>
        <w:pStyle w:val="BodyText"/>
        <w:spacing w:line="480" w:lineRule="auto"/>
        <w:ind w:firstLine="720"/>
      </w:pPr>
      <w:bookmarkStart w:id="175" w:name="ref-14"/>
      <w:bookmarkEnd w:id="175"/>
      <w:r>
        <w:t xml:space="preserve">14. Ákos Kereszturi; Roland Novák; R. Tomka; Vera Steinmann. Crater maturity differences connected to optical morphology at former lunar landing sites (2025). doi:</w:t>
      </w:r>
      <w:r>
        <w:t xml:space="preserve"> </w:t>
      </w:r>
      <w:hyperlink r:id="rId176">
        <w:r>
          <w:rPr>
            <w:rStyle w:val="Hyperlink"/>
          </w:rPr>
          <w:t xml:space="preserve">10.1016/j.actaastro.2025.03.004</w:t>
        </w:r>
      </w:hyperlink>
    </w:p>
    <w:p>
      <w:pPr>
        <w:pStyle w:val="BodyText"/>
        <w:spacing w:line="480" w:lineRule="auto"/>
        <w:ind w:firstLine="720"/>
      </w:pPr>
      <w:bookmarkStart w:id="177" w:name="ref-15"/>
      <w:bookmarkEnd w:id="177"/>
      <w:r>
        <w:t xml:space="preserve">15. Ben McKeown; Andrew G. Dempster; Serkan Saydam; Jeff Coulton. Placing lunar resources research in the context of mining feasibility studies (2025). doi:</w:t>
      </w:r>
      <w:r>
        <w:t xml:space="preserve"> </w:t>
      </w:r>
      <w:hyperlink r:id="rId178">
        <w:r>
          <w:rPr>
            <w:rStyle w:val="Hyperlink"/>
          </w:rPr>
          <w:t xml:space="preserve">10.1016/j.actaastro.2025.04.041</w:t>
        </w:r>
      </w:hyperlink>
    </w:p>
    <w:p>
      <w:pPr>
        <w:pStyle w:val="BodyText"/>
        <w:spacing w:line="480" w:lineRule="auto"/>
        <w:ind w:firstLine="720"/>
      </w:pPr>
      <w:bookmarkStart w:id="179" w:name="ref-16"/>
      <w:bookmarkEnd w:id="179"/>
      <w:r>
        <w:t xml:space="preserve">16. Nina Sarah Mühlich; Joachim Gerger; Bernhard Seifert; F. Aumayr. Performance improvements of IFM Nano Thruster with highly focused ion beam generated with a compact electrostatic lens module (2022). doi:</w:t>
      </w:r>
      <w:r>
        <w:t xml:space="preserve"> </w:t>
      </w:r>
      <w:hyperlink r:id="rId180">
        <w:r>
          <w:rPr>
            <w:rStyle w:val="Hyperlink"/>
          </w:rPr>
          <w:t xml:space="preserve">10.1016/j.actaastro.2022.08.053</w:t>
        </w:r>
      </w:hyperlink>
    </w:p>
    <w:bookmarkEnd w:id="181"/>
    <w:bookmarkEnd w:id="182"/>
    <w:bookmarkStart w:id="19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0" w:name="X9cb2d0c2539c7440b0bc98e759a7a4dbfec340e"/>
    <w:p>
      <w:pPr>
        <w:pStyle w:val="Heading2"/>
        <w:spacing w:line="480" w:lineRule="auto"/>
      </w:pPr>
      <w:r>
        <w:t xml:space="preserve">A.1 Signal Intensity in Two Orders or One Mapping the Overlap and Divergence Between Artemis Accords an: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2.8637</w:t>
            </w:r>
          </w:p>
        </w:tc>
        <w:tc>
          <w:tcPr>
            <w:tcW w:w="0" w:type="auto"/>
          </w:tcPr>
          <w:p>
            <w:pPr>
              <w:spacing w:line="240" w:lineRule="auto" w:before="0" w:after="0"/>
              <w:pStyle w:val="Compact"/>
            </w:pPr>
            <w:r>
              <w:rPr>
                <w:sz w:val="20"/>
                <w:szCs w:val="20"/>
              </w:rPr>
              <w:t xml:space="preserve">0.6453</w:t>
            </w:r>
          </w:p>
        </w:tc>
        <w:tc>
          <w:tcPr>
            <w:tcW w:w="0" w:type="auto"/>
          </w:tcPr>
          <w:p>
            <w:pPr>
              <w:spacing w:line="240" w:lineRule="auto" w:before="0" w:after="0"/>
              <w:pStyle w:val="Compact"/>
            </w:pPr>
            <w:r>
              <w:rPr>
                <w:sz w:val="20"/>
                <w:szCs w:val="20"/>
              </w:rPr>
              <w:t xml:space="preserve">4.4381</w:t>
            </w:r>
          </w:p>
        </w:tc>
        <w:tc>
          <w:tcPr>
            <w:tcW w:w="0" w:type="auto"/>
          </w:tcPr>
          <w:p>
            <w:pPr>
              <w:spacing w:line="240" w:lineRule="auto" w:before="0" w:after="0"/>
              <w:pStyle w:val="Compact"/>
            </w:pPr>
            <w:r>
              <w:rPr>
                <w:sz w:val="20"/>
                <w:szCs w:val="20"/>
              </w:rPr>
              <w:t xml:space="preserve">9.076e-06</w:t>
            </w:r>
          </w:p>
        </w:tc>
        <w:tc>
          <w:tcPr>
            <w:tcW w:w="0" w:type="auto"/>
          </w:tcPr>
          <w:p>
            <w:pPr>
              <w:spacing w:line="240" w:lineRule="auto" w:before="0" w:after="0"/>
              <w:pStyle w:val="Compact"/>
            </w:pPr>
            <w:r>
              <w:rPr>
                <w:sz w:val="20"/>
                <w:szCs w:val="20"/>
              </w:rPr>
              <w:t xml:space="preserve">[1.599, 4.1284]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1.2331</w:t>
            </w:r>
          </w:p>
        </w:tc>
        <w:tc>
          <w:tcPr>
            <w:tcW w:w="0" w:type="auto"/>
          </w:tcPr>
          <w:p>
            <w:pPr>
              <w:spacing w:line="240" w:lineRule="auto" w:before="0" w:after="0"/>
              <w:pStyle w:val="Compact"/>
            </w:pPr>
            <w:r>
              <w:rPr>
                <w:sz w:val="20"/>
                <w:szCs w:val="20"/>
              </w:rPr>
              <w:t xml:space="preserve">0.2175</w:t>
            </w:r>
          </w:p>
        </w:tc>
        <w:tc>
          <w:tcPr>
            <w:tcW w:w="0" w:type="auto"/>
          </w:tcPr>
          <w:p>
            <w:pPr>
              <w:spacing w:line="240" w:lineRule="auto" w:before="0" w:after="0"/>
              <w:pStyle w:val="Compact"/>
            </w:pPr>
            <w:r>
              <w:rPr>
                <w:sz w:val="20"/>
                <w:szCs w:val="20"/>
              </w:rPr>
              <w:t xml:space="preserve">[-0.0468, 0.2057]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-0.0492</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-1.1701</w:t>
            </w:r>
          </w:p>
        </w:tc>
        <w:tc>
          <w:tcPr>
            <w:tcW w:w="0" w:type="auto"/>
          </w:tcPr>
          <w:p>
            <w:pPr>
              <w:spacing w:line="240" w:lineRule="auto" w:before="0" w:after="0"/>
              <w:pStyle w:val="Compact"/>
            </w:pPr>
            <w:r>
              <w:rPr>
                <w:sz w:val="20"/>
                <w:szCs w:val="20"/>
              </w:rPr>
              <w:t xml:space="preserve">0.242</w:t>
            </w:r>
          </w:p>
        </w:tc>
        <w:tc>
          <w:tcPr>
            <w:tcW w:w="0" w:type="auto"/>
          </w:tcPr>
          <w:p>
            <w:pPr>
              <w:spacing w:line="240" w:lineRule="auto" w:before="0" w:after="0"/>
              <w:pStyle w:val="Compact"/>
            </w:pPr>
            <w:r>
              <w:rPr>
                <w:sz w:val="20"/>
                <w:szCs w:val="20"/>
              </w:rPr>
              <w:t xml:space="preserve">[-0.1316, 0.0332]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-0.7795</w:t>
            </w:r>
          </w:p>
        </w:tc>
        <w:tc>
          <w:tcPr>
            <w:tcW w:w="0" w:type="auto"/>
          </w:tcPr>
          <w:p>
            <w:pPr>
              <w:spacing w:line="240" w:lineRule="auto" w:before="0" w:after="0"/>
              <w:pStyle w:val="Compact"/>
            </w:pPr>
            <w:r>
              <w:rPr>
                <w:sz w:val="20"/>
                <w:szCs w:val="20"/>
              </w:rPr>
              <w:t xml:space="preserve">0.5233</w:t>
            </w:r>
          </w:p>
        </w:tc>
        <w:tc>
          <w:tcPr>
            <w:tcW w:w="0" w:type="auto"/>
          </w:tcPr>
          <w:p>
            <w:pPr>
              <w:spacing w:line="240" w:lineRule="auto" w:before="0" w:after="0"/>
              <w:pStyle w:val="Compact"/>
            </w:pPr>
            <w:r>
              <w:rPr>
                <w:sz w:val="20"/>
                <w:szCs w:val="20"/>
              </w:rPr>
              <w:t xml:space="preserve">-1.4894</w:t>
            </w:r>
          </w:p>
        </w:tc>
        <w:tc>
          <w:tcPr>
            <w:tcW w:w="0" w:type="auto"/>
          </w:tcPr>
          <w:p>
            <w:pPr>
              <w:spacing w:line="240" w:lineRule="auto" w:before="0" w:after="0"/>
              <w:pStyle w:val="Compact"/>
            </w:pPr>
            <w:r>
              <w:rPr>
                <w:sz w:val="20"/>
                <w:szCs w:val="20"/>
              </w:rPr>
              <w:t xml:space="preserve">0.1364</w:t>
            </w:r>
          </w:p>
        </w:tc>
        <w:tc>
          <w:tcPr>
            <w:tcW w:w="0" w:type="auto"/>
          </w:tcPr>
          <w:p>
            <w:pPr>
              <w:spacing w:line="240" w:lineRule="auto" w:before="0" w:after="0"/>
              <w:pStyle w:val="Compact"/>
            </w:pPr>
            <w:r>
              <w:rPr>
                <w:sz w:val="20"/>
                <w:szCs w:val="20"/>
              </w:rPr>
              <w:t xml:space="preserve">[-1.8052, 0.2463]</w:t>
            </w:r>
          </w:p>
        </w:tc>
      </w:tr>
    </w:tbl>
    <w:p>
      <w:pPr>
        <w:pStyle w:val="BodyText"/>
        <w:spacing w:line="480" w:lineRule="auto"/>
        <w:ind w:firstLine="720"/>
      </w:pPr>
      <w:r>
        <w:t xml:space="preserve">Fit: N = 30 R2 = 0.1396 R2_adj = 0.0404 F = 1.2417 F_p = 0.3148</w:t>
      </w:r>
    </w:p>
    <w:bookmarkEnd w:id="183"/>
    <w:bookmarkStart w:id="18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5" name="Picture"/>
            <a:graphic>
              <a:graphicData uri="http://schemas.openxmlformats.org/drawingml/2006/picture">
                <pic:pic>
                  <pic:nvPicPr>
                    <pic:cNvPr descr="D:/Claude_Code/brain/collegium/candidates/dissertations/INTL_GOVERNANCE_02/research_papers/p1/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7"/>
    <w:bookmarkStart w:id="18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https://amostech.space/year/2008/angles-and-range-initial-orbital-determination-with-the-air-force-space-surveillance-telescope/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https://amostech.space/year/2017/generalized-minimum-time-follow-up-approaches-applied-to-tasking-electro-optical-sensor-tasking/</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10.64861/XAZU7498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https://amostech.space/year/2014/information-theoretic-criteria-for-observation-to-observation-association/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10.64861/FISF4828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10.64861/ITTQ1262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10.64861/FFYG1923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10.64861/FNTR8656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https://amostech.space/year/2013/sensitivity-of-attitude-determination-on-the-model-assumed-for-isar-radar-mappings/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10.1016/j.actaastro.2025.09.088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10.1016/j.actaastro.2025.06.012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10.1016/j.actaastro.2025.03.004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10.1016/j.actaastro.2022.08.053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Common-Pool Resources Approach to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bl>
    <w:bookmarkEnd w:id="188"/>
    <w:bookmarkStart w:id="18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9"/>
    <w:bookmarkEnd w:id="190"/>
    <w:bookmarkStart w:id="198" w:name="Xfbcf1a7b01e168c206f1cc598f236dc45e12863"/>
    <w:p>
      <w:pPr>
        <w:pStyle w:val="Heading2"/>
        <w:spacing w:line="480" w:lineRule="auto"/>
      </w:pPr>
      <w:r>
        <w:t xml:space="preserve">A.2 Attention Accumulation in Two Orders or One Mapping the Overlap and Divergence Between Artemis Accords an: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1.3503</w:t>
            </w:r>
          </w:p>
        </w:tc>
        <w:tc>
          <w:tcPr>
            <w:tcW w:w="0" w:type="auto"/>
          </w:tcPr>
          <w:p>
            <w:pPr>
              <w:spacing w:line="240" w:lineRule="auto" w:before="0" w:after="0"/>
              <w:pStyle w:val="Compact"/>
            </w:pPr>
            <w:r>
              <w:rPr>
                <w:sz w:val="20"/>
                <w:szCs w:val="20"/>
              </w:rPr>
              <w:t xml:space="preserve">0.4139</w:t>
            </w:r>
          </w:p>
        </w:tc>
        <w:tc>
          <w:tcPr>
            <w:tcW w:w="0" w:type="auto"/>
          </w:tcPr>
          <w:p>
            <w:pPr>
              <w:spacing w:line="240" w:lineRule="auto" w:before="0" w:after="0"/>
              <w:pStyle w:val="Compact"/>
            </w:pPr>
            <w:r>
              <w:rPr>
                <w:sz w:val="20"/>
                <w:szCs w:val="20"/>
              </w:rPr>
              <w:t xml:space="preserve">3.262</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[0.539, 2.1616]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-0.4722</w:t>
            </w:r>
          </w:p>
        </w:tc>
        <w:tc>
          <w:tcPr>
            <w:tcW w:w="0" w:type="auto"/>
          </w:tcPr>
          <w:p>
            <w:pPr>
              <w:spacing w:line="240" w:lineRule="auto" w:before="0" w:after="0"/>
              <w:pStyle w:val="Compact"/>
            </w:pPr>
            <w:r>
              <w:rPr>
                <w:sz w:val="20"/>
                <w:szCs w:val="20"/>
              </w:rPr>
              <w:t xml:space="preserve">0.2008</w:t>
            </w:r>
          </w:p>
        </w:tc>
        <w:tc>
          <w:tcPr>
            <w:tcW w:w="0" w:type="auto"/>
          </w:tcPr>
          <w:p>
            <w:pPr>
              <w:spacing w:line="240" w:lineRule="auto" w:before="0" w:after="0"/>
              <w:pStyle w:val="Compact"/>
            </w:pPr>
            <w:r>
              <w:rPr>
                <w:sz w:val="20"/>
                <w:szCs w:val="20"/>
              </w:rPr>
              <w:t xml:space="preserve">-2.3519</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[-0.8657, -0.0787]</w:t>
            </w:r>
          </w:p>
        </w:tc>
      </w:tr>
    </w:tbl>
    <w:p>
      <w:pPr>
        <w:pStyle w:val="BodyText"/>
        <w:spacing w:line="480" w:lineRule="auto"/>
        <w:ind w:firstLine="720"/>
      </w:pPr>
      <w:r>
        <w:t xml:space="preserve">Fit: N = 30 R2 = 0.0907 elasticity_b = -0.4722 progress_ratio_2^b = 0.7209</w:t>
      </w:r>
    </w:p>
    <w:bookmarkEnd w:id="191"/>
    <w:bookmarkStart w:id="19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3" name="Picture"/>
            <a:graphic>
              <a:graphicData uri="http://schemas.openxmlformats.org/drawingml/2006/picture">
                <pic:pic>
                  <pic:nvPicPr>
                    <pic:cNvPr descr="D:/Claude_Code/brain/collegium/candidates/dissertations/INTL_GOVERNANCE_02/research_papers/p2/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5"/>
    <w:bookmarkStart w:id="19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https://amostech.space/year/2008/angles-and-range-initial-orbital-determination-with-the-air-force-space-surveillance-telescope/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https://amostech.space/year/2017/generalized-minimum-time-follow-up-approaches-applied-to-tasking-electro-optical-sensor-tasking/</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10.64861/XAZU7498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https://amostech.space/year/2014/information-theoretic-criteria-for-observation-to-observation-association/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10.64861/FISF4828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10.64861/ITTQ1262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10.64861/FFYG1923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10.64861/FNTR8656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https://amostech.space/year/2013/sensitivity-of-attitude-determination-on-the-model-assumed-for-isar-radar-mappings/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10.1016/j.actaastro.2025.09.088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10.1016/j.actaastro.2025.06.012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10.1016/j.actaastro.2025.03.004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10.1016/j.actaastro.2022.08.053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Common-Pool Resources Approach to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bl>
    <w:bookmarkEnd w:id="196"/>
    <w:bookmarkStart w:id="19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7"/>
    <w:bookmarkEnd w:id="198"/>
    <w:bookmarkEnd w:id="19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4" Type="http://schemas.openxmlformats.org/officeDocument/2006/relationships/image" Target="media/rId184.png"/><Relationship Id="rId192" Type="http://schemas.openxmlformats.org/officeDocument/2006/relationships/image" Target="media/rId192.png"/><Relationship Id="rId180" Type="http://schemas.openxmlformats.org/officeDocument/2006/relationships/hyperlink" Target="https://doi.org/10.1016/j.actaastro.2022.08.053" TargetMode="External"/><Relationship Id="rId166" Type="http://schemas.openxmlformats.org/officeDocument/2006/relationships/hyperlink" Target="https://doi.org/10.1016/j.actaastro.2024.10.049" TargetMode="External"/><Relationship Id="rId168" Type="http://schemas.openxmlformats.org/officeDocument/2006/relationships/hyperlink" Target="https://doi.org/10.1016/j.actaastro.2025.02.010" TargetMode="External"/><Relationship Id="rId176" Type="http://schemas.openxmlformats.org/officeDocument/2006/relationships/hyperlink" Target="https://doi.org/10.1016/j.actaastro.2025.03.004" TargetMode="External"/><Relationship Id="rId178" Type="http://schemas.openxmlformats.org/officeDocument/2006/relationships/hyperlink" Target="https://doi.org/10.1016/j.actaastro.2025.04.041" TargetMode="External"/><Relationship Id="rId172" Type="http://schemas.openxmlformats.org/officeDocument/2006/relationships/hyperlink" Target="https://doi.org/10.1016/j.actaastro.2025.06.012" TargetMode="External"/><Relationship Id="rId174" Type="http://schemas.openxmlformats.org/officeDocument/2006/relationships/hyperlink" Target="https://doi.org/10.1016/j.actaastro.2025.09.070" TargetMode="External"/><Relationship Id="rId170" Type="http://schemas.openxmlformats.org/officeDocument/2006/relationships/hyperlink" Target="https://doi.org/10.1016/j.actaastro.2025.09.088" TargetMode="External"/><Relationship Id="rId160" Type="http://schemas.openxmlformats.org/officeDocument/2006/relationships/hyperlink" Target="https://doi.org/10.64861/FISF4828" TargetMode="External"/><Relationship Id="rId164" Type="http://schemas.openxmlformats.org/officeDocument/2006/relationships/hyperlink" Target="https://doi.org/10.64861/ITTQ1262" TargetMode="External"/><Relationship Id="rId162" Type="http://schemas.openxmlformats.org/officeDocument/2006/relationships/hyperlink" Target="https://doi.org/10.64861/VSAT2607" TargetMode="External"/><Relationship Id="rId157" Type="http://schemas.openxmlformats.org/officeDocument/2006/relationships/hyperlink" Target="https://doi.org/10.64861/XAZU7498" TargetMode="External"/></Relationships>
</file>

<file path=word/_rels/footnotes.xml.rels><?xml version='1.0' encoding='UTF-8' standalone='yes'?>
<Relationships xmlns="http://schemas.openxmlformats.org/package/2006/relationships"><Relationship Id="rId180" Type="http://schemas.openxmlformats.org/officeDocument/2006/relationships/hyperlink" Target="https://doi.org/10.1016/j.actaastro.2022.08.053" TargetMode="External"/><Relationship Id="rId166" Type="http://schemas.openxmlformats.org/officeDocument/2006/relationships/hyperlink" Target="https://doi.org/10.1016/j.actaastro.2024.10.049" TargetMode="External"/><Relationship Id="rId168" Type="http://schemas.openxmlformats.org/officeDocument/2006/relationships/hyperlink" Target="https://doi.org/10.1016/j.actaastro.2025.02.010" TargetMode="External"/><Relationship Id="rId176" Type="http://schemas.openxmlformats.org/officeDocument/2006/relationships/hyperlink" Target="https://doi.org/10.1016/j.actaastro.2025.03.004" TargetMode="External"/><Relationship Id="rId178" Type="http://schemas.openxmlformats.org/officeDocument/2006/relationships/hyperlink" Target="https://doi.org/10.1016/j.actaastro.2025.04.041" TargetMode="External"/><Relationship Id="rId172" Type="http://schemas.openxmlformats.org/officeDocument/2006/relationships/hyperlink" Target="https://doi.org/10.1016/j.actaastro.2025.06.012" TargetMode="External"/><Relationship Id="rId174" Type="http://schemas.openxmlformats.org/officeDocument/2006/relationships/hyperlink" Target="https://doi.org/10.1016/j.actaastro.2025.09.070" TargetMode="External"/><Relationship Id="rId170" Type="http://schemas.openxmlformats.org/officeDocument/2006/relationships/hyperlink" Target="https://doi.org/10.1016/j.actaastro.2025.09.088" TargetMode="External"/><Relationship Id="rId160" Type="http://schemas.openxmlformats.org/officeDocument/2006/relationships/hyperlink" Target="https://doi.org/10.64861/FISF4828" TargetMode="External"/><Relationship Id="rId164" Type="http://schemas.openxmlformats.org/officeDocument/2006/relationships/hyperlink" Target="https://doi.org/10.64861/ITTQ1262" TargetMode="External"/><Relationship Id="rId162" Type="http://schemas.openxmlformats.org/officeDocument/2006/relationships/hyperlink" Target="https://doi.org/10.64861/VSAT2607" TargetMode="External"/><Relationship Id="rId157" Type="http://schemas.openxmlformats.org/officeDocument/2006/relationships/hyperlink" Target="https://doi.org/10.64861/XAZU7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Orders or One? Mapping the Overlap and Divergence Between Artemis Accords an</dc:title>
  <dc:creator>Sofia Aziz (1B-IGV-206)</dc:creator>
  <cp:keywords/>
  <dcterms:created xsi:type="dcterms:W3CDTF">2026-07-04T11:09:56Z</dcterms:created>
  <dcterms:modified xsi:type="dcterms:W3CDTF">2026-07-04T11:09:56Z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