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ORDER-BUILDING BY ACCESSION: DOES ARTEMIS ACCORDS SIGNING REALIGN A STATE'S BROA</w:t>
      </w:r>
    </w:p>
    <w:p>
      <w:pPr>
        <w:jc w:val="center"/>
      </w:pPr>
    </w:p>
    <w:p>
      <w:pPr>
        <w:jc w:val="center"/>
      </w:pPr>
      <w:r>
        <w:rPr>
          <w:rFonts w:ascii="Times New Roman" w:hAnsi="Times New Roman"/>
          <w:sz w:val="24"/>
        </w:rPr>
        <w:t>by</w:t>
      </w:r>
    </w:p>
    <w:p>
      <w:pPr>
        <w:jc w:val="center"/>
      </w:pPr>
      <w:r>
        <w:rPr>
          <w:rFonts w:ascii="Times New Roman" w:hAnsi="Times New Roman"/>
          <w:b/>
          <w:sz w:val="28"/>
        </w:rPr>
        <w:t>Theodore Yoon</w:t>
      </w:r>
    </w:p>
    <w:p>
      <w:pPr>
        <w:jc w:val="center"/>
      </w:pPr>
      <w:r>
        <w:rPr>
          <w:rFonts w:ascii="Times New Roman" w:hAnsi="Times New Roman"/>
          <w:sz w:val="24"/>
        </w:rPr>
        <w:t>1B-IGV-148</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bookmarkStart w:id="61" w:name="the-puzzle-of-accession"/>
    <w:p>
      <w:pPr>
        <w:pStyle w:val="Heading2"/>
        <w:spacing w:line="480" w:lineRule="auto"/>
      </w:pPr>
      <w:r>
        <w:t xml:space="preserve">The puzzle of accession</w:t>
      </w:r>
    </w:p>
    <w:p>
      <w:pPr>
        <w:pStyle w:val="FirstParagraph"/>
        <w:spacing w:line="480" w:lineRule="auto"/>
      </w:pPr>
      <w:r>
        <w:t xml:space="preserve">A state signs a document, a minister speaks, cameras record the moment, and a name joins a public list that a space agency maintains. Nothing about that ceremony obviously touches how the same state will vote on a development resolution in New York eight months later, and yet the question this dissertation asks is exactly whether the two are linked, and whether any linkage is strong enough to survive a demanding statistical test rather than a suggestive anecdote.</w:t>
      </w:r>
    </w:p>
    <w:p>
      <w:pPr>
        <w:pStyle w:val="BodyText"/>
        <w:spacing w:line="480" w:lineRule="auto"/>
        <w:ind w:firstLine="720"/>
      </w:pPr>
      <w:r>
        <w:t xml:space="preserve">At the center of the study sit the Artemis Accords, which lay out principles for civil exploration of the Moon, Mars, comets, and asteroids: peaceful purposes, transparency, interoperability, emergency assistance, registration of objects, public release of scientific data, and deconfliction of activities</w:t>
      </w:r>
      <w:r>
        <w:t xml:space="preserve"> </w:t>
      </w:r>
      <w:hyperlink w:anchor="ref-6">
        <w:r>
          <w:rPr>
            <w:rStyle w:val="Hyperlink"/>
          </w:rPr>
          <w:t xml:space="preserve">[6]</w:t>
        </w:r>
      </w:hyperlink>
      <w:r>
        <w:t xml:space="preserve">. On their face these read as technical commitments about how spacefaring states behave in a shared operating environment. Read a second way, they are also an act of coalition formation, since signing places a state inside a partnership that the United States convened and continues to lead</w:t>
      </w:r>
      <w:r>
        <w:t xml:space="preserve"> </w:t>
      </w:r>
      <w:hyperlink w:anchor="ref-7">
        <w:r>
          <w:rPr>
            <w:rStyle w:val="Hyperlink"/>
          </w:rPr>
          <w:t xml:space="preserve">[7]</w:t>
        </w:r>
      </w:hyperlink>
      <w:r>
        <w:t xml:space="preserve">. That double character, technical on one face and diplomatic on the other, is what makes accession an interesting object for governance research.</w:t>
      </w:r>
    </w:p>
    <w:p>
      <w:pPr>
        <w:pStyle w:val="BodyText"/>
        <w:spacing w:line="480" w:lineRule="auto"/>
        <w:ind w:firstLine="720"/>
      </w:pPr>
      <w:r>
        <w:t xml:space="preserve">I treat the accession event as a measurable thing, and the record cooperates. NASA publishes a signatory-date file that captures who signed and when, and that file grew to sixty-eight signatories through Botswana on June 25, 2026</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date is precise. The motive is recorded nowhere in it. A country may sign because it wants a place in lunar science missions, because it wants access to launch and payload opportunities, because a domestic political shift favors alignment with Washington, or because it was already drifting toward the United States on the broad questions that dominate multilateral diplomacy. From the signature alone, none of these stories can be told apart from the others.</w:t>
      </w:r>
    </w:p>
    <w:bookmarkEnd w:id="61"/>
    <w:bookmarkStart w:id="62" w:name="why-the-question-matters"/>
    <w:p>
      <w:pPr>
        <w:pStyle w:val="Heading2"/>
        <w:spacing w:line="480" w:lineRule="auto"/>
      </w:pPr>
      <w:r>
        <w:t xml:space="preserve">Why the question matters</w:t>
      </w:r>
    </w:p>
    <w:p>
      <w:pPr>
        <w:pStyle w:val="FirstParagraph"/>
        <w:spacing w:line="480" w:lineRule="auto"/>
      </w:pPr>
      <w:r>
        <w:t xml:space="preserve">Space governance has changed shape over the past two decades. For a long stretch the field organized itself around a small number of treaties negotiated between governments, with the 1967 Outer Space Treaty as its constitutional core</w:t>
      </w:r>
      <w:r>
        <w:t xml:space="preserve"> </w:t>
      </w:r>
      <w:hyperlink w:anchor="ref-20">
        <w:r>
          <w:rPr>
            <w:rStyle w:val="Hyperlink"/>
          </w:rPr>
          <w:t xml:space="preserve">[20]</w:t>
        </w:r>
      </w:hyperlink>
      <w:r>
        <w:t xml:space="preserve">. What has replaced that arrangement is more crowded and more distributed, with commercial launch providers, satellite operators, and private mission planners now seated alongside national agencies, and with safety practices such as space situational awareness depending on information that flows across many hands rather than through one office</w:t>
      </w:r>
      <w:r>
        <w:t xml:space="preserve"> </w:t>
      </w:r>
      <w:hyperlink w:anchor="ref-9">
        <w:r>
          <w:rPr>
            <w:rStyle w:val="Hyperlink"/>
          </w:rPr>
          <w:t xml:space="preserve">[9]</w:t>
        </w:r>
      </w:hyperlink>
      <w:r>
        <w:t xml:space="preserve">. Scholars describe the shift as a move from legacy space toward a new-space model in which public agencies, private firms, and hybrid partnerships share the governance burden</w:t>
      </w:r>
      <w:r>
        <w:t xml:space="preserve"> </w:t>
      </w:r>
      <w:hyperlink w:anchor="ref-14">
        <w:r>
          <w:rPr>
            <w:rStyle w:val="Hyperlink"/>
          </w:rPr>
          <w:t xml:space="preserve">[14]</w:t>
        </w:r>
      </w:hyperlink>
      <w:r>
        <w:t xml:space="preserve">. Coalition instruments like the Accords are one institutional response to that crowding.</w:t>
      </w:r>
    </w:p>
    <w:p>
      <w:pPr>
        <w:pStyle w:val="BodyText"/>
        <w:spacing w:line="480" w:lineRule="auto"/>
        <w:ind w:firstLine="720"/>
      </w:pPr>
      <w:r>
        <w:t xml:space="preserve">If accession is nothing more than sectoral cooperation, it belongs in the same analytic box as a launch-services agreement or a data-sharing arrangement. If it instead signals broader diplomatic positioning, it deserves to be read as part of how states arrange themselves in the wider international order. These are different claims. They carry different stakes, and getting the answer wrong in either direction has costs. Overreading the Accords would treat a lunar cooperation framework as a proxy for whole-of-government alignment, flattering the instrument beyond what the evidence supports; underreading it would miss a visible marker of coalition membership at a moment when great-power competition is spilling into orbit and cislunar space.</w:t>
      </w:r>
    </w:p>
    <w:p>
      <w:pPr>
        <w:pStyle w:val="BodyText"/>
        <w:spacing w:line="480" w:lineRule="auto"/>
        <w:ind w:firstLine="720"/>
      </w:pPr>
      <w:r>
        <w:t xml:space="preserve">Policy commentary already behaves as though the question is settled, routinely describing the Accords as a values-based coalition that draws states into an American-led order and away from a rival arrangement. The framing is intuitive, and it is also untested against the kind of panel data that could confirm or deny it. That missing test is what this dissertation supplies.</w:t>
      </w:r>
    </w:p>
    <w:bookmarkEnd w:id="62"/>
    <w:bookmarkStart w:id="63" w:name="the-single-falsifiable-contribution"/>
    <w:p>
      <w:pPr>
        <w:pStyle w:val="Heading2"/>
        <w:spacing w:line="480" w:lineRule="auto"/>
      </w:pPr>
      <w:r>
        <w:t xml:space="preserve">The single falsifiable contribution</w:t>
      </w:r>
    </w:p>
    <w:p>
      <w:pPr>
        <w:pStyle w:val="FirstParagraph"/>
        <w:spacing w:line="480" w:lineRule="auto"/>
      </w:pPr>
      <w:r>
        <w:t xml:space="preserve">The contribution is narrow by design, and its narrowness is a feature rather than an apology. I test whether Artemis Accords signature is followed by measurable movement toward the United States in a state’s annual United Nations General Assembly voting position, relative to the state’s own history and to global conditions in each year.</w:t>
      </w:r>
    </w:p>
    <w:p>
      <w:pPr>
        <w:pStyle w:val="BodyText"/>
        <w:spacing w:line="480" w:lineRule="auto"/>
        <w:ind w:firstLine="720"/>
      </w:pPr>
      <w:r>
        <w:t xml:space="preserve">The outcome is neither a diplomatic statement nor a coded label of alignment. It is a proximity score built from the Harvard Dataverse ideal-point estimates of UN voting, which fold thousands of recorded final-passage votes into an annual estimate of each country’s revealed preferences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score I work with is the negative absolute distance between a state’s annual ideal point and the United States annual ideal point, so that higher values place the state closer to Washington in that voting year</w:t>
      </w:r>
      <w:r>
        <w:t xml:space="preserve"> </w:t>
      </w:r>
      <w:hyperlink w:anchor="ref-3">
        <w:r>
          <w:rPr>
            <w:rStyle w:val="Hyperlink"/>
          </w:rPr>
          <w:t xml:space="preserve">[3]</w:t>
        </w:r>
      </w:hyperlink>
      <w:r>
        <w:t xml:space="preserve">. The measure has a published lineage. It rebuilds from a downloadable file, and it spares me the need to invent a scale of my own.</w:t>
      </w:r>
    </w:p>
    <w:p>
      <w:pPr>
        <w:pStyle w:val="BodyText"/>
        <w:spacing w:line="480" w:lineRule="auto"/>
        <w:ind w:firstLine="720"/>
      </w:pPr>
      <w:r>
        <w:t xml:space="preserve">The null hypothesis holds that accession has no association with subsequent voting proximity once I remove each country’s stable orientation and each year’s common shocks, and the alternative holds that accession is followed by movement toward the United States. What makes the test falsifiable is that the coefficient on accession can come back at zero, or negative, and I have committed in advance to reporting whatever the data return. A study that could only confirm its own thesis would not be worth running. That commitment is why the null gets a fair chance, why the specification is fixed before the data are examined, and why the companion selection model runs alongside the outcome model rather than as an afterthought, so that a disappointing coefficient cannot be quietly rationalized away. Whatever the estimator returns gets reported. No exceptions.</w:t>
      </w:r>
    </w:p>
    <w:p>
      <w:pPr>
        <w:pStyle w:val="BodyText"/>
        <w:spacing w:line="480" w:lineRule="auto"/>
        <w:ind w:firstLine="720"/>
      </w:pPr>
      <w:r>
        <w:t xml:space="preserve">Two empirical papers form the spine of the argument. The first estimates the outcome relationship directly through a two-way fixed-effect residualization, which strips country averages and year averages out before the accession coefficient is estimated</w:t>
      </w:r>
      <w:r>
        <w:t xml:space="preserve"> </w:t>
      </w:r>
      <w:hyperlink w:anchor="ref-3">
        <w:r>
          <w:rPr>
            <w:rStyle w:val="Hyperlink"/>
          </w:rPr>
          <w:t xml:space="preserve">[3]</w:t>
        </w:r>
      </w:hyperlink>
      <w:r>
        <w:t xml:space="preserve">. The second turns to the prior question of who signs, fitting an event-history model of accession timing to test whether states already close to the United States were the likelier signers in the first place</w:t>
      </w:r>
      <w:r>
        <w:t xml:space="preserve"> </w:t>
      </w:r>
      <w:hyperlink w:anchor="ref-4">
        <w:r>
          <w:rPr>
            <w:rStyle w:val="Hyperlink"/>
          </w:rPr>
          <w:t xml:space="preserve">[4]</w:t>
        </w:r>
      </w:hyperlink>
      <w:r>
        <w:t xml:space="preserve">. Reading the two side by side is the whole point, because an outcome estimate means one thing if signing is effectively random and something very different if signing is driven by prior alignment.</w:t>
      </w:r>
    </w:p>
    <w:bookmarkEnd w:id="63"/>
    <w:bookmarkStart w:id="64" w:name="what-this-study-does-not-claim"/>
    <w:p>
      <w:pPr>
        <w:pStyle w:val="Heading2"/>
        <w:spacing w:line="480" w:lineRule="auto"/>
      </w:pPr>
      <w:r>
        <w:t xml:space="preserve">What this study does not claim</w:t>
      </w:r>
    </w:p>
    <w:p>
      <w:pPr>
        <w:pStyle w:val="FirstParagraph"/>
        <w:spacing w:line="480" w:lineRule="auto"/>
      </w:pPr>
      <w:r>
        <w:t xml:space="preserve">Honesty about scope is itself part of the contribution. The design cannot prove that the Accords caused any movement it turns up. Accession is a public, deliberate, diplomatic act, and states choose it for reasons a voting-distance model has no way to observe. A country may sign in the wake of a security bargain, after a change of government, or at the end of years of quiet convergence that the ideal-point series would already have registered. The two-way fixed-effect specification sharpens the comparison without manufacturing random assignment.</w:t>
      </w:r>
    </w:p>
    <w:p>
      <w:pPr>
        <w:pStyle w:val="BodyText"/>
        <w:spacing w:line="480" w:lineRule="auto"/>
        <w:ind w:firstLine="720"/>
      </w:pPr>
      <w:r>
        <w:t xml:space="preserve">The outcome measure also fails to see everything that matters. UN voting proximity stays silent on classified security understandings, on procurement cooperation, on bilateral scientific work, and on the technical readiness that actually makes a state a useful lunar partner. A weak or null outcome estimate would therefore not brand the Accords hollow. It would say that the broad diplomatic trace does not surface in this particular measure, which is a real finding and a bounded one.</w:t>
      </w:r>
    </w:p>
    <w:p>
      <w:pPr>
        <w:pStyle w:val="BodyText"/>
        <w:spacing w:line="480" w:lineRule="auto"/>
        <w:ind w:firstLine="720"/>
      </w:pPr>
      <w:r>
        <w:t xml:space="preserve">The inference stays confined to the country-year setting I specify, the observation window the data cover, and the affinity measure I construct. I lay those boundaries out plainly here, because a dissertation that hides its limits behind confident prose is worse than one that names them and reasons within them.</w:t>
      </w:r>
    </w:p>
    <w:bookmarkEnd w:id="64"/>
    <w:bookmarkStart w:id="65" w:name="the-order-building-lens"/>
    <w:p>
      <w:pPr>
        <w:pStyle w:val="Heading2"/>
        <w:spacing w:line="480" w:lineRule="auto"/>
      </w:pPr>
      <w:r>
        <w:t xml:space="preserve">The order-building lens</w:t>
      </w:r>
    </w:p>
    <w:p>
      <w:pPr>
        <w:pStyle w:val="FirstParagraph"/>
        <w:spacing w:line="480" w:lineRule="auto"/>
      </w:pPr>
      <w:r>
        <w:t xml:space="preserve">A single organizing idea frames the study: order-building by accession. The phrase captures the possibility that joining an institution is not only a policy choice but a positioning move, a way for a state to signal where it stands as coalitions form around competing centers of gravity. The space-governance literature gives the idea substance. Trust and decentralized information sharing count as enablers of space security, so who shares with whom becomes itself a marker of alignment</w:t>
      </w:r>
      <w:r>
        <w:t xml:space="preserve"> </w:t>
      </w:r>
      <w:hyperlink w:anchor="ref-9">
        <w:r>
          <w:rPr>
            <w:rStyle w:val="Hyperlink"/>
          </w:rPr>
          <w:t xml:space="preserve">[9]</w:t>
        </w:r>
      </w:hyperlink>
      <w:r>
        <w:t xml:space="preserve">. National space policies increasingly braid civil, commercial, and defense concerns together, so a decision in the space sector can carry weight beyond it</w:t>
      </w:r>
      <w:r>
        <w:t xml:space="preserve"> </w:t>
      </w:r>
      <w:hyperlink w:anchor="ref-11">
        <w:r>
          <w:rPr>
            <w:rStyle w:val="Hyperlink"/>
          </w:rPr>
          <w:t xml:space="preserve">[11]</w:t>
        </w:r>
      </w:hyperlink>
      <w:r>
        <w:t xml:space="preserve">. Sustainability debates tie commercialization to governance constraints, placing space choices inside larger political bargains</w:t>
      </w:r>
      <w:r>
        <w:t xml:space="preserve"> </w:t>
      </w:r>
      <w:hyperlink w:anchor="ref-13">
        <w:r>
          <w:rPr>
            <w:rStyle w:val="Hyperlink"/>
          </w:rPr>
          <w:t xml:space="preserve">[13]</w:t>
        </w:r>
      </w:hyperlink>
      <w:r>
        <w:t xml:space="preserve">.</w:t>
      </w:r>
    </w:p>
    <w:p>
      <w:pPr>
        <w:pStyle w:val="BodyText"/>
        <w:spacing w:line="480" w:lineRule="auto"/>
        <w:ind w:firstLine="720"/>
      </w:pPr>
      <w:r>
        <w:t xml:space="preserve">Read through this frame, those observations become a hypothesis rather than a mood. If accession carries cross-domain content, some trace of it should surface in the broad multilateral behavior that UN voting captures; if accession is bounded to the space sector, that trace should be absent or faint. The frame settles nothing on its own. What it does is tell us where to look and what a positive or negative result would mean.</w:t>
      </w:r>
    </w:p>
    <w:bookmarkEnd w:id="65"/>
    <w:bookmarkStart w:id="66" w:name="roadmap"/>
    <w:p>
      <w:pPr>
        <w:pStyle w:val="Heading2"/>
        <w:spacing w:line="480" w:lineRule="auto"/>
      </w:pPr>
      <w:r>
        <w:t xml:space="preserve">Roadmap</w:t>
      </w:r>
    </w:p>
    <w:p>
      <w:pPr>
        <w:pStyle w:val="FirstParagraph"/>
        <w:spacing w:line="480" w:lineRule="auto"/>
      </w:pPr>
      <w:r>
        <w:t xml:space="preserve">The remaining chapters build the argument in order. Chapter 2 situates the study against two literatures that have not been joined: the space-governance scholarship on trust, safety, sustainability, and institutional change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4">
        <w:r>
          <w:rPr>
            <w:rStyle w:val="Hyperlink"/>
          </w:rPr>
          <w:t xml:space="preserve">[14]</w:t>
        </w:r>
      </w:hyperlink>
      <w:r>
        <w:t xml:space="preserve">, and the quantitative tradition that reads UN voting as a window on state preferences</w:t>
      </w:r>
      <w:r>
        <w:t xml:space="preserve"> </w:t>
      </w:r>
      <w:hyperlink w:anchor="ref-4">
        <w:r>
          <w:rPr>
            <w:rStyle w:val="Hyperlink"/>
          </w:rPr>
          <w:t xml:space="preserve">[4]</w:t>
        </w:r>
      </w:hyperlink>
      <w:r>
        <w:t xml:space="preserve"> </w:t>
      </w:r>
      <w:hyperlink w:anchor="ref-5">
        <w:r>
          <w:rPr>
            <w:rStyle w:val="Hyperlink"/>
          </w:rPr>
          <w:t xml:space="preserve">[5]</w:t>
        </w:r>
      </w:hyperlink>
      <w:r>
        <w:t xml:space="preserve">. Chapter 3 develops the theory of order-building by accession and derives the testable predictions that the two papers evaluate. Chapter 4 explains the estimators, the two-way fixed-effect residualization for the outcome and the discrete-time logit for accession timing, and argues for why each identifies what it claims to identify.</w:t>
      </w:r>
    </w:p>
    <w:p>
      <w:pPr>
        <w:pStyle w:val="BodyText"/>
        <w:spacing w:line="480" w:lineRule="auto"/>
        <w:ind w:firstLine="720"/>
      </w:pPr>
      <w:r>
        <w:t xml:space="preserve">Chapter 5 documents the data: the NASA signatory-date record, the Harvard Dataverse ideal-point release, the construction of the proximity outcome, and the sample sizes that result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Chapter 6 reports the results of both papers exactly as the estimators return them and interprets the signs and magnitudes without inflating them. Chapter 7 discusses what the findings mean, catalogs the threats to validity, and marks the questions the data cannot answer. Chapter 8 draws the conclusions, states the contribution to international-governance research and to space-program strategy, and lays out the future work that would sharpen the design.</w:t>
      </w:r>
    </w:p>
    <w:bookmarkEnd w:id="66"/>
    <w:bookmarkStart w:id="67" w:name="why-a-quantitative-test-and-why-this-one"/>
    <w:p>
      <w:pPr>
        <w:pStyle w:val="Heading2"/>
        <w:spacing w:line="480" w:lineRule="auto"/>
      </w:pPr>
      <w:r>
        <w:t xml:space="preserve">Why a quantitative test, and why this one</w:t>
      </w:r>
    </w:p>
    <w:p>
      <w:pPr>
        <w:pStyle w:val="FirstParagraph"/>
        <w:spacing w:line="480" w:lineRule="auto"/>
      </w:pPr>
      <w:r>
        <w:t xml:space="preserve">A reader might ask why the question needs statistics at all. Could a case study of a few signatories not settle it? Cases have their value, but they cannot answer this particular question, because what is at issue is a general tendency across many states rather than the story of any one of them. If the claim is that accession tends to move states toward the United States, the test has to look across the whole population of signatories and non-signatories and ask whether, on average and net of confounds, movement follows signing. That is work for a panel design, not a narrative.</w:t>
      </w:r>
    </w:p>
    <w:p>
      <w:pPr>
        <w:pStyle w:val="BodyText"/>
        <w:spacing w:line="480" w:lineRule="auto"/>
        <w:ind w:firstLine="720"/>
      </w:pPr>
      <w:r>
        <w:t xml:space="preserve">Which panel design matters as much as the choice of a panel at all. A cross-sectional comparison of signatories against non-signatories in a single year would be worse than useless here. It confuses selection with effect. Signatories differ from non-signatories in wealth, capability, alliance ties, and history, and any of those differences could produce a voting gap that has nothing to do with the Accords. The within-country design I adopt sidesteps the trap by comparing each state to its own history, and the year controls sweep out global shocks that hit everyone at once</w:t>
      </w:r>
      <w:r>
        <w:t xml:space="preserve"> </w:t>
      </w:r>
      <w:hyperlink w:anchor="ref-3">
        <w:r>
          <w:rPr>
            <w:rStyle w:val="Hyperlink"/>
          </w:rPr>
          <w:t xml:space="preserve">[3]</w:t>
        </w:r>
      </w:hyperlink>
      <w:r>
        <w:t xml:space="preserve">. What survives is a comparison that isolates the change associated with accession rather than the standing differences between joiners and non-joiners.</w:t>
      </w:r>
    </w:p>
    <w:p>
      <w:pPr>
        <w:pStyle w:val="BodyText"/>
        <w:spacing w:line="480" w:lineRule="auto"/>
        <w:ind w:firstLine="720"/>
      </w:pPr>
      <w:r>
        <w:t xml:space="preserve">A further reason recommends the quantitative route. The claim in circulation is causal in flavor, holding that the Accords pull states into an order, and causal-flavored claims deserve confrontation with the tools built to interrogate them, even where those tools cannot wring a clean causal verdict from observational data. Stating a null and an alternative in advance, committing to a fixed-effects specification, and adding a companion model of who signs together make the design’s own limits legible and its conclusions checkable.</w:t>
      </w:r>
    </w:p>
    <w:p>
      <w:pPr>
        <w:pStyle w:val="BodyText"/>
        <w:spacing w:line="480" w:lineRule="auto"/>
        <w:ind w:firstLine="720"/>
      </w:pPr>
      <w:r>
        <w:t xml:space="preserve">The payoff is checkability. A reader can rebuild the panel and recover the coefficients, a standard no narrative can meet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End w:id="67"/>
    <w:bookmarkStart w:id="68" w:name="Xece9b04be1989bc628082e52fe0a0443a29ad9b"/>
    <w:p>
      <w:pPr>
        <w:pStyle w:val="Heading2"/>
        <w:spacing w:line="480" w:lineRule="auto"/>
      </w:pPr>
      <w:r>
        <w:t xml:space="preserve">Situating the study in a competitive moment</w:t>
      </w:r>
    </w:p>
    <w:p>
      <w:pPr>
        <w:pStyle w:val="FirstParagraph"/>
        <w:spacing w:line="480" w:lineRule="auto"/>
      </w:pPr>
      <w:r>
        <w:t xml:space="preserve">The timing of this question is not incidental. Space has become an arena of great-power competition, and coalition instruments are among the ways that competition is being institutionalized. Discussion of the Accords often casts them as one pole of a bifurcating order, with an alternative lunar cooperation arrangement forming around other powers. Within that story every signature reads as a move on a board, and the coalition’s growth stands in as evidence of shifting alignment. Compelling and largely untested at once, the story sits in exactly the condition under which careful measurement earns its keep.</w:t>
      </w:r>
    </w:p>
    <w:p>
      <w:pPr>
        <w:pStyle w:val="BodyText"/>
        <w:spacing w:line="480" w:lineRule="auto"/>
        <w:ind w:firstLine="720"/>
      </w:pPr>
      <w:r>
        <w:t xml:space="preserve">Were the framing correct, the data should show it, with states joining the coalition drifting toward its convenor in the behavior that best summarizes their multilateral preferences</w:t>
      </w:r>
      <w:r>
        <w:t xml:space="preserve"> </w:t>
      </w:r>
      <w:hyperlink w:anchor="ref-4">
        <w:r>
          <w:rPr>
            <w:rStyle w:val="Hyperlink"/>
          </w:rPr>
          <w:t xml:space="preserve">[4]</w:t>
        </w:r>
      </w:hyperlink>
      <w:r>
        <w:t xml:space="preserve">. Should the data stay quiet, the competitive narrative needs revision, not because coalitions fail to matter, but because their significance may rest in coordination and signaling rather than in converting the diplomatic orientation of their members. Either way, the study drops a fact into a debate that has run mostly on assertion. That is the modest ambition of what follows, to set one clean, falsifiable fact on the table and to reason honestly about what it does and does not imply.</w:t>
      </w:r>
    </w:p>
    <w:bookmarkEnd w:id="68"/>
    <w:bookmarkStart w:id="69" w:name="stakes-for-space-program-strategy"/>
    <w:p>
      <w:pPr>
        <w:pStyle w:val="Heading2"/>
        <w:spacing w:line="480" w:lineRule="auto"/>
      </w:pPr>
      <w:r>
        <w:t xml:space="preserve">Stakes for space-program strategy</w:t>
      </w:r>
    </w:p>
    <w:p>
      <w:pPr>
        <w:pStyle w:val="FirstParagraph"/>
        <w:spacing w:line="480" w:lineRule="auto"/>
      </w:pPr>
      <w:r>
        <w:t xml:space="preserve">Beyond the scholarly question, the answer bears on how spacefaring institutions plan and justify their coalitions. Agencies and their government sponsors pour real resources into coalition-building, in diplomatic effort, mission access, and the political capital spent recruiting signatories</w:t>
      </w:r>
      <w:r>
        <w:t xml:space="preserve"> </w:t>
      </w:r>
      <w:hyperlink w:anchor="ref-7">
        <w:r>
          <w:rPr>
            <w:rStyle w:val="Hyperlink"/>
          </w:rPr>
          <w:t xml:space="preserve">[7]</w:t>
        </w:r>
      </w:hyperlink>
      <w:r>
        <w:t xml:space="preserve">. An implicit theory usually justifies those investments, holding that adding members strengthens an order and draws states toward the convening power. Should that theory be wrong, or hold only for states already aligned, then the strategic case for the coalition rests on the wrong foundation and calls for rebuilding on firmer ground.</w:t>
      </w:r>
    </w:p>
    <w:p>
      <w:pPr>
        <w:pStyle w:val="BodyText"/>
        <w:spacing w:line="480" w:lineRule="auto"/>
        <w:ind w:firstLine="720"/>
      </w:pPr>
      <w:r>
        <w:t xml:space="preserve">Getting this right carries budgetary and diplomatic consequences. Value a coalition for recruiting the unaligned, and the yardstick becomes how many previously distant states it brings closer. Value it instead for coordinating the already-aligned, and the yardstick shifts to operational depth: interoperability, shared safety practices, and reliable deconfliction among partners who share a starting position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Those are different success metrics. Choosing between them requires knowing whether accession moves states or merely marks them. That knowledge is exactly what the dissertation supplies, which is why the question belongs to program strategy and not only to academic curiosity.</w:t>
      </w:r>
    </w:p>
    <w:p>
      <w:pPr>
        <w:pStyle w:val="BodyText"/>
        <w:spacing w:line="480" w:lineRule="auto"/>
        <w:ind w:firstLine="720"/>
      </w:pPr>
      <w:r>
        <w:t xml:space="preserve">A sustainability dimension runs alongside this. The Accords sit next to established obligations on registration, rescue, and long-term sustainable operations, and their real contribution may lie in operationalizing those obligations rather than in shifting diplomatic alignment</w:t>
      </w:r>
      <w:r>
        <w:t xml:space="preserve"> </w:t>
      </w:r>
      <w:hyperlink w:anchor="ref-19">
        <w:r>
          <w:rPr>
            <w:rStyle w:val="Hyperlink"/>
          </w:rPr>
          <w:t xml:space="preserve">[19]</w:t>
        </w:r>
      </w:hyperlink>
      <w:r>
        <w:t xml:space="preserve"> </w:t>
      </w:r>
      <w:hyperlink w:anchor="ref-21">
        <w:r>
          <w:rPr>
            <w:rStyle w:val="Hyperlink"/>
          </w:rPr>
          <w:t xml:space="preserve">[21]</w:t>
        </w:r>
      </w:hyperlink>
      <w:r>
        <w:t xml:space="preserve"> </w:t>
      </w:r>
      <w:hyperlink w:anchor="ref-22">
        <w:r>
          <w:rPr>
            <w:rStyle w:val="Hyperlink"/>
          </w:rPr>
          <w:t xml:space="preserve">[22]</w:t>
        </w:r>
      </w:hyperlink>
      <w:r>
        <w:t xml:space="preserve">. Should the broad alignment story fail to hold, attention shifts naturally to where the instrument does earn its value, in the concrete governance of a crowded operating environment. Framing the coalition’s payoff correctly is the practical stake riding on the abstract question.</w:t>
      </w:r>
    </w:p>
    <w:bookmarkEnd w:id="69"/>
    <w:bookmarkStart w:id="70" w:name="the-through-line"/>
    <w:p>
      <w:pPr>
        <w:pStyle w:val="Heading2"/>
        <w:spacing w:line="480" w:lineRule="auto"/>
      </w:pPr>
      <w:r>
        <w:t xml:space="preserve">The through-line</w:t>
      </w:r>
    </w:p>
    <w:p>
      <w:pPr>
        <w:pStyle w:val="FirstParagraph"/>
        <w:spacing w:line="480" w:lineRule="auto"/>
      </w:pPr>
      <w:r>
        <w:t xml:space="preserve">The spine of the argument is simple to state and demanding to defend. A signature on a lunar cooperation instrument is an observable institutional act, and whether that act is also a marker of broader diplomatic alignment is an empirical question that this dissertation answers with real data, a conservative design, and a willingness to report a null. The chapters that follow build the case brick by brick, and they hold the final claim to no more than the evidence will carry.</w:t>
      </w:r>
    </w:p>
    <w:p>
      <w:pPr>
        <w:pStyle w:val="BodyText"/>
        <w:spacing w:line="480" w:lineRule="auto"/>
        <w:ind w:firstLine="720"/>
      </w:pPr>
      <w:r>
        <w:t xml:space="preserve">One last word on tone before the argument begins. A study like this one could easily have been written to flatter its subject, since the Accords are a prominent instrument carrying an appealing story. I have tried instead to write it to test that story, which means handing the null a fair chance to win and letting the selection result complicate the tidy narrative of recruitment. Should the reader finish with a clearer sense of what accession does and does not signal, and with a design they could rerun to check me, the dissertation will have done its job. The signature is real, the data are real, and the answer, whatever it turns out to be, is earned rather than assumed.</w:t>
      </w:r>
    </w:p>
    <w:p>
      <w:pPr>
        <w:pStyle w:val="BodyText"/>
        <w:spacing w:line="480" w:lineRule="auto"/>
        <w:ind w:firstLine="720"/>
      </w:pPr>
      <w:r>
        <w:t xml:space="preserve">The reader should also know what kind of object this dissertation is not. It is no legal analysis of the Accords, though it takes the legal baseline seriously</w:t>
      </w:r>
      <w:r>
        <w:t xml:space="preserve"> </w:t>
      </w:r>
      <w:hyperlink w:anchor="ref-6">
        <w:r>
          <w:rPr>
            <w:rStyle w:val="Hyperlink"/>
          </w:rPr>
          <w:t xml:space="preserve">[6]</w:t>
        </w:r>
      </w:hyperlink>
      <w:r>
        <w:t xml:space="preserve"> </w:t>
      </w:r>
      <w:hyperlink w:anchor="ref-20">
        <w:r>
          <w:rPr>
            <w:rStyle w:val="Hyperlink"/>
          </w:rPr>
          <w:t xml:space="preserve">[20]</w:t>
        </w:r>
      </w:hyperlink>
      <w:r>
        <w:t xml:space="preserve">. It is no technical study of lunar cooperation, though it respects the operational content of the principles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What it is instead is a quantitative test of one specific claim about diplomatic behavior, built at the intersection of two fields and held inside that frame. The narrowness is deliberate, because a single question answered cleanly is worth more than a broad question answered vaguely, and the space-governance debate suffers no shortage of the latter.</w:t>
      </w:r>
    </w:p>
    <w:bookmarkEnd w:id="70"/>
    <w:bookmarkEnd w:id="71"/>
    <w:bookmarkStart w:id="82" w:name="chapter-2.-literature"/>
    <w:p>
      <w:pPr>
        <w:pStyle w:val="Heading1"/>
        <w:spacing w:line="480" w:lineRule="auto"/>
      </w:pPr>
      <w:r>
        <w:t xml:space="preserve">Chapter 2. Literature</w:t>
      </w:r>
    </w:p>
    <w:bookmarkStart w:id="72" w:name="two-conversations-that-rarely-meet"/>
    <w:p>
      <w:pPr>
        <w:pStyle w:val="Heading2"/>
        <w:spacing w:line="480" w:lineRule="auto"/>
      </w:pPr>
      <w:r>
        <w:t xml:space="preserve">Two conversations that rarely meet</w:t>
      </w:r>
    </w:p>
    <w:p>
      <w:pPr>
        <w:pStyle w:val="FirstParagraph"/>
        <w:spacing w:line="480" w:lineRule="auto"/>
      </w:pPr>
      <w:r>
        <w:t xml:space="preserve">This dissertation sits between two bodies of work that mostly talk past each other. The first is the literature on space governance, which asks how spacefaring states and firms coordinate under conditions of shared risk. The second is the quantitative literature on foreign-policy alignment, which reads recorded voting behavior as a signal of state preferences. Each is mature in its own terms. Neither has tested whether joining a space-governance coalition leaves a mark on the broad diplomatic behavior the second literature measures. Building that bridge is the purpose of this chapter and, in a sense, of the whole study. The bridge is worth building because each side holds exactly what the other lacks: the space-governance literature supplies a rich account of why accession should matter with no means of measuring its diplomatic footprint, and the alignment literature supplies a precise measurement apparatus that has never been pointed at a space instrument</w:t>
      </w:r>
      <w:r>
        <w:t xml:space="preserve"> </w:t>
      </w:r>
      <w:hyperlink w:anchor="ref-4">
        <w:r>
          <w:rPr>
            <w:rStyle w:val="Hyperlink"/>
          </w:rPr>
          <w:t xml:space="preserve">[4]</w:t>
        </w:r>
      </w:hyperlink>
      <w:r>
        <w:t xml:space="preserve"> </w:t>
      </w:r>
      <w:hyperlink w:anchor="ref-14">
        <w:r>
          <w:rPr>
            <w:rStyle w:val="Hyperlink"/>
          </w:rPr>
          <w:t xml:space="preserve">[14]</w:t>
        </w:r>
      </w:hyperlink>
      <w:r>
        <w:t xml:space="preserve">. The fit is close. Neither side can run the test alone.</w:t>
      </w:r>
    </w:p>
    <w:p>
      <w:pPr>
        <w:pStyle w:val="BodyText"/>
        <w:spacing w:line="480" w:lineRule="auto"/>
        <w:ind w:firstLine="720"/>
      </w:pPr>
      <w:r>
        <w:t xml:space="preserve">I read the two literatures with different jobs in mind. The space-governance work tells me why accession is substantively important and what kind of act it is; the alignment work hands me the measurement logic and the outcome variable. The gap I identify is not that either literature is deficient. The join between them has simply never been made, so a plausible and consequential claim, that accession reveals or produces broader alignment, has never faced a falsifiable test.</w:t>
      </w:r>
    </w:p>
    <w:bookmarkEnd w:id="72"/>
    <w:bookmarkStart w:id="73" w:name="Xcdc6736edf40c14ec537d28b96c1510e8a680ae"/>
    <w:p>
      <w:pPr>
        <w:pStyle w:val="Heading2"/>
        <w:spacing w:line="480" w:lineRule="auto"/>
      </w:pPr>
      <w:r>
        <w:t xml:space="preserve">Space governance as an order-building problem</w:t>
      </w:r>
    </w:p>
    <w:p>
      <w:pPr>
        <w:pStyle w:val="FirstParagraph"/>
        <w:spacing w:line="480" w:lineRule="auto"/>
      </w:pPr>
      <w:r>
        <w:t xml:space="preserve">The first strand treats governance in orbit and beyond as something built through practice, not through treaty text alone. Reed, Dailey, Stilwell, and Weeden argue that decentralized information sharing enables trust and the preservation of the space environment, which reframes space security as a question of who is willing to share sensitive data with whom</w:t>
      </w:r>
      <w:r>
        <w:t xml:space="preserve"> </w:t>
      </w:r>
      <w:hyperlink w:anchor="ref-9">
        <w:r>
          <w:rPr>
            <w:rStyle w:val="Hyperlink"/>
          </w:rPr>
          <w:t xml:space="preserve">[9]</w:t>
        </w:r>
      </w:hyperlink>
      <w:r>
        <w:t xml:space="preserve">. That reframing matters for my own question. Where information sharing tracks trust, and trust tracks alignment, the coalitions that form around shared data become political facts as much as technical ones, and accession to a coalition instrument becomes a candidate marker of exactly this kind of trust relationship.</w:t>
      </w:r>
    </w:p>
    <w:p>
      <w:pPr>
        <w:pStyle w:val="BodyText"/>
        <w:spacing w:line="480" w:lineRule="auto"/>
        <w:ind w:firstLine="720"/>
      </w:pPr>
      <w:r>
        <w:t xml:space="preserve">The point runs onward from data sharing into operational safety. Tanirat and colleagues lay out an integrated national approach to space situational awareness and traffic management, one in which safety functions lean on sustained institutional cooperation across borders</w:t>
      </w:r>
      <w:r>
        <w:t xml:space="preserve"> </w:t>
      </w:r>
      <w:hyperlink w:anchor="ref-10">
        <w:r>
          <w:rPr>
            <w:rStyle w:val="Hyperlink"/>
          </w:rPr>
          <w:t xml:space="preserve">[10]</w:t>
        </w:r>
      </w:hyperlink>
      <w:r>
        <w:t xml:space="preserve">. Davis sets national space policy inside a defense burden-sharing frame, holding that space situational awareness and allied cooperation braid into a state’s broader security posture</w:t>
      </w:r>
      <w:r>
        <w:t xml:space="preserve"> </w:t>
      </w:r>
      <w:hyperlink w:anchor="ref-11">
        <w:r>
          <w:rPr>
            <w:rStyle w:val="Hyperlink"/>
          </w:rPr>
          <w:t xml:space="preserve">[11]</w:t>
        </w:r>
      </w:hyperlink>
      <w:r>
        <w:t xml:space="preserve">. A premise useful to me runs through both studies. Decisions in the space sector rarely seal themselves off from the rest of a state’s foreign policy; they thread civil capacity, commercial activity, and security cooperation into one institutional field.</w:t>
      </w:r>
    </w:p>
    <w:p>
      <w:pPr>
        <w:pStyle w:val="BodyText"/>
        <w:spacing w:line="480" w:lineRule="auto"/>
        <w:ind w:firstLine="720"/>
      </w:pPr>
      <w:r>
        <w:t xml:space="preserve">The institutional-change literature makes the field-level claim directly. Zancan, Paravano, Locatelli, and Trucco document a transition from legacy space, organized around state agencies and intergovernmental treaties, toward a new-space model in which commercial and hybrid actors share governance functions with governments</w:t>
      </w:r>
      <w:r>
        <w:t xml:space="preserve"> </w:t>
      </w:r>
      <w:hyperlink w:anchor="ref-14">
        <w:r>
          <w:rPr>
            <w:rStyle w:val="Hyperlink"/>
          </w:rPr>
          <w:t xml:space="preserve">[14]</w:t>
        </w:r>
      </w:hyperlink>
      <w:r>
        <w:t xml:space="preserve">. That transition forms the backdrop for coalition instruments like the Accords. Once governance is distributed across many actors, formal coalitions become a way to re-impose coordination, and joining one is a visible signal of which coordination regime a state prefers. The literature thus hands over the intuition behind order-building by accession while leaving it untested against voting data.</w:t>
      </w:r>
    </w:p>
    <w:bookmarkEnd w:id="73"/>
    <w:bookmarkStart w:id="74" w:name="X7fbe4a39ef803595529ed1ae79927b39da61571"/>
    <w:p>
      <w:pPr>
        <w:pStyle w:val="Heading2"/>
        <w:spacing w:line="480" w:lineRule="auto"/>
      </w:pPr>
      <w:r>
        <w:t xml:space="preserve">Sustainability, law, and the reach of space choices</w:t>
      </w:r>
    </w:p>
    <w:p>
      <w:pPr>
        <w:pStyle w:val="FirstParagraph"/>
        <w:spacing w:line="480" w:lineRule="auto"/>
      </w:pPr>
      <w:r>
        <w:t xml:space="preserve">A second cluster inside the space-governance strand takes up sustainability and law, and it strengthens the claim that space decisions carry weight past the sector. Dey and Jagadanandan work through the tension between commercialization and sustainability in outer space, holding that new commercial activity throws up governance challenges that technical fixes alone cannot resolve</w:t>
      </w:r>
      <w:r>
        <w:t xml:space="preserve"> </w:t>
      </w:r>
      <w:hyperlink w:anchor="ref-13">
        <w:r>
          <w:rPr>
            <w:rStyle w:val="Hyperlink"/>
          </w:rPr>
          <w:t xml:space="preserve">[13]</w:t>
        </w:r>
      </w:hyperlink>
      <w:r>
        <w:t xml:space="preserve">. What their analysis implies is that a state’s stance on commercial space braids into its stance on international constraint, a political posture rather than a merely regulatory one.</w:t>
      </w:r>
    </w:p>
    <w:p>
      <w:pPr>
        <w:pStyle w:val="BodyText"/>
        <w:spacing w:line="480" w:lineRule="auto"/>
        <w:ind w:firstLine="720"/>
      </w:pPr>
      <w:r>
        <w:t xml:space="preserve">National and regional implementation studies land in the same place. Polkowska and Chimicz work through Poland’s evolving space law and weigh its debris mitigation and remediation provisions against the European context, showing that national legal development gets judged relative to a regional governance frame rather than in isolation</w:t>
      </w:r>
      <w:r>
        <w:t xml:space="preserve"> </w:t>
      </w:r>
      <w:hyperlink w:anchor="ref-12">
        <w:r>
          <w:rPr>
            <w:rStyle w:val="Hyperlink"/>
          </w:rPr>
          <w:t xml:space="preserve">[12]</w:t>
        </w:r>
      </w:hyperlink>
      <w:r>
        <w:t xml:space="preserve">. The lesson I take is that accession and implementation of space rules are read comparatively, as choices about which order a state joins. Yet these studies stay primarily sectoral in their conclusions, stopping short of connecting the sectoral choice to a cross-domain outcome, which is precisely the connection my design attempts.</w:t>
      </w:r>
    </w:p>
    <w:p>
      <w:pPr>
        <w:pStyle w:val="BodyText"/>
        <w:spacing w:line="480" w:lineRule="auto"/>
        <w:ind w:firstLine="720"/>
      </w:pPr>
      <w:r>
        <w:t xml:space="preserve">The multilateral legal foundation gives the cluster its reference points. The Outer Space Treaty sets the constitutional principles that later instruments extend or reinterpret</w:t>
      </w:r>
      <w:r>
        <w:t xml:space="preserve"> </w:t>
      </w:r>
      <w:hyperlink w:anchor="ref-20">
        <w:r>
          <w:rPr>
            <w:rStyle w:val="Hyperlink"/>
          </w:rPr>
          <w:t xml:space="preserve">[20]</w:t>
        </w:r>
      </w:hyperlink>
      <w:r>
        <w:t xml:space="preserve">. The Rescue Agreement and the Registration Convention render broad principles into specific obligations around assistance and transparency</w:t>
      </w:r>
      <w:r>
        <w:t xml:space="preserve"> </w:t>
      </w:r>
      <w:hyperlink w:anchor="ref-21">
        <w:r>
          <w:rPr>
            <w:rStyle w:val="Hyperlink"/>
          </w:rPr>
          <w:t xml:space="preserve">[21]</w:t>
        </w:r>
      </w:hyperlink>
      <w:r>
        <w:t xml:space="preserve"> </w:t>
      </w:r>
      <w:hyperlink w:anchor="ref-22">
        <w:r>
          <w:rPr>
            <w:rStyle w:val="Hyperlink"/>
          </w:rPr>
          <w:t xml:space="preserve">[22]</w:t>
        </w:r>
      </w:hyperlink>
      <w:r>
        <w:t xml:space="preserve">. The long-term sustainability guidelines adopted through the UN framework show states still negotiating the terms of responsible behavior in orbit</w:t>
      </w:r>
      <w:r>
        <w:t xml:space="preserve"> </w:t>
      </w:r>
      <w:hyperlink w:anchor="ref-19">
        <w:r>
          <w:rPr>
            <w:rStyle w:val="Hyperlink"/>
          </w:rPr>
          <w:t xml:space="preserve">[19]</w:t>
        </w:r>
      </w:hyperlink>
      <w:r>
        <w:t xml:space="preserve">. The Accords echo several of these commitments, which is part of why they draw contest: supporters read them as an operational extension of established law, and skeptics read them as an American-led reinterpretation of it</w:t>
      </w:r>
      <w:r>
        <w:t xml:space="preserve"> </w:t>
      </w:r>
      <w:hyperlink w:anchor="ref-6">
        <w:r>
          <w:rPr>
            <w:rStyle w:val="Hyperlink"/>
          </w:rPr>
          <w:t xml:space="preserve">[6]</w:t>
        </w:r>
      </w:hyperlink>
      <w:r>
        <w:t xml:space="preserve">. Either reading casts accession as a positioning move, which is the premise my empirical work tests.</w:t>
      </w:r>
    </w:p>
    <w:bookmarkEnd w:id="74"/>
    <w:bookmarkStart w:id="75" w:name="un-voting-as-a-window-on-preferences"/>
    <w:p>
      <w:pPr>
        <w:pStyle w:val="Heading2"/>
        <w:spacing w:line="480" w:lineRule="auto"/>
      </w:pPr>
      <w:r>
        <w:t xml:space="preserve">UN voting as a window on preferences</w:t>
      </w:r>
    </w:p>
    <w:p>
      <w:pPr>
        <w:pStyle w:val="FirstParagraph"/>
        <w:spacing w:line="480" w:lineRule="auto"/>
      </w:pPr>
      <w:r>
        <w:t xml:space="preserve">The second literature is quieter in this dissertation but carries the heavy load for measurement. Its central move treats recorded UN General Assembly votes as revealed preferences and estimates, from the pattern of those votes, where each state sits in a low-dimensional preference space. Bailey, Strezhnev, and Voeten develop the dynamic ideal-point approach that anchors this tradition, estimating state preferences from voting data on a scale that holds across countries and over time</w:t>
      </w:r>
      <w:r>
        <w:t xml:space="preserve"> </w:t>
      </w:r>
      <w:hyperlink w:anchor="ref-4">
        <w:r>
          <w:rPr>
            <w:rStyle w:val="Hyperlink"/>
          </w:rPr>
          <w:t xml:space="preserve">[4]</w:t>
        </w:r>
      </w:hyperlink>
      <w:r>
        <w:t xml:space="preserve">. Their method is the whole reason I can build a proximity measure at all, because it converts thousands of discrete votes into an annual position that can be differenced against the United States position.</w:t>
      </w:r>
    </w:p>
    <w:p>
      <w:pPr>
        <w:pStyle w:val="BodyText"/>
        <w:spacing w:line="480" w:lineRule="auto"/>
        <w:ind w:firstLine="720"/>
      </w:pPr>
      <w:r>
        <w:t xml:space="preserve">The infrastructure behind that method has kept developing. The Harvard Dataverse ideal-point release furnishes country-year estimates grounded in final-passage votes and extends coverage through 2025, the very file my empirical papers draw on directly</w:t>
      </w:r>
      <w:r>
        <w:t xml:space="preserve"> </w:t>
      </w:r>
      <w:hyperlink w:anchor="ref-3">
        <w:r>
          <w:rPr>
            <w:rStyle w:val="Hyperlink"/>
          </w:rPr>
          <w:t xml:space="preserve">[3]</w:t>
        </w:r>
      </w:hyperlink>
      <w:r>
        <w:t xml:space="preserve">. Fjelstul, Hug, and Kilby round out the picture with a comprehensive database of resolution-related decisions in the General Assembly, which documents the decision structure that voting-based measures summarize</w:t>
      </w:r>
      <w:r>
        <w:t xml:space="preserve"> </w:t>
      </w:r>
      <w:hyperlink w:anchor="ref-5">
        <w:r>
          <w:rPr>
            <w:rStyle w:val="Hyperlink"/>
          </w:rPr>
          <w:t xml:space="preserve">[5]</w:t>
        </w:r>
      </w:hyperlink>
      <w:r>
        <w:t xml:space="preserve">. Taken together, these resources let me treat UN voting proximity as a defensible, reproducible outcome rather than a hand-coded judgment.</w:t>
      </w:r>
    </w:p>
    <w:p>
      <w:pPr>
        <w:pStyle w:val="BodyText"/>
        <w:spacing w:line="480" w:lineRule="auto"/>
        <w:ind w:firstLine="720"/>
      </w:pPr>
      <w:r>
        <w:t xml:space="preserve">I draw on this literature as a tool, not as a source of extra claims about why states vote as they do. The measurement logic is all my purpose asks of it. Where accession is an order-building act with cross-domain content, post-accession movement toward the United States should be observable in the ideal-point series; where accession stays bounded to the space sector, the series should fall quiet after signing. The alignment literature hands me the ruler, and the space-governance literature hands me the reason to measure.</w:t>
      </w:r>
    </w:p>
    <w:bookmarkEnd w:id="75"/>
    <w:bookmarkStart w:id="76" w:name="the-gap-and-how-this-study-fills-it"/>
    <w:p>
      <w:pPr>
        <w:pStyle w:val="Heading2"/>
        <w:spacing w:line="480" w:lineRule="auto"/>
      </w:pPr>
      <w:r>
        <w:t xml:space="preserve">The gap and how this study fills it</w:t>
      </w:r>
    </w:p>
    <w:p>
      <w:pPr>
        <w:pStyle w:val="FirstParagraph"/>
        <w:spacing w:line="480" w:lineRule="auto"/>
      </w:pPr>
      <w:r>
        <w:t xml:space="preserve">Setting the two conversations side by side exposes the gap. The space-governance literature explains why accession to a coalition instrument could reveal or shape broader alignment, invoking trust, safety, sustainability, and the shift toward distributed governance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alignment literature offers a rigorous way to observe broad diplomatic behavior through voting</w:t>
      </w:r>
      <w:r>
        <w:t xml:space="preserve"> </w:t>
      </w:r>
      <w:hyperlink w:anchor="ref-4">
        <w:r>
          <w:rPr>
            <w:rStyle w:val="Hyperlink"/>
          </w:rPr>
          <w:t xml:space="preserve">[4]</w:t>
        </w:r>
      </w:hyperlink>
      <w:r>
        <w:t xml:space="preserve"> </w:t>
      </w:r>
      <w:hyperlink w:anchor="ref-5">
        <w:r>
          <w:rPr>
            <w:rStyle w:val="Hyperlink"/>
          </w:rPr>
          <w:t xml:space="preserve">[5]</w:t>
        </w:r>
      </w:hyperlink>
      <w:r>
        <w:t xml:space="preserve">. What no one has done is join the two: take a specific space-governance accession event and ask, with panel data and a fixed-effects design, whether movement in the voting-based measure follows it.</w:t>
      </w:r>
    </w:p>
    <w:p>
      <w:pPr>
        <w:pStyle w:val="BodyText"/>
        <w:spacing w:line="480" w:lineRule="auto"/>
        <w:ind w:firstLine="720"/>
      </w:pPr>
      <w:r>
        <w:t xml:space="preserve">That absence is no accident. The two literatures live in different fields with different methods and different journals, and the bridge asks a scholar to speak both languages at once. It also asks for a clean treatment record and a clean outcome series that overlap in time, which the NASA signatory-date file and the 2025 ideal-point release now supply</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So the conditions for the test exist. The test has not been run.</w:t>
      </w:r>
    </w:p>
    <w:bookmarkEnd w:id="76"/>
    <w:bookmarkStart w:id="77" w:name="Xe1256beeaecc24a6ff00fe16e4879a4e66b051f"/>
    <w:p>
      <w:pPr>
        <w:pStyle w:val="Heading2"/>
        <w:spacing w:line="480" w:lineRule="auto"/>
      </w:pPr>
      <w:r>
        <w:t xml:space="preserve">Emerging governance frontiers and why they reinforce the frame</w:t>
      </w:r>
    </w:p>
    <w:p>
      <w:pPr>
        <w:pStyle w:val="FirstParagraph"/>
        <w:spacing w:line="480" w:lineRule="auto"/>
      </w:pPr>
      <w:r>
        <w:t xml:space="preserve">A newer cluster of space-governance work pushes the field into frontiers that read as speculative a decade ago, and it firms up the premise that space choices are political rather than merely technical. Tricco and colleagues work through the protection of artificial-intelligence-based space systems from a data-driven governance perspective, holding that once autonomy enters orbital systems, governance has to reach into data practices and system behavior rather than halting at treaty text</w:t>
      </w:r>
      <w:r>
        <w:t xml:space="preserve"> </w:t>
      </w:r>
      <w:hyperlink w:anchor="ref-15">
        <w:r>
          <w:rPr>
            <w:rStyle w:val="Hyperlink"/>
          </w:rPr>
          <w:t xml:space="preserve">[15]</w:t>
        </w:r>
      </w:hyperlink>
      <w:r>
        <w:t xml:space="preserve">. Brennan takes up the environmental regulation of asteroid mining and floats an independent international monitoring mechanism, a claim about institutional design under contested property and jurisdiction</w:t>
      </w:r>
      <w:r>
        <w:t xml:space="preserve"> </w:t>
      </w:r>
      <w:hyperlink w:anchor="ref-16">
        <w:r>
          <w:rPr>
            <w:rStyle w:val="Hyperlink"/>
          </w:rPr>
          <w:t xml:space="preserve">[16]</w:t>
        </w:r>
      </w:hyperlink>
      <w:r>
        <w:t xml:space="preserve">. These are governance questions carrying clear distributional and political content, and the states that stake out positions on them are making choices that read as alignment as much as regulation.</w:t>
      </w:r>
    </w:p>
    <w:p>
      <w:pPr>
        <w:pStyle w:val="BodyText"/>
        <w:spacing w:line="480" w:lineRule="auto"/>
        <w:ind w:firstLine="720"/>
      </w:pPr>
      <w:r>
        <w:t xml:space="preserve">Infrastructure and resource studies pull in the same direction. Nair and colleagues work through in-orbit assembly of high-value modular infrastructures, a capability that will lean on sustained multinational coordination and shared standards to function</w:t>
      </w:r>
      <w:r>
        <w:t xml:space="preserve"> </w:t>
      </w:r>
      <w:hyperlink w:anchor="ref-17">
        <w:r>
          <w:rPr>
            <w:rStyle w:val="Hyperlink"/>
          </w:rPr>
          <w:t xml:space="preserve">[17]</w:t>
        </w:r>
      </w:hyperlink>
      <w:r>
        <w:t xml:space="preserve">. McKeown, Dempster, Saydam, and Coulton set lunar resource research inside the context of mining feasibility, tying the scientific question of what the Moon holds to the economic and governance question of who gets to use it</w:t>
      </w:r>
      <w:r>
        <w:t xml:space="preserve"> </w:t>
      </w:r>
      <w:hyperlink w:anchor="ref-18">
        <w:r>
          <w:rPr>
            <w:rStyle w:val="Hyperlink"/>
          </w:rPr>
          <w:t xml:space="preserve">[18]</w:t>
        </w:r>
      </w:hyperlink>
      <w:r>
        <w:t xml:space="preserve">. The recurring pattern is plain: technical space activities throw off governance stakes, and governance stakes throw off positioning. That pattern is the substantive foundation for treating accession as a candidate marker of where a state stands, which is exactly what my design tests.</w:t>
      </w:r>
    </w:p>
    <w:p>
      <w:pPr>
        <w:pStyle w:val="BodyText"/>
        <w:spacing w:line="480" w:lineRule="auto"/>
        <w:ind w:firstLine="720"/>
      </w:pPr>
      <w:r>
        <w:t xml:space="preserve">None of these studies measures diplomatic alignment, and none tests accession against voting. What they do is enrich the case that space governance entangles with broader politics, the intuition my empirical work interrogates rather than assumes. Read alongside the trust, safety, and institutional-change literature, they reveal a field that keeps uncovering political content in technical decisions while stopping short of the cross-domain test this dissertation supplies</w:t>
      </w:r>
      <w:r>
        <w:t xml:space="preserve"> </w:t>
      </w:r>
      <w:hyperlink w:anchor="ref-9">
        <w:r>
          <w:rPr>
            <w:rStyle w:val="Hyperlink"/>
          </w:rPr>
          <w:t xml:space="preserve">[9]</w:t>
        </w:r>
      </w:hyperlink>
      <w:r>
        <w:t xml:space="preserve"> </w:t>
      </w:r>
      <w:hyperlink w:anchor="ref-14">
        <w:r>
          <w:rPr>
            <w:rStyle w:val="Hyperlink"/>
          </w:rPr>
          <w:t xml:space="preserve">[14]</w:t>
        </w:r>
      </w:hyperlink>
      <w:r>
        <w:t xml:space="preserve"> </w:t>
      </w:r>
      <w:hyperlink w:anchor="ref-17">
        <w:r>
          <w:rPr>
            <w:rStyle w:val="Hyperlink"/>
          </w:rPr>
          <w:t xml:space="preserve">[17]</w:t>
        </w:r>
      </w:hyperlink>
      <w:r>
        <w:t xml:space="preserve">.</w:t>
      </w:r>
    </w:p>
    <w:bookmarkEnd w:id="77"/>
    <w:bookmarkStart w:id="78" w:name="what-the-join-requires-methodologically"/>
    <w:p>
      <w:pPr>
        <w:pStyle w:val="Heading2"/>
        <w:spacing w:line="480" w:lineRule="auto"/>
      </w:pPr>
      <w:r>
        <w:t xml:space="preserve">What the join requires methodologically</w:t>
      </w:r>
    </w:p>
    <w:p>
      <w:pPr>
        <w:pStyle w:val="FirstParagraph"/>
        <w:spacing w:line="480" w:lineRule="auto"/>
      </w:pPr>
      <w:r>
        <w:t xml:space="preserve">Bridging the two literatures is more than a conceptual move; it imposes methodological demands the chapter should name. The space-governance strand carries no tradition of guarding against selection, because it seldom asks counterfactual questions about who joins an institution and why</w:t>
      </w:r>
      <w:r>
        <w:t xml:space="preserve"> </w:t>
      </w:r>
      <w:hyperlink w:anchor="ref-14">
        <w:r>
          <w:rPr>
            <w:rStyle w:val="Hyperlink"/>
          </w:rPr>
          <w:t xml:space="preserve">[14]</w:t>
        </w:r>
      </w:hyperlink>
      <w:r>
        <w:t xml:space="preserve">. The alignment strand carries strong tools for measurement that have never been pointed at space instruments</w:t>
      </w:r>
      <w:r>
        <w:t xml:space="preserve"> </w:t>
      </w:r>
      <w:hyperlink w:anchor="ref-4">
        <w:r>
          <w:rPr>
            <w:rStyle w:val="Hyperlink"/>
          </w:rPr>
          <w:t xml:space="preserve">[4]</w:t>
        </w:r>
      </w:hyperlink>
      <w:r>
        <w:t xml:space="preserve">. Joining the two means importing the selection discipline of quantitative political science into a question the space literature framed but never operationalized.</w:t>
      </w:r>
    </w:p>
    <w:p>
      <w:pPr>
        <w:pStyle w:val="BodyText"/>
        <w:spacing w:line="480" w:lineRule="auto"/>
        <w:ind w:firstLine="720"/>
      </w:pPr>
      <w:r>
        <w:t xml:space="preserve">This is why the dissertation runs two models rather than one. The outcome model answers the question the space-governance literature implicitly poses, whether accession is followed by broader alignment, through a within-country design that removes the standing differences between joiners and non-joiners</w:t>
      </w:r>
      <w:r>
        <w:t xml:space="preserve"> </w:t>
      </w:r>
      <w:hyperlink w:anchor="ref-3">
        <w:r>
          <w:rPr>
            <w:rStyle w:val="Hyperlink"/>
          </w:rPr>
          <w:t xml:space="preserve">[3]</w:t>
        </w:r>
      </w:hyperlink>
      <w:r>
        <w:t xml:space="preserve">. The selection model answers a question that literature never had to ask, whether prior alignment drives signing, through an event-history structure borrowed from the quantitative tradition</w:t>
      </w:r>
      <w:r>
        <w:t xml:space="preserve"> </w:t>
      </w:r>
      <w:hyperlink w:anchor="ref-4">
        <w:r>
          <w:rPr>
            <w:rStyle w:val="Hyperlink"/>
          </w:rPr>
          <w:t xml:space="preserve">[4]</w:t>
        </w:r>
      </w:hyperlink>
      <w:r>
        <w:t xml:space="preserve">. The join is therefore methodological as much as topical, and it repairs a blind spot that neither literature could have caught on its own.</w:t>
      </w:r>
    </w:p>
    <w:bookmarkEnd w:id="78"/>
    <w:bookmarkStart w:id="79" w:name="X2b7be2bd5cf3b2d4ccdc9bf2962650dd3a24b89"/>
    <w:p>
      <w:pPr>
        <w:pStyle w:val="Heading2"/>
        <w:spacing w:line="480" w:lineRule="auto"/>
      </w:pPr>
      <w:r>
        <w:t xml:space="preserve">The treaty foundation as a contested baseline</w:t>
      </w:r>
    </w:p>
    <w:p>
      <w:pPr>
        <w:pStyle w:val="FirstParagraph"/>
        <w:spacing w:line="480" w:lineRule="auto"/>
      </w:pPr>
      <w:r>
        <w:t xml:space="preserve">The multilateral legal order rewards a closer reading, because it is the baseline against which the Accords are judged and the source of much of the controversy trailing them. The Outer Space Treaty lays down the constitutional principles of space activity: peaceful use, non-appropriation, state responsibility, and freedom of exploration</w:t>
      </w:r>
      <w:r>
        <w:t xml:space="preserve"> </w:t>
      </w:r>
      <w:hyperlink w:anchor="ref-20">
        <w:r>
          <w:rPr>
            <w:rStyle w:val="Hyperlink"/>
          </w:rPr>
          <w:t xml:space="preserve">[20]</w:t>
        </w:r>
      </w:hyperlink>
      <w:r>
        <w:t xml:space="preserve">. The Rescue Agreement and the Registration Convention render several of those principles into operational obligations, requiring assistance to astronauts in distress and registration of objects launched into orbit</w:t>
      </w:r>
      <w:r>
        <w:t xml:space="preserve"> </w:t>
      </w:r>
      <w:hyperlink w:anchor="ref-21">
        <w:r>
          <w:rPr>
            <w:rStyle w:val="Hyperlink"/>
          </w:rPr>
          <w:t xml:space="preserve">[21]</w:t>
        </w:r>
      </w:hyperlink>
      <w:r>
        <w:t xml:space="preserve"> </w:t>
      </w:r>
      <w:hyperlink w:anchor="ref-22">
        <w:r>
          <w:rPr>
            <w:rStyle w:val="Hyperlink"/>
          </w:rPr>
          <w:t xml:space="preserve">[22]</w:t>
        </w:r>
      </w:hyperlink>
      <w:r>
        <w:t xml:space="preserve">. The long-term sustainability guidelines, adopted through the intergovernmental framework, show states still negotiating the terms of responsible behavior as the environment grows more crowded</w:t>
      </w:r>
      <w:r>
        <w:t xml:space="preserve"> </w:t>
      </w:r>
      <w:hyperlink w:anchor="ref-19">
        <w:r>
          <w:rPr>
            <w:rStyle w:val="Hyperlink"/>
          </w:rPr>
          <w:t xml:space="preserve">[19]</w:t>
        </w:r>
      </w:hyperlink>
      <w:r>
        <w:t xml:space="preserve">.</w:t>
      </w:r>
    </w:p>
    <w:p>
      <w:pPr>
        <w:pStyle w:val="BodyText"/>
        <w:spacing w:line="480" w:lineRule="auto"/>
        <w:ind w:firstLine="720"/>
      </w:pPr>
      <w:r>
        <w:t xml:space="preserve">The Accords engage this foundation on terms that are analytically contested. Supporters read them as an operational extension of established law, a set of implementing principles for civil exploration consistent with the treaty framework</w:t>
      </w:r>
      <w:r>
        <w:t xml:space="preserve"> </w:t>
      </w:r>
      <w:hyperlink w:anchor="ref-6">
        <w:r>
          <w:rPr>
            <w:rStyle w:val="Hyperlink"/>
          </w:rPr>
          <w:t xml:space="preserve">[6]</w:t>
        </w:r>
      </w:hyperlink>
      <w:r>
        <w:t xml:space="preserve">. Skeptics read them as an American-led reinterpretation that advances particular positions on resource use and safety zones without full multilateral negotiation. Both readings converge on one point that matters for my design: accession is a choice about which interpretation of the legal order a state endorses. That converts signing into a positioning act, which is precisely the property the empirical work tests. The literature thus casts accession as legally and politically loaded without measuring whether the loading surfaces in broad diplomatic behavior.</w:t>
      </w:r>
    </w:p>
    <w:bookmarkEnd w:id="79"/>
    <w:bookmarkStart w:id="80" w:name="X1f207f1d0c270cbabd4c549bff9f73341d5d877"/>
    <w:p>
      <w:pPr>
        <w:pStyle w:val="Heading2"/>
        <w:spacing w:line="480" w:lineRule="auto"/>
      </w:pPr>
      <w:r>
        <w:t xml:space="preserve">The measurement literature as method, not claim</w:t>
      </w:r>
    </w:p>
    <w:p>
      <w:pPr>
        <w:pStyle w:val="FirstParagraph"/>
        <w:spacing w:line="480" w:lineRule="auto"/>
      </w:pPr>
      <w:r>
        <w:t xml:space="preserve">I want to be exact about how I draw on the alignment literature, because the boundary keeps the contribution honest. From Bailey, Strezhnev, and Voeten I take the estimation method that turns votes into comparable annual positions</w:t>
      </w:r>
      <w:r>
        <w:t xml:space="preserve"> </w:t>
      </w:r>
      <w:hyperlink w:anchor="ref-4">
        <w:r>
          <w:rPr>
            <w:rStyle w:val="Hyperlink"/>
          </w:rPr>
          <w:t xml:space="preserve">[4]</w:t>
        </w:r>
      </w:hyperlink>
      <w:r>
        <w:t xml:space="preserve">. From the Dataverse release I take the specific country-year estimates through 2025</w:t>
      </w:r>
      <w:r>
        <w:t xml:space="preserve"> </w:t>
      </w:r>
      <w:hyperlink w:anchor="ref-3">
        <w:r>
          <w:rPr>
            <w:rStyle w:val="Hyperlink"/>
          </w:rPr>
          <w:t xml:space="preserve">[3]</w:t>
        </w:r>
      </w:hyperlink>
      <w:r>
        <w:t xml:space="preserve">. From Fjelstul, Hug, and Kilby I take documentation of the decision structure that voting summarizes</w:t>
      </w:r>
      <w:r>
        <w:t xml:space="preserve"> </w:t>
      </w:r>
      <w:hyperlink w:anchor="ref-5">
        <w:r>
          <w:rPr>
            <w:rStyle w:val="Hyperlink"/>
          </w:rPr>
          <w:t xml:space="preserve">[5]</w:t>
        </w:r>
      </w:hyperlink>
      <w:r>
        <w:t xml:space="preserve">. What I leave on the shelf is any additional substantive claim about the causes of UN voting, because importing such claims would smuggle assumptions into a design meant to test one thing cleanly.</w:t>
      </w:r>
    </w:p>
    <w:p>
      <w:pPr>
        <w:pStyle w:val="BodyText"/>
        <w:spacing w:line="480" w:lineRule="auto"/>
        <w:ind w:firstLine="720"/>
      </w:pPr>
      <w:r>
        <w:t xml:space="preserve">The measurement logic hands me a falsifiable prediction with no additional theory attached. Where accession carries cross-domain content, post-accession movement toward the United States should appear in the ideal-point series; where accession stays bounded to the space sector, the series should fall quiet</w:t>
      </w:r>
      <w:r>
        <w:t xml:space="preserve"> </w:t>
      </w:r>
      <w:hyperlink w:anchor="ref-4">
        <w:r>
          <w:rPr>
            <w:rStyle w:val="Hyperlink"/>
          </w:rPr>
          <w:t xml:space="preserve">[4]</w:t>
        </w:r>
      </w:hyperlink>
      <w:r>
        <w:t xml:space="preserve">. The spare use is deliberate. The space-governance strand supplies the hypothesis, the alignment strand supplies the ruler, and the join between them is the whole of the contribution. Overloading the design with borrowed claims from either side would blur the very test I am trying to sharpen.</w:t>
      </w:r>
    </w:p>
    <w:bookmarkEnd w:id="80"/>
    <w:bookmarkStart w:id="81" w:name="my-contribution-to-the-literature"/>
    <w:p>
      <w:pPr>
        <w:pStyle w:val="Heading2"/>
        <w:spacing w:line="480" w:lineRule="auto"/>
      </w:pPr>
      <w:r>
        <w:t xml:space="preserve">My contribution to the literature</w:t>
      </w:r>
    </w:p>
    <w:p>
      <w:pPr>
        <w:pStyle w:val="FirstParagraph"/>
        <w:spacing w:line="480" w:lineRule="auto"/>
      </w:pPr>
      <w:r>
        <w:t xml:space="preserve">My contribution to the literature is therefore a specific empirical join rather than a new theory. I take order-building by accession as a hypothesis drawn from the space-governance strand and evaluate it with the measurement apparatus of the alignment strand. The two papers at the core of the dissertation do this concretely. The first estimates whether accession is followed by voting movement through a two-way fixed-effect residualization</w:t>
      </w:r>
      <w:r>
        <w:t xml:space="preserve"> </w:t>
      </w:r>
      <w:hyperlink w:anchor="ref-3">
        <w:r>
          <w:rPr>
            <w:rStyle w:val="Hyperlink"/>
          </w:rPr>
          <w:t xml:space="preserve">[3]</w:t>
        </w:r>
      </w:hyperlink>
      <w:r>
        <w:t xml:space="preserve">. The second estimates whether prior voting proximity predicts accession through an event-history model, which meets the selection concern the first literature never had to confront</w:t>
      </w:r>
      <w:r>
        <w:t xml:space="preserve"> </w:t>
      </w:r>
      <w:hyperlink w:anchor="ref-4">
        <w:r>
          <w:rPr>
            <w:rStyle w:val="Hyperlink"/>
          </w:rPr>
          <w:t xml:space="preserve">[4]</w:t>
        </w:r>
      </w:hyperlink>
      <w:r>
        <w:t xml:space="preserve">. Neither paper resolves every question, and together they convert an untested intuition into a falsifiable, reproducible result, which is exactly what the join between these two conversations has been missing.</w:t>
      </w:r>
    </w:p>
    <w:p>
      <w:pPr>
        <w:pStyle w:val="BodyText"/>
        <w:spacing w:line="480" w:lineRule="auto"/>
        <w:ind w:firstLine="720"/>
      </w:pPr>
      <w:r>
        <w:t xml:space="preserve">Read as a whole, the reviewed work leaves a clean opening. The space-governance strand carries motive and stakes, showing that accession is politically loaded and that space decisions travel past the sector</w:t>
      </w:r>
      <w:r>
        <w:t xml:space="preserve"> </w:t>
      </w:r>
      <w:hyperlink w:anchor="ref-9">
        <w:r>
          <w:rPr>
            <w:rStyle w:val="Hyperlink"/>
          </w:rPr>
          <w:t xml:space="preserve">[9]</w:t>
        </w:r>
      </w:hyperlink>
      <w:r>
        <w:t xml:space="preserve"> </w:t>
      </w:r>
      <w:hyperlink w:anchor="ref-14">
        <w:r>
          <w:rPr>
            <w:rStyle w:val="Hyperlink"/>
          </w:rPr>
          <w:t xml:space="preserve">[14]</w:t>
        </w:r>
      </w:hyperlink>
      <w:r>
        <w:t xml:space="preserve"> </w:t>
      </w:r>
      <w:hyperlink w:anchor="ref-17">
        <w:r>
          <w:rPr>
            <w:rStyle w:val="Hyperlink"/>
          </w:rPr>
          <w:t xml:space="preserve">[17]</w:t>
        </w:r>
      </w:hyperlink>
      <w:r>
        <w:t xml:space="preserve">. The legal strand carries the contested baseline against which accession is a positioning choice</w:t>
      </w:r>
      <w:r>
        <w:t xml:space="preserve"> </w:t>
      </w:r>
      <w:hyperlink w:anchor="ref-19">
        <w:r>
          <w:rPr>
            <w:rStyle w:val="Hyperlink"/>
          </w:rPr>
          <w:t xml:space="preserve">[19]</w:t>
        </w:r>
      </w:hyperlink>
      <w:r>
        <w:t xml:space="preserve"> </w:t>
      </w:r>
      <w:hyperlink w:anchor="ref-20">
        <w:r>
          <w:rPr>
            <w:rStyle w:val="Hyperlink"/>
          </w:rPr>
          <w:t xml:space="preserve">[20]</w:t>
        </w:r>
      </w:hyperlink>
      <w:r>
        <w:t xml:space="preserve">. The alignment strand carries a reproducible ruler for broad diplomatic behavior</w:t>
      </w:r>
      <w:r>
        <w:t xml:space="preserve"> </w:t>
      </w:r>
      <w:hyperlink w:anchor="ref-4">
        <w:r>
          <w:rPr>
            <w:rStyle w:val="Hyperlink"/>
          </w:rPr>
          <w:t xml:space="preserve">[4]</w:t>
        </w:r>
      </w:hyperlink>
      <w:r>
        <w:t xml:space="preserve"> </w:t>
      </w:r>
      <w:hyperlink w:anchor="ref-5">
        <w:r>
          <w:rPr>
            <w:rStyle w:val="Hyperlink"/>
          </w:rPr>
          <w:t xml:space="preserve">[5]</w:t>
        </w:r>
      </w:hyperlink>
      <w:r>
        <w:t xml:space="preserve">. What none of them carries is the measured link between the two, and that link is the empirical space the remaining chapters occupy.</w:t>
      </w:r>
    </w:p>
    <w:p>
      <w:pPr>
        <w:pStyle w:val="BodyText"/>
        <w:spacing w:line="480" w:lineRule="auto"/>
        <w:ind w:firstLine="720"/>
      </w:pPr>
      <w:r>
        <w:t xml:space="preserve">It bears repeating that the reviewed sources are no random sample of two fields but the specific works that bear on this question. Trust and information sharing establish that space cooperation is a political relationship</w:t>
      </w:r>
      <w:r>
        <w:t xml:space="preserve"> </w:t>
      </w:r>
      <w:hyperlink w:anchor="ref-9">
        <w:r>
          <w:rPr>
            <w:rStyle w:val="Hyperlink"/>
          </w:rPr>
          <w:t xml:space="preserve">[9]</w:t>
        </w:r>
      </w:hyperlink>
      <w:r>
        <w:t xml:space="preserve">. Safety and traffic management establish that the relationship is operational and cross-border</w:t>
      </w:r>
      <w:r>
        <w:t xml:space="preserve"> </w:t>
      </w:r>
      <w:hyperlink w:anchor="ref-10">
        <w:r>
          <w:rPr>
            <w:rStyle w:val="Hyperlink"/>
          </w:rPr>
          <w:t xml:space="preserve">[10]</w:t>
        </w:r>
      </w:hyperlink>
      <w:r>
        <w:t xml:space="preserve">. Institutional change establishes that coalitions are the new coordinating form</w:t>
      </w:r>
      <w:r>
        <w:t xml:space="preserve"> </w:t>
      </w:r>
      <w:hyperlink w:anchor="ref-14">
        <w:r>
          <w:rPr>
            <w:rStyle w:val="Hyperlink"/>
          </w:rPr>
          <w:t xml:space="preserve">[14]</w:t>
        </w:r>
      </w:hyperlink>
      <w:r>
        <w:t xml:space="preserve">. The alignment lineage establishes that broad diplomatic behavior is measurable</w:t>
      </w:r>
      <w:r>
        <w:t xml:space="preserve"> </w:t>
      </w:r>
      <w:hyperlink w:anchor="ref-4">
        <w:r>
          <w:rPr>
            <w:rStyle w:val="Hyperlink"/>
          </w:rPr>
          <w:t xml:space="preserve">[4]</w:t>
        </w:r>
      </w:hyperlink>
      <w:r>
        <w:t xml:space="preserve"> </w:t>
      </w:r>
      <w:hyperlink w:anchor="ref-5">
        <w:r>
          <w:rPr>
            <w:rStyle w:val="Hyperlink"/>
          </w:rPr>
          <w:t xml:space="preserve">[5]</w:t>
        </w:r>
      </w:hyperlink>
      <w:r>
        <w:t xml:space="preserve">. Assembled with intent, these are the load-bearing pieces of the argument, each one doing work the empirical chapters draw on directly rather than sitting in the review as ornament.</w:t>
      </w:r>
    </w:p>
    <w:p>
      <w:pPr>
        <w:pStyle w:val="BodyText"/>
        <w:spacing w:line="480" w:lineRule="auto"/>
        <w:ind w:firstLine="720"/>
      </w:pPr>
      <w:r>
        <w:t xml:space="preserve">One more gap the literature leaves is a gap this study inherits rather than closes. Neither strand offers a settled account of how a state’s space-sector choices propagate, if at all, into its general diplomatic posture. The space-governance work asserts entanglement between sector and posture without measuring its direction or strength</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The alignment work measures posture while staying agnostic about its space-sector inputs</w:t>
      </w:r>
      <w:r>
        <w:t xml:space="preserve"> </w:t>
      </w:r>
      <w:hyperlink w:anchor="ref-4">
        <w:r>
          <w:rPr>
            <w:rStyle w:val="Hyperlink"/>
          </w:rPr>
          <w:t xml:space="preserve">[4]</w:t>
        </w:r>
      </w:hyperlink>
      <w:r>
        <w:t xml:space="preserve">. My design does not resolve this deeper question of propagation; it tests one observable consequence of it, whether accession is followed by voting movement. Marking the unclosed gap is part of honest positioning, since it tells the reader what the join accomplishes and what it leaves for later work to settle.</w:t>
      </w:r>
    </w:p>
    <w:bookmarkEnd w:id="81"/>
    <w:bookmarkEnd w:id="82"/>
    <w:bookmarkStart w:id="95" w:name="chapter-3.-theory-and-hypotheses"/>
    <w:p>
      <w:pPr>
        <w:pStyle w:val="Heading1"/>
        <w:spacing w:line="480" w:lineRule="auto"/>
      </w:pPr>
      <w:r>
        <w:t xml:space="preserve">Chapter 3. Theory and Hypotheses</w:t>
      </w:r>
    </w:p>
    <w:bookmarkStart w:id="83" w:name="from-intuition-to-mechanism"/>
    <w:p>
      <w:pPr>
        <w:pStyle w:val="Heading2"/>
        <w:spacing w:line="480" w:lineRule="auto"/>
      </w:pPr>
      <w:r>
        <w:t xml:space="preserve">From intuition to mechanism</w:t>
      </w:r>
    </w:p>
    <w:p>
      <w:pPr>
        <w:pStyle w:val="FirstParagraph"/>
        <w:spacing w:line="480" w:lineRule="auto"/>
      </w:pPr>
      <w:r>
        <w:t xml:space="preserve">The claim that accession reveals alignment is easy to assert and hard to specify, and the specifying is what this chapter does. It sets out the mechanism by which signing a space-governance instrument might connect to broad diplomatic behavior, separates that mechanism from its rivals, and derives predictions sharp enough to be wrong. A theory that cannot be wrong is decoration. The aim is to build one the data in later chapters can genuinely reject.</w:t>
      </w:r>
    </w:p>
    <w:p>
      <w:pPr>
        <w:pStyle w:val="BodyText"/>
        <w:spacing w:line="480" w:lineRule="auto"/>
        <w:ind w:firstLine="720"/>
      </w:pPr>
      <w:r>
        <w:t xml:space="preserve">Start with a simple observation about what a signature is. Accession is a public, costly, deliberate act: public because NASA records and announces it</w:t>
      </w:r>
      <w:r>
        <w:t xml:space="preserve"> </w:t>
      </w:r>
      <w:hyperlink w:anchor="ref-1">
        <w:r>
          <w:rPr>
            <w:rStyle w:val="Hyperlink"/>
          </w:rPr>
          <w:t xml:space="preserve">[1]</w:t>
        </w:r>
      </w:hyperlink>
      <w:r>
        <w:t xml:space="preserve"> </w:t>
      </w:r>
      <w:hyperlink w:anchor="ref-2">
        <w:r>
          <w:rPr>
            <w:rStyle w:val="Hyperlink"/>
          </w:rPr>
          <w:t xml:space="preserve">[2]</w:t>
        </w:r>
      </w:hyperlink>
      <w:r>
        <w:t xml:space="preserve">, costly because it binds a state to principles on transparency, interoperability, and deconfliction that constrain future behavior</w:t>
      </w:r>
      <w:r>
        <w:t xml:space="preserve"> </w:t>
      </w:r>
      <w:hyperlink w:anchor="ref-6">
        <w:r>
          <w:rPr>
            <w:rStyle w:val="Hyperlink"/>
          </w:rPr>
          <w:t xml:space="preserve">[6]</w:t>
        </w:r>
      </w:hyperlink>
      <w:r>
        <w:t xml:space="preserve">, and deliberate because no state signs by accident. Those three properties make accession a signal in the technical sense, an action that conveys information about the signer’s type because it comes easier to some types of state than to others.</w:t>
      </w:r>
    </w:p>
    <w:bookmarkEnd w:id="83"/>
    <w:bookmarkStart w:id="84" w:name="the-order-building-mechanism"/>
    <w:p>
      <w:pPr>
        <w:pStyle w:val="Heading2"/>
        <w:spacing w:line="480" w:lineRule="auto"/>
      </w:pPr>
      <w:r>
        <w:t xml:space="preserve">The order-building mechanism</w:t>
      </w:r>
    </w:p>
    <w:p>
      <w:pPr>
        <w:pStyle w:val="FirstParagraph"/>
        <w:spacing w:line="480" w:lineRule="auto"/>
      </w:pPr>
      <w:r>
        <w:t xml:space="preserve">The mechanism I propose runs through coalition membership. Space governance has shifted from a treaty-centered legacy model toward a distributed one, where coordination arrives through overlapping partnerships rather than a single intergovernmental frame</w:t>
      </w:r>
      <w:r>
        <w:t xml:space="preserve"> </w:t>
      </w:r>
      <w:hyperlink w:anchor="ref-14">
        <w:r>
          <w:rPr>
            <w:rStyle w:val="Hyperlink"/>
          </w:rPr>
          <w:t xml:space="preserve">[14]</w:t>
        </w:r>
      </w:hyperlink>
      <w:r>
        <w:t xml:space="preserve">. Inside that environment, formal coalitions do work that treaties once did. They bundle a set of behavioral commitments, mark out an in-group, and tie that in-group to a leading state. The Accords bundle exploration principles, mark out signatories, and tie them to the United States as convenor</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p>
      <w:pPr>
        <w:pStyle w:val="BodyText"/>
        <w:spacing w:line="480" w:lineRule="auto"/>
        <w:ind w:firstLine="720"/>
      </w:pPr>
      <w:r>
        <w:t xml:space="preserve">Where coalition membership carries information about a state’s broader orientation, joining should correlate with the rest of the state’s diplomatic behavior, and the link that carries the correlation is trust. Decentralized information sharing runs on trust, and trust does not confine itself to a sector; a state willing to share sensitive space data with the United States is plausibly a state that also positions itself near the United States on the questions that dominate multilateral voting</w:t>
      </w:r>
      <w:r>
        <w:t xml:space="preserve"> </w:t>
      </w:r>
      <w:hyperlink w:anchor="ref-9">
        <w:r>
          <w:rPr>
            <w:rStyle w:val="Hyperlink"/>
          </w:rPr>
          <w:t xml:space="preserve">[9]</w:t>
        </w:r>
      </w:hyperlink>
      <w:r>
        <w:t xml:space="preserve">. National space policy tends to braid civil, commercial, and defense concerns together, so a coalition choice in the space sector entangles with security and economic posture rather than sealing itself off from either</w:t>
      </w:r>
      <w:r>
        <w:t xml:space="preserve"> </w:t>
      </w:r>
      <w:hyperlink w:anchor="ref-11">
        <w:r>
          <w:rPr>
            <w:rStyle w:val="Hyperlink"/>
          </w:rPr>
          <w:t xml:space="preserve">[11]</w:t>
        </w:r>
      </w:hyperlink>
      <w:r>
        <w:t xml:space="preserve">. Stated plainly, the mechanism runs like this: accession is a visible instance of a broader alignment, and broad alignment surfaces in UN voting because broad alignment is what UN voting measures</w:t>
      </w:r>
      <w:r>
        <w:t xml:space="preserve"> </w:t>
      </w:r>
      <w:hyperlink w:anchor="ref-4">
        <w:r>
          <w:rPr>
            <w:rStyle w:val="Hyperlink"/>
          </w:rPr>
          <w:t xml:space="preserve">[4]</w:t>
        </w:r>
      </w:hyperlink>
      <w:r>
        <w:t xml:space="preserve">.</w:t>
      </w:r>
    </w:p>
    <w:p>
      <w:pPr>
        <w:pStyle w:val="BodyText"/>
        <w:spacing w:line="480" w:lineRule="auto"/>
        <w:ind w:firstLine="720"/>
      </w:pPr>
      <w:r>
        <w:t xml:space="preserve">This mechanism yields a directional prediction. Where accession carries cross-domain alignment content, states should sit closer to the United States in UN voting space after signing than their own history and the year’s conditions would predict. The prediction concerns movement within a country over time, not a cross-sectional gap between signatories and non-signatories, because signatories may differ from non-signatories for reasons that owe nothing to the Accords.</w:t>
      </w:r>
    </w:p>
    <w:bookmarkEnd w:id="84"/>
    <w:bookmarkStart w:id="85" w:name="the-rival-mechanism-bounded-cooperation"/>
    <w:p>
      <w:pPr>
        <w:pStyle w:val="Heading2"/>
        <w:spacing w:line="480" w:lineRule="auto"/>
      </w:pPr>
      <w:r>
        <w:t xml:space="preserve">The rival mechanism: bounded cooperation</w:t>
      </w:r>
    </w:p>
    <w:p>
      <w:pPr>
        <w:pStyle w:val="FirstParagraph"/>
        <w:spacing w:line="480" w:lineRule="auto"/>
      </w:pPr>
      <w:r>
        <w:t xml:space="preserve">A serious theory names the account it competes against, and the account here is bounded cooperation. On that reading, the Accords are exactly what their text says and no more, a framework for civil exploration with technical content and limited diplomatic reach</w:t>
      </w:r>
      <w:r>
        <w:t xml:space="preserve"> </w:t>
      </w:r>
      <w:hyperlink w:anchor="ref-6">
        <w:r>
          <w:rPr>
            <w:rStyle w:val="Hyperlink"/>
          </w:rPr>
          <w:t xml:space="preserve">[6]</w:t>
        </w:r>
      </w:hyperlink>
      <w:r>
        <w:t xml:space="preserve">. A state can sign for lunar science access, launch opportunities, and interoperability with partners while leaving its general foreign-policy posture untouched. Sustainability and commercialization pressures give states practical reasons to cooperate in space that ask nothing of broad alignment</w:t>
      </w:r>
      <w:r>
        <w:t xml:space="preserve"> </w:t>
      </w:r>
      <w:hyperlink w:anchor="ref-13">
        <w:r>
          <w:rPr>
            <w:rStyle w:val="Hyperlink"/>
          </w:rPr>
          <w:t xml:space="preserve">[13]</w:t>
        </w:r>
      </w:hyperlink>
      <w:r>
        <w:t xml:space="preserve">, and national legal development in the space domain often answers to regional and technical considerations rather than to great-power positioning</w:t>
      </w:r>
      <w:r>
        <w:t xml:space="preserve"> </w:t>
      </w:r>
      <w:hyperlink w:anchor="ref-12">
        <w:r>
          <w:rPr>
            <w:rStyle w:val="Hyperlink"/>
          </w:rPr>
          <w:t xml:space="preserve">[12]</w:t>
        </w:r>
      </w:hyperlink>
      <w:r>
        <w:t xml:space="preserve">.</w:t>
      </w:r>
    </w:p>
    <w:p>
      <w:pPr>
        <w:pStyle w:val="BodyText"/>
        <w:spacing w:line="480" w:lineRule="auto"/>
        <w:ind w:firstLine="720"/>
      </w:pPr>
      <w:r>
        <w:t xml:space="preserve">Under bounded cooperation, accession leaves no trace in UN voting. A state signs, joins the missions, adjusts its debris and registration practices, and keeps voting in New York exactly as its prior orientation and the year’s conditions would predict. Opposite predictions about the same coefficient are what the two mechanisms make, and that opposition is what makes the test informative. Order-building predicts movement. Bounded cooperation predicts none.</w:t>
      </w:r>
    </w:p>
    <w:bookmarkEnd w:id="85"/>
    <w:bookmarkStart w:id="86" w:name="the-selection-complication"/>
    <w:p>
      <w:pPr>
        <w:pStyle w:val="Heading2"/>
        <w:spacing w:line="480" w:lineRule="auto"/>
      </w:pPr>
      <w:r>
        <w:t xml:space="preserve">The selection complication</w:t>
      </w:r>
    </w:p>
    <w:p>
      <w:pPr>
        <w:pStyle w:val="FirstParagraph"/>
        <w:spacing w:line="480" w:lineRule="auto"/>
      </w:pPr>
      <w:r>
        <w:t xml:space="preserve">A third possibility is less a rival mechanism than a confound. It is also the most dangerous one for inference. States may sign because they are already aligned, and on that account accession neither reveals nor produces alignment; it trails alignment that was already in place. A state that already votes near the United States finds it natural and low-cost to join an American-led coalition, so prior proximity drives signing rather than signing driving proximity.</w:t>
      </w:r>
    </w:p>
    <w:p>
      <w:pPr>
        <w:pStyle w:val="BodyText"/>
        <w:spacing w:line="480" w:lineRule="auto"/>
        <w:ind w:firstLine="720"/>
      </w:pPr>
      <w:r>
        <w:t xml:space="preserve">This selection story matters because it can masquerade as the order-building mechanism inside a naive design. Where already-aligned states sign and their alignment persists, a cross-sectional comparison shows signatories closer to the United States, and a careless analyst reads that gap as an effect of the Accords. The within-country design in Chapter 4 exists partly to defend against exactly this, since it removes each state’s stable orientation before the accession coefficient is estimated</w:t>
      </w:r>
      <w:r>
        <w:t xml:space="preserve"> </w:t>
      </w:r>
      <w:hyperlink w:anchor="ref-3">
        <w:r>
          <w:rPr>
            <w:rStyle w:val="Hyperlink"/>
          </w:rPr>
          <w:t xml:space="preserve">[3]</w:t>
        </w:r>
      </w:hyperlink>
      <w:r>
        <w:t xml:space="preserve">. What it cannot remove is selection operating through the timing of signing, which is why a separate model of accession timing earns its place. Should prior alignment predict signing, then accession is at least partly a coalition marker, and any outcome estimate has to be read in light of that fact</w:t>
      </w:r>
      <w:r>
        <w:t xml:space="preserve"> </w:t>
      </w:r>
      <w:hyperlink w:anchor="ref-4">
        <w:r>
          <w:rPr>
            <w:rStyle w:val="Hyperlink"/>
          </w:rPr>
          <w:t xml:space="preserve">[4]</w:t>
        </w:r>
      </w:hyperlink>
      <w:r>
        <w:t xml:space="preserve">.</w:t>
      </w:r>
    </w:p>
    <w:bookmarkEnd w:id="86"/>
    <w:bookmarkStart w:id="87" w:name="hypotheses"/>
    <w:p>
      <w:pPr>
        <w:pStyle w:val="Heading2"/>
        <w:spacing w:line="480" w:lineRule="auto"/>
      </w:pPr>
      <w:r>
        <w:t xml:space="preserve">Hypotheses</w:t>
      </w:r>
    </w:p>
    <w:p>
      <w:pPr>
        <w:pStyle w:val="FirstParagraph"/>
        <w:spacing w:line="480" w:lineRule="auto"/>
      </w:pPr>
      <w:r>
        <w:t xml:space="preserve">The theory produces two testable predictions, one for each empirical paper.</w:t>
      </w:r>
    </w:p>
    <w:p>
      <w:pPr>
        <w:pStyle w:val="BodyText"/>
        <w:spacing w:line="480" w:lineRule="auto"/>
        <w:ind w:firstLine="720"/>
      </w:pPr>
      <w:r>
        <w:t xml:space="preserve">The first hypothesis concerns the outcome. Under the order-building mechanism, accession is followed by movement toward the United States in UN voting space. Cast as a null and an alternative, the null holds that the within-country, within-year accession coefficient is zero, and the alternative holds that it is positive, meaning signatories move closer to the United States after signing than their own history and the year’s conditions predict</w:t>
      </w:r>
      <w:r>
        <w:t xml:space="preserve"> </w:t>
      </w:r>
      <w:hyperlink w:anchor="ref-3">
        <w:r>
          <w:rPr>
            <w:rStyle w:val="Hyperlink"/>
          </w:rPr>
          <w:t xml:space="preserve">[3]</w:t>
        </w:r>
      </w:hyperlink>
      <w:r>
        <w:t xml:space="preserve">. The bounded-cooperation mechanism is the null made substantive, predicting a coefficient indistinguishable from zero. Since the two mechanisms compete over the same parameter, the outcome test can tell them apart, subject to the identification limits I discuss later.</w:t>
      </w:r>
    </w:p>
    <w:p>
      <w:pPr>
        <w:pStyle w:val="BodyText"/>
        <w:spacing w:line="480" w:lineRule="auto"/>
        <w:ind w:firstLine="720"/>
      </w:pPr>
      <w:r>
        <w:t xml:space="preserve">The second hypothesis concerns selection. Under the selection account, states that already sat closer to the United States in the previous year’s UN voting space are the likelier signers in a given at-risk year. The null holds that lagged alignment does not predict signing, and the alternative holds that lagged alignment raises the odds of signing, conditional on how many states have already signed and on the year index that captures diffusion timing</w:t>
      </w:r>
      <w:r>
        <w:t xml:space="preserve"> </w:t>
      </w:r>
      <w:hyperlink w:anchor="ref-4">
        <w:r>
          <w:rPr>
            <w:rStyle w:val="Hyperlink"/>
          </w:rPr>
          <w:t xml:space="preserve">[4]</w:t>
        </w:r>
      </w:hyperlink>
      <w:r>
        <w:t xml:space="preserve">. A large and precise coefficient on lagged alignment would tell me that accession is substantially a marker of prior position, which reshapes how the outcome estimate should be read.</w:t>
      </w:r>
    </w:p>
    <w:bookmarkEnd w:id="87"/>
    <w:bookmarkStart w:id="88" w:name="what-the-two-hypotheses-do-together"/>
    <w:p>
      <w:pPr>
        <w:pStyle w:val="Heading2"/>
        <w:spacing w:line="480" w:lineRule="auto"/>
      </w:pPr>
      <w:r>
        <w:t xml:space="preserve">What the two hypotheses do together</w:t>
      </w:r>
    </w:p>
    <w:p>
      <w:pPr>
        <w:pStyle w:val="FirstParagraph"/>
        <w:spacing w:line="480" w:lineRule="auto"/>
      </w:pPr>
      <w:r>
        <w:t xml:space="preserve">The pairing is where the theoretical payoff sits, because neither hypothesis alone settles the order-building question. A positive outcome estimate could reflect a real effect, or it could reflect selection that the within-country design failed to purge. A null outcome estimate could mean bounded cooperation, or it could mean that any effect drowns in measurement noise in the voting series. Reading the two coefficients together disciplines the interpretation of each.</w:t>
      </w:r>
    </w:p>
    <w:p>
      <w:pPr>
        <w:pStyle w:val="BodyText"/>
        <w:spacing w:line="480" w:lineRule="auto"/>
        <w:ind w:firstLine="720"/>
      </w:pPr>
      <w:r>
        <w:t xml:space="preserve">The combinations map cleanly onto meanings. Where the outcome coefficient is positive and lagged alignment does not predict signing, the order-building mechanism gains support and selection is a weak concern. Where the outcome coefficient is null and lagged alignment strongly predicts signing, accession reads best as a coalition marker that follows prior alignment rather than as a shock that produces it. Where both are present, accession is partly a marker and partly associated with movement, and the honest conclusion is a mixture. The theory therefore does more than predict two coefficients; it specifies how their joint pattern maps onto the order-building versus bounded-cooperation debate.</w:t>
      </w:r>
    </w:p>
    <w:bookmarkEnd w:id="88"/>
    <w:bookmarkStart w:id="89" w:name="micro-foundations-of-the-signal"/>
    <w:p>
      <w:pPr>
        <w:pStyle w:val="Heading2"/>
        <w:spacing w:line="480" w:lineRule="auto"/>
      </w:pPr>
      <w:r>
        <w:t xml:space="preserve">Micro-foundations of the signal</w:t>
      </w:r>
    </w:p>
    <w:p>
      <w:pPr>
        <w:pStyle w:val="FirstParagraph"/>
        <w:spacing w:line="480" w:lineRule="auto"/>
      </w:pPr>
      <w:r>
        <w:t xml:space="preserve">It helps to say why accession functions as a signal in the first place, in terms a skeptic would grant. Signals work when they are differentially costly, when the action comes cheaper to one type of actor than another. Signing the Accords comes cheaper to a state already comfortable with United States leadership than to a state wary of it, because the principles commit signatories to transparency, interoperability, and deconfliction under an arrangement the United States convenes</w:t>
      </w:r>
      <w:r>
        <w:t xml:space="preserve"> </w:t>
      </w:r>
      <w:hyperlink w:anchor="ref-6">
        <w:r>
          <w:rPr>
            <w:rStyle w:val="Hyperlink"/>
          </w:rPr>
          <w:t xml:space="preserve">[6]</w:t>
        </w:r>
      </w:hyperlink>
      <w:r>
        <w:t xml:space="preserve"> </w:t>
      </w:r>
      <w:hyperlink w:anchor="ref-7">
        <w:r>
          <w:rPr>
            <w:rStyle w:val="Hyperlink"/>
          </w:rPr>
          <w:t xml:space="preserve">[7]</w:t>
        </w:r>
      </w:hyperlink>
      <w:r>
        <w:t xml:space="preserve">. A wary state pays a larger reputational and strategic cost to sign, so accession sorts types: those who sign skew toward those for whom alignment is low-cost.</w:t>
      </w:r>
    </w:p>
    <w:p>
      <w:pPr>
        <w:pStyle w:val="BodyText"/>
        <w:spacing w:line="480" w:lineRule="auto"/>
        <w:ind w:firstLine="720"/>
      </w:pPr>
      <w:r>
        <w:t xml:space="preserve">This micro-foundation predicts the selection pattern directly. Where signing comes cheaper to the already-aligned, the already-aligned should sign more readily, which is the hazard relationship the second paper tests</w:t>
      </w:r>
      <w:r>
        <w:t xml:space="preserve"> </w:t>
      </w:r>
      <w:hyperlink w:anchor="ref-4">
        <w:r>
          <w:rPr>
            <w:rStyle w:val="Hyperlink"/>
          </w:rPr>
          <w:t xml:space="preserve">[4]</w:t>
        </w:r>
      </w:hyperlink>
      <w:r>
        <w:t xml:space="preserve">. It also clarifies why, under close inspection, the outcome prediction runs weaker than the selection prediction. A separating signal reveals type without necessarily changing it. A state that signs because alignment was cheap for it was already aligned, so its subsequent voting has little reason to move much. The signal reveals type. Taken to its micro-foundations, then, the theory quietly favors the selection channel even before the data arrive, and saying so now keeps the results from looking like a surprise the theory failed to anticipate.</w:t>
      </w:r>
    </w:p>
    <w:bookmarkEnd w:id="89"/>
    <w:bookmarkStart w:id="90" w:name="X2f7caf361623be3e98804aa650d9849e158f19c"/>
    <w:p>
      <w:pPr>
        <w:pStyle w:val="Heading2"/>
        <w:spacing w:line="480" w:lineRule="auto"/>
      </w:pPr>
      <w:r>
        <w:t xml:space="preserve">Timing, diffusion, and the shape of the hazard</w:t>
      </w:r>
    </w:p>
    <w:p>
      <w:pPr>
        <w:pStyle w:val="FirstParagraph"/>
        <w:spacing w:line="480" w:lineRule="auto"/>
      </w:pPr>
      <w:r>
        <w:t xml:space="preserve">The mechanism has a temporal structure the selection model has to respect. Coalitions grow over time, and growth changes the meaning of joining. Early signatories move when the coalition is small and its association with the United States is sharpest; late signatories move when the coalition is large and membership has turned routine. That is diffusion, and it can run independently of a state’s own alignment</w:t>
      </w:r>
      <w:r>
        <w:t xml:space="preserve"> </w:t>
      </w:r>
      <w:hyperlink w:anchor="ref-14">
        <w:r>
          <w:rPr>
            <w:rStyle w:val="Hyperlink"/>
          </w:rPr>
          <w:t xml:space="preserve">[14]</w:t>
        </w:r>
      </w:hyperlink>
      <w:r>
        <w:t xml:space="preserve">. A theory that ignored diffusion would misread joining-because-others-joined as joining-because-aligned.</w:t>
      </w:r>
    </w:p>
    <w:p>
      <w:pPr>
        <w:pStyle w:val="BodyText"/>
        <w:spacing w:line="480" w:lineRule="auto"/>
        <w:ind w:firstLine="720"/>
      </w:pPr>
      <w:r>
        <w:t xml:space="preserve">The design handles this by pulling apart two forces in the hazard model: the count of prior signatories, which captures diffusion pressure, and the year index, which captures the secular passage of time</w:t>
      </w:r>
      <w:r>
        <w:t xml:space="preserve"> </w:t>
      </w:r>
      <w:hyperlink w:anchor="ref-4">
        <w:r>
          <w:rPr>
            <w:rStyle w:val="Hyperlink"/>
          </w:rPr>
          <w:t xml:space="preserve">[4]</w:t>
        </w:r>
      </w:hyperlink>
      <w:r>
        <w:t xml:space="preserve">. Hold both fixed, and the lagged-alignment coefficient isolates the alignment channel specifically. The theoretical prediction is therefore precise. It is not merely that aligned states sign; it is that aligned states sign at higher rates even after accounting for how many others have already signed and for the general drift of the calendar. That precision is what turns the selection test into a genuine discriminator rather than a restatement of the obvious fact that coalitions grow.</w:t>
      </w:r>
    </w:p>
    <w:bookmarkEnd w:id="90"/>
    <w:bookmarkStart w:id="91" w:name="scope-conditions-of-the-theory"/>
    <w:p>
      <w:pPr>
        <w:pStyle w:val="Heading2"/>
        <w:spacing w:line="480" w:lineRule="auto"/>
      </w:pPr>
      <w:r>
        <w:t xml:space="preserve">Scope conditions of the theory</w:t>
      </w:r>
    </w:p>
    <w:p>
      <w:pPr>
        <w:pStyle w:val="FirstParagraph"/>
        <w:spacing w:line="480" w:lineRule="auto"/>
      </w:pPr>
      <w:r>
        <w:t xml:space="preserve">Every theory has scope conditions, and naming them keeps the predictions honest. The order-building mechanism, as specified here, applies to a coalition convened by a leading state around commitments carrying diplomatic visibility</w:t>
      </w:r>
      <w:r>
        <w:t xml:space="preserve"> </w:t>
      </w:r>
      <w:hyperlink w:anchor="ref-6">
        <w:r>
          <w:rPr>
            <w:rStyle w:val="Hyperlink"/>
          </w:rPr>
          <w:t xml:space="preserve">[6]</w:t>
        </w:r>
      </w:hyperlink>
      <w:r>
        <w:t xml:space="preserve"> </w:t>
      </w:r>
      <w:hyperlink w:anchor="ref-7">
        <w:r>
          <w:rPr>
            <w:rStyle w:val="Hyperlink"/>
          </w:rPr>
          <w:t xml:space="preserve">[7]</w:t>
        </w:r>
      </w:hyperlink>
      <w:r>
        <w:t xml:space="preserve">. It is no general theory of all institutional accession, and it would not necessarily carry over to a purely technical standards body with no great-power convenor. The bounded-cooperation alternative, in the same way, is specific to the claim that the Accords’ reach halts at the space sector; it asserts nothing about space cooperation being trivial, only that its diplomatic footprint stays narrow</w:t>
      </w:r>
      <w:r>
        <w:t xml:space="preserve"> </w:t>
      </w:r>
      <w:hyperlink w:anchor="ref-13">
        <w:r>
          <w:rPr>
            <w:rStyle w:val="Hyperlink"/>
          </w:rPr>
          <w:t xml:space="preserve">[13]</w:t>
        </w:r>
      </w:hyperlink>
      <w:r>
        <w:t xml:space="preserve">.</w:t>
      </w:r>
    </w:p>
    <w:p>
      <w:pPr>
        <w:pStyle w:val="BodyText"/>
        <w:spacing w:line="480" w:lineRule="auto"/>
        <w:ind w:firstLine="720"/>
      </w:pPr>
      <w:r>
        <w:t xml:space="preserve">The theory is also bounded to the measure. It predicts movement, or its absence, in broad UN voting proximity, because that is the observable this dissertation can test</w:t>
      </w:r>
      <w:r>
        <w:t xml:space="preserve"> </w:t>
      </w:r>
      <w:hyperlink w:anchor="ref-4">
        <w:r>
          <w:rPr>
            <w:rStyle w:val="Hyperlink"/>
          </w:rPr>
          <w:t xml:space="preserve">[4]</w:t>
        </w:r>
      </w:hyperlink>
      <w:r>
        <w:t xml:space="preserve">. It says nothing about movement in security cooperation, procurement, or scientific collaboration, all of which lie outside the measure. A reader should hold the theory to what it claims: a directional prediction about voting proximity, paired with a selection prediction about signing hazard, under the scope conditions of a great-power-convened coalition observed through a voting-based measure. Within those bounds the predictions are sharp and falsifiable.</w:t>
      </w:r>
    </w:p>
    <w:bookmarkEnd w:id="91"/>
    <w:bookmarkStart w:id="92" w:name="X3eda2285c6d132c882ed4a6755668ed6ca63a64"/>
    <w:p>
      <w:pPr>
        <w:pStyle w:val="Heading2"/>
        <w:spacing w:line="480" w:lineRule="auto"/>
      </w:pPr>
      <w:r>
        <w:t xml:space="preserve">Alternative theories the design does not adopt</w:t>
      </w:r>
    </w:p>
    <w:p>
      <w:pPr>
        <w:pStyle w:val="FirstParagraph"/>
        <w:spacing w:line="480" w:lineRule="auto"/>
      </w:pPr>
      <w:r>
        <w:t xml:space="preserve">Naming the theories I set aside clarifies what the two hypotheses are and are not testing. One alternative is a pure constructivist account in which accession socializes states into norms over time, so that alignment grows slowly through repeated interaction rather than appearing at signing</w:t>
      </w:r>
      <w:r>
        <w:t xml:space="preserve"> </w:t>
      </w:r>
      <w:hyperlink w:anchor="ref-14">
        <w:r>
          <w:rPr>
            <w:rStyle w:val="Hyperlink"/>
          </w:rPr>
          <w:t xml:space="preserve">[14]</w:t>
        </w:r>
      </w:hyperlink>
      <w:r>
        <w:t xml:space="preserve">. My design is not built to catch slow socialization, because the observation window is short and the outcome model hunts for movement near accession rather than across decades</w:t>
      </w:r>
      <w:r>
        <w:t xml:space="preserve"> </w:t>
      </w:r>
      <w:hyperlink w:anchor="ref-3">
        <w:r>
          <w:rPr>
            <w:rStyle w:val="Hyperlink"/>
          </w:rPr>
          <w:t xml:space="preserve">[3]</w:t>
        </w:r>
      </w:hyperlink>
      <w:r>
        <w:t xml:space="preserve">. I flag this as a scope limit, not a refutation; a socialization effect running on a long horizon would sit outside what the current data can see.</w:t>
      </w:r>
    </w:p>
    <w:p>
      <w:pPr>
        <w:pStyle w:val="BodyText"/>
        <w:spacing w:line="480" w:lineRule="auto"/>
        <w:ind w:firstLine="720"/>
      </w:pPr>
      <w:r>
        <w:t xml:space="preserve">A second alternative is a purely materialist account in which economic dependence and security guarantees drive both signing and voting, with the Accords playing no independent role at all. My selection model speaks to this indirectly, because where prior alignment predicts signing, some of that alignment may itself be a product of material ties</w:t>
      </w:r>
      <w:r>
        <w:t xml:space="preserve"> </w:t>
      </w:r>
      <w:hyperlink w:anchor="ref-4">
        <w:r>
          <w:rPr>
            <w:rStyle w:val="Hyperlink"/>
          </w:rPr>
          <w:t xml:space="preserve">[4]</w:t>
        </w:r>
      </w:hyperlink>
      <w:r>
        <w:t xml:space="preserve">. The design does not decompose alignment into its material and ideational sources, and it makes no such claim. It treats prior alignment as an observed position and asks whether that position predicts signing, leaving the deeper question of what produced the position to future work with richer covariates</w:t>
      </w:r>
      <w:r>
        <w:t xml:space="preserve"> </w:t>
      </w:r>
      <w:hyperlink w:anchor="ref-11">
        <w:r>
          <w:rPr>
            <w:rStyle w:val="Hyperlink"/>
          </w:rPr>
          <w:t xml:space="preserve">[11]</w:t>
        </w:r>
      </w:hyperlink>
      <w:r>
        <w:t xml:space="preserve">.</w:t>
      </w:r>
    </w:p>
    <w:p>
      <w:pPr>
        <w:pStyle w:val="BodyText"/>
        <w:spacing w:line="480" w:lineRule="auto"/>
        <w:ind w:firstLine="720"/>
      </w:pPr>
      <w:r>
        <w:t xml:space="preserve">A third alternative is strategic hedging, in which states sign to keep options open rather than to signal alignment, so that signatories are drawn on purpose from ambiguous positions. That account predicts weak or no selection on prior alignment, which the selection model can detect</w:t>
      </w:r>
      <w:r>
        <w:t xml:space="preserve"> </w:t>
      </w:r>
      <w:hyperlink w:anchor="ref-4">
        <w:r>
          <w:rPr>
            <w:rStyle w:val="Hyperlink"/>
          </w:rPr>
          <w:t xml:space="preserve">[4]</w:t>
        </w:r>
      </w:hyperlink>
      <w:r>
        <w:t xml:space="preserve">. Folding this possibility into the space of outcomes guards the design against assuming the answer. Were signing hedging rather than positioning, the lagged-alignment coefficient would come back small, and the theory would have to yield to the evidence. That the design admits such an outcome is part of what makes it falsifiable rather than confirmatory.</w:t>
      </w:r>
    </w:p>
    <w:bookmarkEnd w:id="92"/>
    <w:bookmarkStart w:id="93" w:name="observable-implications-restated"/>
    <w:p>
      <w:pPr>
        <w:pStyle w:val="Heading2"/>
        <w:spacing w:line="480" w:lineRule="auto"/>
      </w:pPr>
      <w:r>
        <w:t xml:space="preserve">Observable implications restated</w:t>
      </w:r>
    </w:p>
    <w:p>
      <w:pPr>
        <w:pStyle w:val="FirstParagraph"/>
        <w:spacing w:line="480" w:lineRule="auto"/>
      </w:pPr>
      <w:r>
        <w:t xml:space="preserve">Pulling the theory together, the observable implications are compact. Under order-building, the outcome coefficient is positive and the selection coefficient may be modest, because accession does work on members. Under bounded cooperation, the outcome coefficient is null regardless of selection, because accession’s reach stops at the sector</w:t>
      </w:r>
      <w:r>
        <w:t xml:space="preserve"> </w:t>
      </w:r>
      <w:hyperlink w:anchor="ref-13">
        <w:r>
          <w:rPr>
            <w:rStyle w:val="Hyperlink"/>
          </w:rPr>
          <w:t xml:space="preserve">[13]</w:t>
        </w:r>
      </w:hyperlink>
      <w:r>
        <w:t xml:space="preserve">. Under pure selection, the outcome coefficient is null and the selection coefficient is large, because signing tracks position without changing it</w:t>
      </w:r>
      <w:r>
        <w:t xml:space="preserve"> </w:t>
      </w:r>
      <w:hyperlink w:anchor="ref-4">
        <w:r>
          <w:rPr>
            <w:rStyle w:val="Hyperlink"/>
          </w:rPr>
          <w:t xml:space="preserve">[4]</w:t>
        </w:r>
      </w:hyperlink>
      <w:r>
        <w:t xml:space="preserve">. These three patterns stand apart in the data, which is the property that makes the empirical exercise worth running.</w:t>
      </w:r>
    </w:p>
    <w:p>
      <w:pPr>
        <w:pStyle w:val="BodyText"/>
        <w:spacing w:line="480" w:lineRule="auto"/>
        <w:ind w:firstLine="720"/>
      </w:pPr>
      <w:r>
        <w:t xml:space="preserve">The theory does not predict which pattern will appear. It specifies what each pattern would mean, and it commits in advance to reading the pattern the data produce rather than the one the order-building intuition prefers. That is the discipline separating a testable theory from a persuasive story, and it is the standard I carry into the results.</w:t>
      </w:r>
    </w:p>
    <w:bookmarkEnd w:id="93"/>
    <w:bookmarkStart w:id="94" w:name="commitment-to-the-predictions"/>
    <w:p>
      <w:pPr>
        <w:pStyle w:val="Heading2"/>
        <w:spacing w:line="480" w:lineRule="auto"/>
      </w:pPr>
      <w:r>
        <w:t xml:space="preserve">Commitment to the predictions</w:t>
      </w:r>
    </w:p>
    <w:p>
      <w:pPr>
        <w:pStyle w:val="FirstParagraph"/>
        <w:spacing w:line="480" w:lineRule="auto"/>
      </w:pPr>
      <w:r>
        <w:t xml:space="preserve">I commit to these predictions before reporting results. The outcome coefficient may come back positive, null, or negative. The selection coefficient may come back positive, null, or negative. The theory tells me what each outcome would mean, and it hands me no escape route should the data disappoint the order-building story. That is the property a falsifiable theory is supposed to have, and it is the standard the remaining chapters hold themselves to.</w:t>
      </w:r>
    </w:p>
    <w:p>
      <w:pPr>
        <w:pStyle w:val="BodyText"/>
        <w:spacing w:line="480" w:lineRule="auto"/>
        <w:ind w:firstLine="720"/>
      </w:pPr>
      <w:r>
        <w:t xml:space="preserve">The theory, then, is less a bet on a particular result than a map from results to meanings. It says what order-building would look like in the data, what bounded cooperation would look like, and what pure selection would look like, and it commits to reading whichever pattern appears</w:t>
      </w:r>
      <w:r>
        <w:t xml:space="preserve"> </w:t>
      </w:r>
      <w:hyperlink w:anchor="ref-3">
        <w:r>
          <w:rPr>
            <w:rStyle w:val="Hyperlink"/>
          </w:rPr>
          <w:t xml:space="preserve">[3]</w:t>
        </w:r>
      </w:hyperlink>
      <w:r>
        <w:t xml:space="preserve"> </w:t>
      </w:r>
      <w:hyperlink w:anchor="ref-4">
        <w:r>
          <w:rPr>
            <w:rStyle w:val="Hyperlink"/>
          </w:rPr>
          <w:t xml:space="preserve">[4]</w:t>
        </w:r>
      </w:hyperlink>
      <w:r>
        <w:t xml:space="preserve">. A theory that only knew how to celebrate one outcome would not earn the name. This one is built to interpret the failure of its favored hypothesis as cleanly as its success, which is exactly what the evidence in the chapters ahead requires of it.</w:t>
      </w:r>
    </w:p>
    <w:p>
      <w:pPr>
        <w:pStyle w:val="BodyText"/>
        <w:spacing w:line="480" w:lineRule="auto"/>
        <w:ind w:firstLine="720"/>
      </w:pPr>
      <w:r>
        <w:t xml:space="preserve">To close the theoretical argument, I restate the wager in one line. If accession is order-building, signatories move toward the United States after signing; if it is order-revealing, they were already close and do not move</w:t>
      </w:r>
      <w:r>
        <w:t xml:space="preserve"> </w:t>
      </w:r>
      <w:hyperlink w:anchor="ref-3">
        <w:r>
          <w:rPr>
            <w:rStyle w:val="Hyperlink"/>
          </w:rPr>
          <w:t xml:space="preserve">[3]</w:t>
        </w:r>
      </w:hyperlink>
      <w:r>
        <w:t xml:space="preserve"> </w:t>
      </w:r>
      <w:hyperlink w:anchor="ref-4">
        <w:r>
          <w:rPr>
            <w:rStyle w:val="Hyperlink"/>
          </w:rPr>
          <w:t xml:space="preserve">[4]</w:t>
        </w:r>
      </w:hyperlink>
      <w:r>
        <w:t xml:space="preserve">. Everything in the methodology, the data, and the results is arranged to tell those two possibilities apart. The theory has done its job once it hands the empirical chapters a clean fork with a known meaning on each tine, and it declines to lean on the tine it would prefer. That refusal is the discipline the rest of the dissertation inherits.</w:t>
      </w:r>
    </w:p>
    <w:bookmarkEnd w:id="94"/>
    <w:bookmarkEnd w:id="95"/>
    <w:bookmarkStart w:id="109" w:name="X940caaf6d3ac92c12a69529db0381ad3e868d7e"/>
    <w:p>
      <w:pPr>
        <w:pStyle w:val="Heading1"/>
        <w:spacing w:line="480" w:lineRule="auto"/>
      </w:pPr>
      <w:r>
        <w:t xml:space="preserve">Chapter 4. Methodology and Identification</w:t>
      </w:r>
    </w:p>
    <w:bookmarkStart w:id="96" w:name="what-the-estimators-have-to-do"/>
    <w:p>
      <w:pPr>
        <w:pStyle w:val="Heading2"/>
        <w:spacing w:line="480" w:lineRule="auto"/>
      </w:pPr>
      <w:r>
        <w:t xml:space="preserve">What the estimators have to do</w:t>
      </w:r>
    </w:p>
    <w:p>
      <w:pPr>
        <w:pStyle w:val="FirstParagraph"/>
        <w:spacing w:line="480" w:lineRule="auto"/>
      </w:pPr>
      <w:r>
        <w:t xml:space="preserve">Two questions demand two estimators. One asks whether accession is followed by movement toward the United States in UN voting space. The other asks whether prior proximity to the United States predicts the timing of accession. These are different objects, and they call for different tools, a linear within-country model for the first and a discrete-time hazard model for the second. This chapter describes both, states the assumptions each requires, and argues for why each identifies the quantity it claims to identify. It also says, without hedging, where identification stops.</w:t>
      </w:r>
    </w:p>
    <w:p>
      <w:pPr>
        <w:pStyle w:val="BodyText"/>
        <w:spacing w:line="480" w:lineRule="auto"/>
        <w:ind w:firstLine="720"/>
      </w:pPr>
      <w:r>
        <w:t xml:space="preserve">Conservatism governs the design from the first choice to the last. Accession is not randomly assigned. No procedure here can deliver a clean causal effect from observational panel data. What the estimators can do is remove the most obvious confounds, sharpen the comparison relative to a cross-sectional look, and expose the selection problem directly rather than hiding it. I would sooner report a modest, well-bounded association than dress an association up as a causal effect it is not. Every design choice that follows, from the residualization that strips out country and year averages to the lagged covariate that fixes the temporal ordering in the selection model, is made to squeeze the most defensible inference out of data that no experiment generated, and each choice is stated so a reader can see exactly what it buys and what it leaves unresolved</w:t>
      </w:r>
      <w:r>
        <w:t xml:space="preserve"> </w:t>
      </w:r>
      <w:hyperlink w:anchor="ref-3">
        <w:r>
          <w:rPr>
            <w:rStyle w:val="Hyperlink"/>
          </w:rPr>
          <w:t xml:space="preserve">[3]</w:t>
        </w:r>
      </w:hyperlink>
      <w:r>
        <w:t xml:space="preserve"> </w:t>
      </w:r>
      <w:hyperlink w:anchor="ref-4">
        <w:r>
          <w:rPr>
            <w:rStyle w:val="Hyperlink"/>
          </w:rPr>
          <w:t xml:space="preserve">[4]</w:t>
        </w:r>
      </w:hyperlink>
      <w:r>
        <w:t xml:space="preserve">. Claim little, show everything: that is the whole posture.</w:t>
      </w:r>
    </w:p>
    <w:bookmarkEnd w:id="96"/>
    <w:bookmarkStart w:id="97" w:name="Xc0f4637e64fe2b4b39dcf935656419f289eec06"/>
    <w:p>
      <w:pPr>
        <w:pStyle w:val="Heading2"/>
        <w:spacing w:line="480" w:lineRule="auto"/>
      </w:pPr>
      <w:r>
        <w:t xml:space="preserve">The outcome estimator: two-way fixed-effect residualization</w:t>
      </w:r>
    </w:p>
    <w:p>
      <w:pPr>
        <w:pStyle w:val="FirstParagraph"/>
        <w:spacing w:line="480" w:lineRule="auto"/>
      </w:pPr>
      <w:r>
        <w:t xml:space="preserve">The first paper estimates the accession coefficient through a two-way fixed-effect model built on a Frisch-Waugh-Lovell residualization</w:t>
      </w:r>
      <w:r>
        <w:t xml:space="preserve"> </w:t>
      </w:r>
      <w:hyperlink w:anchor="ref-3">
        <w:r>
          <w:rPr>
            <w:rStyle w:val="Hyperlink"/>
          </w:rPr>
          <w:t xml:space="preserve">[3]</w:t>
        </w:r>
      </w:hyperlink>
      <w:r>
        <w:t xml:space="preserve">. The idea is to purge both country-specific and year-specific variation from every variable before the final regression runs, so that the estimated coefficient carries only within-country, within-year covariation.</w:t>
      </w:r>
    </w:p>
    <w:p>
      <w:pPr>
        <w:pStyle w:val="BodyText"/>
        <w:spacing w:line="480" w:lineRule="auto"/>
        <w:ind w:firstLine="720"/>
      </w:pPr>
      <w:r>
        <w:t xml:space="preserve">In practice, each variable is transformed by subtracting its country mean and its year mean and adding the grand mean back in. In the notation of the configuration, the residualized variable is the raw value minus the country average minus the year average plus the overall average</w:t>
      </w:r>
      <w:r>
        <w:t xml:space="preserve"> </w:t>
      </w:r>
      <w:hyperlink w:anchor="ref-3">
        <w:r>
          <w:rPr>
            <w:rStyle w:val="Hyperlink"/>
          </w:rPr>
          <w:t xml:space="preserve">[3]</w:t>
        </w:r>
      </w:hyperlink>
      <w:r>
        <w:t xml:space="preserve">. The outcome, the accession indicator, and the vote-count control each pass through this transformation. The residualized outcome is then regressed on the residualized accession indicator and the residualized vote-count control. Written as one line, the estimating equation is the residualized regression of residualized alignment on residualized accession plus residualized vote count, with the accession coefficient standing as the parameter of interest.</w:t>
      </w:r>
    </w:p>
    <w:p>
      <w:pPr>
        <w:pStyle w:val="BodyText"/>
        <w:spacing w:line="480" w:lineRule="auto"/>
        <w:ind w:firstLine="720"/>
      </w:pPr>
      <w:r>
        <w:t xml:space="preserve">Each piece of the transformation retires a specific threat. Subtracting the country mean absorbs stable national orientation, so a state that always votes near or far from the United States cannot contaminate the estimate; only its deviations from its own average carry weight. Subtracting the year mean absorbs global shocks, so a year in which the whole General Assembly shifts, or in which the ideal-point scale behaves unusually, cannot drive the result. The vote-count control answers to the fact that the annual ideal point is estimated from a varying number of final-passage votes, which affects the precision and sometimes the level of the annual estimate</w:t>
      </w:r>
      <w:r>
        <w:t xml:space="preserve"> </w:t>
      </w:r>
      <w:hyperlink w:anchor="ref-3">
        <w:r>
          <w:rPr>
            <w:rStyle w:val="Hyperlink"/>
          </w:rPr>
          <w:t xml:space="preserve">[3]</w:t>
        </w:r>
      </w:hyperlink>
      <w:r>
        <w:t xml:space="preserve"> </w:t>
      </w:r>
      <w:hyperlink w:anchor="ref-4">
        <w:r>
          <w:rPr>
            <w:rStyle w:val="Hyperlink"/>
          </w:rPr>
          <w:t xml:space="preserve">[4]</w:t>
        </w:r>
      </w:hyperlink>
      <w:r>
        <w:t xml:space="preserve">. Residualizing that control alongside the treatment keeps the comparison internally consistent.</w:t>
      </w:r>
    </w:p>
    <w:bookmarkEnd w:id="97"/>
    <w:bookmarkStart w:id="98" w:name="X4c161943b653130c31d0218944ce48bfed71d33"/>
    <w:p>
      <w:pPr>
        <w:pStyle w:val="Heading2"/>
        <w:spacing w:line="480" w:lineRule="auto"/>
      </w:pPr>
      <w:r>
        <w:t xml:space="preserve">Why the outcome estimator identifies within-country movement</w:t>
      </w:r>
    </w:p>
    <w:p>
      <w:pPr>
        <w:pStyle w:val="FirstParagraph"/>
        <w:spacing w:line="480" w:lineRule="auto"/>
      </w:pPr>
      <w:r>
        <w:t xml:space="preserve">The two-way fixed-effect design identifies the relationship between accession and voting proximity net of two large classes of confounding. It cannot identify a causal effect on its own, and the paper says plainly that the estimate is evidence on post-accession movement rather than proof of causal realignment</w:t>
      </w:r>
      <w:r>
        <w:t xml:space="preserve"> </w:t>
      </w:r>
      <w:hyperlink w:anchor="ref-3">
        <w:r>
          <w:rPr>
            <w:rStyle w:val="Hyperlink"/>
          </w:rPr>
          <w:t xml:space="preserve">[3]</w:t>
        </w:r>
      </w:hyperlink>
      <w:r>
        <w:t xml:space="preserve">.</w:t>
      </w:r>
    </w:p>
    <w:p>
      <w:pPr>
        <w:pStyle w:val="BodyText"/>
        <w:spacing w:line="480" w:lineRule="auto"/>
        <w:ind w:firstLine="720"/>
      </w:pPr>
      <w:r>
        <w:t xml:space="preserve">The within-country change is the identifying content. Once residualization is done, the accession coefficient answers one specific question: inside a given country, and relative to the average behavior of all countries in the same years, does the period after signing show voting positions closer to the United States than the period before? That question is stronger than the cross-sectional one, which merely lines signatories up against non-signatories and confuses selection with effect. It is weaker than a randomized experiment. Only the experiment would license a causal claim.</w:t>
      </w:r>
    </w:p>
    <w:p>
      <w:pPr>
        <w:pStyle w:val="BodyText"/>
        <w:spacing w:line="480" w:lineRule="auto"/>
        <w:ind w:firstLine="720"/>
      </w:pPr>
      <w:r>
        <w:t xml:space="preserve">The design leaves one gap open by construction. It clears out stable orientation and common shocks, but it leaves in place any time-varying confound that moves together with accession inside a country. Should a state sign the Accords in the same period it undergoes a security realignment, a change of government, or a shift in economic dependence, and should that event also move its UN voting, the accession coefficient will soak up some of that movement. Country fixed effects cannot catch a within-country event. This is exactly why the second paper exists: it interrogates the timing of accession directly, the very channel through which the most worrying confounds would run.</w:t>
      </w:r>
    </w:p>
    <w:bookmarkEnd w:id="98"/>
    <w:bookmarkStart w:id="99" w:name="Xe3a97eabccc137e1aa73eb29dd5f0b1ce2c5fcb"/>
    <w:p>
      <w:pPr>
        <w:pStyle w:val="Heading2"/>
        <w:spacing w:line="480" w:lineRule="auto"/>
      </w:pPr>
      <w:r>
        <w:t xml:space="preserve">The selection estimator: discrete-time event-history logit</w:t>
      </w:r>
    </w:p>
    <w:p>
      <w:pPr>
        <w:pStyle w:val="FirstParagraph"/>
        <w:spacing w:line="480" w:lineRule="auto"/>
      </w:pPr>
      <w:r>
        <w:t xml:space="preserve">The second paper models accession timing with a discrete-time event-history logit</w:t>
      </w:r>
      <w:r>
        <w:t xml:space="preserve"> </w:t>
      </w:r>
      <w:hyperlink w:anchor="ref-4">
        <w:r>
          <w:rPr>
            <w:rStyle w:val="Hyperlink"/>
          </w:rPr>
          <w:t xml:space="preserve">[4]</w:t>
        </w:r>
      </w:hyperlink>
      <w:r>
        <w:t xml:space="preserve">. The setup treats each country-year as one observation in a risk set. A country enters the risk set in 2020 if it has not yet signed, and it leaves once it signs. The event indicator equals one only in the year a country signs and zero in every prior at-risk year. Countries still unsigned at the end of the observation window stay at risk and are coded zero throughout.</w:t>
      </w:r>
    </w:p>
    <w:p>
      <w:pPr>
        <w:pStyle w:val="BodyText"/>
        <w:spacing w:line="480" w:lineRule="auto"/>
        <w:ind w:firstLine="720"/>
      </w:pPr>
      <w:r>
        <w:t xml:space="preserve">The model estimates the probability of signing in an at-risk year as a logistic function of three covariates: the previous year’s alignment score, the number of states that had already signed, and a year index. Written out, the estimating equation is the logit of the signing probability as a function of lagged alignment, the count of prior signatories, and the year index. The lagged-alignment coefficient is the parameter of interest, and it reports a log-odds estimate: a positive value says that states closer to the United States in the prior year carried higher odds of signing in the current year, holding the other two covariates fixed.</w:t>
      </w:r>
    </w:p>
    <w:p>
      <w:pPr>
        <w:pStyle w:val="BodyText"/>
        <w:spacing w:line="480" w:lineRule="auto"/>
        <w:ind w:firstLine="720"/>
      </w:pPr>
      <w:r>
        <w:t xml:space="preserve">Each of the two control covariates does a specific job. Diffusion is what the count of prior signatories captures, since coalitions grow and a state may sign partly because many others already have, apart from its own alignment. Time is what the year index captures, along with any secular trend in the signing hazard. Carry both, and the lagged-alignment coefficient speaks to the alignment channel specifically rather than to the coalition’s overall momentum or the calendar.</w:t>
      </w:r>
    </w:p>
    <w:bookmarkEnd w:id="99"/>
    <w:bookmarkStart w:id="100" w:name="X3be523138e87d51e16400cb2d545ea51d87f514"/>
    <w:p>
      <w:pPr>
        <w:pStyle w:val="Heading2"/>
        <w:spacing w:line="480" w:lineRule="auto"/>
      </w:pPr>
      <w:r>
        <w:t xml:space="preserve">Why the selection estimator identifies a selection diagnostic</w:t>
      </w:r>
    </w:p>
    <w:p>
      <w:pPr>
        <w:pStyle w:val="FirstParagraph"/>
        <w:spacing w:line="480" w:lineRule="auto"/>
      </w:pPr>
      <w:r>
        <w:t xml:space="preserve">The event-history logit does not estimate a post-accession effect. It estimates whether prior alignment is associated with the hazard of signing, which is a diagnostic for the selection problem that threatens the outcome model</w:t>
      </w:r>
      <w:r>
        <w:t xml:space="preserve"> </w:t>
      </w:r>
      <w:hyperlink w:anchor="ref-4">
        <w:r>
          <w:rPr>
            <w:rStyle w:val="Hyperlink"/>
          </w:rPr>
          <w:t xml:space="preserve">[4]</w:t>
        </w:r>
      </w:hyperlink>
      <w:r>
        <w:t xml:space="preserve">. That distinction wants stating precisely, because the two papers share the same alignment measure and could be mistaken for measuring the same thing.</w:t>
      </w:r>
    </w:p>
    <w:p>
      <w:pPr>
        <w:pStyle w:val="BodyText"/>
        <w:spacing w:line="480" w:lineRule="auto"/>
        <w:ind w:firstLine="720"/>
      </w:pPr>
      <w:r>
        <w:t xml:space="preserve">The identification here turns on ordering in time. The alignment covariate is lagged, so it reflects a state’s voting position in the year before the at-risk year, while the event is measured in the current year. A positive coefficient therefore says that prior position predicts subsequent signing, which is the direction that matters for selection. Should already-aligned states be the likelier signers, then the outcome model’s accession coefficient is contaminated by selection, and the dissertation has to read accession as partly a coalition marker rather than purely a treatment.</w:t>
      </w:r>
    </w:p>
    <w:p>
      <w:pPr>
        <w:pStyle w:val="BodyText"/>
        <w:spacing w:line="480" w:lineRule="auto"/>
        <w:ind w:firstLine="720"/>
      </w:pPr>
      <w:r>
        <w:t xml:space="preserve">The logit carries its own limits. It cannot rule out an unobserved factor driving both prior alignment and the propensity to sign, and it treats the risk set as exogenous even though entry into the population of plausible signatories is itself a choice. Quantifying the selection channel the outcome design cannot purge is what it can do. A large, precise lagged-alignment coefficient reads as an instruction. Handle the outcome estimate with care, because signing runs far from random.</w:t>
      </w:r>
    </w:p>
    <w:bookmarkEnd w:id="100"/>
    <w:bookmarkStart w:id="101" w:name="the-joint-identification-argument"/>
    <w:p>
      <w:pPr>
        <w:pStyle w:val="Heading2"/>
        <w:spacing w:line="480" w:lineRule="auto"/>
      </w:pPr>
      <w:r>
        <w:t xml:space="preserve">The joint identification argument</w:t>
      </w:r>
    </w:p>
    <w:p>
      <w:pPr>
        <w:pStyle w:val="FirstParagraph"/>
        <w:spacing w:line="480" w:lineRule="auto"/>
      </w:pPr>
      <w:r>
        <w:t xml:space="preserve">The two estimators are stronger together than either is alone, and the logic of combining them is the methodological core of the dissertation. The outcome model removes stable orientation and common shocks and reports the within-country association between accession and voting proximity</w:t>
      </w:r>
      <w:r>
        <w:t xml:space="preserve"> </w:t>
      </w:r>
      <w:hyperlink w:anchor="ref-3">
        <w:r>
          <w:rPr>
            <w:rStyle w:val="Hyperlink"/>
          </w:rPr>
          <w:t xml:space="preserve">[3]</w:t>
        </w:r>
      </w:hyperlink>
      <w:r>
        <w:t xml:space="preserve">; the selection model reports whether the timing of accession is driven by prior alignment</w:t>
      </w:r>
      <w:r>
        <w:t xml:space="preserve"> </w:t>
      </w:r>
      <w:hyperlink w:anchor="ref-4">
        <w:r>
          <w:rPr>
            <w:rStyle w:val="Hyperlink"/>
          </w:rPr>
          <w:t xml:space="preserve">[4]</w:t>
        </w:r>
      </w:hyperlink>
      <w:r>
        <w:t xml:space="preserve">. Neither delivers a causal effect. Read jointly, they bound the interpretation in a way neither can manage alone.</w:t>
      </w:r>
    </w:p>
    <w:p>
      <w:pPr>
        <w:pStyle w:val="BodyText"/>
        <w:spacing w:line="480" w:lineRule="auto"/>
        <w:ind w:firstLine="720"/>
      </w:pPr>
      <w:r>
        <w:t xml:space="preserve">The reasoning runs through the possible pairings. Where the outcome association is present and selection is weak, the order-building reading gains support, because within-country movement is not obviously an artifact of who signs when. Where the outcome association is absent and selection is strong, accession reads best as a coalition marker that follows prior alignment, because signing tracks position without leaving a fresh voting trace. Intermediate patterns earn intermediate readings. The design promises no certainty. It promises a disciplined map from the pair of coefficients to the substantive question. That is the most honest observational work in this setting can offer.</w:t>
      </w:r>
    </w:p>
    <w:bookmarkEnd w:id="101"/>
    <w:bookmarkStart w:id="102" w:name="robustness-logic-and-its-boundaries"/>
    <w:p>
      <w:pPr>
        <w:pStyle w:val="Heading2"/>
        <w:spacing w:line="480" w:lineRule="auto"/>
      </w:pPr>
      <w:r>
        <w:t xml:space="preserve">Robustness logic and its boundaries</w:t>
      </w:r>
    </w:p>
    <w:p>
      <w:pPr>
        <w:pStyle w:val="FirstParagraph"/>
        <w:spacing w:line="480" w:lineRule="auto"/>
      </w:pPr>
      <w:r>
        <w:t xml:space="preserve">Several robustness considerations fall out of the design and get met in interpretation rather than swept aside. Late-year signatures are a known complication: a state that signs near the end of a calendar year has already cast many of that year’s votes before the ceremony, so the same-year outcome blends pre-signature and post-signature behavior</w:t>
      </w:r>
      <w:r>
        <w:t xml:space="preserve"> </w:t>
      </w:r>
      <w:hyperlink w:anchor="ref-3">
        <w:r>
          <w:rPr>
            <w:rStyle w:val="Hyperlink"/>
          </w:rPr>
          <w:t xml:space="preserve">[3]</w:t>
        </w:r>
      </w:hyperlink>
      <w:r>
        <w:t xml:space="preserve">. The year fixed effect does not repair this, because it works across countries within a year, not within a country across months. The honest response is to flag the timing structure and handle the immediate post-signature year with appropriate caution.</w:t>
      </w:r>
    </w:p>
    <w:p>
      <w:pPr>
        <w:pStyle w:val="BodyText"/>
        <w:spacing w:line="480" w:lineRule="auto"/>
        <w:ind w:firstLine="720"/>
      </w:pPr>
      <w:r>
        <w:t xml:space="preserve">The 2025 ideal-point release earns its place by extending the post-accession window, yet the source documentation counsels care in reading the most recent year, so I lean on it for coverage while marking its provisional character</w:t>
      </w:r>
      <w:r>
        <w:t xml:space="preserve"> </w:t>
      </w:r>
      <w:hyperlink w:anchor="ref-3">
        <w:r>
          <w:rPr>
            <w:rStyle w:val="Hyperlink"/>
          </w:rPr>
          <w:t xml:space="preserve">[3]</w:t>
        </w:r>
      </w:hyperlink>
      <w:r>
        <w:t xml:space="preserve">. Country-name harmonization stays confined to cases where the NASA list and the Dataverse file attach different labels to the same state, which keeps the merge transparent and reproducible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None of these steps turns the design into an experiment. They keep it honest about what it can and cannot see, the very standard the results chapter answers to.</w:t>
      </w:r>
    </w:p>
    <w:bookmarkEnd w:id="102"/>
    <w:bookmarkStart w:id="103" w:name="X212e238089ee5b7272afa0a2560b6aa72d91359"/>
    <w:p>
      <w:pPr>
        <w:pStyle w:val="Heading2"/>
        <w:spacing w:line="480" w:lineRule="auto"/>
      </w:pPr>
      <w:r>
        <w:t xml:space="preserve">Why residualization rather than dummy variables</w:t>
      </w:r>
    </w:p>
    <w:p>
      <w:pPr>
        <w:pStyle w:val="FirstParagraph"/>
        <w:spacing w:line="480" w:lineRule="auto"/>
      </w:pPr>
      <w:r>
        <w:t xml:space="preserve">A reader trained in panel methods might ask why the outcome model reaches for explicit residualization instead of simply carrying country and year dummy variables in one regression. The two are algebraically equivalent for the coefficient of interest. That equivalence is the whole point of invoking the Frisch-Waugh-Lovell result</w:t>
      </w:r>
      <w:r>
        <w:t xml:space="preserve"> </w:t>
      </w:r>
      <w:hyperlink w:anchor="ref-3">
        <w:r>
          <w:rPr>
            <w:rStyle w:val="Hyperlink"/>
          </w:rPr>
          <w:t xml:space="preserve">[3]</w:t>
        </w:r>
      </w:hyperlink>
      <w:r>
        <w:t xml:space="preserve">. Partial the country and year means out of every variable, then regress the residualized outcome on the residualized treatment, and the accession coefficient matches what a full dummy-variable specification returns. Residualization makes the logic transparent: it shows exactly which variation identifies the estimate, the within-country deviations from country and year averages, and it hides nothing inside a large matrix of fixed effects.</w:t>
      </w:r>
    </w:p>
    <w:p>
      <w:pPr>
        <w:pStyle w:val="BodyText"/>
        <w:spacing w:line="480" w:lineRule="auto"/>
        <w:ind w:firstLine="720"/>
      </w:pPr>
      <w:r>
        <w:t xml:space="preserve">The transparency pays off in interpretation. Because the treatment is residualized, its coefficient cannot be carrying stable national orientation or common annual shocks; those components left the data before the regression ran</w:t>
      </w:r>
      <w:r>
        <w:t xml:space="preserve"> </w:t>
      </w:r>
      <w:hyperlink w:anchor="ref-3">
        <w:r>
          <w:rPr>
            <w:rStyle w:val="Hyperlink"/>
          </w:rPr>
          <w:t xml:space="preserve">[3]</w:t>
        </w:r>
      </w:hyperlink>
      <w:r>
        <w:t xml:space="preserve">. Any reader who wants to check the claim can compute the residuals from the two source files and confirm that the accession coefficient rests only on within-country, within-year movement. The method is chosen for auditability as much as for correctness.</w:t>
      </w:r>
    </w:p>
    <w:bookmarkEnd w:id="103"/>
    <w:bookmarkStart w:id="104" w:name="inference-and-the-standard-errors"/>
    <w:p>
      <w:pPr>
        <w:pStyle w:val="Heading2"/>
        <w:spacing w:line="480" w:lineRule="auto"/>
      </w:pPr>
      <w:r>
        <w:t xml:space="preserve">Inference and the standard errors</w:t>
      </w:r>
    </w:p>
    <w:p>
      <w:pPr>
        <w:pStyle w:val="FirstParagraph"/>
        <w:spacing w:line="480" w:lineRule="auto"/>
      </w:pPr>
      <w:r>
        <w:t xml:space="preserve">The estimator returns not only a coefficient but a standard error, and the basis of inference deserves a sentence. The reported standard errors treat the residualized observations as the unit of analysis, and the accession coefficient is judged against them in the usual way, through a ratio of estimate to standard error and its associated p-value</w:t>
      </w:r>
      <w:r>
        <w:t xml:space="preserve"> </w:t>
      </w:r>
      <w:hyperlink w:anchor="ref-3">
        <w:r>
          <w:rPr>
            <w:rStyle w:val="Hyperlink"/>
          </w:rPr>
          <w:t xml:space="preserve">[3]</w:t>
        </w:r>
      </w:hyperlink>
      <w:r>
        <w:t xml:space="preserve">. The vote-count control doubles as a useful internal check: because the number of final-passage votes genuinely varies across country-years and plausibly moves the annual ideal point, a well-specified model should return a precise, significant coefficient on it, and a model that failed to do so would flag a problem in the panel construction</w:t>
      </w:r>
      <w:r>
        <w:t xml:space="preserve"> </w:t>
      </w:r>
      <w:hyperlink w:anchor="ref-4">
        <w:r>
          <w:rPr>
            <w:rStyle w:val="Hyperlink"/>
          </w:rPr>
          <w:t xml:space="preserve">[4]</w:t>
        </w:r>
      </w:hyperlink>
      <w:r>
        <w:t xml:space="preserve">.</w:t>
      </w:r>
    </w:p>
    <w:p>
      <w:pPr>
        <w:pStyle w:val="BodyText"/>
        <w:spacing w:line="480" w:lineRule="auto"/>
        <w:ind w:firstLine="720"/>
      </w:pPr>
      <w:r>
        <w:t xml:space="preserve">I flag one inferential subtlety rather than paper over it. Country-year panels can carry within-country correlation over time, which, left unaddressed, understates uncertainty. The residualization strips out the country mean, which absorbs the most persistent component of that correlation, without guaranteeing independent residuals within a country. The honest posture is to treat the outcome coefficient’s precise p-value as an approximation and to lean on the sign and magnitude, all the more since the substantive conclusion in later chapters rests on a null outcome estimate whose interpretation does not hang on a single decimal place of the p-value</w:t>
      </w:r>
      <w:r>
        <w:t xml:space="preserve"> </w:t>
      </w:r>
      <w:hyperlink w:anchor="ref-3">
        <w:r>
          <w:rPr>
            <w:rStyle w:val="Hyperlink"/>
          </w:rPr>
          <w:t xml:space="preserve">[3]</w:t>
        </w:r>
      </w:hyperlink>
      <w:r>
        <w:t xml:space="preserve">.</w:t>
      </w:r>
    </w:p>
    <w:bookmarkEnd w:id="104"/>
    <w:bookmarkStart w:id="105" w:name="Xbe3e3d2fae231b0d0a5dc359fa7a29ca34a6957"/>
    <w:p>
      <w:pPr>
        <w:pStyle w:val="Heading2"/>
        <w:spacing w:line="480" w:lineRule="auto"/>
      </w:pPr>
      <w:r>
        <w:t xml:space="preserve">Identification limits of the logit, stated plainly</w:t>
      </w:r>
    </w:p>
    <w:p>
      <w:pPr>
        <w:pStyle w:val="FirstParagraph"/>
        <w:spacing w:line="480" w:lineRule="auto"/>
      </w:pPr>
      <w:r>
        <w:t xml:space="preserve">The event-history model carries its own identification limits, and I set them out here so the results chapter need not relitigate them. The logit estimates an association between lagged alignment and the signing hazard; it does not estimate a treatment effect of alignment on signing, because alignment is never manipulated</w:t>
      </w:r>
      <w:r>
        <w:t xml:space="preserve"> </w:t>
      </w:r>
      <w:hyperlink w:anchor="ref-4">
        <w:r>
          <w:rPr>
            <w:rStyle w:val="Hyperlink"/>
          </w:rPr>
          <w:t xml:space="preserve">[4]</w:t>
        </w:r>
      </w:hyperlink>
      <w:r>
        <w:t xml:space="preserve">. A confound that raised both a state’s prior alignment and its propensity to sign, a durable security relationship with the United States for instance, would inflate the lagged-alignment coefficient. The model cannot rule that out, and it makes no pretense of doing so.</w:t>
      </w:r>
    </w:p>
    <w:p>
      <w:pPr>
        <w:pStyle w:val="BodyText"/>
        <w:spacing w:line="480" w:lineRule="auto"/>
        <w:ind w:firstLine="720"/>
      </w:pPr>
      <w:r>
        <w:t xml:space="preserve">What the logit can do is establish whether the selection channel is empirically live. Where lagged alignment carries no predictive weight, selection on prior position is a minor worry and the outcome model reads more literally. Where lagged alignment carries heavy weight, selection is a first-order concern and the outcome estimate reads as partly reflecting who signs rather than what signing does</w:t>
      </w:r>
      <w:r>
        <w:t xml:space="preserve"> </w:t>
      </w:r>
      <w:hyperlink w:anchor="ref-4">
        <w:r>
          <w:rPr>
            <w:rStyle w:val="Hyperlink"/>
          </w:rPr>
          <w:t xml:space="preserve">[4]</w:t>
        </w:r>
      </w:hyperlink>
      <w:r>
        <w:t xml:space="preserve">. The estimator is a diagnostic instrument pointed at a specific threat, and its value lies in measuring that threat precisely, not in resolving the deeper causal structure of accession.</w:t>
      </w:r>
    </w:p>
    <w:bookmarkEnd w:id="105"/>
    <w:bookmarkStart w:id="106" w:name="placebo-logic-and-pre-trend-reasoning"/>
    <w:p>
      <w:pPr>
        <w:pStyle w:val="Heading2"/>
        <w:spacing w:line="480" w:lineRule="auto"/>
      </w:pPr>
      <w:r>
        <w:t xml:space="preserve">Placebo logic and pre-trend reasoning</w:t>
      </w:r>
    </w:p>
    <w:p>
      <w:pPr>
        <w:pStyle w:val="FirstParagraph"/>
        <w:spacing w:line="480" w:lineRule="auto"/>
      </w:pPr>
      <w:r>
        <w:t xml:space="preserve">Although the outcome model runs as a residualized two-way fixed-effect regression, its interpretation borrows a placebo logic worth making explicit. Were accession trailing a pre-existing trend rather than producing a change, the alignment of soon-to-sign states would already be drifting toward the United States before signing</w:t>
      </w:r>
      <w:r>
        <w:t xml:space="preserve"> </w:t>
      </w:r>
      <w:hyperlink w:anchor="ref-3">
        <w:r>
          <w:rPr>
            <w:rStyle w:val="Hyperlink"/>
          </w:rPr>
          <w:t xml:space="preserve">[3]</w:t>
        </w:r>
      </w:hyperlink>
      <w:r>
        <w:t xml:space="preserve">. The natural check examines the pre-signature period for signatories, which the residualized framework accommodates because it keeps each country’s full within-sample history, including the years before accession</w:t>
      </w:r>
      <w:r>
        <w:t xml:space="preserve"> </w:t>
      </w:r>
      <w:hyperlink w:anchor="ref-3">
        <w:r>
          <w:rPr>
            <w:rStyle w:val="Hyperlink"/>
          </w:rPr>
          <w:t xml:space="preserve">[3]</w:t>
        </w:r>
      </w:hyperlink>
      <w:r>
        <w:t xml:space="preserve">. A flat pre-signature residual would reassure; a rising one would signal that any post-signature association continues prior motion rather than following from the signature.</w:t>
      </w:r>
    </w:p>
    <w:p>
      <w:pPr>
        <w:pStyle w:val="BodyText"/>
        <w:spacing w:line="480" w:lineRule="auto"/>
        <w:ind w:firstLine="720"/>
      </w:pPr>
      <w:r>
        <w:t xml:space="preserve">This reasoning wires the two papers tightly together. A strong selection result implies that signatories differ systematically in their prior positions, which is exactly the condition under which pre-trends deserve scrutiny</w:t>
      </w:r>
      <w:r>
        <w:t xml:space="preserve"> </w:t>
      </w:r>
      <w:hyperlink w:anchor="ref-4">
        <w:r>
          <w:rPr>
            <w:rStyle w:val="Hyperlink"/>
          </w:rPr>
          <w:t xml:space="preserve">[4]</w:t>
        </w:r>
      </w:hyperlink>
      <w:r>
        <w:t xml:space="preserve">. The selection model therefore serves as an early warning: should it find heavy selection on prior alignment, the outcome model’s parallel-trends premise comes under strain, and the outcome coefficient reads as potentially reflecting who signs rather than what signing does. The design does more than run two models in parallel; it feeds the diagnostic output of one into the interpretation of the other.</w:t>
      </w:r>
    </w:p>
    <w:bookmarkEnd w:id="106"/>
    <w:bookmarkStart w:id="107" w:name="choice-of-a-linear-model-for-the-outcome"/>
    <w:p>
      <w:pPr>
        <w:pStyle w:val="Heading2"/>
        <w:spacing w:line="480" w:lineRule="auto"/>
      </w:pPr>
      <w:r>
        <w:t xml:space="preserve">Choice of a linear model for the outcome</w:t>
      </w:r>
    </w:p>
    <w:p>
      <w:pPr>
        <w:pStyle w:val="FirstParagraph"/>
        <w:spacing w:line="480" w:lineRule="auto"/>
      </w:pPr>
      <w:r>
        <w:t xml:space="preserve">A reader might wonder why the outcome is modeled linearly when the alignment score is bounded and skewed. The answer is that the estimand of interest is an average within-country shift in proximity, and a linear specification recovers that shift directly and transparently</w:t>
      </w:r>
      <w:r>
        <w:t xml:space="preserve"> </w:t>
      </w:r>
      <w:hyperlink w:anchor="ref-3">
        <w:r>
          <w:rPr>
            <w:rStyle w:val="Hyperlink"/>
          </w:rPr>
          <w:t xml:space="preserve">[3]</w:t>
        </w:r>
      </w:hyperlink>
      <w:r>
        <w:t xml:space="preserve">. Nonlinear alternatives could fit the distribution more snugly, yet they would complicate the interpretation of the accession coefficient without changing the substantive question, which is whether the average post-accession position moves toward the United States. Simplicity here serves auditability: a linear coefficient on a residualized indicator is something any reader can reconstruct and check.</w:t>
      </w:r>
    </w:p>
    <w:p>
      <w:pPr>
        <w:pStyle w:val="BodyText"/>
        <w:spacing w:line="480" w:lineRule="auto"/>
        <w:ind w:firstLine="720"/>
      </w:pPr>
      <w:r>
        <w:t xml:space="preserve">The vote-count control is the one concession to the outcome variable’s construction. Because the annual ideal point is estimated from a varying number of final-passage votes, the outcome’s precision and level can ride on how many votes underlie it, and the control absorbs that dependence</w:t>
      </w:r>
      <w:r>
        <w:t xml:space="preserve"> </w:t>
      </w:r>
      <w:hyperlink w:anchor="ref-3">
        <w:r>
          <w:rPr>
            <w:rStyle w:val="Hyperlink"/>
          </w:rPr>
          <w:t xml:space="preserve">[3]</w:t>
        </w:r>
      </w:hyperlink>
      <w:r>
        <w:t xml:space="preserve"> </w:t>
      </w:r>
      <w:hyperlink w:anchor="ref-4">
        <w:r>
          <w:rPr>
            <w:rStyle w:val="Hyperlink"/>
          </w:rPr>
          <w:t xml:space="preserve">[4]</w:t>
        </w:r>
      </w:hyperlink>
      <w:r>
        <w:t xml:space="preserve">. Carrying it linearly, and residualizing it alongside the treatment, keeps the whole specification inside one transparent frame. No higher-order terms or interactions enter, because none is needed to answer the directional question the hypothesis poses.</w:t>
      </w:r>
    </w:p>
    <w:bookmarkEnd w:id="107"/>
    <w:bookmarkStart w:id="108" w:name="the-honest-ceiling"/>
    <w:p>
      <w:pPr>
        <w:pStyle w:val="Heading2"/>
        <w:spacing w:line="480" w:lineRule="auto"/>
      </w:pPr>
      <w:r>
        <w:t xml:space="preserve">The honest ceiling</w:t>
      </w:r>
    </w:p>
    <w:p>
      <w:pPr>
        <w:pStyle w:val="FirstParagraph"/>
        <w:spacing w:line="480" w:lineRule="auto"/>
      </w:pPr>
      <w:r>
        <w:t xml:space="preserve">Every method in this chapter works under one ceiling. Accession is chosen, not assigned, and no residualization, no logit, and no pairing of the two changes that fact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design is built to extract the most defensible inference the observational structure allows, and to make its own limits visible rather than to disguise them as strengths. That is the standard I hold the results to. It is also why the interpretation in the chapters ahead stays deliberately bounded.</w:t>
      </w:r>
    </w:p>
    <w:bookmarkEnd w:id="108"/>
    <w:bookmarkEnd w:id="109"/>
    <w:bookmarkStart w:id="122" w:name="chapter-5.-data-and-measurement"/>
    <w:p>
      <w:pPr>
        <w:pStyle w:val="Heading1"/>
        <w:spacing w:line="480" w:lineRule="auto"/>
      </w:pPr>
      <w:r>
        <w:t xml:space="preserve">Chapter 5. Data and Measurement</w:t>
      </w:r>
    </w:p>
    <w:bookmarkStart w:id="110" w:name="two-files-one-panel"/>
    <w:p>
      <w:pPr>
        <w:pStyle w:val="Heading2"/>
        <w:spacing w:line="480" w:lineRule="auto"/>
      </w:pPr>
      <w:r>
        <w:t xml:space="preserve">Two files, one panel</w:t>
      </w:r>
    </w:p>
    <w:p>
      <w:pPr>
        <w:pStyle w:val="FirstParagraph"/>
        <w:spacing w:line="480" w:lineRule="auto"/>
      </w:pPr>
      <w:r>
        <w:t xml:space="preserve">The empirical work rests on a merge of two public sources, a treatment record from NASA and an outcome record from the Harvard Dataverse, and everything in the results chapter traces back to these two files. This chapter documents them, explains how the raw records become the variables the estimators consume, reports the sample sizes, and states the measurement choices a reader would need in order to reproduce the panel exactly. Reproducibility is no courtesy here. It is the difference between a defensible result and an assertion.</w:t>
      </w:r>
    </w:p>
    <w:p>
      <w:pPr>
        <w:pStyle w:val="BodyText"/>
        <w:spacing w:line="480" w:lineRule="auto"/>
        <w:ind w:firstLine="720"/>
      </w:pPr>
      <w:r>
        <w:t xml:space="preserve">Country-year is the level at which the panel is organized. Each row holds one state observed in one year, together with its accession status and its voting position for that year. The two papers draw on the same underlying merge but shape it differently: the outcome paper works from the full country-year panel, while the selection paper reshapes it into a risk set of country-years before signature</w:t>
      </w:r>
      <w:r>
        <w:t xml:space="preserve"> </w:t>
      </w:r>
      <w:hyperlink w:anchor="ref-3">
        <w:r>
          <w:rPr>
            <w:rStyle w:val="Hyperlink"/>
          </w:rPr>
          <w:t xml:space="preserve">[3]</w:t>
        </w:r>
      </w:hyperlink>
      <w:r>
        <w:t xml:space="preserve"> </w:t>
      </w:r>
      <w:hyperlink w:anchor="ref-4">
        <w:r>
          <w:rPr>
            <w:rStyle w:val="Hyperlink"/>
          </w:rPr>
          <w:t xml:space="preserve">[4]</w:t>
        </w:r>
      </w:hyperlink>
      <w:r>
        <w:t xml:space="preserve">. I lay out the common sources first, then the two derived structures.</w:t>
      </w:r>
    </w:p>
    <w:bookmarkEnd w:id="110"/>
    <w:bookmarkStart w:id="111" w:name="the-treatment-source"/>
    <w:p>
      <w:pPr>
        <w:pStyle w:val="Heading2"/>
        <w:spacing w:line="480" w:lineRule="auto"/>
      </w:pPr>
      <w:r>
        <w:t xml:space="preserve">The treatment source</w:t>
      </w:r>
    </w:p>
    <w:p>
      <w:pPr>
        <w:pStyle w:val="FirstParagraph"/>
        <w:spacing w:line="480" w:lineRule="auto"/>
      </w:pPr>
      <w:r>
        <w:t xml:space="preserve">Treatment comes from NASA’s List of the Signatories by Date, downloaded from the Artemis Accords page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file is a plain record of who signed and on what date. It is authoritative for my purpose because accession is a formal act that NASA registers. There is no ambiguity about whether a state has signed or when. The downloaded file records sixty-eight signatories through Botswana on June 25, 2026</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From this record I build the accession variable. Each state takes a signature year from the file, and a country-year indicator is coded zero before that year and one from the signature year onward through the end of the series</w:t>
      </w:r>
      <w:r>
        <w:t xml:space="preserve"> </w:t>
      </w:r>
      <w:hyperlink w:anchor="ref-3">
        <w:r>
          <w:rPr>
            <w:rStyle w:val="Hyperlink"/>
          </w:rPr>
          <w:t xml:space="preserve">[3]</w:t>
        </w:r>
      </w:hyperlink>
      <w:r>
        <w:t xml:space="preserve">. The variable definitions spell this out: the accession indicator equals one in country-years at or after the NASA-listed signature year, through 2025</w:t>
      </w:r>
      <w:r>
        <w:t xml:space="preserve"> </w:t>
      </w:r>
      <w:hyperlink w:anchor="ref-3">
        <w:r>
          <w:rPr>
            <w:rStyle w:val="Hyperlink"/>
          </w:rPr>
          <w:t xml:space="preserve">[3]</w:t>
        </w:r>
      </w:hyperlink>
      <w:r>
        <w:t xml:space="preserve">. Inside the outcome panel, the signature years present in the data span 2020 through 2026, with 2026 signatories handled appropriately given that the voting series ends in 2025.</w:t>
      </w:r>
    </w:p>
    <w:p>
      <w:pPr>
        <w:pStyle w:val="BodyText"/>
        <w:spacing w:line="480" w:lineRule="auto"/>
        <w:ind w:firstLine="720"/>
      </w:pPr>
      <w:r>
        <w:t xml:space="preserve">Timing carries a caveat worth naming at the source rather than burying in the results. The signature date is exact, but the outcome is annual. A state that signs late in a year has already cast most of that year’s votes before it signed, so the same-year accession indicator does not cleanly separate pre-signature from post-signature behavior</w:t>
      </w:r>
      <w:r>
        <w:t xml:space="preserve"> </w:t>
      </w:r>
      <w:hyperlink w:anchor="ref-3">
        <w:r>
          <w:rPr>
            <w:rStyle w:val="Hyperlink"/>
          </w:rPr>
          <w:t xml:space="preserve">[3]</w:t>
        </w:r>
      </w:hyperlink>
      <w:r>
        <w:t xml:space="preserve">. I keep the signature-year coding as the primary rule and handle the immediate post-signature year with the caution that timing warrants.</w:t>
      </w:r>
    </w:p>
    <w:bookmarkEnd w:id="111"/>
    <w:bookmarkStart w:id="112" w:name="the-outcome-source"/>
    <w:p>
      <w:pPr>
        <w:pStyle w:val="Heading2"/>
        <w:spacing w:line="480" w:lineRule="auto"/>
      </w:pPr>
      <w:r>
        <w:t xml:space="preserve">The outcome source</w:t>
      </w:r>
    </w:p>
    <w:p>
      <w:pPr>
        <w:pStyle w:val="FirstParagraph"/>
        <w:spacing w:line="480" w:lineRule="auto"/>
      </w:pPr>
      <w:r>
        <w:t xml:space="preserve">Outcome data come from the Harvard Dataverse release of United Nations General Assembly ideal points, version 38, a source that furnishes country-year preference estimates from final-passage votes and carries coverage through 2025</w:t>
      </w:r>
      <w:r>
        <w:t xml:space="preserve"> </w:t>
      </w:r>
      <w:hyperlink w:anchor="ref-3">
        <w:r>
          <w:rPr>
            <w:rStyle w:val="Hyperlink"/>
          </w:rPr>
          <w:t xml:space="preserve">[3]</w:t>
        </w:r>
      </w:hyperlink>
      <w:r>
        <w:t xml:space="preserve">. The ideal-point method estimates, from the pattern of recorded votes, where each state sits in a low-dimensional preference space, and it sets those estimates on a scale that holds across countries and over time</w:t>
      </w:r>
      <w:r>
        <w:t xml:space="preserve"> </w:t>
      </w:r>
      <w:hyperlink w:anchor="ref-4">
        <w:r>
          <w:rPr>
            <w:rStyle w:val="Hyperlink"/>
          </w:rPr>
          <w:t xml:space="preserve">[4]</w:t>
        </w:r>
      </w:hyperlink>
      <w:r>
        <w:t xml:space="preserve">. Fjelstul, Hug, and Kilby document the decision structure of the General Assembly that such voting-based measures summarize, which supports reading the annual ideal point as a meaningful preference estimate rather than a noisy artifact</w:t>
      </w:r>
      <w:r>
        <w:t xml:space="preserve"> </w:t>
      </w:r>
      <w:hyperlink w:anchor="ref-5">
        <w:r>
          <w:rPr>
            <w:rStyle w:val="Hyperlink"/>
          </w:rPr>
          <w:t xml:space="preserve">[5]</w:t>
        </w:r>
      </w:hyperlink>
      <w:r>
        <w:t xml:space="preserve">.</w:t>
      </w:r>
    </w:p>
    <w:p>
      <w:pPr>
        <w:pStyle w:val="BodyText"/>
        <w:spacing w:line="480" w:lineRule="auto"/>
        <w:ind w:firstLine="720"/>
      </w:pPr>
      <w:r>
        <w:t xml:space="preserve">The outcome is not the raw ideal point. It is a proximity score built from that point. The alignment score is the negative absolute distance between a state’s annual final-passage ideal point and the United States annual ideal point, so that higher values place the state closer to the United States in that voting year</w:t>
      </w:r>
      <w:r>
        <w:t xml:space="preserve"> </w:t>
      </w:r>
      <w:hyperlink w:anchor="ref-3">
        <w:r>
          <w:rPr>
            <w:rStyle w:val="Hyperlink"/>
          </w:rPr>
          <w:t xml:space="preserve">[3]</w:t>
        </w:r>
      </w:hyperlink>
      <w:r>
        <w:t xml:space="preserve">. Constructing the outcome as a distance from the United States, rather than as a raw position, is the measurement move that makes the order-building question testable, because the hypothesis is about proximity to Washington and the variable measures precisely that. The United States drops out as an outcome country, since it serves as the reference point against which everyone else is measured</w:t>
      </w:r>
      <w:r>
        <w:t xml:space="preserve"> </w:t>
      </w:r>
      <w:hyperlink w:anchor="ref-3">
        <w:r>
          <w:rPr>
            <w:rStyle w:val="Hyperlink"/>
          </w:rPr>
          <w:t xml:space="preserve">[3]</w:t>
        </w:r>
      </w:hyperlink>
      <w:r>
        <w:t xml:space="preserve">.</w:t>
      </w:r>
    </w:p>
    <w:p>
      <w:pPr>
        <w:pStyle w:val="BodyText"/>
        <w:spacing w:line="480" w:lineRule="auto"/>
        <w:ind w:firstLine="720"/>
      </w:pPr>
      <w:r>
        <w:t xml:space="preserve">Across the assembled panel, the alignment score runs from about negative 4.71 to about negative 0.14, and values nearer zero mark closer proximity to the United States. The negative sign is a property of the construction, since the score is negative absolute distance, and the spread reflects the real dispersion of states across the preference space in these years.</w:t>
      </w:r>
    </w:p>
    <w:bookmarkEnd w:id="112"/>
    <w:bookmarkStart w:id="113" w:name="building-the-analysis-variables"/>
    <w:p>
      <w:pPr>
        <w:pStyle w:val="Heading2"/>
        <w:spacing w:line="480" w:lineRule="auto"/>
      </w:pPr>
      <w:r>
        <w:t xml:space="preserve">Building the analysis variables</w:t>
      </w:r>
    </w:p>
    <w:p>
      <w:pPr>
        <w:pStyle w:val="FirstParagraph"/>
        <w:spacing w:line="480" w:lineRule="auto"/>
      </w:pPr>
      <w:r>
        <w:t xml:space="preserve">The estimators do not consume the raw alignment score and accession indicator directly. The outcome paper residualizes them first, through the two-way transformation described in Chapter 4</w:t>
      </w:r>
      <w:r>
        <w:t xml:space="preserve"> </w:t>
      </w:r>
      <w:hyperlink w:anchor="ref-3">
        <w:r>
          <w:rPr>
            <w:rStyle w:val="Hyperlink"/>
          </w:rPr>
          <w:t xml:space="preserve">[3]</w:t>
        </w:r>
      </w:hyperlink>
      <w:r>
        <w:t xml:space="preserve">. Three residualized variables enter the outcome regression. The residualized outcome is the alignment score after country means and year means are subtracted and the grand mean added back. The residualized treatment is the accession indicator after the same transformation. The residualized vote-count control is the annual count of final-passage votes after the same transformation, carried because the number of votes used to estimate each annual ideal point varies and can move the estimate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Each variable definition in the configuration names its source and its transformation, which keeps the construction auditable. The alignment score is built from the Dataverse ideal-point file. The accession indicator is built from the NASA signatory-date PDF. The residualized versions are the Frisch-Waugh-Lovell transformations of these raw variables. The vote-count control is the residualized annual final-passage vote count, present specifically to absorb variation in how many roll calls underlie each country-year estimate</w:t>
      </w:r>
      <w:r>
        <w:t xml:space="preserve"> </w:t>
      </w:r>
      <w:hyperlink w:anchor="ref-3">
        <w:r>
          <w:rPr>
            <w:rStyle w:val="Hyperlink"/>
          </w:rPr>
          <w:t xml:space="preserve">[3]</w:t>
        </w:r>
      </w:hyperlink>
      <w:r>
        <w:t xml:space="preserve">. Nothing in the analysis variables is invented; each is a documented function of the two source files.</w:t>
      </w:r>
    </w:p>
    <w:p>
      <w:pPr>
        <w:pStyle w:val="BodyText"/>
        <w:spacing w:line="480" w:lineRule="auto"/>
        <w:ind w:firstLine="720"/>
      </w:pPr>
      <w:r>
        <w:t xml:space="preserve">Country-name harmonization is the only merge intervention, and it stays deliberately minimal. Where the NASA list and the Dataverse file attach different labels to the same state, I align them, as with Czech Republic to Czechia and The Philippines to Philippines</w:t>
      </w:r>
      <w:r>
        <w:t xml:space="preserve"> </w:t>
      </w:r>
      <w:hyperlink w:anchor="ref-3">
        <w:r>
          <w:rPr>
            <w:rStyle w:val="Hyperlink"/>
          </w:rPr>
          <w:t xml:space="preserve">[3]</w:t>
        </w:r>
      </w:hyperlink>
      <w:r>
        <w:t xml:space="preserve">. No other recoding touches the identity of a country. Beyond that single documented alignment of labels, the merge leaves each state exactly as the source files present it, with no dropped observations for convenience, no reclassification of borderline cases, and no silent imputation of missing years, since every such intervention would open a path for the analyst’s expectations to shape the sample. Nothing is quietly adjusted. That restraint is the point: it keeps the join between treatment and outcome transparent and forecloses any silent reshaping of the sample.</w:t>
      </w:r>
    </w:p>
    <w:bookmarkEnd w:id="113"/>
    <w:bookmarkStart w:id="114" w:name="sample-sizes-and-structure"/>
    <w:p>
      <w:pPr>
        <w:pStyle w:val="Heading2"/>
        <w:spacing w:line="480" w:lineRule="auto"/>
      </w:pPr>
      <w:r>
        <w:t xml:space="preserve">Sample sizes and structure</w:t>
      </w:r>
    </w:p>
    <w:p>
      <w:pPr>
        <w:pStyle w:val="FirstParagraph"/>
        <w:spacing w:line="480" w:lineRule="auto"/>
      </w:pPr>
      <w:r>
        <w:t xml:space="preserve">For the first paper, the outcome panel holds 1,912 country-year observations spanning 2016 through 2025 and covering 192 countries</w:t>
      </w:r>
      <w:r>
        <w:t xml:space="preserve"> </w:t>
      </w:r>
      <w:hyperlink w:anchor="ref-3">
        <w:r>
          <w:rPr>
            <w:rStyle w:val="Hyperlink"/>
          </w:rPr>
          <w:t xml:space="preserve">[3]</w:t>
        </w:r>
      </w:hyperlink>
      <w:r>
        <w:t xml:space="preserve">. The pre-2020 years earn their place even though no state had signed before 2020, because the two-way residualization draws on each country’s full within-sample history to estimate its country mean, and the earlier years anchor the pre-signature baseline against which post-signature behavior is compared. The panel is unbalanced, since not every country carries an ideal-point estimate in every year, and that imbalance is a normal feature of the source rather than a defect I introduced.</w:t>
      </w:r>
    </w:p>
    <w:p>
      <w:pPr>
        <w:pStyle w:val="BodyText"/>
        <w:spacing w:line="480" w:lineRule="auto"/>
        <w:ind w:firstLine="720"/>
      </w:pPr>
      <w:r>
        <w:t xml:space="preserve">For the selection paper, the same merge is reshaped into a discrete-time risk set</w:t>
      </w:r>
      <w:r>
        <w:t xml:space="preserve"> </w:t>
      </w:r>
      <w:hyperlink w:anchor="ref-4">
        <w:r>
          <w:rPr>
            <w:rStyle w:val="Hyperlink"/>
          </w:rPr>
          <w:t xml:space="preserve">[4]</w:t>
        </w:r>
      </w:hyperlink>
      <w:r>
        <w:t xml:space="preserve">. A country enters the risk set in 2020 if it has not yet signed and exits once it signs. The event indicator equals one only in the NASA-listed signature year for signatories through 2025, and states still unsigned at the end of 2025 stay at risk and are coded zero. Countries that signed in 2026 are censored, because the ideal-point file ends in 2025 and the model cannot use an outcome year it does not observe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resulting risk-set panel holds 1,017 at-risk country-year observations over 2020 through 2025, with 58 signing events recorded inside the estimation window.</w:t>
      </w:r>
    </w:p>
    <w:p>
      <w:pPr>
        <w:pStyle w:val="BodyText"/>
        <w:spacing w:line="480" w:lineRule="auto"/>
        <w:ind w:firstLine="720"/>
      </w:pPr>
      <w:r>
        <w:t xml:space="preserve">The two sample sizes are not interchangeable. The difference is structural rather than arbitrary. Every country-year carrying an ideal-point estimate across the full window enters the outcome panel. Only country-years before signature enter the risk-set panel, each state dropping out of the population once it signs, which is what an event-history structure requires. Reporting both sizes, and explaining why they differ, is part of keeping the measurement honest.</w:t>
      </w:r>
    </w:p>
    <w:bookmarkEnd w:id="114"/>
    <w:bookmarkStart w:id="115" w:name="provenance-and-reproducibility"/>
    <w:p>
      <w:pPr>
        <w:pStyle w:val="Heading2"/>
        <w:spacing w:line="480" w:lineRule="auto"/>
      </w:pPr>
      <w:r>
        <w:t xml:space="preserve">Provenance and reproducibility</w:t>
      </w:r>
    </w:p>
    <w:p>
      <w:pPr>
        <w:pStyle w:val="FirstParagraph"/>
        <w:spacing w:line="480" w:lineRule="auto"/>
      </w:pPr>
      <w:r>
        <w:t xml:space="preserve">Both source files are public and dated. The NASA signatory record was downloaded on June 28, 2026, and the ideal-point release is version 38 from 2026 with coverage through 2025</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constructed panels are documented as derived datasets: a country-year Artemis Accords and UNGA ideal-point panel for the outcome paper, and an at-risk accession event-history panel for the selection paper, each generated from the two source files</w:t>
      </w:r>
      <w:r>
        <w:t xml:space="preserve"> </w:t>
      </w:r>
      <w:hyperlink w:anchor="ref-23">
        <w:r>
          <w:rPr>
            <w:rStyle w:val="Hyperlink"/>
          </w:rPr>
          <w:t xml:space="preserve">[23]</w:t>
        </w:r>
      </w:hyperlink>
      <w:r>
        <w:t xml:space="preserve"> </w:t>
      </w:r>
      <w:hyperlink w:anchor="ref-24">
        <w:r>
          <w:rPr>
            <w:rStyle w:val="Hyperlink"/>
          </w:rPr>
          <w:t xml:space="preserve">[24]</w:t>
        </w:r>
      </w:hyperlink>
      <w:r>
        <w:t xml:space="preserve">. A reader with the two public inputs and the variable definitions can rebuild both panels.</w:t>
      </w:r>
    </w:p>
    <w:bookmarkEnd w:id="115"/>
    <w:bookmarkStart w:id="116" w:name="the-population-and-its-coverage"/>
    <w:p>
      <w:pPr>
        <w:pStyle w:val="Heading2"/>
        <w:spacing w:line="480" w:lineRule="auto"/>
      </w:pPr>
      <w:r>
        <w:t xml:space="preserve">The population and its coverage</w:t>
      </w:r>
    </w:p>
    <w:p>
      <w:pPr>
        <w:pStyle w:val="FirstParagraph"/>
        <w:spacing w:line="480" w:lineRule="auto"/>
      </w:pPr>
      <w:r>
        <w:t xml:space="preserve">A word about who is in the panel and who is not. The outcome panel covers 192 countries, close to the full membership of the General Assembly, so the sample is no convenience subset of large or wealthy states</w:t>
      </w:r>
      <w:r>
        <w:t xml:space="preserve"> </w:t>
      </w:r>
      <w:hyperlink w:anchor="ref-3">
        <w:r>
          <w:rPr>
            <w:rStyle w:val="Hyperlink"/>
          </w:rPr>
          <w:t xml:space="preserve">[3]</w:t>
        </w:r>
      </w:hyperlink>
      <w:r>
        <w:t xml:space="preserve">. Every state carrying an ideal-point estimate in a given year appears in that year, whether or not it ever signs the Accords. This breadth matters for the within-country design, because the year means that anchor the residualization are computed across the whole membership, not across signatories alone, so a signatory’s post-accession behavior is judged against the global voting climate rather than against a narrow peer group</w:t>
      </w:r>
      <w:r>
        <w:t xml:space="preserve"> </w:t>
      </w:r>
      <w:hyperlink w:anchor="ref-3">
        <w:r>
          <w:rPr>
            <w:rStyle w:val="Hyperlink"/>
          </w:rPr>
          <w:t xml:space="preserve">[3]</w:t>
        </w:r>
      </w:hyperlink>
      <w:r>
        <w:t xml:space="preserve">.</w:t>
      </w:r>
    </w:p>
    <w:p>
      <w:pPr>
        <w:pStyle w:val="BodyText"/>
        <w:spacing w:line="480" w:lineRule="auto"/>
        <w:ind w:firstLine="720"/>
      </w:pPr>
      <w:r>
        <w:t xml:space="preserve">The signatories themselves span a wide range of the alignment distribution, which is easy to forget when the Accords are described as a bloc of close United States partners. Early signatories in 2020 included states long positioned near the United States, yet the list grew across 2021 through 2026 to draw in states from more varied positions in the voting space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That variation is what gives the selection model something to estimate: were every signatory identical in prior alignment, lagged alignment could not predict signing. The real spread in the data is what lets the hazard model separate the aligned from the less aligned and ask which are the likelier signers</w:t>
      </w:r>
      <w:r>
        <w:t xml:space="preserve"> </w:t>
      </w:r>
      <w:hyperlink w:anchor="ref-4">
        <w:r>
          <w:rPr>
            <w:rStyle w:val="Hyperlink"/>
          </w:rPr>
          <w:t xml:space="preserve">[4]</w:t>
        </w:r>
      </w:hyperlink>
      <w:r>
        <w:t xml:space="preserve">.</w:t>
      </w:r>
    </w:p>
    <w:bookmarkEnd w:id="116"/>
    <w:bookmarkStart w:id="117" w:name="handling-of-edge-cases-in-coding"/>
    <w:p>
      <w:pPr>
        <w:pStyle w:val="Heading2"/>
        <w:spacing w:line="480" w:lineRule="auto"/>
      </w:pPr>
      <w:r>
        <w:t xml:space="preserve">Handling of edge cases in coding</w:t>
      </w:r>
    </w:p>
    <w:p>
      <w:pPr>
        <w:pStyle w:val="FirstParagraph"/>
        <w:spacing w:line="480" w:lineRule="auto"/>
      </w:pPr>
      <w:r>
        <w:t xml:space="preserve">Several coding decisions handle edge cases that would otherwise muddy the panel, and documenting them is part of reproducibility. States that signed in 2026 sit at the boundary of the outcome data, because the ideal-point file ends in 2025; in the outcome panel their accession indicator can turn on only if their signature year falls inside the observed window, and in the selection panel they are censored, staying at risk through 2025 without a recorded event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This asymmetric treatment across the two panels is deliberate. The outcome model wants every observed country-year; the event-history model wants only country-years before signature and must not credit an event it cannot observe.</w:t>
      </w:r>
    </w:p>
    <w:p>
      <w:pPr>
        <w:pStyle w:val="BodyText"/>
        <w:spacing w:line="480" w:lineRule="auto"/>
        <w:ind w:firstLine="720"/>
      </w:pPr>
      <w:r>
        <w:t xml:space="preserve">Exclusion handles the special case of the United States. Because the outcome is proximity to the United States, the United States cannot be its own outcome, so it drops out as an outcome country while staying the reference point that every other state is measured against</w:t>
      </w:r>
      <w:r>
        <w:t xml:space="preserve"> </w:t>
      </w:r>
      <w:hyperlink w:anchor="ref-3">
        <w:r>
          <w:rPr>
            <w:rStyle w:val="Hyperlink"/>
          </w:rPr>
          <w:t xml:space="preserve">[3]</w:t>
        </w:r>
      </w:hyperlink>
      <w:r>
        <w:t xml:space="preserve">. This is less a data loss than a definitional necessity, since a distance from oneself is zero by construction and carries no information about alignment. Removing the reference state keeps the outcome meaningful for the 191 states whose positions are actually being compared.</w:t>
      </w:r>
    </w:p>
    <w:bookmarkEnd w:id="117"/>
    <w:bookmarkStart w:id="118" w:name="measurement-validity-of-the-outcome"/>
    <w:p>
      <w:pPr>
        <w:pStyle w:val="Heading2"/>
        <w:spacing w:line="480" w:lineRule="auto"/>
      </w:pPr>
      <w:r>
        <w:t xml:space="preserve">Measurement validity of the outcome</w:t>
      </w:r>
    </w:p>
    <w:p>
      <w:pPr>
        <w:pStyle w:val="FirstParagraph"/>
        <w:spacing w:line="480" w:lineRule="auto"/>
      </w:pPr>
      <w:r>
        <w:t xml:space="preserve">It is fair to ask whether ideal-point proximity is a valid measure of the thing the dissertation cares about, broad diplomatic alignment. The case for validity rests on three properties. First, the measure aggregates a large number of recorded final-passage votes. No single resolution or single year’s agenda drives it</w:t>
      </w:r>
      <w:r>
        <w:t xml:space="preserve"> </w:t>
      </w:r>
      <w:hyperlink w:anchor="ref-3">
        <w:r>
          <w:rPr>
            <w:rStyle w:val="Hyperlink"/>
          </w:rPr>
          <w:t xml:space="preserve">[3]</w:t>
        </w:r>
      </w:hyperlink>
      <w:r>
        <w:t xml:space="preserve"> </w:t>
      </w:r>
      <w:hyperlink w:anchor="ref-5">
        <w:r>
          <w:rPr>
            <w:rStyle w:val="Hyperlink"/>
          </w:rPr>
          <w:t xml:space="preserve">[5]</w:t>
        </w:r>
      </w:hyperlink>
      <w:r>
        <w:t xml:space="preserve">. It carries an established estimation lineage that the methodological literature has scrutinized, so its construction is not idiosyncratic to this study</w:t>
      </w:r>
      <w:r>
        <w:t xml:space="preserve"> </w:t>
      </w:r>
      <w:hyperlink w:anchor="ref-4">
        <w:r>
          <w:rPr>
            <w:rStyle w:val="Hyperlink"/>
          </w:rPr>
          <w:t xml:space="preserve">[4]</w:t>
        </w:r>
      </w:hyperlink>
      <w:r>
        <w:t xml:space="preserve">. And it is comparable across countries and years, which is exactly what a within-country, over-time design requires</w:t>
      </w:r>
      <w:r>
        <w:t xml:space="preserve"> </w:t>
      </w:r>
      <w:hyperlink w:anchor="ref-3">
        <w:r>
          <w:rPr>
            <w:rStyle w:val="Hyperlink"/>
          </w:rPr>
          <w:t xml:space="preserve">[3]</w:t>
        </w:r>
      </w:hyperlink>
      <w:r>
        <w:t xml:space="preserve">.</w:t>
      </w:r>
    </w:p>
    <w:p>
      <w:pPr>
        <w:pStyle w:val="BodyText"/>
        <w:spacing w:line="480" w:lineRule="auto"/>
        <w:ind w:firstLine="720"/>
      </w:pPr>
      <w:r>
        <w:t xml:space="preserve">Equally clear is the case against overclaiming validity, and it is built into how I use the measure. Voting proximity captures revealed preferences on the questions the General Assembly happens to vote on, which lean toward certain issue areas and away from others</w:t>
      </w:r>
      <w:r>
        <w:t xml:space="preserve"> </w:t>
      </w:r>
      <w:hyperlink w:anchor="ref-5">
        <w:r>
          <w:rPr>
            <w:rStyle w:val="Hyperlink"/>
          </w:rPr>
          <w:t xml:space="preserve">[5]</w:t>
        </w:r>
      </w:hyperlink>
      <w:r>
        <w:t xml:space="preserve">. A state can sit closely aligned with the United States on security while diverging on development votes, and the aggregate measure would blend the two. That is a reason to read the outcome as a broad summary rather than a fine instrument, and it is why the results chapter treats the outcome coefficient as a statement about aggregate voting proximity, not about every dimension of foreign policy</w:t>
      </w:r>
      <w:r>
        <w:t xml:space="preserve"> </w:t>
      </w:r>
      <w:hyperlink w:anchor="ref-4">
        <w:r>
          <w:rPr>
            <w:rStyle w:val="Hyperlink"/>
          </w:rPr>
          <w:t xml:space="preserve">[4]</w:t>
        </w:r>
      </w:hyperlink>
      <w:r>
        <w:t xml:space="preserve">.</w:t>
      </w:r>
    </w:p>
    <w:bookmarkEnd w:id="118"/>
    <w:bookmarkStart w:id="119" w:name="Xf7678a1b90f3cbf1b43a223dbca4680ae9d064c"/>
    <w:p>
      <w:pPr>
        <w:pStyle w:val="Heading2"/>
        <w:spacing w:line="480" w:lineRule="auto"/>
      </w:pPr>
      <w:r>
        <w:t xml:space="preserve">The vote-count variable and why it earns a place</w:t>
      </w:r>
    </w:p>
    <w:p>
      <w:pPr>
        <w:pStyle w:val="FirstParagraph"/>
        <w:spacing w:line="480" w:lineRule="auto"/>
      </w:pPr>
      <w:r>
        <w:t xml:space="preserve">One control variable deserves its own paragraph, because its inclusion is a measurement decision as much as a modeling one. The annual ideal point for a country is estimated from the final-passage votes that country cast in that year, and the number of such votes is not constant</w:t>
      </w:r>
      <w:r>
        <w:t xml:space="preserve"> </w:t>
      </w:r>
      <w:hyperlink w:anchor="ref-3">
        <w:r>
          <w:rPr>
            <w:rStyle w:val="Hyperlink"/>
          </w:rPr>
          <w:t xml:space="preserve">[3]</w:t>
        </w:r>
      </w:hyperlink>
      <w:r>
        <w:t xml:space="preserve">. A year with few recorded votes yields a noisier, sometimes differently centered estimate than a year with many. Left unaddressed, that variation would inject measurement error correlated with the calendar into the outcome. The residualized vote-count control absorbs it, so the accession coefficient is not catching shifts in how precisely the ideal point was measured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Carrying this control is a small choice with a real payoff for credibility. It signals that the panel is read as an estimated quantity with known construction properties, not as a set of exact observations. The strength of the control’s own coefficient, reported in the results, checks whether the concern was warranted, and it turns out to be</w:t>
      </w:r>
      <w:r>
        <w:t xml:space="preserve"> </w:t>
      </w:r>
      <w:hyperlink w:anchor="ref-3">
        <w:r>
          <w:rPr>
            <w:rStyle w:val="Hyperlink"/>
          </w:rPr>
          <w:t xml:space="preserve">[3]</w:t>
        </w:r>
      </w:hyperlink>
      <w:r>
        <w:t xml:space="preserve">. A measurement chapter that dropped this variable would leave a visible gap between the outcome’s construction and the model that consumes it. Documenting it here closes that gap.</w:t>
      </w:r>
    </w:p>
    <w:bookmarkEnd w:id="119"/>
    <w:bookmarkStart w:id="120" w:name="reproducibility-as-a-design-commitment"/>
    <w:p>
      <w:pPr>
        <w:pStyle w:val="Heading2"/>
        <w:spacing w:line="480" w:lineRule="auto"/>
      </w:pPr>
      <w:r>
        <w:t xml:space="preserve">Reproducibility as a design commitment</w:t>
      </w:r>
    </w:p>
    <w:p>
      <w:pPr>
        <w:pStyle w:val="FirstParagraph"/>
        <w:spacing w:line="480" w:lineRule="auto"/>
      </w:pPr>
      <w:r>
        <w:t xml:space="preserve">The whole panel is built to be rebuilt. Both source files are public and dated: the NASA signatory record downloaded on June 28, 2026, and the Dataverse ideal-point release, version 38, with coverage through 2025</w:t>
      </w:r>
      <w:r>
        <w:t xml:space="preserve"> </w:t>
      </w:r>
      <w:hyperlink w:anchor="ref-2">
        <w:r>
          <w:rPr>
            <w:rStyle w:val="Hyperlink"/>
          </w:rPr>
          <w:t xml:space="preserve">[2]</w:t>
        </w:r>
      </w:hyperlink>
      <w:r>
        <w:t xml:space="preserve"> </w:t>
      </w:r>
      <w:hyperlink w:anchor="ref-3">
        <w:r>
          <w:rPr>
            <w:rStyle w:val="Hyperlink"/>
          </w:rPr>
          <w:t xml:space="preserve">[3]</w:t>
        </w:r>
      </w:hyperlink>
      <w:r>
        <w:t xml:space="preserve">. The variable definitions specify each transformation in terms a reader can execute, and the derived panels are registered as reproducible datasets</w:t>
      </w:r>
      <w:r>
        <w:t xml:space="preserve"> </w:t>
      </w:r>
      <w:hyperlink w:anchor="ref-23">
        <w:r>
          <w:rPr>
            <w:rStyle w:val="Hyperlink"/>
          </w:rPr>
          <w:t xml:space="preserve">[23]</w:t>
        </w:r>
      </w:hyperlink>
      <w:r>
        <w:t xml:space="preserve"> </w:t>
      </w:r>
      <w:hyperlink w:anchor="ref-24">
        <w:r>
          <w:rPr>
            <w:rStyle w:val="Hyperlink"/>
          </w:rPr>
          <w:t xml:space="preserve">[24]</w:t>
        </w:r>
      </w:hyperlink>
      <w:r>
        <w:t xml:space="preserve">. There is no hand-coding of alignment, no subjective scoring of diplomatic behavior, and no private data anywhere in the chain. A reader with the two inputs and the definitions can recover the 1,912-observation outcome panel and the 1,017-observation risk set and, from them, the coefficients</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commitment is no decoration. In a field where claims about coalitions and alignment often rest on narrative judgment, a fully reproducible panel is a form of discipline. It means the results can be checked rather than merely believed, and it means a critic who doubts the finding holds a concrete path to test it rather than a rhetorical one. The measurement chapter is, in that sense, the backbone of the dissertation’s credibility, because everything downstream inherits the transparency built in here.</w:t>
      </w:r>
    </w:p>
    <w:bookmarkEnd w:id="120"/>
    <w:bookmarkStart w:id="121" w:name="the-boundary-the-measurement-imposes"/>
    <w:p>
      <w:pPr>
        <w:pStyle w:val="Heading2"/>
        <w:spacing w:line="480" w:lineRule="auto"/>
      </w:pPr>
      <w:r>
        <w:t xml:space="preserve">The boundary the measurement imposes</w:t>
      </w:r>
    </w:p>
    <w:p>
      <w:pPr>
        <w:pStyle w:val="FirstParagraph"/>
        <w:spacing w:line="480" w:lineRule="auto"/>
      </w:pPr>
      <w:r>
        <w:t xml:space="preserve">I close the chapter with the boundary the measurement itself imposes. UN voting proximity is a real and reproducible measure, and it is a narrow one. It records revealed preferences over final-passage resolutions, and it stays silent on security cooperation, procurement, and the technical readiness that make a state a useful lunar partner</w:t>
      </w:r>
      <w:r>
        <w:t xml:space="preserve"> </w:t>
      </w:r>
      <w:hyperlink w:anchor="ref-4">
        <w:r>
          <w:rPr>
            <w:rStyle w:val="Hyperlink"/>
          </w:rPr>
          <w:t xml:space="preserve">[4]</w:t>
        </w:r>
      </w:hyperlink>
      <w:r>
        <w:t xml:space="preserve">. The data are strong enough to test whether a broad voting trace follows accession. They are not broad enough to speak for every dimension of a state’s foreign policy, and the results chapter reads them with that limit in view.</w:t>
      </w:r>
    </w:p>
    <w:p>
      <w:pPr>
        <w:pStyle w:val="BodyText"/>
        <w:spacing w:line="480" w:lineRule="auto"/>
        <w:ind w:firstLine="720"/>
      </w:pPr>
      <w:r>
        <w:t xml:space="preserve">Two files, then, carry the whole study: a signatory-date record and an ideal-point release, merged into a country-year panel and reshaped into a risk set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Everything downstream, the coefficients, the interpretation, and the conclusions, is a function of these inputs and the documented transformations applied to them. That is a deliberately thin foundation, and its thinness is a strength, because it lets the finding be audited end to end by anyone willing to download the sources and follow the definitions</w:t>
      </w:r>
      <w:r>
        <w:t xml:space="preserve"> </w:t>
      </w:r>
      <w:hyperlink w:anchor="ref-23">
        <w:r>
          <w:rPr>
            <w:rStyle w:val="Hyperlink"/>
          </w:rPr>
          <w:t xml:space="preserve">[23]</w:t>
        </w:r>
      </w:hyperlink>
      <w:r>
        <w:t xml:space="preserve"> </w:t>
      </w:r>
      <w:hyperlink w:anchor="ref-24">
        <w:r>
          <w:rPr>
            <w:rStyle w:val="Hyperlink"/>
          </w:rPr>
          <w:t xml:space="preserve">[24]</w:t>
        </w:r>
      </w:hyperlink>
      <w:r>
        <w:t xml:space="preserve">.</w:t>
      </w:r>
    </w:p>
    <w:p>
      <w:pPr>
        <w:pStyle w:val="BodyText"/>
        <w:spacing w:line="480" w:lineRule="auto"/>
        <w:ind w:firstLine="720"/>
      </w:pPr>
      <w:r>
        <w:t xml:space="preserve">A brief note on what a replicator would actually do makes the point concrete. Download the NASA signatory-date file and record each state’s signature year</w:t>
      </w:r>
      <w:r>
        <w:t xml:space="preserve"> </w:t>
      </w:r>
      <w:hyperlink w:anchor="ref-1">
        <w:r>
          <w:rPr>
            <w:rStyle w:val="Hyperlink"/>
          </w:rPr>
          <w:t xml:space="preserve">[1]</w:t>
        </w:r>
      </w:hyperlink>
      <w:r>
        <w:t xml:space="preserve"> </w:t>
      </w:r>
      <w:hyperlink w:anchor="ref-2">
        <w:r>
          <w:rPr>
            <w:rStyle w:val="Hyperlink"/>
          </w:rPr>
          <w:t xml:space="preserve">[2]</w:t>
        </w:r>
      </w:hyperlink>
      <w:r>
        <w:t xml:space="preserve">. Download the version-38 ideal-point release and compute, for each country-year, the negative absolute distance from the United States position</w:t>
      </w:r>
      <w:r>
        <w:t xml:space="preserve"> </w:t>
      </w:r>
      <w:hyperlink w:anchor="ref-3">
        <w:r>
          <w:rPr>
            <w:rStyle w:val="Hyperlink"/>
          </w:rPr>
          <w:t xml:space="preserve">[3]</w:t>
        </w:r>
      </w:hyperlink>
      <w:r>
        <w:t xml:space="preserve">. Merge on harmonized country codes, build the accession indicator, residualize the outcome, treatment, and vote count by country and year means, and run the two regressions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1,912-row outcome panel and the 1,017-row risk set fall out of these steps, and so do the coefficients the results chapter reports. Nothing in the chain is hidden, which is the standard a measurement chapter should meet.</w:t>
      </w:r>
    </w:p>
    <w:bookmarkEnd w:id="121"/>
    <w:bookmarkEnd w:id="122"/>
    <w:bookmarkStart w:id="135" w:name="chapter-6.-results"/>
    <w:p>
      <w:pPr>
        <w:pStyle w:val="Heading1"/>
        <w:spacing w:line="480" w:lineRule="auto"/>
      </w:pPr>
      <w:r>
        <w:t xml:space="preserve">Chapter 6. Results</w:t>
      </w:r>
    </w:p>
    <w:bookmarkStart w:id="123" w:name="reading-the-two-estimates-together"/>
    <w:p>
      <w:pPr>
        <w:pStyle w:val="Heading2"/>
        <w:spacing w:line="480" w:lineRule="auto"/>
      </w:pPr>
      <w:r>
        <w:t xml:space="preserve">Reading the two estimates together</w:t>
      </w:r>
    </w:p>
    <w:p>
      <w:pPr>
        <w:pStyle w:val="FirstParagraph"/>
        <w:spacing w:line="480" w:lineRule="auto"/>
      </w:pPr>
      <w:r>
        <w:t xml:space="preserve">This chapter reports what the estimators return. It does two jobs and keeps them apart. First it states the numbers exactly as the models produce them, and then it reads their signs and magnitudes without stretching either past what it can bear. The outcome model from the first paper speaks to whether accession is followed by movement toward the United States</w:t>
      </w:r>
      <w:r>
        <w:t xml:space="preserve"> </w:t>
      </w:r>
      <w:hyperlink w:anchor="ref-3">
        <w:r>
          <w:rPr>
            <w:rStyle w:val="Hyperlink"/>
          </w:rPr>
          <w:t xml:space="preserve">[3]</w:t>
        </w:r>
      </w:hyperlink>
      <w:r>
        <w:t xml:space="preserve">. The selection model from the second paper speaks to whether prior alignment predicts who signs and when</w:t>
      </w:r>
      <w:r>
        <w:t xml:space="preserve"> </w:t>
      </w:r>
      <w:hyperlink w:anchor="ref-4">
        <w:r>
          <w:rPr>
            <w:rStyle w:val="Hyperlink"/>
          </w:rPr>
          <w:t xml:space="preserve">[4]</w:t>
        </w:r>
      </w:hyperlink>
      <w:r>
        <w:t xml:space="preserve">. The joint pattern is where the substantive conclusion lives.</w:t>
      </w:r>
    </w:p>
    <w:p>
      <w:pPr>
        <w:pStyle w:val="BodyText"/>
        <w:spacing w:line="480" w:lineRule="auto"/>
        <w:ind w:firstLine="720"/>
      </w:pPr>
      <w:r>
        <w:t xml:space="preserve">I take the outcome result first, then the selection result, then the reading that emerges once they sit side by side. Throughout, I hold to the interpretive discipline the design demands: within-country association, not causal proof, for the outcome model, and a selection diagnostic, not a treatment effect, for the timing model</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23"/>
    <w:bookmarkStart w:id="124" w:name="paper-1-the-outcome-model"/>
    <w:p>
      <w:pPr>
        <w:pStyle w:val="Heading2"/>
        <w:spacing w:line="480" w:lineRule="auto"/>
      </w:pPr>
      <w:r>
        <w:t xml:space="preserve">Paper 1: the outcome model</w:t>
      </w:r>
    </w:p>
    <w:p>
      <w:pPr>
        <w:pStyle w:val="FirstParagraph"/>
        <w:spacing w:line="480" w:lineRule="auto"/>
      </w:pPr>
      <w:r>
        <w:t xml:space="preserve">The first paper regresses residualized UN voting alignment on residualized accession and a residualized vote-count control, across 1,912 country-year observations</w:t>
      </w:r>
      <w:r>
        <w:t xml:space="preserve"> </w:t>
      </w:r>
      <w:hyperlink w:anchor="ref-3">
        <w:r>
          <w:rPr>
            <w:rStyle w:val="Hyperlink"/>
          </w:rPr>
          <w:t xml:space="preserve">[3]</w:t>
        </w:r>
      </w:hyperlink>
      <w:r>
        <w:t xml:space="preserve">. The accession coefficient is the parameter of interest, and it returns small and negative, at -0.0337. That number is the within-country, within-year association between signing the Accords and proximity to the United States in UN voting space, and its sign points away from the order-building prediction rather than toward it.</w:t>
      </w:r>
    </w:p>
    <w:p>
      <w:pPr>
        <w:pStyle w:val="BodyText"/>
        <w:spacing w:line="480" w:lineRule="auto"/>
        <w:ind w:firstLine="720"/>
      </w:pPr>
      <w:r>
        <w:t xml:space="preserve">The estimate does not stand apart from zero at conventional levels. Its standard error is roughly 0.0175, and the two-sided p-value on the accession coefficient of -0.0337 lands near 0.055, so the estimate sits at the very edge of the conventional five-percent threshold, and it sits there on the wrong side of zero for the order-building story. Evidence on post-accession movement is how the paper frames it, not proof of causal realignment, and the result honors that framing, because no positive, significant post-accession jump toward the United States appears anywhere in the broad voting measure</w:t>
      </w:r>
      <w:r>
        <w:t xml:space="preserve"> </w:t>
      </w:r>
      <w:hyperlink w:anchor="ref-3">
        <w:r>
          <w:rPr>
            <w:rStyle w:val="Hyperlink"/>
          </w:rPr>
          <w:t xml:space="preserve">[3]</w:t>
        </w:r>
      </w:hyperlink>
      <w:r>
        <w:t xml:space="preserve">.</w:t>
      </w:r>
    </w:p>
    <w:p>
      <w:pPr>
        <w:pStyle w:val="BodyText"/>
        <w:spacing w:line="480" w:lineRule="auto"/>
        <w:ind w:firstLine="720"/>
      </w:pPr>
      <w:r>
        <w:t xml:space="preserve">The vote-count control behaves as a control should and confirms that residualizing it was warranted. The coefficient on the residualized vote count is -0.0016 with a standard error near 0.0004, yielding a t-statistic around -4.5 and a p-value below 0.001, so the number of final-passage votes used to build each annual ideal point is a real source of variation in the outcome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the control lands strongly significant while the treatment does not is itself telling: the model is catching genuine structure in the data, and the accession variable simply carries no positive signal.</w:t>
      </w:r>
    </w:p>
    <w:p>
      <w:pPr>
        <w:pStyle w:val="BodyText"/>
        <w:spacing w:line="480" w:lineRule="auto"/>
        <w:ind w:firstLine="720"/>
      </w:pPr>
      <w:r>
        <w:t xml:space="preserve">The magnitude wants plain words. Set significance aside for a moment. The accession point estimate of -0.0337 is still small on the scale of the alignment score, which spans several units across the sample. A movement of a few hundredths of a unit, in the direction of less proximity rather than more, is not the footprint an order-building realignment would leave. Read on its own, the outcome model favors the bounded-cooperation reading over the order-building one: signing the Accords is not followed by a detectable shift toward the United States in General Assembly voting.</w:t>
      </w:r>
    </w:p>
    <w:bookmarkEnd w:id="124"/>
    <w:bookmarkStart w:id="125" w:name="paper-2-the-selection-model"/>
    <w:p>
      <w:pPr>
        <w:pStyle w:val="Heading2"/>
        <w:spacing w:line="480" w:lineRule="auto"/>
      </w:pPr>
      <w:r>
        <w:t xml:space="preserve">Paper 2: the selection model</w:t>
      </w:r>
    </w:p>
    <w:p>
      <w:pPr>
        <w:pStyle w:val="FirstParagraph"/>
        <w:spacing w:line="480" w:lineRule="auto"/>
      </w:pPr>
      <w:r>
        <w:t xml:space="preserve">The second paper estimates a discrete-time event-history logit of accession timing across 1,017 at-risk country-year observations, with 58 signing events in the window</w:t>
      </w:r>
      <w:r>
        <w:t xml:space="preserve"> </w:t>
      </w:r>
      <w:hyperlink w:anchor="ref-4">
        <w:r>
          <w:rPr>
            <w:rStyle w:val="Hyperlink"/>
          </w:rPr>
          <w:t xml:space="preserve">[4]</w:t>
        </w:r>
      </w:hyperlink>
      <w:r>
        <w:t xml:space="preserve">. The covariate of interest is the previous year’s alignment score, sitting alongside a count of prior signatories and a year index. Here the result comes back large and precise, and it points in the direction the selection account predicts.</w:t>
      </w:r>
    </w:p>
    <w:p>
      <w:pPr>
        <w:pStyle w:val="BodyText"/>
        <w:spacing w:line="480" w:lineRule="auto"/>
        <w:ind w:firstLine="720"/>
      </w:pPr>
      <w:r>
        <w:t xml:space="preserve">The lagged-alignment coefficient is 1.3759, with a standard error of about 0.198, a z-statistic near 6.9, and a p-value of 4.069e-12</w:t>
      </w:r>
      <w:r>
        <w:t xml:space="preserve"> </w:t>
      </w:r>
      <w:hyperlink w:anchor="ref-4">
        <w:r>
          <w:rPr>
            <w:rStyle w:val="Hyperlink"/>
          </w:rPr>
          <w:t xml:space="preserve">[4]</w:t>
        </w:r>
      </w:hyperlink>
      <w:r>
        <w:t xml:space="preserve">. Exponentiated, the coefficient gives an odds ratio of 3.96, meaning that a one-unit increase in the prior year’s proximity to the United States is associated with roughly four times the odds of signing in a given at-risk year, holding the number of prior signatories and the year index fixed. This is a strong selection signal. States already closer to the United States in UN voting space were the substantially likelier signers.</w:t>
      </w:r>
    </w:p>
    <w:p>
      <w:pPr>
        <w:pStyle w:val="BodyText"/>
        <w:spacing w:line="480" w:lineRule="auto"/>
        <w:ind w:firstLine="720"/>
      </w:pPr>
      <w:r>
        <w:t xml:space="preserve">The two controls fill in the picture. The coefficient on the count of prior signatories is -0.0757, with a standard error near 0.040 and a p-value around 0.058, an odds ratio of about 0.93, so once alignment and the calendar are held fixed, the sheer number of earlier signers is at most weakly and slightly negatively tied to an individual state’s hazard of signing. The year index carries a coefficient of 0.8811, with a standard error near 0.399 and a p-value around 0.027, an odds ratio of about 2.41, marking a signing hazard that rises over the calendar apart from alignment and the coalition count. Diffusion timing and prior alignment are therefore separable in the data, and the alignment channel is the dominant one.</w:t>
      </w:r>
    </w:p>
    <w:bookmarkEnd w:id="125"/>
    <w:bookmarkStart w:id="126" w:name="the-joint-reading"/>
    <w:p>
      <w:pPr>
        <w:pStyle w:val="Heading2"/>
        <w:spacing w:line="480" w:lineRule="auto"/>
      </w:pPr>
      <w:r>
        <w:t xml:space="preserve">The joint reading</w:t>
      </w:r>
    </w:p>
    <w:p>
      <w:pPr>
        <w:pStyle w:val="FirstParagraph"/>
        <w:spacing w:line="480" w:lineRule="auto"/>
      </w:pPr>
      <w:r>
        <w:t xml:space="preserve">Setting the two results together resolves the interpretive puzzle the design was built to handle. The outcome model finds no positive post-accession movement toward the United States; the point estimate is a negligible negative and it is not significant</w:t>
      </w:r>
      <w:r>
        <w:t xml:space="preserve"> </w:t>
      </w:r>
      <w:hyperlink w:anchor="ref-3">
        <w:r>
          <w:rPr>
            <w:rStyle w:val="Hyperlink"/>
          </w:rPr>
          <w:t xml:space="preserve">[3]</w:t>
        </w:r>
      </w:hyperlink>
      <w:r>
        <w:t xml:space="preserve">. The selection model finds that prior alignment strongly predicts signing, with an odds ratio near four and a vanishingly small p-value</w:t>
      </w:r>
      <w:r>
        <w:t xml:space="preserve"> </w:t>
      </w:r>
      <w:hyperlink w:anchor="ref-4">
        <w:r>
          <w:rPr>
            <w:rStyle w:val="Hyperlink"/>
          </w:rPr>
          <w:t xml:space="preserve">[4]</w:t>
        </w:r>
      </w:hyperlink>
      <w:r>
        <w:t xml:space="preserve">. This is one of the combinations Chapter 3 anticipated, and its meaning is clear.</w:t>
      </w:r>
    </w:p>
    <w:p>
      <w:pPr>
        <w:pStyle w:val="BodyText"/>
        <w:spacing w:line="480" w:lineRule="auto"/>
        <w:ind w:firstLine="720"/>
      </w:pPr>
      <w:r>
        <w:t xml:space="preserve">Accession reads best as a coalition marker that follows prior alignment rather than as a shock that produces it. A positive outcome coefficient is what the order-building mechanism predicted, and the data decline to deliver one. Already-aligned states signing is what the selection account predicted, and the data deliver that strongly. Set together, the two results say that the Accords draw in states already positioned near the United States, and that signing does not then push those states further toward Washington in their broad voting. The coalition sorts. It does not manufacture new alignment.</w:t>
      </w:r>
    </w:p>
    <w:p>
      <w:pPr>
        <w:pStyle w:val="BodyText"/>
        <w:spacing w:line="480" w:lineRule="auto"/>
        <w:ind w:firstLine="720"/>
      </w:pPr>
      <w:r>
        <w:t xml:space="preserve">This reading squares with the bounded-cooperation view of the Accords without endorsing a cynical one. States that sign are not moving their whole foreign policy because they signed; they are formalizing a position they largely held. The absence of a post-accession voting jump does not brand the Accords empty, because the voting measure cannot see technical cooperation, security understandings, or scientific collaboration</w:t>
      </w:r>
      <w:r>
        <w:t xml:space="preserve"> </w:t>
      </w:r>
      <w:hyperlink w:anchor="ref-4">
        <w:r>
          <w:rPr>
            <w:rStyle w:val="Hyperlink"/>
          </w:rPr>
          <w:t xml:space="preserve">[4]</w:t>
        </w:r>
      </w:hyperlink>
      <w:r>
        <w:t xml:space="preserve">. What the results establish is narrower and firmer: in the broad General Assembly voting measure, accession is preceded by alignment and is not followed by additional alignment.</w:t>
      </w:r>
    </w:p>
    <w:bookmarkEnd w:id="126"/>
    <w:bookmarkStart w:id="127" w:name="magnitudes-in-context"/>
    <w:p>
      <w:pPr>
        <w:pStyle w:val="Heading2"/>
        <w:spacing w:line="480" w:lineRule="auto"/>
      </w:pPr>
      <w:r>
        <w:t xml:space="preserve">Magnitudes in context</w:t>
      </w:r>
    </w:p>
    <w:p>
      <w:pPr>
        <w:pStyle w:val="FirstParagraph"/>
        <w:spacing w:line="480" w:lineRule="auto"/>
      </w:pPr>
      <w:r>
        <w:t xml:space="preserve">It helps to weigh the two magnitudes against each other. The selection effect is large in both statistical and substantive terms, since an odds ratio of 3.96 is no marginal association and a p-value of 4.069e-12 leaves little room for noise</w:t>
      </w:r>
      <w:r>
        <w:t xml:space="preserve"> </w:t>
      </w:r>
      <w:hyperlink w:anchor="ref-4">
        <w:r>
          <w:rPr>
            <w:rStyle w:val="Hyperlink"/>
          </w:rPr>
          <w:t xml:space="preserve">[4]</w:t>
        </w:r>
      </w:hyperlink>
      <w:r>
        <w:t xml:space="preserve">. The outcome effect is small in substantive terms and absent in statistical terms, a coefficient of -0.0337 on a multi-unit scale, short of significance at the five-percent level</w:t>
      </w:r>
      <w:r>
        <w:t xml:space="preserve"> </w:t>
      </w:r>
      <w:hyperlink w:anchor="ref-3">
        <w:r>
          <w:rPr>
            <w:rStyle w:val="Hyperlink"/>
          </w:rPr>
          <w:t xml:space="preserve">[3]</w:t>
        </w:r>
      </w:hyperlink>
      <w:r>
        <w:t xml:space="preserve">. That asymmetry is itself the finding: what predicts signing is strong, and what follows signing, in this measure, is not.</w:t>
      </w:r>
    </w:p>
    <w:p>
      <w:pPr>
        <w:pStyle w:val="BodyText"/>
        <w:spacing w:line="480" w:lineRule="auto"/>
        <w:ind w:firstLine="720"/>
      </w:pPr>
      <w:r>
        <w:t xml:space="preserve">The asymmetry also validates the two-paper structure. Had the dissertation run only the outcome model, a reader could have worried that a null result hid a real effect obscured by selection, or that the design was simply underpowered. The selection model dissolves that ambiguity by showing directly that signing runs far from random and that prior alignment is doing the sorting. Had the dissertation run only the selection model, a reader could have inferred order-building from the strong prior-alignment link. The outcome model blocks that inference by showing no fresh movement. Each paper disciplines the interpretation of the other.</w:t>
      </w:r>
    </w:p>
    <w:bookmarkEnd w:id="127"/>
    <w:bookmarkStart w:id="128" w:name="summary-of-results"/>
    <w:p>
      <w:pPr>
        <w:pStyle w:val="Heading2"/>
        <w:spacing w:line="480" w:lineRule="auto"/>
      </w:pPr>
      <w:r>
        <w:t xml:space="preserve">Summary of results</w:t>
      </w:r>
    </w:p>
    <w:p>
      <w:pPr>
        <w:pStyle w:val="FirstParagraph"/>
        <w:spacing w:line="480" w:lineRule="auto"/>
      </w:pPr>
      <w:r>
        <w:t xml:space="preserve">The numbers, stated once more for the record, are these. In the outcome model, across 1,912 country-year observations, the residualized accession coefficient is -0.0337 (standard error about 0.0175, p about 0.055), and the residualized vote-count control is -0.0016 (standard error about 0.0004, p below 0.001)</w:t>
      </w:r>
      <w:r>
        <w:t xml:space="preserve"> </w:t>
      </w:r>
      <w:hyperlink w:anchor="ref-3">
        <w:r>
          <w:rPr>
            <w:rStyle w:val="Hyperlink"/>
          </w:rPr>
          <w:t xml:space="preserve">[3]</w:t>
        </w:r>
      </w:hyperlink>
      <w:r>
        <w:t xml:space="preserve">. In the selection model, across 1,017 at-risk country-year observations with 58 events, the lagged-alignment coefficient is 1.3759 (standard error about 0.198, odds ratio 3.96, p equal to 4.069e-12), the prior-signatory-count coefficient is -0.0757 (odds ratio about 0.93, p about 0.058), and the year-index coefficient is 0.8811 (odds ratio about 2.41, p about 0.027)</w:t>
      </w:r>
      <w:r>
        <w:t xml:space="preserve"> </w:t>
      </w:r>
      <w:hyperlink w:anchor="ref-4">
        <w:r>
          <w:rPr>
            <w:rStyle w:val="Hyperlink"/>
          </w:rPr>
          <w:t xml:space="preserve">[4]</w:t>
        </w:r>
      </w:hyperlink>
      <w:r>
        <w:t xml:space="preserve">.</w:t>
      </w:r>
    </w:p>
    <w:bookmarkEnd w:id="128"/>
    <w:bookmarkStart w:id="129" w:name="the-odds-ratio-in-concrete-terms"/>
    <w:p>
      <w:pPr>
        <w:pStyle w:val="Heading2"/>
        <w:spacing w:line="480" w:lineRule="auto"/>
      </w:pPr>
      <w:r>
        <w:t xml:space="preserve">The odds ratio in concrete terms</w:t>
      </w:r>
    </w:p>
    <w:p>
      <w:pPr>
        <w:pStyle w:val="FirstParagraph"/>
        <w:spacing w:line="480" w:lineRule="auto"/>
      </w:pPr>
      <w:r>
        <w:t xml:space="preserve">Because the selection result is the load-bearing finding, it repays translating the odds ratio into something a reader can picture. An odds ratio of 3.96 on lagged alignment means that where two states differ by one full unit of prior proximity to the United States, the closer state carries nearly four times the odds of signing in the current at-risk year, holding the coalition count and the calendar fixed</w:t>
      </w:r>
      <w:r>
        <w:t xml:space="preserve"> </w:t>
      </w:r>
      <w:hyperlink w:anchor="ref-4">
        <w:r>
          <w:rPr>
            <w:rStyle w:val="Hyperlink"/>
          </w:rPr>
          <w:t xml:space="preserve">[4]</w:t>
        </w:r>
      </w:hyperlink>
      <w:r>
        <w:t xml:space="preserve">. On the alignment scale used here, which runs across several units of dispersion, a one-unit difference is a meaningful gap in position, so the estimate describes a substantial sorting effect rather than a marginal tilt.</w:t>
      </w:r>
    </w:p>
    <w:p>
      <w:pPr>
        <w:pStyle w:val="BodyText"/>
        <w:spacing w:line="480" w:lineRule="auto"/>
        <w:ind w:firstLine="720"/>
      </w:pPr>
      <w:r>
        <w:t xml:space="preserve">The precision reinforces the point. It rules out a fluke. A z-statistic near 6.9 and a p-value of 4.069e-12 place the coefficient far outside the range that sampling noise could plausibly produce with 1,017 observations and 58 events</w:t>
      </w:r>
      <w:r>
        <w:t xml:space="preserve"> </w:t>
      </w:r>
      <w:hyperlink w:anchor="ref-4">
        <w:r>
          <w:rPr>
            <w:rStyle w:val="Hyperlink"/>
          </w:rPr>
          <w:t xml:space="preserve">[4]</w:t>
        </w:r>
      </w:hyperlink>
      <w:r>
        <w:t xml:space="preserve">. Unlike the outcome coefficient, this is no fragile result balanced on the edge of significance. It is a large, well-identified association between where a state stood and whether it signed, and any account of the Accords that ignores the sorting is incomplete.</w:t>
      </w:r>
    </w:p>
    <w:bookmarkEnd w:id="129"/>
    <w:bookmarkStart w:id="130" w:name="X48f8785c303f2220893b58567d50ec89cf8f7f3"/>
    <w:p>
      <w:pPr>
        <w:pStyle w:val="Heading2"/>
        <w:spacing w:line="480" w:lineRule="auto"/>
      </w:pPr>
      <w:r>
        <w:t xml:space="preserve">Reconciling the outcome estimate with its earlier framing</w:t>
      </w:r>
    </w:p>
    <w:p>
      <w:pPr>
        <w:pStyle w:val="FirstParagraph"/>
        <w:spacing w:line="480" w:lineRule="auto"/>
      </w:pPr>
      <w:r>
        <w:t xml:space="preserve">Careful readers of the companion analysis will notice that the outcome coefficient can be described in slightly different inferential terms depending on how the standard errors are computed, and this earns a candid note rather than silence. The point estimate is fixed at -0.0337 whatever the inference method, because the coefficient is a property of the residualized regression, not of the standard-error choice</w:t>
      </w:r>
      <w:r>
        <w:t xml:space="preserve"> </w:t>
      </w:r>
      <w:hyperlink w:anchor="ref-3">
        <w:r>
          <w:rPr>
            <w:rStyle w:val="Hyperlink"/>
          </w:rPr>
          <w:t xml:space="preserve">[3]</w:t>
        </w:r>
      </w:hyperlink>
      <w:r>
        <w:t xml:space="preserve">. What can shift is the exact p-value attached to it. Under the classical standard error reported here, near 0.0175, the coefficient sits just outside conventional significance. Under alternative error assumptions the borderline character can move modestly in either direction.</w:t>
      </w:r>
    </w:p>
    <w:p>
      <w:pPr>
        <w:pStyle w:val="BodyText"/>
        <w:spacing w:line="480" w:lineRule="auto"/>
        <w:ind w:firstLine="720"/>
      </w:pPr>
      <w:r>
        <w:t xml:space="preserve">None of this changes the substantive reading, and that is the reassuring part. Whether the outcome p-value reads as just above or just at the conventional threshold, the coefficient stays small in magnitude and negative in sign</w:t>
      </w:r>
      <w:r>
        <w:t xml:space="preserve"> </w:t>
      </w:r>
      <w:hyperlink w:anchor="ref-3">
        <w:r>
          <w:rPr>
            <w:rStyle w:val="Hyperlink"/>
          </w:rPr>
          <w:t xml:space="preserve">[3]</w:t>
        </w:r>
      </w:hyperlink>
      <w:r>
        <w:t xml:space="preserve">. No version of the inference shows accession delivering a positive, sizable, well-identified push toward the United States in broad voting. The order-building prediction called for exactly such a positive push, and the data withhold it under any reasonable treatment of the standard errors. The finding is robust to the inferential ambiguity precisely because the point estimate points the wrong way for the hypothesis it was meant to test.</w:t>
      </w:r>
    </w:p>
    <w:bookmarkEnd w:id="130"/>
    <w:bookmarkStart w:id="131" w:name="what-a-skeptic-would-still-want"/>
    <w:p>
      <w:pPr>
        <w:pStyle w:val="Heading2"/>
        <w:spacing w:line="480" w:lineRule="auto"/>
      </w:pPr>
      <w:r>
        <w:t xml:space="preserve">What a skeptic would still want</w:t>
      </w:r>
    </w:p>
    <w:p>
      <w:pPr>
        <w:pStyle w:val="FirstParagraph"/>
        <w:spacing w:line="480" w:lineRule="auto"/>
      </w:pPr>
      <w:r>
        <w:t xml:space="preserve">A skeptic could accept both coefficients and still resist the joint reading, and that resistance is worth meeting head-on. One objection holds that the outcome null reflects low power rather than a true absence of effect. The selection model answers part of this worry, since it shows the data are informative enough to detect a large, precise association when one exists</w:t>
      </w:r>
      <w:r>
        <w:t xml:space="preserve"> </w:t>
      </w:r>
      <w:hyperlink w:anchor="ref-4">
        <w:r>
          <w:rPr>
            <w:rStyle w:val="Hyperlink"/>
          </w:rPr>
          <w:t xml:space="preserve">[4]</w:t>
        </w:r>
      </w:hyperlink>
      <w:r>
        <w:t xml:space="preserve">. A panel that can recover an odds ratio of nearly four with a p-value in the trillionths is no panel too weak to see a real effect; it simply sees none in the outcome model.</w:t>
      </w:r>
    </w:p>
    <w:p>
      <w:pPr>
        <w:pStyle w:val="BodyText"/>
        <w:spacing w:line="480" w:lineRule="auto"/>
        <w:ind w:firstLine="720"/>
      </w:pPr>
      <w:r>
        <w:t xml:space="preserve">A second objection holds that the outcome window is short, so a slow realignment might not yet have surfaced. That is a fair limit, and Chapter 7 takes it seriously as a boundary on the finding rather than a refutation of it</w:t>
      </w:r>
      <w:r>
        <w:t xml:space="preserve"> </w:t>
      </w:r>
      <w:hyperlink w:anchor="ref-3">
        <w:r>
          <w:rPr>
            <w:rStyle w:val="Hyperlink"/>
          </w:rPr>
          <w:t xml:space="preserve">[3]</w:t>
        </w:r>
      </w:hyperlink>
      <w:r>
        <w:t xml:space="preserve">. The current claim stays bounded to the observed horizon: within the years the data cover, accession is not followed by movement toward the United States, and prior alignment strongly predicts signing. A longer horizon could revise the outcome verdict; it cannot retroactively weaken the selection verdict, which rests on position measured before signing.</w:t>
      </w:r>
    </w:p>
    <w:bookmarkEnd w:id="131"/>
    <w:bookmarkStart w:id="132" w:name="Xb1742be9040ab4d29d9028af967828cd5d0c148"/>
    <w:p>
      <w:pPr>
        <w:pStyle w:val="Heading2"/>
        <w:spacing w:line="480" w:lineRule="auto"/>
      </w:pPr>
      <w:r>
        <w:t xml:space="preserve">The controls as a validity check on the selection model</w:t>
      </w:r>
    </w:p>
    <w:p>
      <w:pPr>
        <w:pStyle w:val="FirstParagraph"/>
        <w:spacing w:line="480" w:lineRule="auto"/>
      </w:pPr>
      <w:r>
        <w:t xml:space="preserve">The two control coefficients in the selection model do more than tidy the specification; they confirm that the model is separating distinct forces rather than blurring them. The count of prior signatories carries a coefficient of -0.0757, an odds ratio near 0.93, and a p-value around 0.058, so once alignment and the calendar are fixed, the raw size of the coalition is at most weakly and slightly negatively related to an individual state’s hazard of signing</w:t>
      </w:r>
      <w:r>
        <w:t xml:space="preserve"> </w:t>
      </w:r>
      <w:hyperlink w:anchor="ref-4">
        <w:r>
          <w:rPr>
            <w:rStyle w:val="Hyperlink"/>
          </w:rPr>
          <w:t xml:space="preserve">[4]</w:t>
        </w:r>
      </w:hyperlink>
      <w:r>
        <w:t xml:space="preserve">. That is a sensible result: coalition size alone does not compel a state to join, and the small negative sign fits a thinning pool of remaining candidates as the coalition grows.</w:t>
      </w:r>
    </w:p>
    <w:p>
      <w:pPr>
        <w:pStyle w:val="BodyText"/>
        <w:spacing w:line="480" w:lineRule="auto"/>
        <w:ind w:firstLine="720"/>
      </w:pPr>
      <w:r>
        <w:t xml:space="preserve">The year index tells the complementary half of the timing story. Its coefficient of 0.8811, odds ratio about 2.41, and p-value around 0.027 mark a signing hazard that rises over the calendar apart from both alignment and coalition size</w:t>
      </w:r>
      <w:r>
        <w:t xml:space="preserve"> </w:t>
      </w:r>
      <w:hyperlink w:anchor="ref-4">
        <w:r>
          <w:rPr>
            <w:rStyle w:val="Hyperlink"/>
          </w:rPr>
          <w:t xml:space="preserve">[4]</w:t>
        </w:r>
      </w:hyperlink>
      <w:r>
        <w:t xml:space="preserve">. Something about the passage of time, whether accumulating diplomatic momentum or maturing mission opportunities, lifts the baseline propensity to sign. Because the year index and the signatory count both sit in the model, the lagged-alignment coefficient absorbs neither of them, which is what lets it speak to the alignment channel specifically. The controls behaving sensibly is evidence that the headline selection estimate is clean rather than a proxy for diffusion or the calendar.</w:t>
      </w:r>
    </w:p>
    <w:bookmarkEnd w:id="132"/>
    <w:bookmarkStart w:id="133" w:name="effect-sizes-side-by-side"/>
    <w:p>
      <w:pPr>
        <w:pStyle w:val="Heading2"/>
        <w:spacing w:line="480" w:lineRule="auto"/>
      </w:pPr>
      <w:r>
        <w:t xml:space="preserve">Effect sizes side by side</w:t>
      </w:r>
    </w:p>
    <w:p>
      <w:pPr>
        <w:pStyle w:val="FirstParagraph"/>
        <w:spacing w:line="480" w:lineRule="auto"/>
      </w:pPr>
      <w:r>
        <w:t xml:space="preserve">Setting the two headline coefficients next to each other sharpens the contrast that drives the dissertation. The outcome model’s accession coefficient is -0.0337, small and negative, on a proximity scale spanning several units, and it is not significant at conventional levels</w:t>
      </w:r>
      <w:r>
        <w:t xml:space="preserve"> </w:t>
      </w:r>
      <w:hyperlink w:anchor="ref-3">
        <w:r>
          <w:rPr>
            <w:rStyle w:val="Hyperlink"/>
          </w:rPr>
          <w:t xml:space="preserve">[3]</w:t>
        </w:r>
      </w:hyperlink>
      <w:r>
        <w:t xml:space="preserve">. The selection model’s lagged-alignment coefficient is 1.3759, an odds ratio of 3.96, significant at a p-value of 4.069e-12</w:t>
      </w:r>
      <w:r>
        <w:t xml:space="preserve"> </w:t>
      </w:r>
      <w:hyperlink w:anchor="ref-4">
        <w:r>
          <w:rPr>
            <w:rStyle w:val="Hyperlink"/>
          </w:rPr>
          <w:t xml:space="preserve">[4]</w:t>
        </w:r>
      </w:hyperlink>
      <w:r>
        <w:t xml:space="preserve">. One number is a whisper pointing the wrong way; the other is a shout pointing exactly where the selection account predicted.</w:t>
      </w:r>
    </w:p>
    <w:p>
      <w:pPr>
        <w:pStyle w:val="BodyText"/>
        <w:spacing w:line="480" w:lineRule="auto"/>
        <w:ind w:firstLine="720"/>
      </w:pPr>
      <w:r>
        <w:t xml:space="preserve">That asymmetry is no defect to be explained away. It is the result. Had both coefficients come back large and positive, the order-building and selection stories would tangle together and resist separation. Had both come back null, the whole exercise would tell us nothing. The actual pattern is a null outcome beside a strong selection signal, and it is the most interpretable of the possibilities, because it cleanly favors coalition-of-the-already-aligned over accession-as-realignment. The estimators returned more than numbers. They returned a pattern with a clear meaning.</w:t>
      </w:r>
    </w:p>
    <w:bookmarkEnd w:id="133"/>
    <w:bookmarkStart w:id="134" w:name="summary-of-results-1"/>
    <w:p>
      <w:pPr>
        <w:pStyle w:val="Heading2"/>
        <w:spacing w:line="480" w:lineRule="auto"/>
      </w:pPr>
      <w:r>
        <w:t xml:space="preserve">Summary of results</w:t>
      </w:r>
    </w:p>
    <w:p>
      <w:pPr>
        <w:pStyle w:val="FirstParagraph"/>
        <w:spacing w:line="480" w:lineRule="auto"/>
      </w:pPr>
      <w:r>
        <w:t xml:space="preserve">The substantive conclusion follows directly. Prior alignment strongly predicts accession. Accession does not predict subsequent alignment. The Accords sort on position rather than realigning their signatories in the broad voting measure. Chapter 7 takes up what this means, what could still be wrong with it, and what the data are not able to tell us.</w:t>
      </w:r>
    </w:p>
    <w:p>
      <w:pPr>
        <w:pStyle w:val="BodyText"/>
        <w:spacing w:line="480" w:lineRule="auto"/>
        <w:ind w:firstLine="720"/>
      </w:pPr>
      <w:r>
        <w:t xml:space="preserve">One figure captures the whole result for a reader who wants a single image. Plot the residualized accession indicator against residualized alignment for the outcome model, and the cloud shows no upward slope; the fitted line runs flat and faintly downward, matching the -0.0337 coefficient</w:t>
      </w:r>
      <w:r>
        <w:t xml:space="preserve"> </w:t>
      </w:r>
      <w:hyperlink w:anchor="ref-3">
        <w:r>
          <w:rPr>
            <w:rStyle w:val="Hyperlink"/>
          </w:rPr>
          <w:t xml:space="preserve">[3]</w:t>
        </w:r>
      </w:hyperlink>
      <w:r>
        <w:t xml:space="preserve">. Plot signing events against lagged alignment for the selection model, and the events cluster among states already close to the United States, matching the 3.96 odds ratio</w:t>
      </w:r>
      <w:r>
        <w:t xml:space="preserve"> </w:t>
      </w:r>
      <w:hyperlink w:anchor="ref-4">
        <w:r>
          <w:rPr>
            <w:rStyle w:val="Hyperlink"/>
          </w:rPr>
          <w:t xml:space="preserve">[4]</w:t>
        </w:r>
      </w:hyperlink>
      <w:r>
        <w:t xml:space="preserve">. The two pictures together are the dissertation’s empirical heart: signing follows position, and position does not then follow signing.</w:t>
      </w:r>
    </w:p>
    <w:p>
      <w:pPr>
        <w:pStyle w:val="BodyText"/>
        <w:spacing w:line="480" w:lineRule="auto"/>
        <w:ind w:firstLine="720"/>
      </w:pPr>
      <w:r>
        <w:t xml:space="preserve">For the record, the exact quantities the two estimators return are worth listing once in a single place. Outcome model, 1,912 observations: residualized accession coefficient -0.0337, standard error about 0.0175, p about 0.055; residualized vote-count coefficient -0.0016, standard error about 0.0004, p below 0.001</w:t>
      </w:r>
      <w:r>
        <w:t xml:space="preserve"> </w:t>
      </w:r>
      <w:hyperlink w:anchor="ref-3">
        <w:r>
          <w:rPr>
            <w:rStyle w:val="Hyperlink"/>
          </w:rPr>
          <w:t xml:space="preserve">[3]</w:t>
        </w:r>
      </w:hyperlink>
      <w:r>
        <w:t xml:space="preserve">. Selection model, 1,017 at-risk observations with 58 events: lagged-alignment coefficient 1.3759, standard error about 0.198, odds ratio 3.96, p equal to 4.069e-12; prior-signatory-count coefficient -0.0757, odds ratio about 0.93, p about 0.058; year-index coefficient 0.8811, odds ratio about 2.41, p about 0.027</w:t>
      </w:r>
      <w:r>
        <w:t xml:space="preserve"> </w:t>
      </w:r>
      <w:hyperlink w:anchor="ref-4">
        <w:r>
          <w:rPr>
            <w:rStyle w:val="Hyperlink"/>
          </w:rPr>
          <w:t xml:space="preserve">[4]</w:t>
        </w:r>
      </w:hyperlink>
      <w:r>
        <w:t xml:space="preserve">. These are the numbers on which every downstream claim rests, and they are reproduced here without alteration from what the estimators produce.</w:t>
      </w:r>
    </w:p>
    <w:bookmarkEnd w:id="134"/>
    <w:bookmarkEnd w:id="135"/>
    <w:bookmarkStart w:id="147" w:name="chapter-7.-discussion-and-limitations"/>
    <w:p>
      <w:pPr>
        <w:pStyle w:val="Heading1"/>
        <w:spacing w:line="480" w:lineRule="auto"/>
      </w:pPr>
      <w:r>
        <w:t xml:space="preserve">Chapter 7. Discussion and Limitations</w:t>
      </w:r>
    </w:p>
    <w:bookmarkStart w:id="136" w:name="what-the-findings-mean"/>
    <w:p>
      <w:pPr>
        <w:pStyle w:val="Heading2"/>
        <w:spacing w:line="480" w:lineRule="auto"/>
      </w:pPr>
      <w:r>
        <w:t xml:space="preserve">What the findings mean</w:t>
      </w:r>
    </w:p>
    <w:p>
      <w:pPr>
        <w:pStyle w:val="FirstParagraph"/>
        <w:spacing w:line="480" w:lineRule="auto"/>
      </w:pPr>
      <w:r>
        <w:t xml:space="preserve">The results tell a coherent story, and it is worth stating in one sentence before qualifying it. The Artemis Accords draw in states that already sit close to the United States in United Nations voting, and signing does not then move those states further toward Washington in that broad measure</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coalition sorts on prior position rather than manufacturing new alignment. This section unpacks what that means for the order-building question. The sections that follow ask, with some rigor, what could still be wrong with it.</w:t>
      </w:r>
    </w:p>
    <w:p>
      <w:pPr>
        <w:pStyle w:val="BodyText"/>
        <w:spacing w:line="480" w:lineRule="auto"/>
        <w:ind w:firstLine="720"/>
      </w:pPr>
      <w:r>
        <w:t xml:space="preserve">In its strong form, the order-building hypothesis predicted a positive trace in subsequent voting. It left none. A small negative came back for the outcome coefficient, not distinguishable from zero, which is the signature of bounded cooperation rather than broad realignment</w:t>
      </w:r>
      <w:r>
        <w:t xml:space="preserve"> </w:t>
      </w:r>
      <w:hyperlink w:anchor="ref-3">
        <w:r>
          <w:rPr>
            <w:rStyle w:val="Hyperlink"/>
          </w:rPr>
          <w:t xml:space="preserve">[3]</w:t>
        </w:r>
      </w:hyperlink>
      <w:r>
        <w:t xml:space="preserve">. Selection told a different story: a large and precise association between prior alignment and the odds of signing, an odds ratio near four with a p-value in the trillionths</w:t>
      </w:r>
      <w:r>
        <w:t xml:space="preserve"> </w:t>
      </w:r>
      <w:hyperlink w:anchor="ref-4">
        <w:r>
          <w:rPr>
            <w:rStyle w:val="Hyperlink"/>
          </w:rPr>
          <w:t xml:space="preserve">[4]</w:t>
        </w:r>
      </w:hyperlink>
      <w:r>
        <w:t xml:space="preserve">. Together the two support a specific reading, that the Accords are a coalition established partners join, not a mechanism that converts the unaligned.</w:t>
      </w:r>
    </w:p>
    <w:p>
      <w:pPr>
        <w:pStyle w:val="BodyText"/>
        <w:spacing w:line="480" w:lineRule="auto"/>
        <w:ind w:firstLine="720"/>
      </w:pPr>
      <w:r>
        <w:t xml:space="preserve">This reading neither debunks nor endorses the Accords. It draws a boundary. A signed instrument that gathers already-aligned states is doing real diplomatic work: it formalizes a coalition, coordinates behavior in a shared operating environment, and makes membership visible</w:t>
      </w:r>
      <w:r>
        <w:t xml:space="preserve"> </w:t>
      </w:r>
      <w:hyperlink w:anchor="ref-6">
        <w:r>
          <w:rPr>
            <w:rStyle w:val="Hyperlink"/>
          </w:rPr>
          <w:t xml:space="preserve">[6]</w:t>
        </w:r>
      </w:hyperlink>
      <w:r>
        <w:t xml:space="preserve"> </w:t>
      </w:r>
      <w:hyperlink w:anchor="ref-7">
        <w:r>
          <w:rPr>
            <w:rStyle w:val="Hyperlink"/>
          </w:rPr>
          <w:t xml:space="preserve">[7]</w:t>
        </w:r>
      </w:hyperlink>
      <w:r>
        <w:t xml:space="preserve">. What it withholds, at least in a way the General Assembly voting measure can detect, is any pull of signatories toward the United States on the broad questions that dominate multilateral politics. Order-building by accession, in the sense of accession producing broader alignment, finds no support here. Order-revealing by accession does.</w:t>
      </w:r>
    </w:p>
    <w:bookmarkEnd w:id="136"/>
    <w:bookmarkStart w:id="137" w:name="Xd53b2fc75c8883e3911de07fa01402d133fcf57"/>
    <w:p>
      <w:pPr>
        <w:pStyle w:val="Heading2"/>
        <w:spacing w:line="480" w:lineRule="auto"/>
      </w:pPr>
      <w:r>
        <w:t xml:space="preserve">The measure sees some things and not others</w:t>
      </w:r>
    </w:p>
    <w:p>
      <w:pPr>
        <w:pStyle w:val="FirstParagraph"/>
        <w:spacing w:line="480" w:lineRule="auto"/>
      </w:pPr>
      <w:r>
        <w:t xml:space="preserve">Any interpretation has to reckon with what the outcome variable can and cannot register. UN voting proximity is a defensible, reproducible summary of revealed preferences over final-passage resolutions, built from a published estimation lineage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It is also narrow. It observes nothing of security cooperation, defense burden-sharing, procurement relationships, scientific collaboration, or the technical readiness that actually decides whether a state is a useful lunar partner</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This bears on how far the null outcome result travels. A quiet voting measure after accession does not establish that nothing cooperative happens after accession. It establishes that the broad diplomatic trace, if any, stays invisible in this particular window onto foreign policy. States sign the Accords for practical, symbolic, commercial, scientific, and diplomatic reasons, and only some of those would be expected to move a country’s annual voting distance</w:t>
      </w:r>
      <w:r>
        <w:t xml:space="preserve"> </w:t>
      </w:r>
      <w:hyperlink w:anchor="ref-13">
        <w:r>
          <w:rPr>
            <w:rStyle w:val="Hyperlink"/>
          </w:rPr>
          <w:t xml:space="preserve">[13]</w:t>
        </w:r>
      </w:hyperlink>
      <w:r>
        <w:t xml:space="preserve">. The honest statement is that the Accords may reshape technical and security cooperation in ways this study cannot see, while leaving broad voting behavior unchanged, which is exactly what the evidence shows.</w:t>
      </w:r>
    </w:p>
    <w:p>
      <w:pPr>
        <w:pStyle w:val="BodyText"/>
        <w:spacing w:line="480" w:lineRule="auto"/>
        <w:ind w:firstLine="720"/>
      </w:pPr>
      <w:r>
        <w:t xml:space="preserve">The narrowness of the measure cuts both ways, and its second edge sharpens the selection result rather than dulling it. Even a coarse summary of foreign-policy position predicts signing with an odds ratio near four</w:t>
      </w:r>
      <w:r>
        <w:t xml:space="preserve"> </w:t>
      </w:r>
      <w:hyperlink w:anchor="ref-4">
        <w:r>
          <w:rPr>
            <w:rStyle w:val="Hyperlink"/>
          </w:rPr>
          <w:t xml:space="preserve">[4]</w:t>
        </w:r>
      </w:hyperlink>
      <w:r>
        <w:t xml:space="preserve">. Whatever finer alignment escapes voting distance would, if anything, strengthen the selection story rather than weaken it. So the narrowness bounds the outcome conclusion downward while leaving the selection conclusion intact or reinforced.</w:t>
      </w:r>
    </w:p>
    <w:bookmarkEnd w:id="137"/>
    <w:bookmarkStart w:id="138" w:name="threats-to-validity"/>
    <w:p>
      <w:pPr>
        <w:pStyle w:val="Heading2"/>
        <w:spacing w:line="480" w:lineRule="auto"/>
      </w:pPr>
      <w:r>
        <w:t xml:space="preserve">Threats to validity</w:t>
      </w:r>
    </w:p>
    <w:p>
      <w:pPr>
        <w:pStyle w:val="FirstParagraph"/>
        <w:spacing w:line="480" w:lineRule="auto"/>
      </w:pPr>
      <w:r>
        <w:t xml:space="preserve">Several threats deserve direct attention, and I take them in turn rather than gesturing at them collectively.</w:t>
      </w:r>
    </w:p>
    <w:p>
      <w:pPr>
        <w:pStyle w:val="BodyText"/>
        <w:spacing w:line="480" w:lineRule="auto"/>
        <w:ind w:firstLine="720"/>
      </w:pPr>
      <w:r>
        <w:t xml:space="preserve">First comes time-varying confounding in the outcome model. A two-way fixed-effect design retires stable national orientation and common annual shocks, yet it cannot retire a within-country event that coincides with accession and also moves voting</w:t>
      </w:r>
      <w:r>
        <w:t xml:space="preserve"> </w:t>
      </w:r>
      <w:hyperlink w:anchor="ref-3">
        <w:r>
          <w:rPr>
            <w:rStyle w:val="Hyperlink"/>
          </w:rPr>
          <w:t xml:space="preserve">[3]</w:t>
        </w:r>
      </w:hyperlink>
      <w:r>
        <w:t xml:space="preserve">. Picture a state that signs during a security realignment or a change of government; the accession coefficient would absorb whatever voting movement that event produced. Here the threat happens to cut against a false positive rather than toward one, because the outcome coefficient is null and no spurious positive effect stands for a confound to have created. It would bite harder had the result been a significant positive, which it was not.</w:t>
      </w:r>
    </w:p>
    <w:p>
      <w:pPr>
        <w:pStyle w:val="BodyText"/>
        <w:spacing w:line="480" w:lineRule="auto"/>
        <w:ind w:firstLine="720"/>
      </w:pPr>
      <w:r>
        <w:t xml:space="preserve">Second comes the timing of signature within a calendar year. A state that signs late in a year casts most of that year’s votes before signing, so the same-year accession indicator blends pre-signature and post-signature behavior</w:t>
      </w:r>
      <w:r>
        <w:t xml:space="preserve"> </w:t>
      </w:r>
      <w:hyperlink w:anchor="ref-3">
        <w:r>
          <w:rPr>
            <w:rStyle w:val="Hyperlink"/>
          </w:rPr>
          <w:t xml:space="preserve">[3]</w:t>
        </w:r>
      </w:hyperlink>
      <w:r>
        <w:t xml:space="preserve">. A year fixed effect cannot repair this, since it works across countries within a year rather than within a country across months. That blurs the immediate post-signature signal, one reason the outcome estimate should not be pressed harder than the data allow. It does not, though, manufacture the strong selection result, which rests on lagged alignment measured in the year before the at-risk year</w:t>
      </w:r>
      <w:r>
        <w:t xml:space="preserve"> </w:t>
      </w:r>
      <w:hyperlink w:anchor="ref-4">
        <w:r>
          <w:rPr>
            <w:rStyle w:val="Hyperlink"/>
          </w:rPr>
          <w:t xml:space="preserve">[4]</w:t>
        </w:r>
      </w:hyperlink>
      <w:r>
        <w:t xml:space="preserve">.</w:t>
      </w:r>
    </w:p>
    <w:p>
      <w:pPr>
        <w:pStyle w:val="BodyText"/>
        <w:spacing w:line="480" w:lineRule="auto"/>
        <w:ind w:firstLine="720"/>
      </w:pPr>
      <w:r>
        <w:t xml:space="preserve">Third comes the provisional character of the most recent data. Carrying the 2025 ideal-point release extends the post-accession window, which is why it is there, yet the source documentation counsels caution in reading the latest year</w:t>
      </w:r>
      <w:r>
        <w:t xml:space="preserve"> </w:t>
      </w:r>
      <w:hyperlink w:anchor="ref-3">
        <w:r>
          <w:rPr>
            <w:rStyle w:val="Hyperlink"/>
          </w:rPr>
          <w:t xml:space="preserve">[3]</w:t>
        </w:r>
      </w:hyperlink>
      <w:r>
        <w:t xml:space="preserve">. Since 2025 is where much of the post-accession observation lives, that caveat bears directly on the outcome model. The reassurance runs the other way: the outcome result is a null, so a noisier final year would tend to make a true positive harder to detect, not easier to invent.</w:t>
      </w:r>
    </w:p>
    <w:p>
      <w:pPr>
        <w:pStyle w:val="BodyText"/>
        <w:spacing w:line="480" w:lineRule="auto"/>
        <w:ind w:firstLine="720"/>
      </w:pPr>
      <w:r>
        <w:t xml:space="preserve">Fourth comes selection into the risk set itself. An event-history model takes the population of at-risk states as given, yet entry into the pool of plausible signatories is itself a choice shaped by geography, capacity, and politics</w:t>
      </w:r>
      <w:r>
        <w:t xml:space="preserve"> </w:t>
      </w:r>
      <w:hyperlink w:anchor="ref-4">
        <w:r>
          <w:rPr>
            <w:rStyle w:val="Hyperlink"/>
          </w:rPr>
          <w:t xml:space="preserve">[4]</w:t>
        </w:r>
      </w:hyperlink>
      <w:r>
        <w:t xml:space="preserve">. The lagged-alignment coefficient diagnoses selection on prior position; it is no structural model of who becomes eligible. It does its diagnostic job, and it should not be read as a full account of the accession process.</w:t>
      </w:r>
    </w:p>
    <w:bookmarkEnd w:id="138"/>
    <w:bookmarkStart w:id="139" w:name="what-the-data-cannot-show"/>
    <w:p>
      <w:pPr>
        <w:pStyle w:val="Heading2"/>
        <w:spacing w:line="480" w:lineRule="auto"/>
      </w:pPr>
      <w:r>
        <w:t xml:space="preserve">What the data cannot show</w:t>
      </w:r>
    </w:p>
    <w:p>
      <w:pPr>
        <w:pStyle w:val="FirstParagraph"/>
        <w:spacing w:line="480" w:lineRule="auto"/>
      </w:pPr>
      <w:r>
        <w:t xml:space="preserve">It is worth being explicit about the questions this study leaves open, because a dissertation that oversells its reach damages the very findings it is proud of.</w:t>
      </w:r>
    </w:p>
    <w:p>
      <w:pPr>
        <w:pStyle w:val="BodyText"/>
        <w:spacing w:line="480" w:lineRule="auto"/>
        <w:ind w:firstLine="720"/>
      </w:pPr>
      <w:r>
        <w:t xml:space="preserve">Causation stays out of reach. Accession is not randomly assigned, and no residualization changes that</w:t>
      </w:r>
      <w:r>
        <w:t xml:space="preserve"> </w:t>
      </w:r>
      <w:hyperlink w:anchor="ref-3">
        <w:r>
          <w:rPr>
            <w:rStyle w:val="Hyperlink"/>
          </w:rPr>
          <w:t xml:space="preserve">[3]</w:t>
        </w:r>
      </w:hyperlink>
      <w:r>
        <w:t xml:space="preserve">. A within-country association is what the outcome coefficient gives, and a hazard association is what the selection coefficient gives; neither licenses a claim that the Accords caused, or failed to cause, any particular diplomatic movement. The strongest causal-flavored statement the evidence supports is negative and bounded: no detectable post-accession jump toward the United States appears in broad voting, and prior alignment strongly predicts who signs.</w:t>
      </w:r>
    </w:p>
    <w:p>
      <w:pPr>
        <w:pStyle w:val="BodyText"/>
        <w:spacing w:line="480" w:lineRule="auto"/>
        <w:ind w:firstLine="720"/>
      </w:pPr>
      <w:r>
        <w:t xml:space="preserve">Mechanisms below the level of voting stay out of reach too. Whether the Accords deepened data sharing, sharpened space situational awareness cooperation, or advanced joint missions is invisible here, because none of that sits in the measure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state that signed for scientific access and a state that signed for security signaling appear identically in the accession record</w:t>
      </w:r>
      <w:r>
        <w:t xml:space="preserve"> </w:t>
      </w:r>
      <w:hyperlink w:anchor="ref-6">
        <w:r>
          <w:rPr>
            <w:rStyle w:val="Hyperlink"/>
          </w:rPr>
          <w:t xml:space="preserve">[6]</w:t>
        </w:r>
      </w:hyperlink>
      <w:r>
        <w:t xml:space="preserve">. And whether the null outcome result would persist as the window lengthens and more post-accession years accumulate is a genuine empirical question the current data cannot settle.</w:t>
      </w:r>
    </w:p>
    <w:p>
      <w:pPr>
        <w:pStyle w:val="BodyText"/>
        <w:spacing w:line="480" w:lineRule="auto"/>
        <w:ind w:firstLine="720"/>
      </w:pPr>
      <w:r>
        <w:t xml:space="preserve">Generalization beyond the setting stays out of reach as well. The inference concerns Artemis Accords accession and General Assembly voting in the specified country-year window</w:t>
      </w:r>
      <w:r>
        <w:t xml:space="preserve"> </w:t>
      </w:r>
      <w:hyperlink w:anchor="ref-3">
        <w:r>
          <w:rPr>
            <w:rStyle w:val="Hyperlink"/>
          </w:rPr>
          <w:t xml:space="preserve">[3]</w:t>
        </w:r>
      </w:hyperlink>
      <w:r>
        <w:t xml:space="preserve"> </w:t>
      </w:r>
      <w:hyperlink w:anchor="ref-4">
        <w:r>
          <w:rPr>
            <w:rStyle w:val="Hyperlink"/>
          </w:rPr>
          <w:t xml:space="preserve">[4]</w:t>
        </w:r>
      </w:hyperlink>
      <w:r>
        <w:t xml:space="preserve">. It says nothing about other coalition instruments, other outcome measures, or other periods. A different measure of alignment, a dyadic agreement score, or an issue-area breakdown could return a different picture, and I treat those as extensions rather than as settled by this work.</w:t>
      </w:r>
    </w:p>
    <w:bookmarkEnd w:id="139"/>
    <w:bookmarkStart w:id="140" w:name="Xe7f68bba92c5504b7bf4abaae861778422faf1b"/>
    <w:p>
      <w:pPr>
        <w:pStyle w:val="Heading2"/>
        <w:spacing w:line="480" w:lineRule="auto"/>
      </w:pPr>
      <w:r>
        <w:t xml:space="preserve">Holding the interpretation to the evidence</w:t>
      </w:r>
    </w:p>
    <w:p>
      <w:pPr>
        <w:pStyle w:val="FirstParagraph"/>
        <w:spacing w:line="480" w:lineRule="auto"/>
      </w:pPr>
      <w:r>
        <w:t xml:space="preserve">The discipline running through this chapter is the refusal to let either literature or either intuition overrun the data. The space-governance literature makes accession look consequential, and it is consequential in its own domain</w:t>
      </w:r>
      <w:r>
        <w:t xml:space="preserve"> </w:t>
      </w:r>
      <w:hyperlink w:anchor="ref-14">
        <w:r>
          <w:rPr>
            <w:rStyle w:val="Hyperlink"/>
          </w:rPr>
          <w:t xml:space="preserve">[14]</w:t>
        </w:r>
      </w:hyperlink>
      <w:r>
        <w:t xml:space="preserve">. The temptation is to let that consequence bleed into a claim about broad realignment. The outcome result blocks that move. The selection result, meanwhile, runs strong enough that a careless reader could call it order-building; the outcome null blocks that move too, because sorting on prior position is not the same as producing new position.</w:t>
      </w:r>
    </w:p>
    <w:bookmarkEnd w:id="140"/>
    <w:bookmarkStart w:id="141" w:name="comparison-with-the-popular-narrative"/>
    <w:p>
      <w:pPr>
        <w:pStyle w:val="Heading2"/>
        <w:spacing w:line="480" w:lineRule="auto"/>
      </w:pPr>
      <w:r>
        <w:t xml:space="preserve">Comparison with the popular narrative</w:t>
      </w:r>
    </w:p>
    <w:p>
      <w:pPr>
        <w:pStyle w:val="FirstParagraph"/>
        <w:spacing w:line="480" w:lineRule="auto"/>
      </w:pPr>
      <w:r>
        <w:t xml:space="preserve">It is worth setting the findings against the story the Accords usually get told in. That story casts accession as recruitment: the coalition grows, and each new signature marks a state pulled into an American-led order. The data complicate this in a specific way. Growth is real, and the coalition did expand across the observation window</w:t>
      </w:r>
      <w:r>
        <w:t xml:space="preserve"> </w:t>
      </w:r>
      <w:hyperlink w:anchor="ref-1">
        <w:r>
          <w:rPr>
            <w:rStyle w:val="Hyperlink"/>
          </w:rPr>
          <w:t xml:space="preserve">[1]</w:t>
        </w:r>
      </w:hyperlink>
      <w:r>
        <w:t xml:space="preserve"> </w:t>
      </w:r>
      <w:hyperlink w:anchor="ref-2">
        <w:r>
          <w:rPr>
            <w:rStyle w:val="Hyperlink"/>
          </w:rPr>
          <w:t xml:space="preserve">[2]</w:t>
        </w:r>
      </w:hyperlink>
      <w:r>
        <w:t xml:space="preserve">. Growth by recruitment of the unaligned, though, is not what the numbers show. Growth by accession of the already-aligned is</w:t>
      </w:r>
      <w:r>
        <w:t xml:space="preserve"> </w:t>
      </w:r>
      <w:hyperlink w:anchor="ref-4">
        <w:r>
          <w:rPr>
            <w:rStyle w:val="Hyperlink"/>
          </w:rPr>
          <w:t xml:space="preserve">[4]</w:t>
        </w:r>
      </w:hyperlink>
      <w:r>
        <w:t xml:space="preserve">. That distinction is no quibble. Recruitment implies the instrument changes minds; sorting implies it organizes minds already made up.</w:t>
      </w:r>
    </w:p>
    <w:p>
      <w:pPr>
        <w:pStyle w:val="BodyText"/>
        <w:spacing w:line="480" w:lineRule="auto"/>
        <w:ind w:firstLine="720"/>
      </w:pPr>
      <w:r>
        <w:t xml:space="preserve">This reframing carries consequences for how the coalition’s significance should be read. If the Accords sort rather than recruit, their diplomatic meaning rests in coordination and visibility among partners, not in expanding the base of states that align with the United States</w:t>
      </w:r>
      <w:r>
        <w:t xml:space="preserve"> </w:t>
      </w:r>
      <w:hyperlink w:anchor="ref-7">
        <w:r>
          <w:rPr>
            <w:rStyle w:val="Hyperlink"/>
          </w:rPr>
          <w:t xml:space="preserve">[7]</w:t>
        </w:r>
      </w:hyperlink>
      <w:r>
        <w:t xml:space="preserve"> </w:t>
      </w:r>
      <w:hyperlink w:anchor="ref-14">
        <w:r>
          <w:rPr>
            <w:rStyle w:val="Hyperlink"/>
          </w:rPr>
          <w:t xml:space="preserve">[14]</w:t>
        </w:r>
      </w:hyperlink>
      <w:r>
        <w:t xml:space="preserve">. A coalition can hold strategic value purely as a coordinating and signaling structure, so this is no demotion of the instrument. It is a correction to a specific causal claim the popular narrative makes and the data do not support. That correction is exactly the kind of thing a falsifiable test is for.</w:t>
      </w:r>
    </w:p>
    <w:bookmarkEnd w:id="141"/>
    <w:bookmarkStart w:id="142" w:name="robustness-of-the-central-conclusion"/>
    <w:p>
      <w:pPr>
        <w:pStyle w:val="Heading2"/>
        <w:spacing w:line="480" w:lineRule="auto"/>
      </w:pPr>
      <w:r>
        <w:t xml:space="preserve">Robustness of the central conclusion</w:t>
      </w:r>
    </w:p>
    <w:p>
      <w:pPr>
        <w:pStyle w:val="FirstParagraph"/>
        <w:spacing w:line="480" w:lineRule="auto"/>
      </w:pPr>
      <w:r>
        <w:t xml:space="preserve">The central conclusion, sorting without subsequent realignment, holds up unusually well against the study’s own weaknesses, and the reason is worth spelling out. Most threats to the outcome model would bias toward finding a spurious positive effect, and yet the outcome estimate is a null</w:t>
      </w:r>
      <w:r>
        <w:t xml:space="preserve"> </w:t>
      </w:r>
      <w:hyperlink w:anchor="ref-3">
        <w:r>
          <w:rPr>
            <w:rStyle w:val="Hyperlink"/>
          </w:rPr>
          <w:t xml:space="preserve">[3]</w:t>
        </w:r>
      </w:hyperlink>
      <w:r>
        <w:t xml:space="preserve">. A confound that moved voting alongside accession, a short window that caught early enthusiasm, or measurement noise concentrated in the final year would each tend to create or inflate an effect rather than suppress one. That the outcome model returns no positive effect despite all these pressures makes the null more credible, not less.</w:t>
      </w:r>
    </w:p>
    <w:p>
      <w:pPr>
        <w:pStyle w:val="BodyText"/>
        <w:spacing w:line="480" w:lineRule="auto"/>
        <w:ind w:firstLine="720"/>
      </w:pPr>
      <w:r>
        <w:t xml:space="preserve">The selection conclusion is robust for a different reason. Its identifying variation is prior position, measured in the year before the at-risk year, so the timing runs in the right direction and cannot be an artifact of anything that happens at or after signing</w:t>
      </w:r>
      <w:r>
        <w:t xml:space="preserve"> </w:t>
      </w:r>
      <w:hyperlink w:anchor="ref-4">
        <w:r>
          <w:rPr>
            <w:rStyle w:val="Hyperlink"/>
          </w:rPr>
          <w:t xml:space="preserve">[4]</w:t>
        </w:r>
      </w:hyperlink>
      <w:r>
        <w:t xml:space="preserve">. The large magnitude and small p-value leave little room for the association to be noise. So the two conclusions rest on different foundations that fail in different ways. That is precisely the condition under which a joint finding earns trust. A single design flaw would have to corrupt both the outcome null and the selection signal in coordinated fashion to overturn the reading, and no such flaw is evident.</w:t>
      </w:r>
    </w:p>
    <w:bookmarkEnd w:id="142"/>
    <w:bookmarkStart w:id="143" w:name="Xc907351120efd33dd60ec81ffec3655047ea76f"/>
    <w:p>
      <w:pPr>
        <w:pStyle w:val="Heading2"/>
        <w:spacing w:line="480" w:lineRule="auto"/>
      </w:pPr>
      <w:r>
        <w:t xml:space="preserve">Implications for the identifying assumption</w:t>
      </w:r>
    </w:p>
    <w:p>
      <w:pPr>
        <w:pStyle w:val="FirstParagraph"/>
        <w:spacing w:line="480" w:lineRule="auto"/>
      </w:pPr>
      <w:r>
        <w:t xml:space="preserve">The parallel-trends assumption that underwrites any difference-style reading of the outcome model deserves a direct verdict in light of the selection result. Strong selection on prior alignment is exactly the kind of pattern that can violate parallel trends, because states selected on position may also sit on distinct trajectories</w:t>
      </w:r>
      <w:r>
        <w:t xml:space="preserve"> </w:t>
      </w:r>
      <w:hyperlink w:anchor="ref-4">
        <w:r>
          <w:rPr>
            <w:rStyle w:val="Hyperlink"/>
          </w:rPr>
          <w:t xml:space="preserve">[4]</w:t>
        </w:r>
      </w:hyperlink>
      <w:r>
        <w:t xml:space="preserve">. Had the outcome model returned a positive effect, this would be a serious problem, because the effect could be a pre-existing trend rather than a consequence of accession. The null outcome partly defuses the concern: no positive effect stands there for a violated parallel-trend assumption to have manufactured</w:t>
      </w:r>
      <w:r>
        <w:t xml:space="preserve"> </w:t>
      </w:r>
      <w:hyperlink w:anchor="ref-3">
        <w:r>
          <w:rPr>
            <w:rStyle w:val="Hyperlink"/>
          </w:rPr>
          <w:t xml:space="preserve">[3]</w:t>
        </w:r>
      </w:hyperlink>
      <w:r>
        <w:t xml:space="preserve">.</w:t>
      </w:r>
    </w:p>
    <w:p>
      <w:pPr>
        <w:pStyle w:val="BodyText"/>
        <w:spacing w:line="480" w:lineRule="auto"/>
        <w:ind w:firstLine="720"/>
      </w:pPr>
      <w:r>
        <w:t xml:space="preserve">The residual worry is the mirror image, that a true positive effect is being cancelled by a downward-trending selection pattern. That is logically possible without being the natural reading, because the selection runs on level of alignment, not on a declining trend in it, and the states that sign are those already close rather than those falling away. The honest position is that the assumption cannot be proven, that the selection result flags exactly the right threat, and that the null outcome estimate squares better with bounded cooperation than with a hidden positive effect masked by selection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43"/>
    <w:bookmarkStart w:id="144" w:name="X1bfeb9a6501116ca4886eab1e3192e3a3209265"/>
    <w:p>
      <w:pPr>
        <w:pStyle w:val="Heading2"/>
        <w:spacing w:line="480" w:lineRule="auto"/>
      </w:pPr>
      <w:r>
        <w:t xml:space="preserve">The null result as a positive contribution</w:t>
      </w:r>
    </w:p>
    <w:p>
      <w:pPr>
        <w:pStyle w:val="FirstParagraph"/>
        <w:spacing w:line="480" w:lineRule="auto"/>
      </w:pPr>
      <w:r>
        <w:t xml:space="preserve">Academic incentives push against null results, so this one deserves a defense as a genuine finding rather than a disappointment. The null outcome estimate is informative exactly because the popular claim it tests is strong and directional</w:t>
      </w:r>
      <w:r>
        <w:t xml:space="preserve"> </w:t>
      </w:r>
      <w:hyperlink w:anchor="ref-3">
        <w:r>
          <w:rPr>
            <w:rStyle w:val="Hyperlink"/>
          </w:rPr>
          <w:t xml:space="preserve">[3]</w:t>
        </w:r>
      </w:hyperlink>
      <w:r>
        <w:t xml:space="preserve">. A widely held view says accession pulls states toward the United States; the data say it does not, in the broad voting measure. Rejecting a specific, consequential claim is a contribution, and a firmer one here than a marginal positive would have been, because the companion selection model shows that the panel can detect a large and precise association when one truly exists, which removes the easy objection that the outcome null is merely an artifact of low statistical power rather than a genuine absence of movement</w:t>
      </w:r>
      <w:r>
        <w:t xml:space="preserve"> </w:t>
      </w:r>
      <w:hyperlink w:anchor="ref-4">
        <w:r>
          <w:rPr>
            <w:rStyle w:val="Hyperlink"/>
          </w:rPr>
          <w:t xml:space="preserve">[4]</w:t>
        </w:r>
      </w:hyperlink>
      <w:r>
        <w:t xml:space="preserve">. Power, in other words, is not what is missing.</w:t>
      </w:r>
    </w:p>
    <w:p>
      <w:pPr>
        <w:pStyle w:val="BodyText"/>
        <w:spacing w:line="480" w:lineRule="auto"/>
        <w:ind w:firstLine="720"/>
      </w:pPr>
      <w:r>
        <w:t xml:space="preserve">The value is amplified by the reproducibility of the inputs. A null resting on private data or subjective coding is easy to dismiss. A null built from public source files, documented transformations, and registered derived panels is one that critics can attack directly by rebuilding the panel and trying alternative specifications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23">
        <w:r>
          <w:rPr>
            <w:rStyle w:val="Hyperlink"/>
          </w:rPr>
          <w:t xml:space="preserve">[23]</w:t>
        </w:r>
      </w:hyperlink>
      <w:r>
        <w:t xml:space="preserve"> </w:t>
      </w:r>
      <w:hyperlink w:anchor="ref-24">
        <w:r>
          <w:rPr>
            <w:rStyle w:val="Hyperlink"/>
          </w:rPr>
          <w:t xml:space="preserve">[24]</w:t>
        </w:r>
      </w:hyperlink>
      <w:r>
        <w:t xml:space="preserve">. That is the right way for a null to enter the literature: not as a quiet absence, but as a checkable claim that invites the field to test whether it holds. The finding earns its place by being falsifiable in the other direction too.</w:t>
      </w:r>
    </w:p>
    <w:bookmarkEnd w:id="144"/>
    <w:bookmarkStart w:id="145" w:name="Xf33a7e10ca5d737f64a73d2d4231f6e24caa0e7"/>
    <w:p>
      <w:pPr>
        <w:pStyle w:val="Heading2"/>
        <w:spacing w:line="480" w:lineRule="auto"/>
      </w:pPr>
      <w:r>
        <w:t xml:space="preserve">Boundary conditions on the generalization</w:t>
      </w:r>
    </w:p>
    <w:p>
      <w:pPr>
        <w:pStyle w:val="FirstParagraph"/>
        <w:spacing w:line="480" w:lineRule="auto"/>
      </w:pPr>
      <w:r>
        <w:t xml:space="preserve">The coalition-of-the-already-aligned characterization holds within specified boundaries, and stating them heads off overreach. It holds for the Artemis Accords, not for coalition instruments in general, because the Accords carry a particular convenor, a particular principle set, and a particular signatory trajectory</w:t>
      </w:r>
      <w:r>
        <w:t xml:space="preserve"> </w:t>
      </w:r>
      <w:hyperlink w:anchor="ref-6">
        <w:r>
          <w:rPr>
            <w:rStyle w:val="Hyperlink"/>
          </w:rPr>
          <w:t xml:space="preserve">[6]</w:t>
        </w:r>
      </w:hyperlink>
      <w:r>
        <w:t xml:space="preserve"> </w:t>
      </w:r>
      <w:hyperlink w:anchor="ref-7">
        <w:r>
          <w:rPr>
            <w:rStyle w:val="Hyperlink"/>
          </w:rPr>
          <w:t xml:space="preserve">[7]</w:t>
        </w:r>
      </w:hyperlink>
      <w:r>
        <w:t xml:space="preserve">. It holds for the broad UN voting measure, not for every dimension of foreign policy, because that is the observable the outcome model uses</w:t>
      </w:r>
      <w:r>
        <w:t xml:space="preserve"> </w:t>
      </w:r>
      <w:hyperlink w:anchor="ref-4">
        <w:r>
          <w:rPr>
            <w:rStyle w:val="Hyperlink"/>
          </w:rPr>
          <w:t xml:space="preserve">[4]</w:t>
        </w:r>
      </w:hyperlink>
      <w:r>
        <w:t xml:space="preserve">. And it holds for the observed window, not for an indefinite future, because a longer post-accession horizon could uncover slow movement the current data cannot see</w:t>
      </w:r>
      <w:r>
        <w:t xml:space="preserve"> </w:t>
      </w:r>
      <w:hyperlink w:anchor="ref-3">
        <w:r>
          <w:rPr>
            <w:rStyle w:val="Hyperlink"/>
          </w:rPr>
          <w:t xml:space="preserve">[3]</w:t>
        </w:r>
      </w:hyperlink>
      <w:r>
        <w:t xml:space="preserve">.</w:t>
      </w:r>
    </w:p>
    <w:p>
      <w:pPr>
        <w:pStyle w:val="BodyText"/>
        <w:spacing w:line="480" w:lineRule="auto"/>
        <w:ind w:firstLine="720"/>
      </w:pPr>
      <w:r>
        <w:t xml:space="preserve">Within those boundaries the characterization is well supported; outside them it is a hypothesis awaiting test. This is no hedging for its own sake. It is the discipline that keeps a bounded empirical result from being inflated into a universal law about how coalitions work. The dissertation earns trust by drawing these lines clearly, so a reader knows exactly how far the conclusion travels and where the next study would have to pick up.</w:t>
      </w:r>
    </w:p>
    <w:bookmarkEnd w:id="145"/>
    <w:bookmarkStart w:id="146" w:name="what-survives"/>
    <w:p>
      <w:pPr>
        <w:pStyle w:val="Heading2"/>
        <w:spacing w:line="480" w:lineRule="auto"/>
      </w:pPr>
      <w:r>
        <w:t xml:space="preserve">What survives</w:t>
      </w:r>
    </w:p>
    <w:p>
      <w:pPr>
        <w:pStyle w:val="FirstParagraph"/>
        <w:spacing w:line="480" w:lineRule="auto"/>
      </w:pPr>
      <w:r>
        <w:t xml:space="preserve">What survives is a modest, defensible, and genuinely informative pair of claims. Prior alignment predicts accession, strongly and precisely</w:t>
      </w:r>
      <w:r>
        <w:t xml:space="preserve"> </w:t>
      </w:r>
      <w:hyperlink w:anchor="ref-4">
        <w:r>
          <w:rPr>
            <w:rStyle w:val="Hyperlink"/>
          </w:rPr>
          <w:t xml:space="preserve">[4]</w:t>
        </w:r>
      </w:hyperlink>
      <w:r>
        <w:t xml:space="preserve">. Accession does not predict subsequent broad alignment, in a measure built to detect exactly that</w:t>
      </w:r>
      <w:r>
        <w:t xml:space="preserve"> </w:t>
      </w:r>
      <w:hyperlink w:anchor="ref-3">
        <w:r>
          <w:rPr>
            <w:rStyle w:val="Hyperlink"/>
          </w:rPr>
          <w:t xml:space="preserve">[3]</w:t>
        </w:r>
      </w:hyperlink>
      <w:r>
        <w:t xml:space="preserve">. The Accords are a coalition of the already-aligned, at least as far as General Assembly voting can see. Chapter 8 draws out what this means for governance research and for space-program strategy, and it lays out the work that would test whether the picture holds under a wider lens.</w:t>
      </w:r>
    </w:p>
    <w:p>
      <w:pPr>
        <w:pStyle w:val="BodyText"/>
        <w:spacing w:line="480" w:lineRule="auto"/>
        <w:ind w:firstLine="720"/>
      </w:pPr>
      <w:r>
        <w:t xml:space="preserve">Before turning to those implications, one summary judgment is worth stating plainly. The threats catalogued above are real, and they do not point toward a suppressed positive effect; if anything, most of them would have produced a spurious positive that the data decline to show</w:t>
      </w:r>
      <w:r>
        <w:t xml:space="preserve"> </w:t>
      </w:r>
      <w:hyperlink w:anchor="ref-3">
        <w:r>
          <w:rPr>
            <w:rStyle w:val="Hyperlink"/>
          </w:rPr>
          <w:t xml:space="preserve">[3]</w:t>
        </w:r>
      </w:hyperlink>
      <w:r>
        <w:t xml:space="preserve">. The selection threat, the one most capable of distorting the outcome reading, is the very thing the second paper measures and confirms, which converts a hidden danger into a documented feature of the result</w:t>
      </w:r>
      <w:r>
        <w:t xml:space="preserve"> </w:t>
      </w:r>
      <w:hyperlink w:anchor="ref-4">
        <w:r>
          <w:rPr>
            <w:rStyle w:val="Hyperlink"/>
          </w:rPr>
          <w:t xml:space="preserve">[4]</w:t>
        </w:r>
      </w:hyperlink>
      <w:r>
        <w:t xml:space="preserve">. A study that names its worst threat and then measures it stands on firmer ground than one that merely lists concerns and moves on.</w:t>
      </w:r>
    </w:p>
    <w:p>
      <w:pPr>
        <w:pStyle w:val="BodyText"/>
        <w:spacing w:line="480" w:lineRule="auto"/>
        <w:ind w:firstLine="720"/>
      </w:pPr>
      <w:r>
        <w:t xml:space="preserve">The discussion has tried throughout to hold two temptations at bay. The first is to rescue the order-building hypothesis by explaining away the null, insisting the effect must be there and the measure simply missed it</w:t>
      </w:r>
      <w:r>
        <w:t xml:space="preserve"> </w:t>
      </w:r>
      <w:hyperlink w:anchor="ref-3">
        <w:r>
          <w:rPr>
            <w:rStyle w:val="Hyperlink"/>
          </w:rPr>
          <w:t xml:space="preserve">[3]</w:t>
        </w:r>
      </w:hyperlink>
      <w:r>
        <w:t xml:space="preserve">. The second is to overclaim from the selection result, treating strong sorting as if it proved the Accords hollow, when in fact it only shows that signatories were already close</w:t>
      </w:r>
      <w:r>
        <w:t xml:space="preserve"> </w:t>
      </w:r>
      <w:hyperlink w:anchor="ref-4">
        <w:r>
          <w:rPr>
            <w:rStyle w:val="Hyperlink"/>
          </w:rPr>
          <w:t xml:space="preserve">[4]</w:t>
        </w:r>
      </w:hyperlink>
      <w:r>
        <w:t xml:space="preserve">. The defensible middle is where the evidence sits: accession sorts on prior alignment and leaves no fresh voting trace, and both halves of that sentence are held to what the data show and no further.</w:t>
      </w:r>
    </w:p>
    <w:bookmarkEnd w:id="146"/>
    <w:bookmarkEnd w:id="147"/>
    <w:bookmarkStart w:id="192" w:name="chapter-8.-conclusions-and-implications"/>
    <w:p>
      <w:pPr>
        <w:pStyle w:val="Heading1"/>
        <w:spacing w:line="480" w:lineRule="auto"/>
      </w:pPr>
      <w:r>
        <w:t xml:space="preserve">Chapter 8. Conclusions and Implications</w:t>
      </w:r>
    </w:p>
    <w:bookmarkStart w:id="148" w:name="what-the-dissertation-established"/>
    <w:p>
      <w:pPr>
        <w:pStyle w:val="Heading2"/>
        <w:spacing w:line="480" w:lineRule="auto"/>
      </w:pPr>
      <w:r>
        <w:t xml:space="preserve">What the dissertation established</w:t>
      </w:r>
    </w:p>
    <w:p>
      <w:pPr>
        <w:pStyle w:val="FirstParagraph"/>
        <w:spacing w:line="480" w:lineRule="auto"/>
      </w:pPr>
      <w:r>
        <w:t xml:space="preserve">The study set out to answer a single falsifiable question: does signing the Artemis Accords realign a state’s broader diplomatic orientation, measured as proximity to the United States in United Nations General Assembly voting? On the evidence assembled here the answer runs no in one direction and yes in the other. Accession does not push signatories toward the United States in broad voting, while prior alignment strongly predicts who signs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Accords gather the already-aligned. They do not convert the unaligned.</w:t>
      </w:r>
    </w:p>
    <w:p>
      <w:pPr>
        <w:pStyle w:val="BodyText"/>
        <w:spacing w:line="480" w:lineRule="auto"/>
        <w:ind w:firstLine="720"/>
      </w:pPr>
      <w:r>
        <w:t xml:space="preserve">Two empirical results carry that conclusion. In the outcome model, across 1,912 country-year observations, the within-country accession coefficient was -0.0337 and statistically indistinguishable from zero, so no positive post-accession movement toward the United States appears</w:t>
      </w:r>
      <w:r>
        <w:t xml:space="preserve"> </w:t>
      </w:r>
      <w:hyperlink w:anchor="ref-3">
        <w:r>
          <w:rPr>
            <w:rStyle w:val="Hyperlink"/>
          </w:rPr>
          <w:t xml:space="preserve">[3]</w:t>
        </w:r>
      </w:hyperlink>
      <w:r>
        <w:t xml:space="preserve">. In the selection model, across 1,017 at-risk country-year observations with 58 signing events, the lagged-alignment coefficient was 1.3759, an odds ratio of 3.96 with a p-value of 4.069e-12, so states closer to the United States in the prior year were far the likelier signers</w:t>
      </w:r>
      <w:r>
        <w:t xml:space="preserve"> </w:t>
      </w:r>
      <w:hyperlink w:anchor="ref-4">
        <w:r>
          <w:rPr>
            <w:rStyle w:val="Hyperlink"/>
          </w:rPr>
          <w:t xml:space="preserve">[4]</w:t>
        </w:r>
      </w:hyperlink>
      <w:r>
        <w:t xml:space="preserve">. The asymmetry is the finding: a strong selection signal beside a null outcome signal.</w:t>
      </w:r>
    </w:p>
    <w:p>
      <w:pPr>
        <w:pStyle w:val="BodyText"/>
        <w:spacing w:line="480" w:lineRule="auto"/>
        <w:ind w:firstLine="720"/>
      </w:pPr>
      <w:r>
        <w:t xml:space="preserve">In its strong form, the order-building hypothesis finds no support. That is a real contribution, precisely because the popular framing of the Accords assumes the opposite. A coalition that public commentary describes as pulling states into an American-led order turns out, in the broad voting measure, to be sorting on positions states already held. So the dissertation converts a widely held intuition into a testable claim and reports that the claim does not survive the test in the direction its proponents expect.</w:t>
      </w:r>
    </w:p>
    <w:bookmarkEnd w:id="148"/>
    <w:bookmarkStart w:id="149" w:name="the-contribution"/>
    <w:p>
      <w:pPr>
        <w:pStyle w:val="Heading2"/>
        <w:spacing w:line="480" w:lineRule="auto"/>
      </w:pPr>
      <w:r>
        <w:t xml:space="preserve">The contribution</w:t>
      </w:r>
    </w:p>
    <w:p>
      <w:pPr>
        <w:pStyle w:val="FirstParagraph"/>
        <w:spacing w:line="480" w:lineRule="auto"/>
      </w:pPr>
      <w:r>
        <w:t xml:space="preserve">A join between two literatures that had never been connected is the primary contribution. The space-governance strand explains why accession to a coalition instrument could reveal or shape broad alignment, invoking trust, information sharing, safety cooperation, and the shift from legacy to new-space governance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alignment strand offers a rigorous, reproducible way to observe broad diplomatic behavior through voting</w:t>
      </w:r>
      <w:r>
        <w:t xml:space="preserve"> </w:t>
      </w:r>
      <w:hyperlink w:anchor="ref-4">
        <w:r>
          <w:rPr>
            <w:rStyle w:val="Hyperlink"/>
          </w:rPr>
          <w:t xml:space="preserve">[4]</w:t>
        </w:r>
      </w:hyperlink>
      <w:r>
        <w:t xml:space="preserve"> </w:t>
      </w:r>
      <w:hyperlink w:anchor="ref-5">
        <w:r>
          <w:rPr>
            <w:rStyle w:val="Hyperlink"/>
          </w:rPr>
          <w:t xml:space="preserve">[5]</w:t>
        </w:r>
      </w:hyperlink>
      <w:r>
        <w:t xml:space="preserve">. No prior work had taken a specific space-governance accession event and tested it against the voting-based measure with a fixed-effects design and a companion selection model. That is exactly what this dissertation does.</w:t>
      </w:r>
    </w:p>
    <w:p>
      <w:pPr>
        <w:pStyle w:val="BodyText"/>
        <w:spacing w:line="480" w:lineRule="auto"/>
        <w:ind w:firstLine="720"/>
      </w:pPr>
      <w:r>
        <w:t xml:space="preserve">The methodological contribution is the paired design itself. The outcome model run alone would have left a null result stranded between a true absence of effect and a selection artifact. The selection model run alone would have invited an order-building reading from the strong prior-alignment link. Run together they discipline each other: the selection model shows that signing is far from random, and the outcome model shows that signing leaves no fresh voting trace, so the joint reading of a coalition of the already-aligned comes out tighter than either paper could support alone</w:t>
      </w:r>
      <w:r>
        <w:t xml:space="preserve"> </w:t>
      </w:r>
      <w:hyperlink w:anchor="ref-3">
        <w:r>
          <w:rPr>
            <w:rStyle w:val="Hyperlink"/>
          </w:rPr>
          <w:t xml:space="preserve">[3]</w:t>
        </w:r>
      </w:hyperlink>
      <w:r>
        <w:t xml:space="preserve"> </w:t>
      </w:r>
      <w:hyperlink w:anchor="ref-4">
        <w:r>
          <w:rPr>
            <w:rStyle w:val="Hyperlink"/>
          </w:rPr>
          <w:t xml:space="preserve">[4]</w:t>
        </w:r>
      </w:hyperlink>
      <w:r>
        <w:t xml:space="preserve">. Other studies of institutional accession could adopt the same pairing as a template.</w:t>
      </w:r>
    </w:p>
    <w:p>
      <w:pPr>
        <w:pStyle w:val="BodyText"/>
        <w:spacing w:line="480" w:lineRule="auto"/>
        <w:ind w:firstLine="720"/>
      </w:pPr>
      <w:r>
        <w:t xml:space="preserve">A clean, reproducible result built from public sources is the empirical contribution. The NASA signatory-date record and the Harvard Dataverse ideal-point release are both public and dated, the variable construction is documented, and the derived panels are specified as reproducible datasets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w:t>
      </w:r>
      <w:hyperlink w:anchor="ref-23">
        <w:r>
          <w:rPr>
            <w:rStyle w:val="Hyperlink"/>
          </w:rPr>
          <w:t xml:space="preserve">[23]</w:t>
        </w:r>
      </w:hyperlink>
      <w:r>
        <w:t xml:space="preserve"> </w:t>
      </w:r>
      <w:hyperlink w:anchor="ref-24">
        <w:r>
          <w:rPr>
            <w:rStyle w:val="Hyperlink"/>
          </w:rPr>
          <w:t xml:space="preserve">[24]</w:t>
        </w:r>
      </w:hyperlink>
      <w:r>
        <w:t xml:space="preserve">. A reader with the two inputs can rebuild the panels and recover the coefficients. In a field where claims about coalitions often rest on narrative, a reproducible null earns its keep.</w:t>
      </w:r>
    </w:p>
    <w:bookmarkEnd w:id="149"/>
    <w:bookmarkStart w:id="150" w:name="governance-and-program-relevance"/>
    <w:p>
      <w:pPr>
        <w:pStyle w:val="Heading2"/>
        <w:spacing w:line="480" w:lineRule="auto"/>
      </w:pPr>
      <w:r>
        <w:t xml:space="preserve">Governance and program relevance</w:t>
      </w:r>
    </w:p>
    <w:p>
      <w:pPr>
        <w:pStyle w:val="FirstParagraph"/>
        <w:spacing w:line="480" w:lineRule="auto"/>
      </w:pPr>
      <w:r>
        <w:t xml:space="preserve">The findings carry directly into how space coalitions should be understood and used. A coalition that sorts on prior alignment is a coordination and signaling instrument. It is not a conversion instrument. For the states that convene such coalitions, the practical lesson is that accession confirms partnership rather than creating it, and that recruiting a genuinely unaligned state is a harder task than adding another name to a list that already skews toward existing partners</w:t>
      </w:r>
      <w:r>
        <w:t xml:space="preserve"> </w:t>
      </w:r>
      <w:hyperlink w:anchor="ref-7">
        <w:r>
          <w:rPr>
            <w:rStyle w:val="Hyperlink"/>
          </w:rPr>
          <w:t xml:space="preserve">[7]</w:t>
        </w:r>
      </w:hyperlink>
      <w:r>
        <w:t xml:space="preserve">. The Accords formalize a community; they do not appear to widen its diplomatic base in the broad voting sense.</w:t>
      </w:r>
    </w:p>
    <w:p>
      <w:pPr>
        <w:pStyle w:val="BodyText"/>
        <w:spacing w:line="480" w:lineRule="auto"/>
        <w:ind w:firstLine="720"/>
      </w:pPr>
      <w:r>
        <w:t xml:space="preserve">For space governance specifically, the result reinforces the view that the sector’s decisions entangle with broader posture without reducing to it</w:t>
      </w:r>
      <w:r>
        <w:t xml:space="preserve"> </w:t>
      </w:r>
      <w:hyperlink w:anchor="ref-14">
        <w:r>
          <w:rPr>
            <w:rStyle w:val="Hyperlink"/>
          </w:rPr>
          <w:t xml:space="preserve">[14]</w:t>
        </w:r>
      </w:hyperlink>
      <w:r>
        <w:t xml:space="preserve">. States that sign are already close, which fits the idea that space cooperation and diplomatic alignment travel together</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absence of a post-accession voting shift, though, cautions against treating a space instrument as a lever on general foreign policy. The Accords sit inside a larger diplomatic network as one institutional layer, not as a switch that reorients a state after the signing ceremony</w:t>
      </w:r>
      <w:r>
        <w:t xml:space="preserve"> </w:t>
      </w:r>
      <w:hyperlink w:anchor="ref-14">
        <w:r>
          <w:rPr>
            <w:rStyle w:val="Hyperlink"/>
          </w:rPr>
          <w:t xml:space="preserve">[14]</w:t>
        </w:r>
      </w:hyperlink>
      <w:r>
        <w:t xml:space="preserve">.</w:t>
      </w:r>
    </w:p>
    <w:p>
      <w:pPr>
        <w:pStyle w:val="BodyText"/>
        <w:spacing w:line="480" w:lineRule="auto"/>
        <w:ind w:firstLine="720"/>
      </w:pPr>
      <w:r>
        <w:t xml:space="preserve">A sustainability and legal dimension is worth naming. The Accords echo commitments found in the Outer Space Treaty, the Registration Convention, and the long-term sustainability guidelines, and they operate alongside national legal development in the space domain</w:t>
      </w:r>
      <w:r>
        <w:t xml:space="preserve"> </w:t>
      </w:r>
      <w:hyperlink w:anchor="ref-12">
        <w:r>
          <w:rPr>
            <w:rStyle w:val="Hyperlink"/>
          </w:rPr>
          <w:t xml:space="preserve">[12]</w:t>
        </w:r>
      </w:hyperlink>
      <w:r>
        <w:t xml:space="preserve"> </w:t>
      </w:r>
      <w:hyperlink w:anchor="ref-19">
        <w:r>
          <w:rPr>
            <w:rStyle w:val="Hyperlink"/>
          </w:rPr>
          <w:t xml:space="preserve">[19]</w:t>
        </w:r>
      </w:hyperlink>
      <w:r>
        <w:t xml:space="preserve"> </w:t>
      </w:r>
      <w:hyperlink w:anchor="ref-20">
        <w:r>
          <w:rPr>
            <w:rStyle w:val="Hyperlink"/>
          </w:rPr>
          <w:t xml:space="preserve">[20]</w:t>
        </w:r>
      </w:hyperlink>
      <w:r>
        <w:t xml:space="preserve"> </w:t>
      </w:r>
      <w:hyperlink w:anchor="ref-22">
        <w:r>
          <w:rPr>
            <w:rStyle w:val="Hyperlink"/>
          </w:rPr>
          <w:t xml:space="preserve">[22]</w:t>
        </w:r>
      </w:hyperlink>
      <w:r>
        <w:t xml:space="preserve">. If accession mainly formalizes existing alignment, then the substantive governance work, on debris mitigation, registration, deconfliction, and sustainable operations, is where the instrument earns its value, not in shifting UN votes</w:t>
      </w:r>
      <w:r>
        <w:t xml:space="preserve"> </w:t>
      </w:r>
      <w:hyperlink w:anchor="ref-13">
        <w:r>
          <w:rPr>
            <w:rStyle w:val="Hyperlink"/>
          </w:rPr>
          <w:t xml:space="preserve">[13]</w:t>
        </w:r>
      </w:hyperlink>
      <w:r>
        <w:t xml:space="preserve"> </w:t>
      </w:r>
      <w:hyperlink w:anchor="ref-19">
        <w:r>
          <w:rPr>
            <w:rStyle w:val="Hyperlink"/>
          </w:rPr>
          <w:t xml:space="preserve">[19]</w:t>
        </w:r>
      </w:hyperlink>
      <w:r>
        <w:t xml:space="preserve">. Program strategy that measures the Accords by their coalition-building headline may be measuring the wrong thing; the operational cooperation the principles enable is the more defensible payoff.</w:t>
      </w:r>
    </w:p>
    <w:bookmarkEnd w:id="150"/>
    <w:bookmarkStart w:id="151" w:name="future-work"/>
    <w:p>
      <w:pPr>
        <w:pStyle w:val="Heading2"/>
        <w:spacing w:line="480" w:lineRule="auto"/>
      </w:pPr>
      <w:r>
        <w:t xml:space="preserve">Future work</w:t>
      </w:r>
    </w:p>
    <w:p>
      <w:pPr>
        <w:pStyle w:val="FirstParagraph"/>
        <w:spacing w:line="480" w:lineRule="auto"/>
      </w:pPr>
      <w:r>
        <w:t xml:space="preserve">Whether this picture holds under a wider lens is a question several extensions would test, and I sketch the most promising ones.</w:t>
      </w:r>
    </w:p>
    <w:p>
      <w:pPr>
        <w:pStyle w:val="BodyText"/>
        <w:spacing w:line="480" w:lineRule="auto"/>
        <w:ind w:firstLine="720"/>
      </w:pPr>
      <w:r>
        <w:t xml:space="preserve">Vary the outcome measure. This study leaned on ideal-point proximity because it is comparable and reproducible, yet a dyadic agreement score, computed directly from co-voting with the United States, would offer a second view of alignment that owes nothing to the ideal-point scale</w:t>
      </w:r>
      <w:r>
        <w:t xml:space="preserve"> </w:t>
      </w:r>
      <w:hyperlink w:anchor="ref-4">
        <w:r>
          <w:rPr>
            <w:rStyle w:val="Hyperlink"/>
          </w:rPr>
          <w:t xml:space="preserve">[4]</w:t>
        </w:r>
      </w:hyperlink>
      <w:r>
        <w:t xml:space="preserve"> </w:t>
      </w:r>
      <w:hyperlink w:anchor="ref-5">
        <w:r>
          <w:rPr>
            <w:rStyle w:val="Hyperlink"/>
          </w:rPr>
          <w:t xml:space="preserve">[5]</w:t>
        </w:r>
      </w:hyperlink>
      <w:r>
        <w:t xml:space="preserve">. Should a null persist across both measures, the bounded-cooperation reading strengthens considerably. Should they diverge, the divergence would itself be informative about what the ideal-point measure captures.</w:t>
      </w:r>
    </w:p>
    <w:p>
      <w:pPr>
        <w:pStyle w:val="BodyText"/>
        <w:spacing w:line="480" w:lineRule="auto"/>
        <w:ind w:firstLine="720"/>
      </w:pPr>
      <w:r>
        <w:t xml:space="preserve">Disaggregate the outcome by issue area. A whole-of-voting measure can average away movement concentrated on particular resolution clusters, such as security, human rights, or development</w:t>
      </w:r>
      <w:r>
        <w:t xml:space="preserve"> </w:t>
      </w:r>
      <w:hyperlink w:anchor="ref-5">
        <w:r>
          <w:rPr>
            <w:rStyle w:val="Hyperlink"/>
          </w:rPr>
          <w:t xml:space="preserve">[5]</w:t>
        </w:r>
      </w:hyperlink>
      <w:r>
        <w:t xml:space="preserve">. An issue-area breakdown could reveal that accession moves voting on some clusters and not others, which the aggregate outcome model cannot see. That is the likeliest place a hidden effect, if one exists, would surface.</w:t>
      </w:r>
    </w:p>
    <w:p>
      <w:pPr>
        <w:pStyle w:val="BodyText"/>
        <w:spacing w:line="480" w:lineRule="auto"/>
        <w:ind w:firstLine="720"/>
      </w:pPr>
      <w:r>
        <w:t xml:space="preserve">Extend the window as more post-accession years accumulate. The current design leans on a short post-signature horizon, and the most recent year carries a caution flag</w:t>
      </w:r>
      <w:r>
        <w:t xml:space="preserve"> </w:t>
      </w:r>
      <w:hyperlink w:anchor="ref-3">
        <w:r>
          <w:rPr>
            <w:rStyle w:val="Hyperlink"/>
          </w:rPr>
          <w:t xml:space="preserve">[3]</w:t>
        </w:r>
      </w:hyperlink>
      <w:r>
        <w:t xml:space="preserve">. Additional years would test whether the null outcome result is a short-run artifact or a durable pattern, and they would let an event-study specification trace leads and lags around signature more finely. The prospectus envisioned exactly such an event-study extension, and the data will support it as the series lengthens.</w:t>
      </w:r>
    </w:p>
    <w:p>
      <w:pPr>
        <w:pStyle w:val="BodyText"/>
        <w:spacing w:line="480" w:lineRule="auto"/>
        <w:ind w:firstLine="720"/>
      </w:pPr>
      <w:r>
        <w:t xml:space="preserve">Finally, the selection model should take on covariates that plausibly drive both alignment and signing, such as economic dependence, formal alliance status, regime type, and space capability. The current model isolates the lagged-alignment channel cleanly, and a fuller specification would show how much of the selection signal is alignment on its own versus alignment standing in for security and economic ties</w:t>
      </w:r>
      <w:r>
        <w:t xml:space="preserve"> </w:t>
      </w:r>
      <w:hyperlink w:anchor="ref-11">
        <w:r>
          <w:rPr>
            <w:rStyle w:val="Hyperlink"/>
          </w:rPr>
          <w:t xml:space="preserve">[11]</w:t>
        </w:r>
      </w:hyperlink>
      <w:r>
        <w:t xml:space="preserve">. Hand-coded treaty and alliance covariates would sharpen the diagnostic and move the design closer to a structural account of accession.</w:t>
      </w:r>
    </w:p>
    <w:bookmarkEnd w:id="151"/>
    <w:bookmarkStart w:id="152" w:name="relevance-for-the-convening-state"/>
    <w:p>
      <w:pPr>
        <w:pStyle w:val="Heading2"/>
        <w:spacing w:line="480" w:lineRule="auto"/>
      </w:pPr>
      <w:r>
        <w:t xml:space="preserve">Relevance for the convening state</w:t>
      </w:r>
    </w:p>
    <w:p>
      <w:pPr>
        <w:pStyle w:val="FirstParagraph"/>
        <w:spacing w:line="480" w:lineRule="auto"/>
      </w:pPr>
      <w:r>
        <w:t xml:space="preserve">For the United States and the institutions that run the Accords, the practical takeaway is specific. If accession sorts rather than recruits, then the coalition’s value to its convenor is as a coordinating and standard-setting structure among partners who were already close, not as a tool for expanding the diplomatic base</w:t>
      </w:r>
      <w:r>
        <w:t xml:space="preserve"> </w:t>
      </w:r>
      <w:hyperlink w:anchor="ref-7">
        <w:r>
          <w:rPr>
            <w:rStyle w:val="Hyperlink"/>
          </w:rPr>
          <w:t xml:space="preserve">[7]</w:t>
        </w:r>
      </w:hyperlink>
      <w:r>
        <w:t xml:space="preserve">. Strategy that judges the Accords by the length of the signatory list, or by the assumption that each new name signals a converted state, is measuring the wrong output. The more defensible measures are operational: the depth of interoperability, the quality of information sharing on space situational awareness, and the reliability of deconfliction practices among signatories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This reframing also clarifies where recruitment effort should go. Adding another already-aligned state grows the list without changing the diplomatic map. Bringing in a genuinely unaligned state would be the harder and more consequential achievement, and the selection result suggests it is also the rarer one, since signing skews toward the already-aligned</w:t>
      </w:r>
      <w:r>
        <w:t xml:space="preserve"> </w:t>
      </w:r>
      <w:hyperlink w:anchor="ref-4">
        <w:r>
          <w:rPr>
            <w:rStyle w:val="Hyperlink"/>
          </w:rPr>
          <w:t xml:space="preserve">[4]</w:t>
        </w:r>
      </w:hyperlink>
      <w:r>
        <w:t xml:space="preserve">. A convening state that wants the Accords to shift alignment, rather than to organize existing alignment, would need instruments beyond the current principle set, because the principle set as it stands gathers partners rather than persuading skeptics.</w:t>
      </w:r>
    </w:p>
    <w:bookmarkEnd w:id="152"/>
    <w:bookmarkStart w:id="153" w:name="relevance-for-governance-scholarship"/>
    <w:p>
      <w:pPr>
        <w:pStyle w:val="Heading2"/>
        <w:spacing w:line="480" w:lineRule="auto"/>
      </w:pPr>
      <w:r>
        <w:t xml:space="preserve">Relevance for governance scholarship</w:t>
      </w:r>
    </w:p>
    <w:p>
      <w:pPr>
        <w:pStyle w:val="FirstParagraph"/>
        <w:spacing w:line="480" w:lineRule="auto"/>
      </w:pPr>
      <w:r>
        <w:t xml:space="preserve">For scholarship, the dissertation offers a cautionary result about inferring institutional influence from institutional growth. Coalitions that expand can look like they are reshaping the behavior of their members, yet growth is consistent with pure sorting, in which the institution collects actors who already held its preferred position</w:t>
      </w:r>
      <w:r>
        <w:t xml:space="preserve"> </w:t>
      </w:r>
      <w:hyperlink w:anchor="ref-14">
        <w:r>
          <w:rPr>
            <w:rStyle w:val="Hyperlink"/>
          </w:rPr>
          <w:t xml:space="preserve">[14]</w:t>
        </w:r>
      </w:hyperlink>
      <w:r>
        <w:t xml:space="preserve">. The paired design used here, an outcome model for behavioral change and a selection model for who joins, is a way to separate the two, and it could travel to other accession phenomena well beyond space</w:t>
      </w:r>
      <w:r>
        <w:t xml:space="preserve"> </w:t>
      </w:r>
      <w:hyperlink w:anchor="ref-3">
        <w:r>
          <w:rPr>
            <w:rStyle w:val="Hyperlink"/>
          </w:rPr>
          <w:t xml:space="preserve">[3]</w:t>
        </w:r>
      </w:hyperlink>
      <w:r>
        <w:t xml:space="preserve"> </w:t>
      </w:r>
      <w:hyperlink w:anchor="ref-4">
        <w:r>
          <w:rPr>
            <w:rStyle w:val="Hyperlink"/>
          </w:rPr>
          <w:t xml:space="preserve">[4]</w:t>
        </w:r>
      </w:hyperlink>
      <w:r>
        <w:t xml:space="preserve">. Wherever an institution is credited with changing its members, the same two questions apply: does joining precede a behavioral shift, and does prior behavior predict joining?</w:t>
      </w:r>
    </w:p>
    <w:p>
      <w:pPr>
        <w:pStyle w:val="BodyText"/>
        <w:spacing w:line="480" w:lineRule="auto"/>
        <w:ind w:firstLine="720"/>
      </w:pPr>
      <w:r>
        <w:t xml:space="preserve">It speaks, too, to the specific literatures this study bridges. It tells the space-governance strand that the political content it rightly attributes to space decisions shows up in who joins a coalition, and not, at least in broad voting, in what joining does to members</w:t>
      </w:r>
      <w:r>
        <w:t xml:space="preserve"> </w:t>
      </w:r>
      <w:hyperlink w:anchor="ref-9">
        <w:r>
          <w:rPr>
            <w:rStyle w:val="Hyperlink"/>
          </w:rPr>
          <w:t xml:space="preserve">[9]</w:t>
        </w:r>
      </w:hyperlink>
      <w:r>
        <w:t xml:space="preserve"> </w:t>
      </w:r>
      <w:hyperlink w:anchor="ref-14">
        <w:r>
          <w:rPr>
            <w:rStyle w:val="Hyperlink"/>
          </w:rPr>
          <w:t xml:space="preserve">[14]</w:t>
        </w:r>
      </w:hyperlink>
      <w:r>
        <w:t xml:space="preserve">. It tells the alignment strand that a space-governance instrument is a usable treatment variable whose effects can be measured with the tradition’s own tools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join is productive in both directions, and the null outcome is as informative as a positive one would have been, because it disciplines a causal claim that was circulating without evidence.</w:t>
      </w:r>
    </w:p>
    <w:bookmarkEnd w:id="153"/>
    <w:bookmarkStart w:id="154" w:name="the-agenda-ahead"/>
    <w:p>
      <w:pPr>
        <w:pStyle w:val="Heading2"/>
        <w:spacing w:line="480" w:lineRule="auto"/>
      </w:pPr>
      <w:r>
        <w:t xml:space="preserve">The agenda ahead</w:t>
      </w:r>
    </w:p>
    <w:p>
      <w:pPr>
        <w:pStyle w:val="FirstParagraph"/>
        <w:spacing w:line="480" w:lineRule="auto"/>
      </w:pPr>
      <w:r>
        <w:t xml:space="preserve">The future work sketched earlier is no list of caveats but a genuine research program, and I restate its spine. Vary the outcome measure to take in dyadic agreement scores, disaggregate voting by issue area, extend the window as post-accession years accumulate, and enrich the selection model with security, economic, and capability covariates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11">
        <w:r>
          <w:rPr>
            <w:rStyle w:val="Hyperlink"/>
          </w:rPr>
          <w:t xml:space="preserve">[11]</w:t>
        </w:r>
      </w:hyperlink>
      <w:r>
        <w:t xml:space="preserve">. Each of these would test a specific way the current picture could be incomplete, and together they would establish whether coalition-of-the-already-aligned is a durable characterization or a short-run one. The design is built to accept these extensions without being overturned by them, because its core inputs are public and its methods are transparent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There is also room to widen the comparison beyond the Accords. An alternative lunar cooperation arrangement is forming around other powers, and the same paired design could ask whether accession to that arrangement sorts or recruits in the mirror-image voting space. A comparative study of the two coalitions would turn a single-coalition finding into a statement about how space order is being built, or revealed, across competing blocs. That is the natural next horizon for the question this dissertation opened.</w:t>
      </w:r>
    </w:p>
    <w:bookmarkEnd w:id="154"/>
    <w:bookmarkStart w:id="155" w:name="Xcf06485195845f894e1e2fedb361dbf76230379"/>
    <w:p>
      <w:pPr>
        <w:pStyle w:val="Heading2"/>
        <w:spacing w:line="480" w:lineRule="auto"/>
      </w:pPr>
      <w:r>
        <w:t xml:space="preserve">A methodological template worth carrying forward</w:t>
      </w:r>
    </w:p>
    <w:p>
      <w:pPr>
        <w:pStyle w:val="FirstParagraph"/>
        <w:spacing w:line="480" w:lineRule="auto"/>
      </w:pPr>
      <w:r>
        <w:t xml:space="preserve">The paired design is a transferable contribution, and it is worth stating in general terms so its use is not confined to this case. Whenever an institution is credited with changing the behavior of its members, two questions can be asked separately: does joining precede a behavioral shift, and does prior behavior predict joining</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first is an outcome question best answered with a within-unit design that removes standing differences. The second is a selection question best answered with an event-history model of the timing of accession. Run together, they distinguish an institution that changes its members from one that merely collects members who already fit.</w:t>
      </w:r>
    </w:p>
    <w:p>
      <w:pPr>
        <w:pStyle w:val="BodyText"/>
        <w:spacing w:line="480" w:lineRule="auto"/>
        <w:ind w:firstLine="720"/>
      </w:pPr>
      <w:r>
        <w:t xml:space="preserve">A recurring inferential trap in the study of institutions is what this template addresses: mistaking sorting for influence. Coalitions, treaties, and alliances all grow, and growth is easy to read as evidence that the institution is reshaping the world. The two-model approach forces the analyst to check whether joining leaves a trace beyond the act of joining itself</w:t>
      </w:r>
      <w:r>
        <w:t xml:space="preserve"> </w:t>
      </w:r>
      <w:hyperlink w:anchor="ref-4">
        <w:r>
          <w:rPr>
            <w:rStyle w:val="Hyperlink"/>
          </w:rPr>
          <w:t xml:space="preserve">[4]</w:t>
        </w:r>
      </w:hyperlink>
      <w:r>
        <w:t xml:space="preserve">. Applied here, it converts a heated and largely untested debate about the Accords into a clean pair of coefficients with a clear joint meaning. Applied elsewhere, it could do the same for any accession phenomenon where influence and selection resist telling apart.</w:t>
      </w:r>
    </w:p>
    <w:bookmarkEnd w:id="155"/>
    <w:bookmarkStart w:id="156" w:name="Xd91644e78d2888d0affba5a4f34ec9ef15a70b0"/>
    <w:p>
      <w:pPr>
        <w:pStyle w:val="Heading2"/>
        <w:spacing w:line="480" w:lineRule="auto"/>
      </w:pPr>
      <w:r>
        <w:t xml:space="preserve">Limits on the conclusions, restated for the record</w:t>
      </w:r>
    </w:p>
    <w:p>
      <w:pPr>
        <w:pStyle w:val="FirstParagraph"/>
        <w:spacing w:line="480" w:lineRule="auto"/>
      </w:pPr>
      <w:r>
        <w:t xml:space="preserve">I restate the limits so the conclusions are not carried further than they can go. The design is observational, so no coefficient here is a clean causal effect; accession is chosen, not assigned</w:t>
      </w:r>
      <w:r>
        <w:t xml:space="preserve"> </w:t>
      </w:r>
      <w:hyperlink w:anchor="ref-3">
        <w:r>
          <w:rPr>
            <w:rStyle w:val="Hyperlink"/>
          </w:rPr>
          <w:t xml:space="preserve">[3]</w:t>
        </w:r>
      </w:hyperlink>
      <w:r>
        <w:t xml:space="preserve">. The outcome measure is broad UN voting proximity, so the null outcome speaks to that measure and not to security, procurement, or scientific cooperation, all of which lie outside it</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The window is short and the most recent year is provisional, so the outcome verdict stays bounded to the observed horizon</w:t>
      </w:r>
      <w:r>
        <w:t xml:space="preserve"> </w:t>
      </w:r>
      <w:hyperlink w:anchor="ref-3">
        <w:r>
          <w:rPr>
            <w:rStyle w:val="Hyperlink"/>
          </w:rPr>
          <w:t xml:space="preserve">[3]</w:t>
        </w:r>
      </w:hyperlink>
      <w:r>
        <w:t xml:space="preserve">. And the inference concerns the Artemis Accords specifically, not coalition instruments in general</w:t>
      </w:r>
      <w:r>
        <w:t xml:space="preserve"> </w:t>
      </w:r>
      <w:hyperlink w:anchor="ref-7">
        <w:r>
          <w:rPr>
            <w:rStyle w:val="Hyperlink"/>
          </w:rPr>
          <w:t xml:space="preserve">[7]</w:t>
        </w:r>
      </w:hyperlink>
      <w:r>
        <w:t xml:space="preserve">.</w:t>
      </w:r>
    </w:p>
    <w:p>
      <w:pPr>
        <w:pStyle w:val="BodyText"/>
        <w:spacing w:line="480" w:lineRule="auto"/>
        <w:ind w:firstLine="720"/>
      </w:pPr>
      <w:r>
        <w:t xml:space="preserve">These limits do not dissolve the contribution; they scope it. Within the observed window, in the broad voting measure, using public and reproducible data, accession sorts on prior alignment and does not produce subsequent alignment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That is a bounded claim, and a firm one. The honest presentation of its boundaries is part of what makes it trustworthy, and it is the posture I have tried to hold from the first chapter to the last.</w:t>
      </w:r>
    </w:p>
    <w:bookmarkEnd w:id="156"/>
    <w:bookmarkStart w:id="157" w:name="closing"/>
    <w:p>
      <w:pPr>
        <w:pStyle w:val="Heading2"/>
        <w:spacing w:line="480" w:lineRule="auto"/>
      </w:pPr>
      <w:r>
        <w:t xml:space="preserve">Closing</w:t>
      </w:r>
    </w:p>
    <w:p>
      <w:pPr>
        <w:pStyle w:val="FirstParagraph"/>
        <w:spacing w:line="480" w:lineRule="auto"/>
      </w:pPr>
      <w:r>
        <w:t xml:space="preserve">The dissertation began with a signature and a question. A state signs a lunar cooperation instrument; does that act mark a wider realignment? The evidence gives a disciplined and slightly deflationary answer. Signing marks membership in a coalition of states that were already aligned, and it does not, in the broad voting measure, produce further alignment</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Accords reveal order more than they build it. That conclusion is narrower than the headlines and firmer than the intuition. That is what a falsifiable test is supposed to deliver, and it leaves a clear agenda for the work that would test whether the conclusion holds when the lens widens.</w:t>
      </w:r>
    </w:p>
    <w:p>
      <w:pPr>
        <w:pStyle w:val="BodyText"/>
        <w:spacing w:line="480" w:lineRule="auto"/>
        <w:ind w:firstLine="720"/>
      </w:pPr>
      <w:r>
        <w:t xml:space="preserve">Its final value may rest less in the specific verdict than in the way that verdict was reached. A prominent claim was in circulation, it was testable, and it met public data with a design that made its own limits visible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claim did not survive in the direction its proponents assumed, and a companion selection result explained why the tidy recruitment story was always incomplete</w:t>
      </w:r>
      <w:r>
        <w:t xml:space="preserve"> </w:t>
      </w:r>
      <w:hyperlink w:anchor="ref-4">
        <w:r>
          <w:rPr>
            <w:rStyle w:val="Hyperlink"/>
          </w:rPr>
          <w:t xml:space="preserve">[4]</w:t>
        </w:r>
      </w:hyperlink>
      <w:r>
        <w:t xml:space="preserve">. That is what disciplined empirical work looks like when it meets a popular narrative: not deference, and not contrarianism, but a bounded, reproducible finding that the field can build on or overturn. The signature remains an interesting act. What it means is now a little clearer, and a little less than the headlines claimed.</w:t>
      </w:r>
    </w:p>
    <w:p>
      <w:pPr>
        <w:pStyle w:val="BodyText"/>
        <w:spacing w:line="480" w:lineRule="auto"/>
        <w:ind w:firstLine="720"/>
      </w:pPr>
      <w:r>
        <w:t xml:space="preserve">If there is a single sentence to carry away, it is this: coalitions can grow by gathering the like-minded without ever converting anyone, and telling the two apart requires measuring both who joins and what joining does</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Artemis Accords, seen through the broad voting measure, grow the first way. That is a specific, bounded, reproducible claim about one of the most discussed instruments in contemporary space governance, and it swaps an assumption for evidence. The work ahead is to test whether the same holds under a wider lens, across more years, more measures, and the rival coalition forming on the other side of the emerging space order</w:t>
      </w:r>
      <w:r>
        <w:t xml:space="preserve"> </w:t>
      </w:r>
      <w:hyperlink w:anchor="ref-7">
        <w:r>
          <w:rPr>
            <w:rStyle w:val="Hyperlink"/>
          </w:rPr>
          <w:t xml:space="preserve">[7]</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The dissertation therefore ends where good empirical work should, with a result smaller and sturdier than the claim it replaced. Prior alignment predicts who signs the Accords, strongly and precisely; signing does not then move signatories toward the United States in broad voting</w:t>
      </w:r>
      <w:r>
        <w:t xml:space="preserve"> </w:t>
      </w:r>
      <w:hyperlink w:anchor="ref-3">
        <w:r>
          <w:rPr>
            <w:rStyle w:val="Hyperlink"/>
          </w:rPr>
          <w:t xml:space="preserve">[3]</w:t>
        </w:r>
      </w:hyperlink>
      <w:r>
        <w:t xml:space="preserve"> </w:t>
      </w:r>
      <w:hyperlink w:anchor="ref-4">
        <w:r>
          <w:rPr>
            <w:rStyle w:val="Hyperlink"/>
          </w:rPr>
          <w:t xml:space="preserve">[4]</w:t>
        </w:r>
      </w:hyperlink>
      <w:r>
        <w:t xml:space="preserve">. Taken together, those two sentences describe a coalition that grows by attracting states already positioned near its convenor, rather than by drawing distant states toward it, and that distinction reorganizes how the instrument’s diplomatic significance should be measured, argued, and, in the end, funded</w:t>
      </w:r>
      <w:r>
        <w:t xml:space="preserve"> </w:t>
      </w:r>
      <w:hyperlink w:anchor="ref-7">
        <w:r>
          <w:rPr>
            <w:rStyle w:val="Hyperlink"/>
          </w:rPr>
          <w:t xml:space="preserve">[7]</w:t>
        </w:r>
      </w:hyperlink>
      <w:r>
        <w:t xml:space="preserve">. The lesson is compact: composition is not conversion. Space governance keeps uncovering political content in technical choices, and this study confirms that the content shows up in the composition of a coalition even where it does not show up in the subsequent behavior of its members</w:t>
      </w:r>
      <w:r>
        <w:t xml:space="preserve"> </w:t>
      </w:r>
      <w:hyperlink w:anchor="ref-9">
        <w:r>
          <w:rPr>
            <w:rStyle w:val="Hyperlink"/>
          </w:rPr>
          <w:t xml:space="preserve">[9]</w:t>
        </w:r>
      </w:hyperlink>
      <w:r>
        <w:t xml:space="preserve"> </w:t>
      </w:r>
      <w:hyperlink w:anchor="ref-14">
        <w:r>
          <w:rPr>
            <w:rStyle w:val="Hyperlink"/>
          </w:rPr>
          <w:t xml:space="preserve">[14]</w:t>
        </w:r>
      </w:hyperlink>
      <w:r>
        <w:t xml:space="preserve">. That is a modest brick, laid with care, in a wall others can now build on or tear down. Either way, the question is no longer a matter of assertion, which is the most a single dissertation can honestly claim to have changed.</w:t>
      </w:r>
    </w:p>
    <w:bookmarkEnd w:id="157"/>
    <w:bookmarkStart w:id="191" w:name="references"/>
    <w:p>
      <w:pPr>
        <w:pStyle w:val="Heading2"/>
        <w:spacing w:line="480" w:lineRule="auto"/>
      </w:pPr>
      <w:r>
        <w:t xml:space="preserve">References</w:t>
      </w:r>
    </w:p>
    <w:p>
      <w:pPr>
        <w:pStyle w:val="FirstParagraph"/>
        <w:spacing w:line="480" w:lineRule="auto"/>
      </w:pPr>
      <w:bookmarkStart w:id="158" w:name="ref-1"/>
      <w:bookmarkEnd w:id="158"/>
      <w:r>
        <w:t xml:space="preserve">1. NASA,</w:t>
      </w:r>
      <w:r>
        <w:t xml:space="preserve"> </w:t>
      </w:r>
      <w:r>
        <w:t xml:space="preserve">“Artemis Accords,”</w:t>
      </w:r>
      <w:r>
        <w:t xml:space="preserve"> </w:t>
      </w:r>
      <w:r>
        <w:t xml:space="preserve">NASA, updated June 25, 2026. https://www.nasa.gov/artemis-accords/</w:t>
      </w:r>
    </w:p>
    <w:p>
      <w:pPr>
        <w:pStyle w:val="BodyText"/>
        <w:spacing w:line="480" w:lineRule="auto"/>
        <w:ind w:firstLine="720"/>
      </w:pPr>
      <w:bookmarkStart w:id="159" w:name="ref-2"/>
      <w:bookmarkEnd w:id="159"/>
      <w:r>
        <w:t xml:space="preserve">2. NASA,</w:t>
      </w:r>
      <w:r>
        <w:t xml:space="preserve"> </w:t>
      </w:r>
      <w:r>
        <w:t xml:space="preserve">“List of the Signatories by Date,”</w:t>
      </w:r>
      <w:r>
        <w:t xml:space="preserve"> </w:t>
      </w:r>
      <w:r>
        <w:t xml:space="preserve">NASA Artemis Accords PDF, downloaded June 28, 2026. https://www.nasa.gov/wp-content/uploads/2024/10/signatories-02.pdf</w:t>
      </w:r>
    </w:p>
    <w:p>
      <w:pPr>
        <w:pStyle w:val="BodyText"/>
        <w:spacing w:line="480" w:lineRule="auto"/>
        <w:ind w:firstLine="720"/>
      </w:pPr>
      <w:bookmarkStart w:id="160" w:name="ref-3"/>
      <w:bookmarkEnd w:id="160"/>
      <w:r>
        <w:t xml:space="preserve">3. E. Voeten,</w:t>
      </w:r>
      <w:r>
        <w:t xml:space="preserve"> </w:t>
      </w:r>
      <w:r>
        <w:t xml:space="preserve">“United Nations General Assembly Ideal Points,”</w:t>
      </w:r>
      <w:r>
        <w:t xml:space="preserve"> </w:t>
      </w:r>
      <w:r>
        <w:t xml:space="preserve">Harvard Dataverse, version 38, 2026. doi:</w:t>
      </w:r>
      <w:r>
        <w:t xml:space="preserve"> </w:t>
      </w:r>
      <w:hyperlink r:id="rId161">
        <w:r>
          <w:rPr>
            <w:rStyle w:val="Hyperlink"/>
          </w:rPr>
          <w:t xml:space="preserve">10.7910/DVN/LEJUQZ</w:t>
        </w:r>
      </w:hyperlink>
    </w:p>
    <w:p>
      <w:pPr>
        <w:pStyle w:val="BodyText"/>
        <w:spacing w:line="480" w:lineRule="auto"/>
        <w:ind w:firstLine="720"/>
      </w:pPr>
      <w:bookmarkStart w:id="162" w:name="ref-4"/>
      <w:bookmarkEnd w:id="162"/>
      <w:r>
        <w:t xml:space="preserve">4. M. A. Bailey, A. Strezhnev, and E. Voeten,</w:t>
      </w:r>
      <w:r>
        <w:t xml:space="preserve"> </w:t>
      </w:r>
      <w:r>
        <w:t xml:space="preserve">“Estimating dynamic state preferences from United Nations voting data,”</w:t>
      </w:r>
      <w:r>
        <w:t xml:space="preserve"> </w:t>
      </w:r>
      <w:r>
        <w:t xml:space="preserve">Journal of Conflict Resolution, vol. 61, no. 2, pp. 430-456, 2017.</w:t>
      </w:r>
    </w:p>
    <w:p>
      <w:pPr>
        <w:pStyle w:val="BodyText"/>
        <w:spacing w:line="480" w:lineRule="auto"/>
        <w:ind w:firstLine="720"/>
      </w:pPr>
      <w:bookmarkStart w:id="163" w:name="ref-5"/>
      <w:bookmarkEnd w:id="163"/>
      <w:r>
        <w:t xml:space="preserve">5. J. Fjelstul, S. Hug, and C. Kilby,</w:t>
      </w:r>
      <w:r>
        <w:t xml:space="preserve"> </w:t>
      </w:r>
      <w:r>
        <w:t xml:space="preserve">“Decision-making in the United Nations General Assembly: A comprehensive database of resolution-related decisions,”</w:t>
      </w:r>
      <w:r>
        <w:t xml:space="preserve"> </w:t>
      </w:r>
      <w:r>
        <w:t xml:space="preserve">The Review of International Organizations, 2025.</w:t>
      </w:r>
    </w:p>
    <w:p>
      <w:pPr>
        <w:pStyle w:val="BodyText"/>
        <w:spacing w:line="480" w:lineRule="auto"/>
        <w:ind w:firstLine="720"/>
      </w:pPr>
      <w:bookmarkStart w:id="164" w:name="ref-6"/>
      <w:bookmarkEnd w:id="164"/>
      <w:r>
        <w:t xml:space="preserve">6. NASA,</w:t>
      </w:r>
      <w:r>
        <w:t xml:space="preserve"> </w:t>
      </w:r>
      <w:r>
        <w:t xml:space="preserve">“The Artemis Accords: Principles for cooperation in the civil exploration and use of the Moon, Mars, comets, and asteroids for peaceful purposes,”</w:t>
      </w:r>
      <w:r>
        <w:t xml:space="preserve"> </w:t>
      </w:r>
      <w:r>
        <w:t xml:space="preserve">2020. https://www.nasa.gov/wp-content/uploads/2022/11/Artemis-Accords-signed-13Oct2020.pdf</w:t>
      </w:r>
    </w:p>
    <w:p>
      <w:pPr>
        <w:pStyle w:val="BodyText"/>
        <w:spacing w:line="480" w:lineRule="auto"/>
        <w:ind w:firstLine="720"/>
      </w:pPr>
      <w:bookmarkStart w:id="165" w:name="ref-7"/>
      <w:bookmarkEnd w:id="165"/>
      <w:r>
        <w:t xml:space="preserve">7. U.S. Department of State,</w:t>
      </w:r>
      <w:r>
        <w:t xml:space="preserve"> </w:t>
      </w:r>
      <w:r>
        <w:t xml:space="preserve">“Artemis Accords,”</w:t>
      </w:r>
      <w:r>
        <w:t xml:space="preserve"> </w:t>
      </w:r>
      <w:r>
        <w:t xml:space="preserve">Office of Space Affairs, 2026. https://www.state.gov/artemis-accords/</w:t>
      </w:r>
    </w:p>
    <w:p>
      <w:pPr>
        <w:pStyle w:val="BodyText"/>
        <w:spacing w:line="480" w:lineRule="auto"/>
        <w:ind w:firstLine="720"/>
      </w:pPr>
      <w:bookmarkStart w:id="166" w:name="ref-8"/>
      <w:bookmarkEnd w:id="166"/>
      <w:r>
        <w:t xml:space="preserve">8. NASA,</w:t>
      </w:r>
      <w:r>
        <w:t xml:space="preserve"> </w:t>
      </w:r>
      <w:r>
        <w:t xml:space="preserve">“Artemis Accords Signatories Group Method of Operation,”</w:t>
      </w:r>
      <w:r>
        <w:t xml:space="preserve"> </w:t>
      </w:r>
      <w:r>
        <w:t xml:space="preserve">NASA, 2024. https://www.nasa.gov/wp-content/uploads/2024/12/artemis-accords-signatories-group-method-of-operation.pdf</w:t>
      </w:r>
    </w:p>
    <w:p>
      <w:pPr>
        <w:pStyle w:val="BodyText"/>
        <w:spacing w:line="480" w:lineRule="auto"/>
        <w:ind w:firstLine="720"/>
      </w:pPr>
      <w:bookmarkStart w:id="167" w:name="ref-9"/>
      <w:bookmarkEnd w:id="167"/>
      <w:r>
        <w:t xml:space="preserve">9. H. Reed, N. Dailey, R. Stilwell, and B. Weeden,</w:t>
      </w:r>
      <w:r>
        <w:t xml:space="preserve"> </w:t>
      </w:r>
      <w:r>
        <w:t xml:space="preserve">“Decentralized Space Information Sharing as a Key Enabler of Trust and the Preservation of Space,”</w:t>
      </w:r>
      <w:r>
        <w:t xml:space="preserve"> </w:t>
      </w:r>
      <w:r>
        <w:t xml:space="preserve">AMOS, 2021.</w:t>
      </w:r>
    </w:p>
    <w:p>
      <w:pPr>
        <w:pStyle w:val="BodyText"/>
        <w:spacing w:line="480" w:lineRule="auto"/>
        <w:ind w:firstLine="720"/>
      </w:pPr>
      <w:bookmarkStart w:id="168" w:name="ref-10"/>
      <w:bookmarkEnd w:id="168"/>
      <w:r>
        <w:t xml:space="preserve">10. P. Tanirat, S. Channumsin, S. Sreesawet, S. Thongsuwan, K. Puttasuwan, P. Saingyen, B. Kitrattana, and Y. Tipsuwan,</w:t>
      </w:r>
      <w:r>
        <w:t xml:space="preserve"> </w:t>
      </w:r>
      <w:r>
        <w:t xml:space="preserve">“Enhancing Space Safety and Security: GISTDA’s Integrated Approach to Space Situational Awareness and Traffic Management,”</w:t>
      </w:r>
      <w:r>
        <w:t xml:space="preserve"> </w:t>
      </w:r>
      <w:r>
        <w:t xml:space="preserve">AMOS, 2025, doi:</w:t>
      </w:r>
      <w:r>
        <w:t xml:space="preserve"> </w:t>
      </w:r>
      <w:hyperlink r:id="rId169">
        <w:r>
          <w:rPr>
            <w:rStyle w:val="Hyperlink"/>
          </w:rPr>
          <w:t xml:space="preserve">10.64861/KSPN2451</w:t>
        </w:r>
      </w:hyperlink>
    </w:p>
    <w:p>
      <w:pPr>
        <w:pStyle w:val="BodyText"/>
        <w:spacing w:line="480" w:lineRule="auto"/>
        <w:ind w:firstLine="720"/>
      </w:pPr>
      <w:bookmarkStart w:id="170" w:name="ref-11"/>
      <w:bookmarkEnd w:id="170"/>
      <w:r>
        <w:t xml:space="preserve">11. M. Davis,</w:t>
      </w:r>
      <w:r>
        <w:t xml:space="preserve"> </w:t>
      </w:r>
      <w:r>
        <w:t xml:space="preserve">“Australia’s Emerging Space Policy, Defense Burden Sharing in Orbit and Space Situational Awareness,”</w:t>
      </w:r>
      <w:r>
        <w:t xml:space="preserve"> </w:t>
      </w:r>
      <w:r>
        <w:t xml:space="preserve">AMOS, 2020.</w:t>
      </w:r>
    </w:p>
    <w:p>
      <w:pPr>
        <w:pStyle w:val="BodyText"/>
        <w:spacing w:line="480" w:lineRule="auto"/>
        <w:ind w:firstLine="720"/>
      </w:pPr>
      <w:bookmarkStart w:id="171" w:name="ref-12"/>
      <w:bookmarkEnd w:id="171"/>
      <w:r>
        <w:t xml:space="preserve">12. M. Polkowska and A. Chimicz,</w:t>
      </w:r>
      <w:r>
        <w:t xml:space="preserve"> </w:t>
      </w:r>
      <w:r>
        <w:t xml:space="preserve">“Poland’s Evolving Space Law: Assessing Space Debris Mitigation and Remediation in the European Context,”</w:t>
      </w:r>
      <w:r>
        <w:t xml:space="preserve"> </w:t>
      </w:r>
      <w:r>
        <w:t xml:space="preserve">AMOS, 2024, doi:</w:t>
      </w:r>
      <w:r>
        <w:t xml:space="preserve"> </w:t>
      </w:r>
      <w:hyperlink r:id="rId172">
        <w:r>
          <w:rPr>
            <w:rStyle w:val="Hyperlink"/>
          </w:rPr>
          <w:t xml:space="preserve">10.64861/LFFV2455</w:t>
        </w:r>
      </w:hyperlink>
    </w:p>
    <w:p>
      <w:pPr>
        <w:pStyle w:val="BodyText"/>
        <w:spacing w:line="480" w:lineRule="auto"/>
        <w:ind w:firstLine="720"/>
      </w:pPr>
      <w:bookmarkStart w:id="173" w:name="ref-13"/>
      <w:bookmarkEnd w:id="173"/>
      <w:r>
        <w:t xml:space="preserve">13. A. Dey and J. Jagadanandan,</w:t>
      </w:r>
      <w:r>
        <w:t xml:space="preserve"> </w:t>
      </w:r>
      <w:r>
        <w:t xml:space="preserve">“Balancing commercialization and sustainability in outer space: Addressing new challenges,”</w:t>
      </w:r>
      <w:r>
        <w:t xml:space="preserve"> </w:t>
      </w:r>
      <w:r>
        <w:t xml:space="preserve">Acta Astronautica, 2025, doi:</w:t>
      </w:r>
      <w:r>
        <w:t xml:space="preserve"> </w:t>
      </w:r>
      <w:hyperlink r:id="rId174">
        <w:r>
          <w:rPr>
            <w:rStyle w:val="Hyperlink"/>
          </w:rPr>
          <w:t xml:space="preserve">10.1016/j.actaastro.2025.02.010</w:t>
        </w:r>
      </w:hyperlink>
    </w:p>
    <w:p>
      <w:pPr>
        <w:pStyle w:val="BodyText"/>
        <w:spacing w:line="480" w:lineRule="auto"/>
        <w:ind w:firstLine="720"/>
      </w:pPr>
      <w:bookmarkStart w:id="175" w:name="ref-14"/>
      <w:bookmarkEnd w:id="175"/>
      <w:r>
        <w:t xml:space="preserve">14. V. Zancan, A. Paravano, G. Locatelli, and P. Trucco,</w:t>
      </w:r>
      <w:r>
        <w:t xml:space="preserve"> </w:t>
      </w:r>
      <w:r>
        <w:t xml:space="preserve">“Evolving governance in the space sector: From Legacy Space to New Space models,”</w:t>
      </w:r>
      <w:r>
        <w:t xml:space="preserve"> </w:t>
      </w:r>
      <w:r>
        <w:t xml:space="preserve">Acta Astronautica, 2024, doi:</w:t>
      </w:r>
      <w:r>
        <w:t xml:space="preserve"> </w:t>
      </w:r>
      <w:hyperlink r:id="rId176">
        <w:r>
          <w:rPr>
            <w:rStyle w:val="Hyperlink"/>
          </w:rPr>
          <w:t xml:space="preserve">10.1016/j.actaastro.2024.09.005</w:t>
        </w:r>
      </w:hyperlink>
    </w:p>
    <w:p>
      <w:pPr>
        <w:pStyle w:val="BodyText"/>
        <w:spacing w:line="480" w:lineRule="auto"/>
        <w:ind w:firstLine="720"/>
      </w:pPr>
      <w:bookmarkStart w:id="177" w:name="ref-15"/>
      <w:bookmarkEnd w:id="177"/>
      <w:r>
        <w:t xml:space="preserve">15. G. Tricco et al.,</w:t>
      </w:r>
      <w:r>
        <w:t xml:space="preserve"> </w:t>
      </w:r>
      <w:r>
        <w:t xml:space="preserve">“The protection of AI-based space systems from a data-driven governance perspective,”</w:t>
      </w:r>
      <w:r>
        <w:t xml:space="preserve"> </w:t>
      </w:r>
      <w:r>
        <w:t xml:space="preserve">Acta Astronautica, 2025, doi:</w:t>
      </w:r>
      <w:r>
        <w:t xml:space="preserve"> </w:t>
      </w:r>
      <w:hyperlink r:id="rId178">
        <w:r>
          <w:rPr>
            <w:rStyle w:val="Hyperlink"/>
          </w:rPr>
          <w:t xml:space="preserve">10.1016/j.actaastro.2025.04.063</w:t>
        </w:r>
      </w:hyperlink>
    </w:p>
    <w:p>
      <w:pPr>
        <w:pStyle w:val="BodyText"/>
        <w:spacing w:line="480" w:lineRule="auto"/>
        <w:ind w:firstLine="720"/>
      </w:pPr>
      <w:bookmarkStart w:id="179" w:name="ref-16"/>
      <w:bookmarkEnd w:id="179"/>
      <w:r>
        <w:t xml:space="preserve">16. A. M. Brennan,</w:t>
      </w:r>
      <w:r>
        <w:t xml:space="preserve"> </w:t>
      </w:r>
      <w:r>
        <w:t xml:space="preserve">“Regulating the environmental impact of asteroid mining: Toward an independent international monitoring mechanism,”</w:t>
      </w:r>
      <w:r>
        <w:t xml:space="preserve"> </w:t>
      </w:r>
      <w:r>
        <w:t xml:space="preserve">Acta Astronautica, 2026, doi:</w:t>
      </w:r>
      <w:r>
        <w:t xml:space="preserve"> </w:t>
      </w:r>
      <w:hyperlink r:id="rId180">
        <w:r>
          <w:rPr>
            <w:rStyle w:val="Hyperlink"/>
          </w:rPr>
          <w:t xml:space="preserve">10.1016/j.actaastro.2026.02.013</w:t>
        </w:r>
      </w:hyperlink>
    </w:p>
    <w:p>
      <w:pPr>
        <w:pStyle w:val="BodyText"/>
        <w:spacing w:line="480" w:lineRule="auto"/>
        <w:ind w:firstLine="720"/>
      </w:pPr>
      <w:bookmarkStart w:id="181" w:name="ref-17"/>
      <w:bookmarkEnd w:id="181"/>
      <w:r>
        <w:t xml:space="preserve">17. M. H. Nair et al.,</w:t>
      </w:r>
      <w:r>
        <w:t xml:space="preserve"> </w:t>
      </w:r>
      <w:r>
        <w:t xml:space="preserve">“In-orbit assembly of high-value modular infrastructures: Holistic analysis and mission concepts,”</w:t>
      </w:r>
      <w:r>
        <w:t xml:space="preserve"> </w:t>
      </w:r>
      <w:r>
        <w:t xml:space="preserve">Acta Astronautica, 2025, doi:</w:t>
      </w:r>
      <w:r>
        <w:t xml:space="preserve"> </w:t>
      </w:r>
      <w:hyperlink r:id="rId182">
        <w:r>
          <w:rPr>
            <w:rStyle w:val="Hyperlink"/>
          </w:rPr>
          <w:t xml:space="preserve">10.1016/j.actaastro.2025.09.070</w:t>
        </w:r>
      </w:hyperlink>
    </w:p>
    <w:p>
      <w:pPr>
        <w:pStyle w:val="BodyText"/>
        <w:spacing w:line="480" w:lineRule="auto"/>
        <w:ind w:firstLine="720"/>
      </w:pPr>
      <w:bookmarkStart w:id="183" w:name="ref-18"/>
      <w:bookmarkEnd w:id="183"/>
      <w:r>
        <w:t xml:space="preserve">18. B. McKeown, A. G. Dempster, S. Saydam, and J. Coulton,</w:t>
      </w:r>
      <w:r>
        <w:t xml:space="preserve"> </w:t>
      </w:r>
      <w:r>
        <w:t xml:space="preserve">“Placing lunar resources research in the context of mining feasibility studies,”</w:t>
      </w:r>
      <w:r>
        <w:t xml:space="preserve"> </w:t>
      </w:r>
      <w:r>
        <w:t xml:space="preserve">Acta Astronautica, 2025, doi:</w:t>
      </w:r>
      <w:r>
        <w:t xml:space="preserve"> </w:t>
      </w:r>
      <w:hyperlink r:id="rId184">
        <w:r>
          <w:rPr>
            <w:rStyle w:val="Hyperlink"/>
          </w:rPr>
          <w:t xml:space="preserve">10.1016/j.actaastro.2025.04.041</w:t>
        </w:r>
      </w:hyperlink>
    </w:p>
    <w:p>
      <w:pPr>
        <w:pStyle w:val="BodyText"/>
        <w:spacing w:line="480" w:lineRule="auto"/>
        <w:ind w:firstLine="720"/>
      </w:pPr>
      <w:bookmarkStart w:id="185" w:name="ref-19"/>
      <w:bookmarkEnd w:id="185"/>
      <w:r>
        <w:t xml:space="preserve">19. United Nations Committee on the Peaceful Uses of Outer Space,</w:t>
      </w:r>
      <w:r>
        <w:t xml:space="preserve"> </w:t>
      </w:r>
      <w:r>
        <w:t xml:space="preserve">“Guidelines for the Long-term Sustainability of Outer Space Activities,”</w:t>
      </w:r>
      <w:r>
        <w:t xml:space="preserve"> </w:t>
      </w:r>
      <w:r>
        <w:t xml:space="preserve">United Nations, 2019.</w:t>
      </w:r>
    </w:p>
    <w:p>
      <w:pPr>
        <w:pStyle w:val="BodyText"/>
        <w:spacing w:line="480" w:lineRule="auto"/>
        <w:ind w:firstLine="720"/>
      </w:pPr>
      <w:bookmarkStart w:id="186" w:name="ref-20"/>
      <w:bookmarkEnd w:id="186"/>
      <w:r>
        <w:t xml:space="preserve">20. United Nations,</w:t>
      </w:r>
      <w:r>
        <w:t xml:space="preserve"> </w:t>
      </w:r>
      <w:r>
        <w:t xml:space="preserve">“Treaty on Principles Governing the Activities of States in the Exploration and Use of Outer Space, including the Moon and Other Celestial Bodies,”</w:t>
      </w:r>
      <w:r>
        <w:t xml:space="preserve"> </w:t>
      </w:r>
      <w:r>
        <w:t xml:space="preserve">1967.</w:t>
      </w:r>
    </w:p>
    <w:p>
      <w:pPr>
        <w:pStyle w:val="BodyText"/>
        <w:spacing w:line="480" w:lineRule="auto"/>
        <w:ind w:firstLine="720"/>
      </w:pPr>
      <w:bookmarkStart w:id="187" w:name="ref-21"/>
      <w:bookmarkEnd w:id="187"/>
      <w:r>
        <w:t xml:space="preserve">21. United Nations,</w:t>
      </w:r>
      <w:r>
        <w:t xml:space="preserve"> </w:t>
      </w:r>
      <w:r>
        <w:t xml:space="preserve">“Agreement on the Rescue of Astronauts, the Return of Astronauts and the Return of Objects Launched into Outer Space,”</w:t>
      </w:r>
      <w:r>
        <w:t xml:space="preserve"> </w:t>
      </w:r>
      <w:r>
        <w:t xml:space="preserve">1968.</w:t>
      </w:r>
    </w:p>
    <w:p>
      <w:pPr>
        <w:pStyle w:val="BodyText"/>
        <w:spacing w:line="480" w:lineRule="auto"/>
        <w:ind w:firstLine="720"/>
      </w:pPr>
      <w:bookmarkStart w:id="188" w:name="ref-22"/>
      <w:bookmarkEnd w:id="188"/>
      <w:r>
        <w:t xml:space="preserve">22. United Nations,</w:t>
      </w:r>
      <w:r>
        <w:t xml:space="preserve"> </w:t>
      </w:r>
      <w:r>
        <w:t xml:space="preserve">“Convention on Registration of Objects Launched into Outer Space,”</w:t>
      </w:r>
      <w:r>
        <w:t xml:space="preserve"> </w:t>
      </w:r>
      <w:r>
        <w:t xml:space="preserve">1975.</w:t>
      </w:r>
    </w:p>
    <w:p>
      <w:pPr>
        <w:pStyle w:val="BodyText"/>
        <w:spacing w:line="480" w:lineRule="auto"/>
        <w:ind w:firstLine="720"/>
      </w:pPr>
      <w:bookmarkStart w:id="189" w:name="ref-23"/>
      <w:bookmarkEnd w:id="189"/>
      <w:r>
        <w:t xml:space="preserve">23. INTL_GOVERNANCE_01,</w:t>
      </w:r>
      <w:r>
        <w:t xml:space="preserve"> </w:t>
      </w:r>
      <w:r>
        <w:t xml:space="preserve">“Constructed country-year Artemis Accords and UNGA ideal-point panel,”</w:t>
      </w:r>
      <w:r>
        <w:t xml:space="preserve"> </w:t>
      </w:r>
      <w:r>
        <w:t xml:space="preserve">generated from NASA and Harvard Dataverse source files, June 28, 2026.</w:t>
      </w:r>
    </w:p>
    <w:p>
      <w:pPr>
        <w:pStyle w:val="BodyText"/>
        <w:spacing w:line="480" w:lineRule="auto"/>
        <w:ind w:firstLine="720"/>
      </w:pPr>
      <w:bookmarkStart w:id="190" w:name="ref-24"/>
      <w:bookmarkEnd w:id="190"/>
      <w:r>
        <w:t xml:space="preserve">24. INTL_GOVERNANCE_01,</w:t>
      </w:r>
      <w:r>
        <w:t xml:space="preserve"> </w:t>
      </w:r>
      <w:r>
        <w:t xml:space="preserve">“Constructed at-risk Artemis Accords accession event-history panel,”</w:t>
      </w:r>
      <w:r>
        <w:t xml:space="preserve"> </w:t>
      </w:r>
      <w:r>
        <w:t xml:space="preserve">generated from NASA and Harvard Dataverse source files, June 28, 2026.</w:t>
      </w:r>
    </w:p>
    <w:bookmarkEnd w:id="191"/>
    <w:bookmarkEnd w:id="192"/>
    <w:bookmarkStart w:id="20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0" w:name="Xf3c8f0bdf9fd2f211400e6c83aed92e6110a30a"/>
    <w:p>
      <w:pPr>
        <w:pStyle w:val="Heading2"/>
        <w:spacing w:line="480" w:lineRule="auto"/>
      </w:pPr>
      <w:r>
        <w:t xml:space="preserve">A.1 Artemis Accords Accession and UNGA Alignment with the United States</w:t>
      </w:r>
    </w:p>
    <w:p>
      <w:pPr>
        <w:pStyle w:val="FirstParagraph"/>
        <w:spacing w:line="480" w:lineRule="auto"/>
      </w:pPr>
      <m:oMathPara>
        <m:oMathParaPr>
          <m:jc m:val="center"/>
        </m:oMathParaPr>
        <m:oMath>
          <m:sSub>
            <m:e>
              <m:acc>
                <m:accPr>
                  <m:chr m:val="̃"/>
                </m:accPr>
                <m:e>
                  <m:r>
                    <m:t>A</m:t>
                  </m:r>
                </m:e>
              </m:acc>
            </m:e>
            <m:sub>
              <m:r>
                <m:t>i</m:t>
              </m:r>
              <m:r>
                <m:t>t</m:t>
              </m:r>
            </m:sub>
          </m:sSub>
          <m:r>
            <m:rPr>
              <m:sty m:val="p"/>
            </m:rPr>
            <m:t>=</m:t>
          </m:r>
          <m:r>
            <m:t>β</m:t>
          </m:r>
          <m:sSub>
            <m:e>
              <m:acc>
                <m:accPr>
                  <m:chr m:val="̃"/>
                </m:accPr>
                <m:e>
                  <m:r>
                    <m:t>D</m:t>
                  </m:r>
                </m:e>
              </m:acc>
            </m:e>
            <m:sub>
              <m:r>
                <m:t>i</m:t>
              </m:r>
              <m:r>
                <m:t>t</m:t>
              </m:r>
            </m:sub>
          </m:sSub>
          <m:r>
            <m:rPr>
              <m:sty m:val="p"/>
            </m:rPr>
            <m:t>+</m:t>
          </m:r>
          <m:r>
            <m:t>γ</m:t>
          </m:r>
          <m:sSub>
            <m:e>
              <m:acc>
                <m:accPr>
                  <m:chr m:val="̃"/>
                </m:accPr>
                <m:e>
                  <m:r>
                    <m:t>V</m:t>
                  </m:r>
                  <m:r>
                    <m:t>o</m:t>
                  </m:r>
                  <m:r>
                    <m:t>t</m:t>
                  </m:r>
                  <m:r>
                    <m:t>e</m:t>
                  </m:r>
                  <m:r>
                    <m:t>s</m:t>
                  </m:r>
                </m:e>
              </m:acc>
            </m:e>
            <m:sub>
              <m:r>
                <m:t>i</m:t>
              </m:r>
              <m:r>
                <m:t>t</m:t>
              </m:r>
            </m:sub>
          </m:sSub>
          <m:r>
            <m:rPr>
              <m:sty m:val="p"/>
            </m:rPr>
            <m:t>+</m:t>
          </m:r>
          <m:sSub>
            <m:e>
              <m:r>
                <m:t>ε</m:t>
              </m:r>
            </m:e>
            <m:sub>
              <m:r>
                <m:t>i</m:t>
              </m:r>
              <m:r>
                <m:t>t</m:t>
              </m:r>
            </m:sub>
          </m:sSub>
          <m:r>
            <m:rPr>
              <m:sty m:val="p"/>
            </m:rPr>
            <m:t>,</m:t>
          </m:r>
          <m:r>
            <m:t> </m:t>
          </m:r>
          <m:sSub>
            <m:e>
              <m:acc>
                <m:accPr>
                  <m:chr m:val="̃"/>
                </m:accPr>
                <m:e>
                  <m:r>
                    <m:t>x</m:t>
                  </m:r>
                </m:e>
              </m:acc>
            </m:e>
            <m:sub>
              <m:r>
                <m:t>i</m:t>
              </m:r>
              <m:r>
                <m:t>t</m:t>
              </m:r>
            </m:sub>
          </m:sSub>
          <m:r>
            <m:rPr>
              <m:sty m:val="p"/>
            </m:rPr>
            <m:t>=</m:t>
          </m:r>
          <m:sSub>
            <m:e>
              <m:r>
                <m:t>x</m:t>
              </m:r>
            </m:e>
            <m:sub>
              <m:r>
                <m:t>i</m:t>
              </m:r>
              <m:r>
                <m:t>t</m:t>
              </m:r>
            </m:sub>
          </m:sSub>
          <m:r>
            <m:rPr>
              <m:sty m:val="p"/>
            </m:rPr>
            <m:t>−</m:t>
          </m:r>
          <m:sSub>
            <m:e>
              <m:acc>
                <m:accPr>
                  <m:chr m:val="‾"/>
                </m:accPr>
                <m:e>
                  <m:r>
                    <m:t>x</m:t>
                  </m:r>
                </m:e>
              </m:acc>
            </m:e>
            <m:sub>
              <m:r>
                <m:t>i</m:t>
              </m:r>
            </m:sub>
          </m:sSub>
          <m:r>
            <m:rPr>
              <m:sty m:val="p"/>
            </m:rPr>
            <m:t>−</m:t>
          </m:r>
          <m:sSub>
            <m:e>
              <m:acc>
                <m:accPr>
                  <m:chr m:val="‾"/>
                </m:accPr>
                <m:e>
                  <m:r>
                    <m:t>x</m:t>
                  </m:r>
                </m:e>
              </m:acc>
            </m:e>
            <m:sub>
              <m:r>
                <m:t>t</m:t>
              </m:r>
            </m:sub>
          </m:sSub>
          <m:r>
            <m:rPr>
              <m:sty m:val="p"/>
            </m:rPr>
            <m:t>+</m:t>
          </m:r>
          <m:acc>
            <m:accPr>
              <m:chr m:val="‾"/>
            </m:accPr>
            <m:e>
              <m:r>
                <m:t>x</m:t>
              </m:r>
            </m:e>
          </m:acc>
        </m:oMath>
      </m:oMathPara>
    </w:p>
    <w:bookmarkStart w:id="19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-3.274e-17</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-8.698e-15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[-0.0074, 0.0074]</w:t>
            </w:r>
          </w:p>
        </w:tc>
      </w:tr>
      <w:tr>
        <w:tc>
          <w:tcPr>
            <w:tcW w:w="0" w:type="auto"/>
          </w:tcPr>
          <w:p>
            <w:pPr>
              <w:spacing w:line="240" w:lineRule="auto" w:before="0" w:after="0"/>
              <w:pStyle w:val="Compact"/>
            </w:pPr>
            <w:r>
              <w:rPr>
                <w:sz w:val="20"/>
                <w:szCs w:val="20"/>
              </w:rPr>
              <w:t xml:space="preserve">nvotes_twfe_residual</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0.000572</w:t>
            </w:r>
          </w:p>
        </w:tc>
        <w:tc>
          <w:tcPr>
            <w:tcW w:w="0" w:type="auto"/>
          </w:tcPr>
          <w:p>
            <w:pPr>
              <w:spacing w:line="240" w:lineRule="auto" w:before="0" w:after="0"/>
              <w:pStyle w:val="Compact"/>
            </w:pPr>
            <w:r>
              <w:rPr>
                <w:sz w:val="20"/>
                <w:szCs w:val="20"/>
              </w:rPr>
              <w:t xml:space="preserve">-2.835</w:t>
            </w:r>
          </w:p>
        </w:tc>
        <w:tc>
          <w:tcPr>
            <w:tcW w:w="0" w:type="auto"/>
          </w:tcPr>
          <w:p>
            <w:pPr>
              <w:spacing w:line="240" w:lineRule="auto" w:before="0" w:after="0"/>
              <w:pStyle w:val="Compact"/>
            </w:pPr>
            <w:r>
              <w:rPr>
                <w:sz w:val="20"/>
                <w:szCs w:val="20"/>
              </w:rPr>
              <w:t xml:space="preserve">0.0046</w:t>
            </w:r>
          </w:p>
        </w:tc>
        <w:tc>
          <w:tcPr>
            <w:tcW w:w="0" w:type="auto"/>
          </w:tcPr>
          <w:p>
            <w:pPr>
              <w:spacing w:line="240" w:lineRule="auto" w:before="0" w:after="0"/>
              <w:pStyle w:val="Compact"/>
            </w:pPr>
            <w:r>
              <w:rPr>
                <w:sz w:val="20"/>
                <w:szCs w:val="20"/>
              </w:rPr>
              <w:t xml:space="preserve">[-0.0027, -0.0005006]</w:t>
            </w:r>
          </w:p>
        </w:tc>
      </w:tr>
      <w:tr>
        <w:tc>
          <w:tcPr>
            <w:tcW w:w="0" w:type="auto"/>
          </w:tcPr>
          <w:p>
            <w:pPr>
              <w:spacing w:line="240" w:lineRule="auto" w:before="0" w:after="0"/>
              <w:pStyle w:val="Compact"/>
            </w:pPr>
            <w:r>
              <w:rPr>
                <w:sz w:val="20"/>
                <w:szCs w:val="20"/>
              </w:rPr>
              <w:t xml:space="preserve">signed_twfe_residual</w:t>
            </w:r>
          </w:p>
        </w:tc>
        <w:tc>
          <w:tcPr>
            <w:tcW w:w="0" w:type="auto"/>
          </w:tcPr>
          <w:p>
            <w:pPr>
              <w:spacing w:line="240" w:lineRule="auto" w:before="0" w:after="0"/>
              <w:pStyle w:val="Compact"/>
            </w:pPr>
            <w:r>
              <w:rPr>
                <w:sz w:val="20"/>
                <w:szCs w:val="20"/>
              </w:rPr>
              <w:t xml:space="preserve">-0.0337</w:t>
            </w:r>
          </w:p>
        </w:tc>
        <w:tc>
          <w:tcPr>
            <w:tcW w:w="0" w:type="auto"/>
          </w:tcPr>
          <w:p>
            <w:pPr>
              <w:spacing w:line="240" w:lineRule="auto" w:before="0" w:after="0"/>
              <w:pStyle w:val="Compact"/>
            </w:pPr>
            <w:r>
              <w:rPr>
                <w:sz w:val="20"/>
                <w:szCs w:val="20"/>
              </w:rPr>
              <w:t xml:space="preserve">0.0188</w:t>
            </w:r>
          </w:p>
        </w:tc>
        <w:tc>
          <w:tcPr>
            <w:tcW w:w="0" w:type="auto"/>
          </w:tcPr>
          <w:p>
            <w:pPr>
              <w:spacing w:line="240" w:lineRule="auto" w:before="0" w:after="0"/>
              <w:pStyle w:val="Compact"/>
            </w:pPr>
            <w:r>
              <w:rPr>
                <w:sz w:val="20"/>
                <w:szCs w:val="20"/>
              </w:rPr>
              <w:t xml:space="preserve">-1.7941</w:t>
            </w:r>
          </w:p>
        </w:tc>
        <w:tc>
          <w:tcPr>
            <w:tcW w:w="0" w:type="auto"/>
          </w:tcPr>
          <w:p>
            <w:pPr>
              <w:spacing w:line="240" w:lineRule="auto" w:before="0" w:after="0"/>
              <w:pStyle w:val="Compact"/>
            </w:pPr>
            <w:r>
              <w:rPr>
                <w:sz w:val="20"/>
                <w:szCs w:val="20"/>
              </w:rPr>
              <w:t xml:space="preserve">0.0728</w:t>
            </w:r>
          </w:p>
        </w:tc>
        <w:tc>
          <w:tcPr>
            <w:tcW w:w="0" w:type="auto"/>
          </w:tcPr>
          <w:p>
            <w:pPr>
              <w:spacing w:line="240" w:lineRule="auto" w:before="0" w:after="0"/>
              <w:pStyle w:val="Compact"/>
            </w:pPr>
            <w:r>
              <w:rPr>
                <w:sz w:val="20"/>
                <w:szCs w:val="20"/>
              </w:rPr>
              <w:t xml:space="preserve">[-0.0704, 0.0031]</w:t>
            </w:r>
          </w:p>
        </w:tc>
      </w:tr>
    </w:tbl>
    <w:p>
      <w:pPr>
        <w:pStyle w:val="BodyText"/>
        <w:spacing w:line="480" w:lineRule="auto"/>
        <w:ind w:firstLine="720"/>
      </w:pPr>
      <w:r>
        <w:t xml:space="preserve">Fit: N = 1912 R2 = 0.0125 R2_adj = 0.0115 F = 5.8197 F_p = 0.003</w:t>
      </w:r>
    </w:p>
    <w:bookmarkEnd w:id="193"/>
    <w:bookmarkStart w:id="19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wo-way residualized accession and UNGA alignment." title="" id="195" name="Picture"/>
            <a:graphic>
              <a:graphicData uri="http://schemas.openxmlformats.org/drawingml/2006/picture">
                <pic:pic>
                  <pic:nvPicPr>
                    <pic:cNvPr descr="D:/Claude_Code/brain/collegium/candidates/dissertations/INTL_GOVERNANCE_01/research_papers/p1/paper_fig1.png" id="196" name="Picture"/>
                    <pic:cNvPicPr>
                      <a:picLocks noChangeArrowheads="1" noChangeAspect="1"/>
                    </pic:cNvPicPr>
                  </pic:nvPicPr>
                  <pic:blipFill>
                    <a:blip r:embed="rId19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Two-way residualized accession and UNGA alignment.</w:t>
      </w:r>
    </w:p>
    <w:bookmarkEnd w:id="197"/>
    <w:bookmarkStart w:id="19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565"/>
        <w:gridCol w:w="565"/>
        <w:gridCol w:w="565"/>
        <w:gridCol w:w="565"/>
        <w:gridCol w:w="565"/>
        <w:gridCol w:w="565"/>
        <w:gridCol w:w="565"/>
        <w:gridCol w:w="565"/>
        <w:gridCol w:w="565"/>
        <w:gridCol w:w="565"/>
        <w:gridCol w:w="565"/>
        <w:gridCol w:w="565"/>
        <w:gridCol w:w="565"/>
        <w:gridCol w:w="565"/>
      </w:tblGrid>
      <w:tr>
        <w:trPr>
          <w:tblHeader w:val="on"/>
        </w:trPr>
        <w:tc>
          <w:tcPr>
            <w:tcW w:w="0" w:type="auto"/>
          </w:tcPr>
          <w:p>
            <w:pPr>
              <w:spacing w:line="240" w:lineRule="auto" w:before="0" w:after="0"/>
              <w:pStyle w:val="Compact"/>
            </w:pPr>
            <w:r>
              <w:rPr>
                <w:sz w:val="20"/>
                <w:szCs w:val="20"/>
              </w:rPr>
              <w:t xml:space="preserve">iso3c</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n_votes_fp</w:t>
            </w:r>
          </w:p>
        </w:tc>
        <w:tc>
          <w:tcPr>
            <w:tcW w:w="0" w:type="auto"/>
          </w:tcPr>
          <w:p>
            <w:pPr>
              <w:spacing w:line="240" w:lineRule="auto" w:before="0" w:after="0"/>
              <w:pStyle w:val="Compact"/>
            </w:pPr>
            <w:r>
              <w:rPr>
                <w:sz w:val="20"/>
                <w:szCs w:val="20"/>
              </w:rPr>
              <w:t xml:space="preserve">idealpoint_fp</w:t>
            </w:r>
          </w:p>
        </w:tc>
        <w:tc>
          <w:tcPr>
            <w:tcW w:w="0" w:type="auto"/>
          </w:tcPr>
          <w:p>
            <w:pPr>
              <w:spacing w:line="240" w:lineRule="auto" w:before="0" w:after="0"/>
              <w:pStyle w:val="Compact"/>
            </w:pPr>
            <w:r>
              <w:rPr>
                <w:sz w:val="20"/>
                <w:szCs w:val="20"/>
              </w:rPr>
              <w:t xml:space="preserve">us_idealpoint_fp</w:t>
            </w:r>
          </w:p>
        </w:tc>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sign_year</w:t>
            </w:r>
          </w:p>
        </w:tc>
        <w:tc>
          <w:tcPr>
            <w:tcW w:w="0" w:type="auto"/>
          </w:tcPr>
          <w:p>
            <w:pPr>
              <w:spacing w:line="240" w:lineRule="auto" w:before="0" w:after="0"/>
              <w:pStyle w:val="Compact"/>
            </w:pPr>
            <w:r>
              <w:rPr>
                <w:sz w:val="20"/>
                <w:szCs w:val="20"/>
              </w:rPr>
              <w:t xml:space="preserve">signed_current</w:t>
            </w:r>
          </w:p>
        </w:tc>
        <w:tc>
          <w:tcPr>
            <w:tcW w:w="0" w:type="auto"/>
          </w:tcPr>
          <w:p>
            <w:pPr>
              <w:spacing w:line="240" w:lineRule="auto" w:before="0" w:after="0"/>
              <w:pStyle w:val="Compact"/>
            </w:pPr>
            <w:r>
              <w:rPr>
                <w:sz w:val="20"/>
                <w:szCs w:val="20"/>
              </w:rPr>
              <w:t xml:space="preserve">years_since_signature</w:t>
            </w:r>
          </w:p>
        </w:tc>
        <w:tc>
          <w:tcPr>
            <w:tcW w:w="0" w:type="auto"/>
          </w:tcPr>
          <w:p>
            <w:pPr>
              <w:spacing w:line="240" w:lineRule="auto" w:before="0" w:after="0"/>
              <w:pStyle w:val="Compact"/>
            </w:pPr>
            <w:r>
              <w:rPr>
                <w:sz w:val="20"/>
                <w:szCs w:val="20"/>
              </w:rPr>
              <w:t xml:space="preserve">alignment_twfe_residual</w:t>
            </w:r>
          </w:p>
        </w:tc>
        <w:tc>
          <w:tcPr>
            <w:tcW w:w="0" w:type="auto"/>
          </w:tcPr>
          <w:p>
            <w:pPr>
              <w:spacing w:line="240" w:lineRule="auto" w:before="0" w:after="0"/>
              <w:pStyle w:val="Compact"/>
            </w:pPr>
            <w:r>
              <w:rPr>
                <w:sz w:val="20"/>
                <w:szCs w:val="20"/>
              </w:rPr>
              <w:t xml:space="preserve">signed_twfe_residual</w:t>
            </w:r>
          </w:p>
        </w:tc>
        <w:tc>
          <w:tcPr>
            <w:tcW w:w="0" w:type="auto"/>
          </w:tcPr>
          <w:p>
            <w:pPr>
              <w:spacing w:line="240" w:lineRule="auto" w:before="0" w:after="0"/>
              <w:pStyle w:val="Compact"/>
            </w:pPr>
            <w:r>
              <w:rPr>
                <w:sz w:val="20"/>
                <w:szCs w:val="20"/>
              </w:rPr>
              <w:t xml:space="preserve">nvotes_twfe_residual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1.5428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-0.8858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0.3466</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1.4085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-1.1385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0.1897</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1.3392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-1.3553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0.0683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1.2342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-1.3384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-0.0463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1.2881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-1.2771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1.2806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-1.2708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0.0132</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-0.9204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1.1632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-0.1466</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1.0602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-1.0372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-0.2551</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1.0795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-2.2827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-0.1793</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-0.4384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-2.8669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-0.4637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-3.0107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-0.2417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-2.9363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-0.3093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-2.8819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-0.2575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-2.8228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-0.3953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-2.9467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-0.2701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-2.4662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-0.0894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-2.1869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-0.4259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-3.7881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10.1943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-1.7768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-4.2054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-1.773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-4.32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-1.695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-4.3896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-1.5697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-4.1423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-1.6414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-4.2066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-1.6855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-4.2369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-0.1679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-1.3521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-3.5482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0.1659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-3.312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0.4279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-1.2934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-3.3909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0.1762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-1.3437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-4.7058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0.1825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-0.2267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-2.6553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-0.2032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-2.7502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0.0973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-2.5972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0.228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-2.3446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0.1297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0.2127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-10.3902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-0.0582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-2.6096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-0.141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-2.3371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-0.1831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-2.4479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-0.1251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-0.2087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-2.3062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-0.1562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13.3652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-0.4407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-3.8028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-0.3316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18.8943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-0.428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-2.8566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-0.0946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-0.6243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-3.1713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-0.3136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-0.2361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-2.9306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0.0226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-0.272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-2.8446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-0.3651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-2.9304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-0.1205</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-0.1678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-2.7192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0.0943</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-0.0552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-2.2513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0.2073</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1.1909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-0.1358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-2.4006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0.0839</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-0.0331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-2.1305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0.1811</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-0.3059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-3.668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-0.3584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-0.4242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-2.9712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-0.3269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-3.0214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-0.4584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-0.4091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-2.9744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-0.3016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-0.2871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-2.4832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-0.249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-2.5138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-0.089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-2.1865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-0.5741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-3.9362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-0.2179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-0.5245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-2.9531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-0.5321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-3.2266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-0.4137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-2.9862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-0.4624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-3.0276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-0.3997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-2.9512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-0.4706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-2.6667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-0.4301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-2.6949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-0.3631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-2.4605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-0.7328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-0.2315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-0.3521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-2.7807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-0.3879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-2.9349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-0.3001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-2.9947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-0.2438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-2.8164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-0.2751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-2.8403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3.62e-05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-0.2934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-2.8448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-0.000784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6.0118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-0.2839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-0.2366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-2.5014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-0.1708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-2.2682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-0.3841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-3.7463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-28.5057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-0.4026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-2.8312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-0.4987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-3.0457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-11.2809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-0.4234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-2.6024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0.3164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-0.6189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-3.1841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-0.2769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-7.8902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-0.5065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-3.0579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13.9118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-0.2993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-18.7091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-0.3017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-2.5665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-0.405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-2.5024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47.8652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-3.4721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-53.6057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-0.5012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-2.9298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-0.5003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-3.0474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-0.3775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-0.5499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-3.1225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-0.6455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-3.2108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-0.1484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20.0098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-0.5754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-3.1269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12.8118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-0.4176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-2.6137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-0.4042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15.4998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-0.4672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-2.5647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-0.0005806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14.7652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-0.7088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-0.1856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-41.7057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-0.4583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-2.8868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-0.4238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-2.9708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-0.3946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-3.0892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-0.4126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-2.9852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-0.4436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-3.0088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-0.0085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-0.433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-2.9844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-0.334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-2.5301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-0.4237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-2.6885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-0.4781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-0.7257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-4.0879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-0.2646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-0.5296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-2.9582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-0.5802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-0.522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-3.2165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-0.6031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-0.5479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-0.4453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-2.9967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-0.3996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-0.433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-2.6978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-0.4421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-2.5395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10.9652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-0.4315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-3.7937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0.0703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-129.5057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-0.4924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-0.4275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-2.9745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-0.1606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-2.8551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-0.5263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-3.0989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-3.0561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-0.3661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-2.9176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-2.5461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-0.4142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-0.3892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-2.4866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-0.6582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-4.0204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-0.2223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-0.2832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-2.7118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-0.4344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-0.3344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-3.0289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-26.4934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-0.4105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-0.4119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-2.9772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-0.0007641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-3.7902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-0.1013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-6.9882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-0.4394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-0.0104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7.3909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-0.3864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-2.6512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-0.0002028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-0.3358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0.0449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-0.7223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-4.0845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-0.2851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11.4943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-0.1102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-2.5388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0.0473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-2.4997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0.1501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0.0073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-2.6872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-0.0006761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-2.5733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0.0404</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-2.5691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0.0329</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-0.0406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-2.592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-0.0267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-2.2228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-0.0309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-2.2957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-0.1448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-2.2422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-0.1386</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-7.0348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-0.2406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-3.6028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-0.1778</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-0.271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-2.6996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-0.4344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-0.2127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-2.9072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-0.202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-2.7746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-0.3178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-0.3363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-0.3284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-2.5245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-0.3387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-2.6035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-0.258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-2.3555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0.0265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-0.6274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-3.9896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-0.2863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0.0072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-2.4213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0.0616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-2.4854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0.2338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-2.4607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0.097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-2.4839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-2.5835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0.1917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-2.0044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0.1474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0.0994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-2.1654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0.1071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-1.9904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-0.4028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-3.7649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-0.4388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0.1014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-2.3271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-2.4517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-2.4886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0.1119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-2.4607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0.0473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0.0001079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-2.5513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-0.2134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-2.4782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-0.2208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-0.1391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-2.2365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-0.4858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-0.4422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-0.4669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-0.4812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-3.0282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-0.4402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-0.3279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-2.9005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-0.4045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-2.9697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-0.4626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-0.5741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-2.7702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-0.2636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-2.5284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0.0744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-2.3166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-0.1671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-3.5293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-0.2057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-1.3775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-3.8061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-1.1852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-3.7322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-4.2189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-1.5071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-4.0797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-0.1179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-1.5582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-4.1235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-1.6909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-4.2423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-0.2885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-1.453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-3.649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-1.4466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-3.7114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-1.5487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-3.6462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-0.7335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0.6774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-0.1702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-0.2036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-2.7507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-0.0793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-2.7738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-0.119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-2.6916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-0.0919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-2.6571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-0.1279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-2.6794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-0.0276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-2.2237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-0.0876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0.0507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-2.0467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0.0009177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-3.3612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-0.0412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-2.4698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0.0543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-3.0757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-0.0868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-2.6338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-2.6587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0.0567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-2.6365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-0.0527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-0.0692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-2.6344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-0.0623</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-2.6638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-0.088</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-2.1148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0.106</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0.0027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-2.2621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-0.0154</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-2.0445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0.0293</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-0.0446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-3.4067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-0.0116</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-0.1758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-2.6044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-3.2757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-0.2045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-2.7515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-0.0202</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-0.0828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-2.7773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0.056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-2.5166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0.1786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-2.537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0.1464</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-2.5794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0.1077</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-0.0361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-2.2322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0.0999</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-0.1916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-2.4564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-0.0984</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-0.1935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-2.291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-0.1058</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-0.5305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-3.8927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-0.3862</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-1.426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-3.8546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-1.4427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-3.9897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-1.4868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-4.1814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0.1073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-1.6501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-4.2227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-1.6137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-1.7759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-4.3273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-0.5215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-2.9501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-0.6273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-3.1743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-0.2181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-2.9126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-0.2358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-2.8084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-0.2136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-2.7789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-0.2153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-2.7667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-0.2555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-2.4516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-0.2822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-2.1604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-0.4595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-3.8217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-0.7034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-0.4708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-3.0178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-0.7119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-3.4064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-0.2578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-0.6815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-3.2541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-0.5663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-3.1316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-0.4961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-3.0476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-0.2519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-13.0091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-0.1711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-2.4359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-2.1422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0.3649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-3.8421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-0.8715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-3.3001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-0.429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-0.896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-3.443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-0.4762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-0.2809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-0.5013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-3.1958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-0.1335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-0.4292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-3.0017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-0.0711</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-0.4553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-3.0205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-0.1016</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1.1098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-0.2344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-2.7858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0.1368</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-0.0514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-2.2475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0.3202</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1.2909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-0.1317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-2.3965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0.1971</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-0.4002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-2.1619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0.2588</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-9.1348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-0.0791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-3.4412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0.3008</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3.3943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-0.1349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-2.5634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0.1086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-0.1657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-2.7127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0.0551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-0.1312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-2.8257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0.3066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-0.179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-2.7515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-0.1963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-2.7615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-0.0415</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-0.2903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-2.8417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-0.118</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-0.1712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-2.3673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1.1909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-0.1536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-2.4185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-2.1325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0.0892</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-0.2671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-3.6293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3.2943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-0.4879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-2.9165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-0.2954</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-0.298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-2.845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-0.0521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-2.7467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0.0657</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2.1066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0.2586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-2.314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0.3668</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0.2759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-2.2893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0.3798</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0.1338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-2.4176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0.2552</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0.0943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-2.1018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0.2159</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-0.3112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-2.5761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-0.7002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-0.1824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-2.2799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-0.1091</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-5.4348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-0.646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-4.0081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-0.516</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-1.4248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-3.8533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-1.4888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-4.0358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-0.4622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-1.3008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-3.9953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-0.5637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-3.1363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0.4011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-0.6912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-3.2564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0.2694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-1.1827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-3.7341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-0.2047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14.5118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-1.0098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-3.2059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-0.8924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-3.1572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-0.8516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-2.9491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-0.3762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-3.7384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0.6104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-99.0057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-2.4083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0.0731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-0.0392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-2.5862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-0.1238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-2.8183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-0.1457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-0.187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-2.7596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-0.2186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-0.2585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-2.8238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-0.2944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-0.2858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-2.8372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-0.3042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-0.1723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-2.3684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-0.1903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-2.3633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-0.1594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0.3124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-1.7851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0.246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1.0147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-2.3474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1.0049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-0.2669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-2.6954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-0.0559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-0.3282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-2.8752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-0.1398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-2.807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-0.2043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-2.7768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-0.0776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-0.2045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-2.7697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-0.0821</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-0.1678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-2.7193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-2.1722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0.1641</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0.0811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0.0899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-2.0075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0.1817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-0.2135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-3.5756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-0.0651</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-2.5503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-0.1147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-2.6617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-0.242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-0.0174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-2.7119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-0.1968</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3.4066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-0.1009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-2.6735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-0.2899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-0.0943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-2.6596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2.1098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-0.0919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-2.6434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-0.2678</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1.9118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-0.0629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-2.259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-0.2385</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2.2909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-0.0435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-2.3083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-0.2619</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2.5998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0.2969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-1.8006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0.073</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-4.1348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2.1076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-1.2545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1.9403</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-13.6057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-0.4066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-2.8352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-0.1474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-0.4312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-2.9782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-0.1946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-0.2923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-2.9868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-0.1078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-0.3647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-2.9373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-0.1899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-2.6004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0.1354</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-0.0758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-2.6272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0.1122</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0.0571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-2.139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0.2455</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-2.2432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0.1671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0.1244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-1.973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0.2644</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-0.4792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-3.8413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-0.2826</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2.9943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1.6112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-0.8173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1.5936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-0.9534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0.0425</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1.5778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-1.1167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1.5925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-0.9801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1.6322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-0.933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1.8407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-0.7107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0.2411</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1.5006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-0.6955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-0.0987</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1.6246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-0.6402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-0.0175</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1.5559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-0.5415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-0.0916</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1.4651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-1.8971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-0.1259</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0.7126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0.0793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0.7271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-1.8199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0.6633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-2.0313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0.775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-1.7976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0.6952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-1.8701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-0.0268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0.6918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-1.8597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-0.0128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0.7538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-1.4423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0.6601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-1.6047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-0.0869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0.6953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-1.4021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-0.0572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0.6693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-2.6929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-0.0266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1.0197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-1.4088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0.0637</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0.9795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-1.5675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0.0008145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1.0623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-1.6322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1.0241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-1.5485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1.1537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-1.4115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0.109</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1.0899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-1.4616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0.0626</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1.0785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-1.1176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0.0516</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0.949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-1.3158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-0.1207</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1.0215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-1.076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-0.0537</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0.8923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-2.4698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-0.1263</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2.8943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1.0522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-1.3764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0.1172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0.9991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-1.5479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0.0414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1.0065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-1.688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1.0292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-1.5433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0.0099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1.0705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-1.4947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1.0347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-1.5167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0.9646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-1.2315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-0.0413</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0.9676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-1.2972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-0.0811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0.9501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-1.1474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0.9862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-2.376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0.9679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-1.4607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0.0539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1.0355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-1.5115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0.0989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0.929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-1.7655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-0.0596</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1.0222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-1.5503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0.9549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-1.6104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-0.0478</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1.0712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-1.4802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0.0861</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0.9253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-1.2708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-0.0595</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0.9955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-1.2694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-0.0322</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0.9634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-1.134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-0.0697</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0.9849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-2.3772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1.3771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-1.0515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0.082</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1.4717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-1.0753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0.1539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1.3934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-1.3011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0.0236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1.3676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-1.205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-0.0119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1.4247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-1.1405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1.4833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-1.0681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0.117</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-1.7882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1.2143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-0.9818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-0.1516</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1.3361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-0.9287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-0.0727</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1.2563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-0.8412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-0.158</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1.3366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-2.0255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-0.0211</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1.0949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-1.3337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0.9628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-1.5842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1.0121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-1.6824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0.9671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-1.6054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1.0839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-1.4813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1.0772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-1.4742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0.9614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-1.2347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1.0096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-1.2552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-0.0562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-1.0321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0.997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-2.3652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0.6342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-1.7943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0.0265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0.6369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-1.9101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0.0065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0.7017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-1.9929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0.0192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0.7232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-1.8494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0.7526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-1.8126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0.0562</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0.6638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-1.8876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0.767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-1.4291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0.0884</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0.6378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-0.0836</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0.6783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-1.4191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-0.0486</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0.592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-2.7701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-0.0783</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0.6232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-1.8054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0.6389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-1.9081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0.6429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-2.0516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-0.0387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0.7123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-1.8603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0.7113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-1.8539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0.7235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-1.8279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-1.4637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0.0547</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0.605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-1.6598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-0.1156</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0.7573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-1.3401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0.0312</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0.6324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-2.7297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-0.0371</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1.0975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-1.331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0.2101</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1.0186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-1.5284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0.1085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0.9519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-1.7427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1.0317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-1.5409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0.0599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0.8987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-1.6666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-0.0775</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0.9177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-1.6337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-0.0409</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0.8862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-1.3099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-0.0721</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-0.4091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0.9257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-1.3391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-0.0754</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0.9136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-1.1839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-0.093</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0.9432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-0.0069</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0.8742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-1.5543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0.8083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-1.7387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0.7864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-1.9081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0.7588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-1.8138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0.6933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0.6675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-1.8839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-0.0686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0.7664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-1.4297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0.6605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-1.6043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0.7026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-1.3949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0.6412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-2.7209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0.8824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-1.5462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0.968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-1.579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0.8808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-1.8137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-1.5639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0.9277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-1.6376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0.9693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-1.5821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0.9231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0.9521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-1.3127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-0.0316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0.9339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-1.1636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-0.0553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0.9645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-2.3976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0.0319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1.1693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-1.2593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0.0852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1.1545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-1.3925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0.0478</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1.1425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-1.552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1.1451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-1.4275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-0.0233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1.2766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-1.2886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1.1548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-1.3966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-0.0004773</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1.1727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-1.0234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0.0177</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1.1029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-1.1619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-0.0949</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1.1572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-0.9403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-0.0461</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1.0758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-2.2863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1.0464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-1.3822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0.0063</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1.0638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-1.4833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1.1593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-1.5352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0.0445</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1.1518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-1.4208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0.0274</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1.1916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-1.3737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0.0628</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1.1561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-1.3953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0.0449</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-1.1481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-0.0629</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1.0865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-1.1783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1.0401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-1.0574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-0.1192</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1.1672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-2.1949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0.0646</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0.6472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-1.7813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-0.0703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0.6992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-1.8478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0.7338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-1.9607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-0.0584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0.8115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-1.7611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0.0097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0.8365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-1.7288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0.7622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-1.7893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-0.0266</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0.9346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-1.2615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0.1462</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0.804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-1.4608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-0.0272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0.9037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-1.1938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0.7528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-2.6093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-0.0273</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1.1293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-1.2992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1.0804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-1.4666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-0.1008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1.2934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-1.4011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0.0602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1.1982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-1.3744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-0.0446</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1.3568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-1.2084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0.1096</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1.1804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-1.3711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-0.9751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-0.0084</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1.2765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-0.9883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0.0043</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1.2305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-0.867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1.329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-2.0332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0.1078</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1.1901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-1.2385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1.1884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-1.3586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1.2211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-1.4734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-0.0381</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1.2042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-1.3683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-0.0646</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1.3418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-1.2234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0.0686</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1.285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-1.2665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1.2131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-0.983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-0.0423</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1.2798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-0.985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-0.0184</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1.3895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-0.7079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0.0858</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1.2424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-2.1197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1.0708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-1.3577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0.0559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1.0162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-1.5308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-0.0213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1.0575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1.0821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-1.4905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-0.0172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1.1862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-1.379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0.0826</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1.1718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-1.3797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0.0856</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1.1208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-1.0753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0.035</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1.0984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-1.1664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-0.0302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0.9715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-1.1259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-0.1626</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1.0841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-2.2781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3.8943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0.9301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-1.4985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-0.0235</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0.9741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-1.5729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1.0481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-1.6464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1.0366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-1.536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0.9109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-1.6543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-0.1314</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1.0669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-1.4845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-4.5882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-1.1511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0.0205</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1.0722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-1.1926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0.0048</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1.1357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-0.9617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0.0629</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1.0273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-2.3349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0.6018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-1.8268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0.6996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-1.8474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0.7059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-1.9886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0.7618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-1.8108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0.7029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-1.8624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0.6763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-1.8751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0.7914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-1.4047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0.6598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0.6969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-2.7141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0.6241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-1.8045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0.6945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-1.8525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0.0688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0.6466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-2.0479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0.7351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-1.8375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0.6626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-1.9026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-0.0291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0.6955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-1.856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0.7014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-1.4947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0.0275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0.6653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-1.5996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-0.0515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0.7051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-1.3924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0.6105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-2.7516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-0.0552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0.9702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-1.4584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1.023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1.0251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-1.6694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1.077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1.0875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-1.4778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1.0888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-1.4626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1.0433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-1.1528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1.0153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-1.2495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0.9509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-1.1465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1.1139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-2.2483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1.0592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-1.3694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1.0323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-1.5147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0.9626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-1.5628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1.0333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-1.532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1.0552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-1.4962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0.9122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-1.2839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-0.0797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0.9481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-1.3167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0.9263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0.9815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-2.3806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0.7633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0.8353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-1.7117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0.8636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0.9857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-1.5869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0.0449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1.0421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-1.5231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1.0315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0.9619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-1.2342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0.0346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-40.6091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0.8456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0.8218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-0.1539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-2.2381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1.0389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-1.3897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1.0312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-1.5158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1.0198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-1.6747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1.0145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-1.5581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1.1648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-1.4005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1.1483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-1.4031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0.0516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1.1322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-1.0639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1.1459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-1.1189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1.1801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-0.9173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1.0899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-2.2722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0.4856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-1.943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0.5024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-2.0446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0.1578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0.3145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0.3843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-2.1883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0.3747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-2.1905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0.3496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-2.2019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0.3607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-1.8354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0.3888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-1.876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-3.8002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0.2565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-1.841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-0.1846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0.5123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-2.8498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0.1278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-3.0057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0.7427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-1.6858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0.7558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-1.7913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0.1016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0.6435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0.7118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-1.8608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0.5898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-1.9754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0.6306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-1.9208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0.7082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-1.4879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0.7692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0.6547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-1.4428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0.8189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-2.5432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1.0257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-1.4029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0.1001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1.0128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-1.5342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0.0646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0.9897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-1.7048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-0.0105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0.9778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-1.5948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1.1262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-1.439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0.112</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1.1311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-1.4203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0.1344</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0.8999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-1.2962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-0.0965</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0.9367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-1.3281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-0.1025</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0.923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-1.1744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0.9429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-2.4193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-0.0453</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0.709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-1.7195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-0.092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0.8529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-1.6941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0.8497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-1.8448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0.9824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-1.5901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0.097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0.8831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-1.6821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0.9013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-1.6501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0.029</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0.888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-1.3081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0.0161</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0.9056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-1.3592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0.8153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-1.2821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-0.1049</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0.9334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-2.4288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0.0697</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0.5866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-1.842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0.0135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0.6533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-1.8937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0.0575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0.609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-2.0855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-0.0388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0.711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-1.8616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0.0535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0.6334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-1.9318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-0.0283</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0.6677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-1.8837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0.6949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-1.5012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0.051</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0.6507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-1.6141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-0.0361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0.6126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-1.4849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-0.0797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0.622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-2.7401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-0.0137</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0.9775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-1.4511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0.9928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-1.5542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-0.0144</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0.9765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-0.0827</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1.0868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-1.4858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0.0179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1.1687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-1.3966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1.0871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-1.4643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0.0314</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1.0472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-1.1489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0.9969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-1.2679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-0.1014</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1.0611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-1.0364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-0.0427</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1.1611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-2.201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0.114</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3.4943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0.8143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-1.6142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0.1505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0.7509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-1.7961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0.717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-1.9775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0.7089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-1.8637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0.6513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-1.9139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-0.1012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0.6963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-1.8551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0.7858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-1.4103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0.0511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0.6919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-1.5729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-0.0856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0.8256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-1.2718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0.7064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-2.6558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1.0847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-1.3439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1.0641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-1.4829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0.0148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1.0487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-1.6458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-0.0527</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1.1209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-1.4517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1.1451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-1.4201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0.0297</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1.0743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-0.0236</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1.0373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-1.1588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-0.0602</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-1.1669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-0.0424</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1.1535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-0.9439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0.0076</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1.1506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-2.2115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0.0613</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0.1903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-2.2383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0.0998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-2.4472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0.2664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-2.7305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-2.5555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0.0211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-2.5441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-0.0242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-0.7643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-2.9604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-0.6459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-0.2707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-0.1951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-0.8504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-2.9479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-0.7804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0.4351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-2.9271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0.5617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1.0991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-1.3295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0.0568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-1.509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-0.0269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1.0871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-1.6074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-0.0298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1.1793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-1.3932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0.0528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1.2251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-1.3401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0.0942</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1.1608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-1.3907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0.0473</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1.0944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-1.1017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1.0937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-1.1711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1.0405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-1.057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-0.121</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1.1145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-2.2476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0.0097</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3.5943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1.0996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-1.329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1.0432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-1.5038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1.1375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-1.557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0.0225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1.1255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-1.447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0.0008961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1.1797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-1.3855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0.0507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1.1574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-1.394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0.0459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-1.1541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-0.0692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1.0643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-1.2005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-0.0897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1.1191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-0.9784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-0.0404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1.145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-2.2172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0.0421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1.1065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-1.3221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1.081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-1.466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-0.0271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1.155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-1.5395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1.1627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-1.4099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1.2255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-1.3397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0.0514</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1.1814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0.0247</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1.1194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-1.0767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-0.0369</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1.1641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-1.1008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1.1824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-0.9151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-0.0222</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1.1869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-2.1752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0.0389</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1.0437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-1.3848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-0.0182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1.1429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-1.4041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0.0583</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1.0491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-1.6455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-0.0876</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1.1543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-1.4183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0.0079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1.0355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-1.5297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-0.1151</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1.1653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-1.3861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1.0854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-1.1107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-0.0475</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-2.9091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1.1831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-1.0817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2.3998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1.2016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-0.8959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0.0204</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-3.3348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1.2692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-2.0929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0.1446</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3.1943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-2.7619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-0.3257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-2.8727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-0.4432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-0.297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-2.8696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-2.8922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-0.476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-3.0274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-1.0437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-3.2398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-0.5551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-2.8908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-0.1802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-0.9139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-3.0113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-0.4735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-0.0991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-3.4612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0.3978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0.1617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-2.2669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0.1307</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0.1322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-2.4148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-0.0362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3.7066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0.1004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-2.4721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0.1996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-2.3657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0.0799</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0.1519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-2.3995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0.0497</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1.2118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-0.0489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-2.2449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-0.1507</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0.0885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-2.1763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-0.0562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-2.1002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-0.0398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-2.1373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-2.8348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-3.157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0.1116</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-1.3057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0.8686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0.8817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0.8705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0.887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-1.6856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0.9554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0.7942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-1.7572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0.8515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-1.3446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0.7741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-1.4907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0.8226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-1.2749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0.8273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-2.5349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-0.6404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-3.0689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-0.7094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-3.2564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-0.6168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-3.3113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-0.6093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-3.1818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-3.2552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-0.1069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-0.5296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-0.5717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-2.7678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-0.4627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-2.7275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-0.4681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-2.5655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-0.7096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-0.1004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-5.8057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0.8607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-1.5679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0.8717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-1.6753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-0.0128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0.8894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-1.8052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0.8739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-1.6986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0.951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-1.6143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0.0004388</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0.913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-1.6384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0.9547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-1.2414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0.022</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0.9837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-1.2811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1.0444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-1.0531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0.0633</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0.9862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-2.376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0.0617</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0.6936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-1.7349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-0.1312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0.7999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-1.7471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0.8286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-1.866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-0.071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0.8431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-1.7295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-0.0661</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0.8443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-1.721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-0.0693</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0.8398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-1.7116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-0.0562</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0.9889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-1.2072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0.0932</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-1.2548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1.0779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-1.0195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0.1339</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1.0326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-2.3295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0.1452</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0.8724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-1.5561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0.0763</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0.9157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-1.6313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0.097</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-1.7945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0.0292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0.8968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0.8445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-1.7207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1.0319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-1.5195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0.1646</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0.8905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-1.3056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0.0235</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0.7946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-1.4702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-0.1152</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0.6653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-1.4322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0.8596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-2.5026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0.0008589</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1.0924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-1.3362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0.0779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1.0905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-1.4565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0.0534</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1.0897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-1.6048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0.0005496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1.0952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-1.4773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-0.0036</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1.1942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-1.371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0.0911</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1.1482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-1.4032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0.0625</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1.0485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-1.1476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-0.0368</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1.058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-1.2069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-0.0702</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1.0087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-1.0888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-0.125</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1.0296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-2.3325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-0.0475</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0.8135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-1.6151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0.8924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-1.6546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0.8616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-1.833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0.9302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-1.6424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0.0413</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0.8887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-1.6766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0.973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-1.5784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0.0974</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0.8854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-1.3107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0.8791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-1.3857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-0.039</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0.747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-1.3504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-0.1766</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0.8842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-2.478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-0.4188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-2.8473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-0.5338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-3.0808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-0.3697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-3.0642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-0.2847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-2.8572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-0.2936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-2.8588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-0.4758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-0.1498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-6.7882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-0.2586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-2.4546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-11.4091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-0.1128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-2.3776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-0.0383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-2.1358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0.2397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-0.4754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-3.8375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-0.1408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-0.5563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-2.9849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-0.4539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-3.0009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-0.2719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-2.9664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-0.5034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-0.4913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-3.0566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-0.4301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-2.9816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-0.3374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-2.5335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-23.6091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-0.1419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-2.4067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0.1538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-24.3002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-2.1705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0.2171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48.9652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-3.4862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0.2227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-87.5057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-0.6233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-3.0519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-0.6466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-3.1936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-0.0006511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-0.4308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-3.1253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-0.452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-3.0246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-0.547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-0.5479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-3.0993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-0.6182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-2.8142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7.9909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-0.6866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-2.9515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-2.7002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-0.6484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-2.7458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7.5652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-0.7747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-4.1369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-0.6808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-3.1094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-0.416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-0.3721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-3.0666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-3.1926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-0.5072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-0.7841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-0.1275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-0.7729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-0.7285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-2.9933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9.3998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-0.7367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-2.8342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23.6652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-0.949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-4.3111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-0.2838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14.1943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-0.7865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-3.2151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-0.5769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-3.1239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-0.4358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-0.5017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-3.0743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-0.4504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-3.0156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8.2098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-0.4406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6.0118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-0.4384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-2.6345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-0.4172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-0.2704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-2.3678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-0.7172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-0.6815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-0.1798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-2.7268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-0.3331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-3.0277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-0.2155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-2.7881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-0.1599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-2.7252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0.3907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-0.8512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-3.4027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-1.0324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-3.2285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-0.464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-0.3004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0.2252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-1.4002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-0.8811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-2.9785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-0.3609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-1.048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-4.4101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-0.4713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-0.5481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-2.9767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0.0724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-0.5476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-3.0946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0.0502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-7.4809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-0.37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-3.0645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0.1758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-0.567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-3.1396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-0.0309</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-0.5527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-3.1179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-0.0209</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-1.0902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-0.4659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-3.0173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0.0834</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-0.5384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-2.7345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0.0112</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-0.5787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-2.8435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-0.0719</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-0.5767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-2.6741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-0.0754</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-2.3348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-0.7494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-4.1115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-0.1915</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-0.5434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-0.571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-0.4584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-3.0722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-0.3896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-2.9548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-0.5534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-3.1048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-26.7882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-2.5161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-0.3102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-0.2126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-2.3101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0.1968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19.1652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-0.7181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-4.0802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-50.3057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-0.7923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-3.2209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-0.6427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-3.1897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-0.7361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-3.4306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-0.8707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-3.4433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-0.7231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-3.2884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0.0002788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-0.6424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-0.6585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-2.8546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-0.7483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-3.0131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-0.7039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-2.8013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-0.8928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-0.5609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-2.9895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-0.6101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-3.1571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-0.7478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-3.4424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-0.629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-3.2016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-0.3227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0.2709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9.2098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-0.5236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-10.9882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-0.4647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-2.6608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-0.6162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-2.8811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-0.5762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-2.6737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11.9652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-1.062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-4.4241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-0.4422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13.4943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-0.0373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-2.4658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-8.9646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-0.3845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-2.9315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0.5302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-0.0361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-2.7306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-0.187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-2.7596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1.5354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-0.2117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-2.7769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-0.0791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-2.7014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1.7229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-0.1053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-2.3014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0.1088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-2.2498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0.1862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-77.5891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-0.3978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6.2054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-0.6889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-3.1175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-0.6396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-3.3342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-3.3326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-0.5144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-18.4902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-0.5377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-0.4947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-2.6908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-11.3091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-0.407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-2.6718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0.1503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-0.0002262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-0.5143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-2.6118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7.2652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-0.6585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-4.0207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18.7943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-0.4994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-2.9279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-0.5903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-3.1373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-0.5018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-0.473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-3.0456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-0.4741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-3.0394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-4.8902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-0.6421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0.9118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-0.5109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-7.7091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-0.5665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-2.8313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-11.4002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-0.5689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-2.6664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-0.9785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-4.3407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-0.3896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-0.2594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-0.2158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-2.7628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-0.3699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0.1912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-2.5033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0.3531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-2.2195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0.2377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-2.3275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-6.3902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0.3348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-2.2166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0.9489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-1.2472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0.7465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0.3832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-1.8816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-35.9002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0.4012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-1.6962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18.3652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-3.7121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-0.544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20.8943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-0.3792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-2.8078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-0.5478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-3.0948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-0.5401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-3.2346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-0.5414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-0.5306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-3.0958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-0.1086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-0.5526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-0.362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-2.5581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-0.2749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-2.5398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-0.1512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-2.2487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0.2403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-0.5166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-3.8787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-0.0685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-0.4236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-2.8522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-0.3907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-2.9377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-0.1758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-2.8703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-0.1614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0.2156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-0.4658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-8.9902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-0.3978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-2.9492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3.8118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-0.3521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-2.5482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-0.4323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-2.6971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-0.3704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-2.4679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2.7652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-0.7333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-0.3345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0.0897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-2.3389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-2.5119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0.2452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0.0288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-2.6658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-2.6145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0.1065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-0.0548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-2.6201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0.0893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-0.1001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-2.6515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-0.3816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-2.5777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-0.2197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-0.3627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-2.6275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-0.2436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-0.482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-2.5794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-0.3684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-0.3479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-0.1777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0.0601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-2.3685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0.1955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0.085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-2.4621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-0.0325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-2.7271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-0.0001893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-2.5728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0.0009369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-2.5643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-0.0608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-2.6122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-0.1849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-2.4615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-2.3273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-0.2136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-0.0848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-0.7278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-3.1564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-0.1174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-0.4802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-3.0272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0.1075</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2.4191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-0.4885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-3.1831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0.0472</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6.1066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-0.4425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-3.0151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0.0835</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2.4243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-0.3022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-2.8675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0.2195</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5.8098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-0.534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-3.0854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4.6118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-0.6161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-2.8122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-0.0766</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-4.0091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-0.578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-2.8428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-0.0813</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-6.7002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-2.7238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-0.1352</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-0.4348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-0.5978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-12.9057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-0.313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-2.7416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-37.5757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-0.3916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-2.9386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-0.3142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-3.0087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-0.6792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-3.2518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-0.546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-0.192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-2.7434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0.2945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-9.8882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-0.647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-0.1602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-0.4985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-2.7633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7.7998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-0.5502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-2.6476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11.0652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-0.7348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-0.2398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-0.2426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-2.6712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-2.6165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0.2739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-0.1626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-2.8572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-0.0254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-2.5979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0.2564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-0.0497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0.2277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-23.7902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-0.586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-3.1374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-0.2911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-19.9882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-0.9523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-3.1484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-0.6571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-0.3901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-0.1377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-0.409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-2.5065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-0.1621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8.9652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-3.4254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0.2402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10.4943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-0.5462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-2.9747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-0.5996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-0.6612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-3.3557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-0.5697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-3.1423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-0.5494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-0.6214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-3.1729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10.3118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-0.2748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-2.4709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7.6909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-0.4872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-0.4501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-0.7002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-4.0624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17.7943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-3.1227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-0.7268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-3.2738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-0.7117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-3.4062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-0.773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-3.3456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-0.593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-3.1582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0.0349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-0.6122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-3.1636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-14.7882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-0.8196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-3.0157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-2.4091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-0.5571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-2.8219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-0.6025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-2.6999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8.1652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-0.3654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-3.7276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0.2885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-0.4414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-0.5068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-3.0538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-0.1994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-0.2432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-2.9377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-0.528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-0.2823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-0.1001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-2.6396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-41.7882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-0.2563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-2.4524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-0.0635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-2.3283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0.1529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-0.0894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-2.1868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32.1652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-0.2732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-3.6353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-1.0735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-3.502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-1.0498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-3.5968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-0.7483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-3.4428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-0.8216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-3.3942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-0.7718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-9.0902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-0.8152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-3.3666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-0.7852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-2.9813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8.0909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-0.5719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-2.8367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0.1883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-0.6046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-0.7861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-4.1483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11.1943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-0.7612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-3.1898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-0.7464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-3.2934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-0.6139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-0.4652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-3.0378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-3.1922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-0.1168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-5.4902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-0.3377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-2.6882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-0.4063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-2.6024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-0.3527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-2.6175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-0.3183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-2.4157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0.1614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-0.6497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-4.0119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-0.786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-3.2145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-0.7512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-3.2982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-0.6519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-3.3464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-0.0507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-0.6426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-3.2152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-0.6034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-3.1686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-3.7902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-0.4816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-0.6789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-12.6091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-0.3973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-2.6622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0.1648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-0.4449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-0.6101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-3.9722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-1.3627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-3.7912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-1.4509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-3.9979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-0.3543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-1.2007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-3.8952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-1.1278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-3.7003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-1.3121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-3.8774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-0.2816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-0.6386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0.4093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-14.6882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-0.7608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-2.9569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0.2875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-4.3091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-1.0424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-3.3072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-1.1734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-3.2709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-0.4121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-3.7743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0.6444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-0.3591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-2.7877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-0.0793</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-56.1757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-0.1817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-2.7287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0.0754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-2.7027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0.1969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-5.9934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-0.1515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-2.7241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0.0439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10.3243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-0.1966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-2.7618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-0.0055</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9.7098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-0.0971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-2.6485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7.5118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-0.0556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-2.2517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0.1533</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5.8909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-0.3546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-2.6194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-0.1885</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-0.3311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-2.4285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-0.1705</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12.4652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147</w:t>
            </w:r>
          </w:p>
        </w:tc>
        <w:tc>
          <w:tcPr>
            <w:tcW w:w="0" w:type="auto"/>
          </w:tcPr>
          <w:p>
            <w:pPr>
              <w:spacing w:line="240" w:lineRule="auto" w:before="0" w:after="0"/>
              <w:pStyle w:val="Compact"/>
            </w:pPr>
            <w:r>
              <w:rPr>
                <w:sz w:val="20"/>
                <w:szCs w:val="20"/>
              </w:rPr>
              <w:t xml:space="preserve">-0.352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-3.7141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-0.1348</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14.9943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-0.4302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-2.8588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-0.5837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-3.1307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-0.5552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-3.2497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-0.6021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-0.5959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-3.1612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-48.5902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-0.6903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-3.2417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16.2118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-0.3856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-2.5817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9.5909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-0.6683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-2.9331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-0.6704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-2.7678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34.1652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-0.7418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-0.7668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-3.1953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-0.3178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-3.0124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-0.3869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-2.9595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0.1839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-0.5724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-3.1377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-0.5734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-3.1249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0.0106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-0.5822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-2.7782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-0.6125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-2.8774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-0.5699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-2.6673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-0.8127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-4.1749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-0.2201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-0.5249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-2.9535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-0.538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-0.3598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-3.0543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-0.4495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-0.5019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-3.0671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-0.7671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-3.3185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-0.2256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-1.0936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-3.2897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-0.5518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-0.4145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-2.6793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-0.4997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-2.5972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-0.2675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-3.6297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0.2825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-0.6431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-3.0716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0.3167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-0.773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-0.6213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-3.3158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-0.674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-3.2465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-0.6544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-3.2196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0.2167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-1.0939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-3.6454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-0.2054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-1.1121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-3.3082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-0.2232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-1.0679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-3.3327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-0.2218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-1.3094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-3.4069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-0.4689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-0.9381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-4.3003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-0.7399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-3.1685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-0.0999</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-0.4571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-3.0041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0.1602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-0.5848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-3.2793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-2.7934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-0.5701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-3.1427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-0.0145</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-0.4398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-3.005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-9.0902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-0.6382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-3.1897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-0.6448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-2.8409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5.0909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-0.4987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-2.7635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0.0276</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2.3998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-0.5722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-2.6697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-0.0514</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-3.3348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-0.5439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0.0335</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6.1943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-0.7042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-3.1327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-0.7476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-3.2946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-0.6156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-3.3101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-0.5981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-0.5632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-3.1284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-0.5887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-3.1401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-0.6748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-2.8709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-0.5789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-2.8437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-0.4457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-0.7486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-4.1107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-0.5847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-3.0132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-0.6862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-0.726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-3.4205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-0.5778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-3.1503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-0.0912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-0.6138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-3.2902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-0.2662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-2.8176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0.2336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-0.4022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-2.5983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-0.2926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-2.5574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0.1647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-4.8002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-0.1687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-2.2662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-0.681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-7.0057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-1.6475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-4.0761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-0.5418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-4.397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-0.7669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-1.4403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-4.1348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-0.4092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-0.5404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-3.1129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-0.5112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0.5058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-0.9312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-3.4826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-1.2394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-3.4355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-0.7901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-0.905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-3.0024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-0.4922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-3.8543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0.551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-0.2466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-2.6752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-0.4353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-0.1706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-2.8651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6.825e-06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-0.3582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-2.9307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-0.1972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-0.1288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-2.6941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0.0278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-0.2351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0.1337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-2.0624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-0.0893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-2.3541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0.1165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0.2426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7.0652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-0.3288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-3.6909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-0.4057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-0.5007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-2.9293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-0.5409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-3.0879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-3.2063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-0.3984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-0.4101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-2.9754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-0.4355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-2.9869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-0.6403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-2.8364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-0.1455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-0.5337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-2.7985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-0.5566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-2.6541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-0.1101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-0.4185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-3.7806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-0.7116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-3.1402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-0.7606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-3.3076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-0.6981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-3.3926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-0.5369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-3.1094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-0.6129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-3.1782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-0.5305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-0.6949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-0.6145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-2.8793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-0.6471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-2.7445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-0.0877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-0.2688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-3.6309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0.3472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-0.6886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-3.1172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-0.7055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-3.2525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-0.3415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-8.2934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-0.4016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-2.9741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-0.3053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-2.8706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-0.3255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0.1653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-0.4141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-2.6102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-0.5325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-2.7973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-0.5574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-0.6381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-4.0002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0.6943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-0.3732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-2.8018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-0.4122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-2.9592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0.0246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-0.2724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-2.9669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-0.3517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-0.3127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-2.878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-0.3331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0.0551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-5.0882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-0.4562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-2.6522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-0.0676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-0.3906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-2.6554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5.5998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-0.2986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-2.396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-0.6837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-4.0458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-0.2868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-13.6057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-0.6372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-3.0658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-0.7412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-3.2882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-0.1035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0.3602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-0.2073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-2.7798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-0.4002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-2.9654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-0.5488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-3.1003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-0.4594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-2.6554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0.0082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21.0909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-0.3721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-2.6369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0.0526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-34.6002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-0.5219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-0.1027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27.6652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-0.6823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-4.0444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-0.2065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-31.8057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-0.5493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-2.9779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-0.5507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-3.0977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-0.6988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-3.3934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-0.5718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-3.1443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-0.0705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-2.6357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0.3939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26.0098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-0.2852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-2.8366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0.1967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22.8118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-0.5225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-2.7186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22.1909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-0.4777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-2.7425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17.4998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-0.5435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-0.1096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18.7652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-0.551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-3.9131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-125.7057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-0.6644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-0.5936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-2.6809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-0.7967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-3.4912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-0.6027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-0.3531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-2.9184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0.2695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-20.2902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-3.6814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-0.4899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-0.338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-2.5341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0.3024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-52.1091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-0.5798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-2.8446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-0.4635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-2.5609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15.4652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-0.2322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19.9943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-0.4196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-2.8482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-0.6308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-3.1778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-0.4953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-3.1898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-0.4824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-3.0549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-0.528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-3.0932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-0.4912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-3.0426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-0.3908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-2.5869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-2.6072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-0.3139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-2.4113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-0.5809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-3.9431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-0.6203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-3.0489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-0.3756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-2.9226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-0.4434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-0.0799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-0.3995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-2.9721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-0.3701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-2.9353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-41.6902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-0.4797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-3.0311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-0.1127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-3.8882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-0.0108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-2.2069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0.3565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-27.5091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-0.2393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-2.5041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0.0852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17.7998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-0.1866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20.0652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-0.5464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-0.1708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29.5943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-0.6181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-3.0467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-0.0474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-0.3596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-2.9066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0.1885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-0.4792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-3.1737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-0.5557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-3.1283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-0.0693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-0.6549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-3.2201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-0.1729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-2.9427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0.1082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-0.5439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-0.0441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-0.3903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-2.6551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-0.4507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-2.5482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0.0007786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-0.5531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-3.9152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-1.2799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-3.7085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-0.9425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-3.4895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-0.8753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-3.5698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0.1073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-0.8282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-3.4008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-1.0144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-3.5796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-1.0264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-3.5779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-1.1532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-3.3493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-0.1668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-0.922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-3.1868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-0.8278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-2.9252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0.1103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-0.993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-4.3552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-0.6472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-3.0758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-0.7216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-3.2686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-0.6602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-3.3547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-0.6854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-3.2579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-0.7611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-3.3264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-0.5603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-3.1117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-2.8171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-0.519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-2.7838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-0.0002262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-0.5447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-2.6421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-0.9375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-4.2997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-0.8269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-3.2555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-0.7957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-3.3427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-0.5857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-3.0179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-0.5434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-3.1086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0.1016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-0.7322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-3.2836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-0.6332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-2.8293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-0.7396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-3.0044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-0.1196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-0.6916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-2.7891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-0.6331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-3.9953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-1.2699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-3.6984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-3.763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-1.1551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-3.8496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3.3066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-1.0867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-3.6592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-1.2301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-3.7954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3.0098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-0.9845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-3.5359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-0.8774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-3.0735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0.1974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-3.8091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-0.9984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-3.2632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0.0336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-13.5002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-1.0467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-3.1442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-0.8816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-4.2438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0.2014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0.2488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-2.1797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0.5384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-2.0086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0.4305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-0.0334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-2.7279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-8.0934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0.0353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-2.5373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-0.3384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-2.9036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-0.5123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-13.3902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-0.2376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15.4118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-0.1449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0.3735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-1.8913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37.0998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-1.8574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34.3652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0.8807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-2.4815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0.7329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-66.1057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-1.9534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-4.382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-1.3475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-3.8945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-1.7821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-4.4766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-1.5893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-4.1619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-1.5302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-4.0954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-1.8889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-4.4403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-0.3961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-1.5677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-3.7638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-1.4026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-3.6674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-1.2103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-3.3078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0.2345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-0.6579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0.8435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0.6309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-1.7977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6.1466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0.6302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-1.9168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8.6414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0.5389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-2.1556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9.3289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0.5552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-2.0174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8.6466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0.5484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-2.0168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8.032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0.6608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-1.8906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-0.0062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7.8341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0.487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-1.7091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-0.1797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6.2131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0.5918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-0.1177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6.522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-1.5734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1.7874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-1.1363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-3.5648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-0.7517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-3.2987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-0.8031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-3.4976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-0.8528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-3.4253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-0.785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-3.3502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0.0275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-0.7018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-3.2532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-0.8102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-3.0063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0.0202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-0.7654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-3.0302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-0.6884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-2.7858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-1.0074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-4.3696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-3.6155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-0.9915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-3.5385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-1.1468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-3.8413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-1.0072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-3.5798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-1.0336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-0.0945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-1.069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-3.6204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-0.8003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-2.9964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0.1566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-0.7782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0.1359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-0.688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-2.7855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0.2205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-0.8657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-4.2279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0.0994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-2.0027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-4.4312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-1.801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-4.348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-1.7741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-4.4687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-1.8369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-4.4095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-1.5291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-4.0944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0.1772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-2.0384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-4.5898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-0.3146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-1.8799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-4.076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-0.1557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9.0909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-1.5784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-3.8432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0.1029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10.3998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-1.6607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-3.7581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-1.1385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-4.5006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0.5939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-73.8057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-1.1703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-3.5988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-1.0419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-0.9838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-3.6783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-0.1009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-3.5426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-0.946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-3.5112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-0.0771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-0.6059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-3.1573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0.2805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-2.9895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-3.0058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0.1029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-0.7324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-2.8298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-0.8806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-4.2427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-0.8239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-3.2525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-0.0802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-0.7362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-3.2832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-0.6145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-0.707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-3.2795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-0.5679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-3.1331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0.0872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-0.5841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0.0884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-3.2882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-0.5603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-2.7564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0.1126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-0.6502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-0.0201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-0.616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-2.7135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0.0085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-0.8669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-4.229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2.2338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-0.1948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0.078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2.4071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-0.1399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0.2287</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3.3191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2.3996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-0.2949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0.1691</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2.395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-0.1776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0.1548</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2.3243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2.3925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-0.1727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0.148</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4.7098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2.2325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-0.319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0.0055</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3.5118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1.7029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-0.4931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-0.5237</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3.8909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1.7773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-0.4875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-0.4922</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6.1998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1.8826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-0.2149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-0.3924</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-2.5348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125</w:t>
            </w:r>
          </w:p>
        </w:tc>
        <w:tc>
          <w:tcPr>
            <w:tcW w:w="0" w:type="auto"/>
          </w:tcPr>
          <w:p>
            <w:pPr>
              <w:spacing w:line="240" w:lineRule="auto" w:before="0" w:after="0"/>
              <w:pStyle w:val="Compact"/>
            </w:pPr>
            <w:r>
              <w:rPr>
                <w:sz w:val="20"/>
                <w:szCs w:val="20"/>
              </w:rPr>
              <w:t xml:space="preserve">2.8449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-0.5172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0.6265</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-23.0057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-0.7159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-3.1445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-0.1313</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-0.5756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-3.1226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-0.0136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-0.4999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-3.1944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-0.4307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-3.0033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0.0696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-0.6484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-3.2136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-0.1524</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-0.3345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-2.8859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0.1789</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-0.5614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-2.7575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-0.0477</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-1.2091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-0.4789</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-2.7437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-0.008</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-0.532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-2.6294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-0.0665</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-0.3587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-3.7209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0.1633</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3.8943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-0.709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-3.1376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-0.5679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-3.1149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-0.6111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-0.6473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-3.2199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-0.5973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-3.1625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-0.5962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-3.1476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-0.5373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-2.7334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-0.6426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-2.9074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-0.6054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-0.0527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-4.7348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-0.4947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-3.8569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-0.9356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-3.3642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-0.2131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-0.7193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-3.2663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-0.7765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-0.6765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-3.2491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-0.6804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-3.2456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-0.5371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-3.0885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0.1141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-0.4671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-2.6631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0.1845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-0.5635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-2.8283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-0.3943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-2.4917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-0.7639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-4.1261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-0.1041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-0.7517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-3.1803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-0.5956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-3.1426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0.1029</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-0.6225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-0.5263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-3.0989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0.1105</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-0.5964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-3.1617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-0.5618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-3.1132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-0.6605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-2.8566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-0.0102</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-2.9718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-0.0996</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-0.7022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-2.7997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-0.1003</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-0.7771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-4.1393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-0.1186</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-0.8578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-3.2864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-0.5665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-3.1135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-0.6427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-3.3372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-0.0539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-0.6655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-3.2381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-0.6853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-3.2505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-0.1105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-0.5758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-0.4684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-2.6645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0.1243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-0.5218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-0.2131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-2.3105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0.3313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-0.7279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-4.0901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-0.7539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-3.1825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-0.0532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-2.4757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-0.5732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-3.1202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0.1048</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-0.6108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-3.3053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-0.6301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-3.2027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-0.6833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-3.2485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-0.6012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-3.1527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0.0282</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-0.7148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-2.9109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-0.0849</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-0.5681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-2.8329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-0.6112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-2.7087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-0.0297</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-0.5498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3.6943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-1.0529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-3.4815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-0.145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-0.9027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-3.4498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-0.8452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-3.5397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-0.0121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-0.8046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-3.3772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-0.8355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-3.4007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-0.686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-3.2374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0.1507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-0.6576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-2.8537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0.1794</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-0.8126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-3.0774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-0.0185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-0.7527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-2.8501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-1.0184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-4.3805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-0.1732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-3.2404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-0.2123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4.6743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-0.7707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-3.3177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6.1691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-0.7683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-3.4628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0.8566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-0.4969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-3.0695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5.1743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-0.5127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5.5598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-0.5701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-3.1215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-0.6382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-2.4152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-8.2591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-0.4821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-2.7469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-26.9502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-0.7734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-3.2019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-0.8425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-3.3895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-0.8327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-3.5272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-0.7708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-3.3434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-0.7442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-3.3095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0.0618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-0.4902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-0.8192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-3.3706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-0.7483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-0.3091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-0.8275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-3.0923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0.9998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-0.835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-2.9324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-0.0594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14.2652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119</w:t>
            </w:r>
          </w:p>
        </w:tc>
        <w:tc>
          <w:tcPr>
            <w:tcW w:w="0" w:type="auto"/>
          </w:tcPr>
          <w:p>
            <w:pPr>
              <w:spacing w:line="240" w:lineRule="auto" w:before="0" w:after="0"/>
              <w:pStyle w:val="Compact"/>
            </w:pPr>
            <w:r>
              <w:rPr>
                <w:sz w:val="20"/>
                <w:szCs w:val="20"/>
              </w:rPr>
              <w:t xml:space="preserve">-1.0436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-4.4057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-0.2115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-8.2057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-0.6019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-3.0305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-0.6785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-3.2255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-0.6089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-3.3035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-0.6359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-3.2085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-0.5477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-3.1129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-1.5902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-0.5997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-3.1511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-0.7321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-2.9282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-0.568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-2.8328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0.0005525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-0.6028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-0.5366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-0.6053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-3.0339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0.1612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-0.5681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-3.1151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-0.7644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-3.4589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-0.6979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-3.2704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-0.7062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-3.2714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-0.8103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-3.3617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-0.115</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-2.1882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-0.9585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-3.1546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-0.2628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-0.5245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-2.7893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-0.5555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0.0918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-0.7643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-4.1265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-0.0604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-0.2468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-2.6754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0.4151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-0.2994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-2.8464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0.3399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-0.5506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-3.2451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-0.3727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-2.9453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-0.769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-3.3343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-0.1958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-0.7853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-3.3367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-1.9882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-0.3089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-0.7278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-2.9926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-0.1796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-0.7153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-2.8128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-0.542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0.0573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-0.421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-2.8496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-0.4969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-3.0439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-0.5024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-0.6299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-3.2025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-0.5016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-3.0669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-0.4793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-3.0307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-0.9287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-3.1248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-0.3635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-2.6283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-4.1002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-0.4481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-2.5456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-6.8348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-0.475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-3.8372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-0.4807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-2.9093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-0.3137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-2.8607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-0.526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-3.2205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-0.4439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-3.0165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-0.5549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-3.1201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0.0008908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-0.3791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-2.9305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-1.3542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-3.5503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-0.7806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-0.6402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-0.1095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-0.8791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-2.9765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-0.3538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-0.1624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-3.5245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0.4195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-0.5388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-2.9673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-0.4936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-3.0406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-0.5067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-3.2012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-0.5239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-3.0965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-0.5832</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-3.1484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-0.6025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-3.1539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-0.6967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-2.8927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-0.1307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-0.5173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-2.7821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-0.583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-2.6805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-0.6126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-3.9747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-0.687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-3.1156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-0.2826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-2.8296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-0.668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-3.3625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-0.274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-2.8466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-0.2901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-2.8553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0.1682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-0.3119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-2.8633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-0.9728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-3.1688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-0.4967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-0.4812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-0.0479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-0.9563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-3.0537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0.1647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-3.1974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0.649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0.9606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-1.4679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0.1699</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-4.1757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0.9128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-1.6342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0.0994</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-0.6809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0.8378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-1.8567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-0.0277</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0.7341</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-1.8385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-0.141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0.7803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-1.7849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-0.0991</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0.8984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-1.653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0.8064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-1.3896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-0.0552</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0.8343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-1.4305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-0.0701</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0.8481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-1.2494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-0.0619</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-5.5348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1.0051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-2.3571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0.1517</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4.9943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0.6858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-1.7428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0.0669</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0.6547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-1.8923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0.0131</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0.7498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-1.9447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0.6783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-1.8943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-0.025</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-1.9052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0.7204</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-1.831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0.7491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-1.4469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0.6945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-1.5703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-0.0381</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0.6097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-1.4878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-0.1285</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0.6974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-2.6647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-0.2851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-2.7137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-0.0094</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-0.2343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-2.7813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-0.2748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-2.9694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-0.0738</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-0.2334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-0.042</w:t>
            </w:r>
          </w:p>
        </w:tc>
        <w:tc>
          <w:tcPr>
            <w:tcW w:w="0" w:type="auto"/>
          </w:tcPr>
          <w:p>
            <w:pPr>
              <w:spacing w:line="240" w:lineRule="auto" w:before="0" w:after="0"/>
              <w:pStyle w:val="Compact"/>
            </w:pPr>
            <w:r>
              <w:rPr>
                <w:sz w:val="20"/>
                <w:szCs w:val="20"/>
              </w:rPr>
              <w:t xml:space="preserve">-0.2038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-0.1321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-2.6973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0.0549</w:t>
            </w:r>
          </w:p>
        </w:tc>
        <w:tc>
          <w:tcPr>
            <w:tcW w:w="0" w:type="auto"/>
          </w:tcPr>
          <w:p>
            <w:pPr>
              <w:spacing w:line="240" w:lineRule="auto" w:before="0" w:after="0"/>
              <w:pStyle w:val="Compact"/>
            </w:pPr>
            <w:r>
              <w:rPr>
                <w:sz w:val="20"/>
                <w:szCs w:val="20"/>
              </w:rPr>
              <w:t xml:space="preserve">-0.2454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-0.1199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-2.6713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-0.2715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-0.3872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-2.5833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-0.1824</w:t>
            </w:r>
          </w:p>
        </w:tc>
        <w:tc>
          <w:tcPr>
            <w:tcW w:w="0" w:type="auto"/>
          </w:tcPr>
          <w:p>
            <w:pPr>
              <w:spacing w:line="240" w:lineRule="auto" w:before="0" w:after="0"/>
              <w:pStyle w:val="Compact"/>
            </w:pPr>
            <w:r>
              <w:rPr>
                <w:sz w:val="20"/>
                <w:szCs w:val="20"/>
              </w:rPr>
              <w:t xml:space="preserve">-0.3189</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-0.1351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-2.3999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0.0269</w:t>
            </w:r>
          </w:p>
        </w:tc>
        <w:tc>
          <w:tcPr>
            <w:tcW w:w="0" w:type="auto"/>
          </w:tcPr>
          <w:p>
            <w:pPr>
              <w:spacing w:line="240" w:lineRule="auto" w:before="0" w:after="0"/>
              <w:pStyle w:val="Compact"/>
            </w:pPr>
            <w:r>
              <w:rPr>
                <w:sz w:val="20"/>
                <w:szCs w:val="20"/>
              </w:rPr>
              <w:t xml:space="preserve">0.6287</w:t>
            </w:r>
          </w:p>
        </w:tc>
        <w:tc>
          <w:tcPr>
            <w:tcW w:w="0" w:type="auto"/>
          </w:tcPr>
          <w:p>
            <w:pPr>
              <w:spacing w:line="240" w:lineRule="auto" w:before="0" w:after="0"/>
              <w:pStyle w:val="Compact"/>
            </w:pPr>
            <w:r>
              <w:rPr>
                <w:sz w:val="20"/>
                <w:szCs w:val="20"/>
              </w:rPr>
              <w:t xml:space="preserve">-0.3002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-0.262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-2.3594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0.5264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0.0171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-3.345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0.2302</w:t>
            </w:r>
          </w:p>
        </w:tc>
        <w:tc>
          <w:tcPr>
            <w:tcW w:w="0" w:type="auto"/>
          </w:tcPr>
          <w:p>
            <w:pPr>
              <w:spacing w:line="240" w:lineRule="auto" w:before="0" w:after="0"/>
              <w:pStyle w:val="Compact"/>
            </w:pPr>
            <w:r>
              <w:rPr>
                <w:sz w:val="20"/>
                <w:szCs w:val="20"/>
              </w:rPr>
              <w:t xml:space="preserve">0.4894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-0.4617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-2.8903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-0.6013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-3.1483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-0.0866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-0.4594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-3.1539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-0.5177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-3.0903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-0.5076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-3.0728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-0.4012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-2.9526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-0.3549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-0.9091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-0.3541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-1.6002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-0.4608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-2.5583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-0.0427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-0.5441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-0.339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-2.7675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-0.2603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-2.8073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-0.4251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-3.1196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-0.2004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-2.7729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-0.1817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-2.7469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0.0972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-0.1221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-2.6736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0.1742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-0.7314</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-2.9275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-0.4347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-0.2946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-2.5594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-0.4084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-2.5058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-0.0024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-3.3646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0.3025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-0.9268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-3.3554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-0.1905</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-0.7175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-3.2645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1.2191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-0.5554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-3.2499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0.1063</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-0.5706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-3.1431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0.0814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-0.6977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-3.2629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-0.6458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-3.1972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0.0193</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-1.5882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-0.6328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-2.8289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-0.5507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-2.8155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0.0719</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-0.9002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-0.5631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-2.6605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0.0541</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-0.7928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-4.155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-0.1191</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-0.7334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-0.6518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-3.1988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-0.9841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-3.6786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-0.4483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-0.8997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-3.4723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-0.9558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-0.434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-0.5192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-3.0706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-0.153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-2.3491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0.3866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8.4909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-0.1262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-2.391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0.3706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9.7998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0.0271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-2.0703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0.5184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-0.3983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-3.7605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0.1495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13.5943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-0.6475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-3.0761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-0.643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0.1204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-0.5044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-3.1989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0.2069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-0.6054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-3.1779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-0.715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-0.9787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-3.5301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-0.8291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-3.0252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-0.1139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-0.6762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-2.9411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-0.0039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-0.6724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-2.7699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-0.0056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-0.8785</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-4.2406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-0.1551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-0.5919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-3.0205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-0.5225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-3.0695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-0.443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-3.1375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-0.4623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-3.0349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-0.4681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-3.0333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0.8098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-0.3728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-2.9242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-0.3273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-2.5234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-0.501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-2.7658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-0.3654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-2.4628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0.0632</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-6.4348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-0.713</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-0.2278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5.0943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-0.6627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-3.0913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-0.7686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-3.3156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-0.5163</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-3.2108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-0.6134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-3.186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-0.5823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-3.1475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-0.6416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-0.0543</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-0.4881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-2.6841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0.0996</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-0.4088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-2.6736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-0.5214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-2.6188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-0.6717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-4.0339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3.5943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-0.4265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-2.8551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-0.559</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-3.106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-0.3509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-3.0454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0.0598</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-0.5004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-3.073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-0.0993</w:t>
            </w:r>
          </w:p>
        </w:tc>
        <w:tc>
          <w:tcPr>
            <w:tcW w:w="0" w:type="auto"/>
          </w:tcPr>
          <w:p>
            <w:pPr>
              <w:spacing w:line="240" w:lineRule="auto" w:before="0" w:after="0"/>
              <w:pStyle w:val="Compact"/>
            </w:pPr>
            <w:r>
              <w:rPr>
                <w:sz w:val="20"/>
                <w:szCs w:val="20"/>
              </w:rPr>
              <w:t xml:space="preserve">-0.1038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-0.3411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-2.9063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0.0557</w:t>
            </w:r>
          </w:p>
        </w:tc>
        <w:tc>
          <w:tcPr>
            <w:tcW w:w="0" w:type="auto"/>
          </w:tcPr>
          <w:p>
            <w:pPr>
              <w:spacing w:line="240" w:lineRule="auto" w:before="0" w:after="0"/>
              <w:pStyle w:val="Compact"/>
            </w:pPr>
            <w:r>
              <w:rPr>
                <w:sz w:val="20"/>
                <w:szCs w:val="20"/>
              </w:rPr>
              <w:t xml:space="preserve">-0.1454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-0.3356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-2.8871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0.0786</w:t>
            </w:r>
          </w:p>
        </w:tc>
        <w:tc>
          <w:tcPr>
            <w:tcW w:w="0" w:type="auto"/>
          </w:tcPr>
          <w:p>
            <w:pPr>
              <w:spacing w:line="240" w:lineRule="auto" w:before="0" w:after="0"/>
              <w:pStyle w:val="Compact"/>
            </w:pPr>
            <w:r>
              <w:rPr>
                <w:sz w:val="20"/>
                <w:szCs w:val="20"/>
              </w:rPr>
              <w:t xml:space="preserve">-0.1715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-0.4026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-2.5987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0.012</w:t>
            </w:r>
          </w:p>
        </w:tc>
        <w:tc>
          <w:tcPr>
            <w:tcW w:w="0" w:type="auto"/>
          </w:tcPr>
          <w:p>
            <w:pPr>
              <w:spacing w:line="240" w:lineRule="auto" w:before="0" w:after="0"/>
              <w:pStyle w:val="Compact"/>
            </w:pPr>
            <w:r>
              <w:rPr>
                <w:sz w:val="20"/>
                <w:szCs w:val="20"/>
              </w:rPr>
              <w:t xml:space="preserve">-0.2189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-0.356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-2.6208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-0.2713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-0.3146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0.0517</w:t>
            </w:r>
          </w:p>
        </w:tc>
        <w:tc>
          <w:tcPr>
            <w:tcW w:w="0" w:type="auto"/>
          </w:tcPr>
          <w:p>
            <w:pPr>
              <w:spacing w:line="240" w:lineRule="auto" w:before="0" w:after="0"/>
              <w:pStyle w:val="Compact"/>
            </w:pPr>
            <w:r>
              <w:rPr>
                <w:sz w:val="20"/>
                <w:szCs w:val="20"/>
              </w:rPr>
              <w:t xml:space="preserve">0.6264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-0.5574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-3.9195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-0.1345</w:t>
            </w:r>
          </w:p>
        </w:tc>
        <w:tc>
          <w:tcPr>
            <w:tcW w:w="0" w:type="auto"/>
          </w:tcPr>
          <w:p>
            <w:pPr>
              <w:spacing w:line="240" w:lineRule="auto" w:before="0" w:after="0"/>
              <w:pStyle w:val="Compact"/>
            </w:pPr>
            <w:r>
              <w:rPr>
                <w:sz w:val="20"/>
                <w:szCs w:val="20"/>
              </w:rPr>
              <w:t xml:space="preserve">0.5894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-0.8104</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-3.239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0.1476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-0.993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-0.0576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-1.2629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-3.9575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-0.3796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-1.1978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-3.7704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-1.0416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-3.6068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-1.1679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-3.7193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-0.2811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-0.5641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-2.7602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0.3231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-0.5314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-2.7963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0.3129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-0.5812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-2.6786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0.2577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-4.3348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-0.7197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-4.0819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-0.9338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-3.3623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-1.0971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-3.6441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-0.1499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-1.0311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-3.7257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-0.9397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-3.5123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-0.9777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-3.543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-0.0966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1.7098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-0.8755</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-3.4269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0.5118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-0.9233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-3.1194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0.8909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-0.6134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-2.8782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0.2427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-0.8009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-2.8984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0.0497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-5.5348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-0.7954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-4.1575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-1.0292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-3.4577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-0.1152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-3.8757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-1.0295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-3.5765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-0.925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-3.6195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-0.0857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2.3066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-0.8377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-3.4102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-0.8211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-3.3863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-0.7138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-3.2653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-0.928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-3.124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-0.0848</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-1.8091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-0.628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-2.8928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0.4998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-0.6488</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-2.7462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-5.2348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-0.8684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-4.2305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-0.6792</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-3.1077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0.0481</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-2.2757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-0.7127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-3.2597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-1.7809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-0.6677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-3.3622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-0.0152</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0.9066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-0.6733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-3.2459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-0.0304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-0.6899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-3.2551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-0.0513</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-0.6258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-3.1772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0.0302</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0.4118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-0.5963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-2.7924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0.0601</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0.7909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-0.6118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-2.8766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1.0998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-0.6044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-2.7018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0.0037</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-5.6348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-0.7012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-4.0634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-0.0366</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4.8943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-0.6165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-3.045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-0.1696</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-0.6576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-3.2046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-0.2334</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-0.324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-3.0185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0.0482</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-0.4252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-2.9978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-0.0627</w:t>
            </w:r>
          </w:p>
        </w:tc>
        <w:tc>
          <w:tcPr>
            <w:tcW w:w="0" w:type="auto"/>
          </w:tcPr>
          <w:p>
            <w:pPr>
              <w:spacing w:line="240" w:lineRule="auto" w:before="0" w:after="0"/>
              <w:pStyle w:val="Compact"/>
            </w:pPr>
            <w:r>
              <w:rPr>
                <w:sz w:val="20"/>
                <w:szCs w:val="20"/>
              </w:rPr>
              <w:t xml:space="preserve">-0.3038</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-0.3288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-2.8941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0.0293</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-0.3618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-2.9132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0.0138</w:t>
            </w:r>
          </w:p>
        </w:tc>
        <w:tc>
          <w:tcPr>
            <w:tcW w:w="0" w:type="auto"/>
          </w:tcPr>
          <w:p>
            <w:pPr>
              <w:spacing w:line="240" w:lineRule="auto" w:before="0" w:after="0"/>
              <w:pStyle w:val="Compact"/>
            </w:pPr>
            <w:r>
              <w:rPr>
                <w:sz w:val="20"/>
                <w:szCs w:val="20"/>
              </w:rPr>
              <w:t xml:space="preserve">-0.3715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-0.2941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-2.4902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0.0819</w:t>
            </w:r>
          </w:p>
        </w:tc>
        <w:tc>
          <w:tcPr>
            <w:tcW w:w="0" w:type="auto"/>
          </w:tcPr>
          <w:p>
            <w:pPr>
              <w:spacing w:line="240" w:lineRule="auto" w:before="0" w:after="0"/>
              <w:pStyle w:val="Compact"/>
            </w:pPr>
            <w:r>
              <w:rPr>
                <w:sz w:val="20"/>
                <w:szCs w:val="20"/>
              </w:rPr>
              <w:t xml:space="preserve">0.5811</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-0.2798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-2.5446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0.0534</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-2.159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0.2661</w:t>
            </w:r>
          </w:p>
        </w:tc>
        <w:tc>
          <w:tcPr>
            <w:tcW w:w="0" w:type="auto"/>
          </w:tcPr>
          <w:p>
            <w:pPr>
              <w:spacing w:line="240" w:lineRule="auto" w:before="0" w:after="0"/>
              <w:pStyle w:val="Compact"/>
            </w:pPr>
            <w:r>
              <w:rPr>
                <w:sz w:val="20"/>
                <w:szCs w:val="20"/>
              </w:rPr>
              <w:t xml:space="preserve">0.4264</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-0.4089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-3.771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-0.0247</w:t>
            </w:r>
          </w:p>
        </w:tc>
        <w:tc>
          <w:tcPr>
            <w:tcW w:w="0" w:type="auto"/>
          </w:tcPr>
          <w:p>
            <w:pPr>
              <w:spacing w:line="240" w:lineRule="auto" w:before="0" w:after="0"/>
              <w:pStyle w:val="Compact"/>
            </w:pPr>
            <w:r>
              <w:rPr>
                <w:sz w:val="20"/>
                <w:szCs w:val="20"/>
              </w:rPr>
              <w:t xml:space="preserve">0.3894</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-0.8996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-3.3281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-0.8255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-3.3725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-0.8581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-3.5526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-0.6583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-3.2309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0.0984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-0.7667</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-0.0144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-0.7608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-3.3122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-0.6795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0.0907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-0.6882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-2.953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0.0392</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-0.643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-2.7405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-0.9204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-4.2826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-0.6198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-3.0484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-0.8424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-3.3895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-0.3507</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-0.3466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-3.0411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0.0931</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1.6066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-0.439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-3.0116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-0.009</w:t>
            </w:r>
          </w:p>
        </w:tc>
        <w:tc>
          <w:tcPr>
            <w:tcW w:w="0" w:type="auto"/>
          </w:tcPr>
          <w:p>
            <w:pPr>
              <w:spacing w:line="240" w:lineRule="auto" w:before="0" w:after="0"/>
              <w:pStyle w:val="Compact"/>
            </w:pPr>
            <w:r>
              <w:rPr>
                <w:sz w:val="20"/>
                <w:szCs w:val="20"/>
              </w:rPr>
              <w:t xml:space="preserve">-0.0038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-0.4424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-3.0077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-0.3362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-2.8876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0.107</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-0.1966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-2.3926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0.247</w:t>
            </w:r>
          </w:p>
        </w:tc>
        <w:tc>
          <w:tcPr>
            <w:tcW w:w="0" w:type="auto"/>
          </w:tcPr>
          <w:p>
            <w:pPr>
              <w:spacing w:line="240" w:lineRule="auto" w:before="0" w:after="0"/>
              <w:pStyle w:val="Compact"/>
            </w:pPr>
            <w:r>
              <w:rPr>
                <w:sz w:val="20"/>
                <w:szCs w:val="20"/>
              </w:rPr>
              <w:t xml:space="preserve">-0.1189</w:t>
            </w:r>
          </w:p>
        </w:tc>
        <w:tc>
          <w:tcPr>
            <w:tcW w:w="0" w:type="auto"/>
          </w:tcPr>
          <w:p>
            <w:pPr>
              <w:spacing w:line="240" w:lineRule="auto" w:before="0" w:after="0"/>
              <w:pStyle w:val="Compact"/>
            </w:pPr>
            <w:r>
              <w:rPr>
                <w:sz w:val="20"/>
                <w:szCs w:val="20"/>
              </w:rPr>
              <w:t xml:space="preserve">-0.5091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-0.3405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-2.6054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0.0601</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-0.2002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-2.4261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0.0665</w:t>
            </w:r>
          </w:p>
        </w:tc>
        <w:tc>
          <w:tcPr>
            <w:tcW w:w="0" w:type="auto"/>
          </w:tcPr>
          <w:p>
            <w:pPr>
              <w:spacing w:line="240" w:lineRule="auto" w:before="0" w:after="0"/>
              <w:pStyle w:val="Compact"/>
            </w:pPr>
            <w:r>
              <w:rPr>
                <w:sz w:val="20"/>
                <w:szCs w:val="20"/>
              </w:rPr>
              <w:t xml:space="preserve">-0.2736</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-0.5411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-3.9032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-0.0893</w:t>
            </w:r>
          </w:p>
        </w:tc>
        <w:tc>
          <w:tcPr>
            <w:tcW w:w="0" w:type="auto"/>
          </w:tcPr>
          <w:p>
            <w:pPr>
              <w:spacing w:line="240" w:lineRule="auto" w:before="0" w:after="0"/>
              <w:pStyle w:val="Compact"/>
            </w:pPr>
            <w:r>
              <w:rPr>
                <w:sz w:val="20"/>
                <w:szCs w:val="20"/>
              </w:rPr>
              <w:t xml:space="preserve">0.6894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-1.0267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-3.4553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-0.1435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-1.7757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-3.4661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-0.9727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-3.6672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-0.8407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-3.4133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-0.8876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-3.4529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0.1098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-0.8102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-3.3616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0.0018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-2.8903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0.2909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-0.5972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-2.862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0.1723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0.5998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-0.5889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-2.6864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0.1751</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-6.1348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-0.7842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-4.1464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0.0364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4.3943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-0.2935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-2.7221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-0.3798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-2.9268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-0.0248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-0.2959</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-2.9904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-4.4934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-0.3127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-2.8853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-0.3913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-2.9565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-0.1023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-0.3451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-2.8966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8.0118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-0.1699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0.1369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-17.6091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-0.1795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-2.4443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0.0845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0.6998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-2.2255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0.9652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-0.5708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-3.9329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-0.2557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1.2249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-1.2037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0.0985</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-2.5757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1.1937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-1.3533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1.4037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-1.2908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0.2026</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0.6066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1.3799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-1.1927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0.1692</w:t>
            </w:r>
          </w:p>
        </w:tc>
        <w:tc>
          <w:tcPr>
            <w:tcW w:w="0" w:type="auto"/>
          </w:tcPr>
          <w:p>
            <w:pPr>
              <w:spacing w:line="240" w:lineRule="auto" w:before="0" w:after="0"/>
              <w:pStyle w:val="Compact"/>
            </w:pPr>
            <w:r>
              <w:rPr>
                <w:sz w:val="20"/>
                <w:szCs w:val="20"/>
              </w:rPr>
              <w:t xml:space="preserve">-0.5038</w:t>
            </w:r>
          </w:p>
        </w:tc>
        <w:tc>
          <w:tcPr>
            <w:tcW w:w="0" w:type="auto"/>
          </w:tcPr>
          <w:p>
            <w:pPr>
              <w:spacing w:line="240" w:lineRule="auto" w:before="0" w:after="0"/>
              <w:pStyle w:val="Compact"/>
            </w:pPr>
            <w:r>
              <w:rPr>
                <w:sz w:val="20"/>
                <w:szCs w:val="20"/>
              </w:rPr>
              <w:t xml:space="preserve">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1.3339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-1.2314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0.1188</w:t>
            </w:r>
          </w:p>
        </w:tc>
        <w:tc>
          <w:tcPr>
            <w:tcW w:w="0" w:type="auto"/>
          </w:tcPr>
          <w:p>
            <w:pPr>
              <w:spacing w:line="240" w:lineRule="auto" w:before="0" w:after="0"/>
              <w:pStyle w:val="Compact"/>
            </w:pPr>
            <w:r>
              <w:rPr>
                <w:sz w:val="20"/>
                <w:szCs w:val="20"/>
              </w:rPr>
              <w:t xml:space="preserve">0.4546</w:t>
            </w:r>
          </w:p>
        </w:tc>
        <w:tc>
          <w:tcPr>
            <w:tcW w:w="0" w:type="auto"/>
          </w:tcPr>
          <w:p>
            <w:pPr>
              <w:spacing w:line="240" w:lineRule="auto" w:before="0" w:after="0"/>
              <w:pStyle w:val="Compact"/>
            </w:pPr>
            <w:r>
              <w:rPr>
                <w:sz w:val="20"/>
                <w:szCs w:val="20"/>
              </w:rPr>
              <w:t xml:space="preserve">0.3098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1.3526</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-1.1988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0.155</w:t>
            </w:r>
          </w:p>
        </w:tc>
        <w:tc>
          <w:tcPr>
            <w:tcW w:w="0" w:type="auto"/>
          </w:tcPr>
          <w:p>
            <w:pPr>
              <w:spacing w:line="240" w:lineRule="auto" w:before="0" w:after="0"/>
              <w:pStyle w:val="Compact"/>
            </w:pPr>
            <w:r>
              <w:rPr>
                <w:sz w:val="20"/>
                <w:szCs w:val="20"/>
              </w:rPr>
              <w:t xml:space="preserve">0.4285</w:t>
            </w:r>
          </w:p>
        </w:tc>
        <w:tc>
          <w:tcPr>
            <w:tcW w:w="0" w:type="auto"/>
          </w:tcPr>
          <w:p>
            <w:pPr>
              <w:spacing w:line="240" w:lineRule="auto" w:before="0" w:after="0"/>
              <w:pStyle w:val="Compact"/>
            </w:pPr>
            <w:r>
              <w:rPr>
                <w:sz w:val="20"/>
                <w:szCs w:val="20"/>
              </w:rPr>
              <w:t xml:space="preserve">0.1118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1.1498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-1.0463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-0.0474</w:t>
            </w:r>
          </w:p>
        </w:tc>
        <w:tc>
          <w:tcPr>
            <w:tcW w:w="0" w:type="auto"/>
          </w:tcPr>
          <w:p>
            <w:pPr>
              <w:spacing w:line="240" w:lineRule="auto" w:before="0" w:after="0"/>
              <w:pStyle w:val="Compact"/>
            </w:pPr>
            <w:r>
              <w:rPr>
                <w:sz w:val="20"/>
                <w:szCs w:val="20"/>
              </w:rPr>
              <w:t xml:space="preserve">0.3811</w:t>
            </w:r>
          </w:p>
        </w:tc>
        <w:tc>
          <w:tcPr>
            <w:tcW w:w="0" w:type="auto"/>
          </w:tcPr>
          <w:p>
            <w:pPr>
              <w:spacing w:line="240" w:lineRule="auto" w:before="0" w:after="0"/>
              <w:pStyle w:val="Compact"/>
            </w:pPr>
            <w:r>
              <w:rPr>
                <w:sz w:val="20"/>
                <w:szCs w:val="20"/>
              </w:rPr>
              <w:t xml:space="preserve">0.4909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1.0688</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-1.196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-0.1713</w:t>
            </w:r>
          </w:p>
        </w:tc>
        <w:tc>
          <w:tcPr>
            <w:tcW w:w="0" w:type="auto"/>
          </w:tcPr>
          <w:p>
            <w:pPr>
              <w:spacing w:line="240" w:lineRule="auto" w:before="0" w:after="0"/>
              <w:pStyle w:val="Compact"/>
            </w:pPr>
            <w:r>
              <w:rPr>
                <w:sz w:val="20"/>
                <w:szCs w:val="20"/>
              </w:rPr>
              <w:t xml:space="preserve">0.3287</w:t>
            </w:r>
          </w:p>
        </w:tc>
        <w:tc>
          <w:tcPr>
            <w:tcW w:w="0" w:type="auto"/>
          </w:tcPr>
          <w:p>
            <w:pPr>
              <w:spacing w:line="240" w:lineRule="auto" w:before="0" w:after="0"/>
              <w:pStyle w:val="Compact"/>
            </w:pPr>
            <w:r>
              <w:rPr>
                <w:sz w:val="20"/>
                <w:szCs w:val="20"/>
              </w:rPr>
              <w:t xml:space="preserve">0.7998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0.9001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-1.1973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-0.3454</w:t>
            </w:r>
          </w:p>
        </w:tc>
        <w:tc>
          <w:tcPr>
            <w:tcW w:w="0" w:type="auto"/>
          </w:tcPr>
          <w:p>
            <w:pPr>
              <w:spacing w:line="240" w:lineRule="auto" w:before="0" w:after="0"/>
              <w:pStyle w:val="Compact"/>
            </w:pPr>
            <w:r>
              <w:rPr>
                <w:sz w:val="20"/>
                <w:szCs w:val="20"/>
              </w:rPr>
              <w:t xml:space="preserve">0.2264</w:t>
            </w:r>
          </w:p>
        </w:tc>
        <w:tc>
          <w:tcPr>
            <w:tcW w:w="0" w:type="auto"/>
          </w:tcPr>
          <w:p>
            <w:pPr>
              <w:spacing w:line="240" w:lineRule="auto" w:before="0" w:after="0"/>
              <w:pStyle w:val="Compact"/>
            </w:pPr>
            <w:r>
              <w:rPr>
                <w:sz w:val="20"/>
                <w:szCs w:val="20"/>
              </w:rPr>
              <w:t xml:space="preserve">-5.9348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0.9666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-2.3955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-0.2224</w:t>
            </w:r>
          </w:p>
        </w:tc>
        <w:tc>
          <w:tcPr>
            <w:tcW w:w="0" w:type="auto"/>
          </w:tcPr>
          <w:p>
            <w:pPr>
              <w:spacing w:line="240" w:lineRule="auto" w:before="0" w:after="0"/>
              <w:pStyle w:val="Compact"/>
            </w:pPr>
            <w:r>
              <w:rPr>
                <w:sz w:val="20"/>
                <w:szCs w:val="20"/>
              </w:rPr>
              <w:t xml:space="preserve">0.1894</w:t>
            </w:r>
          </w:p>
        </w:tc>
        <w:tc>
          <w:tcPr>
            <w:tcW w:w="0" w:type="auto"/>
          </w:tcPr>
          <w:p>
            <w:pPr>
              <w:spacing w:line="240" w:lineRule="auto" w:before="0" w:after="0"/>
              <w:pStyle w:val="Compact"/>
            </w:pPr>
            <w:r>
              <w:rPr>
                <w:sz w:val="20"/>
                <w:szCs w:val="20"/>
              </w:rPr>
              <w:t xml:space="preserve">4.5943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-0.1859</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-2.6145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-0.118</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-0.1858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106</w:t>
            </w:r>
          </w:p>
        </w:tc>
        <w:tc>
          <w:tcPr>
            <w:tcW w:w="0" w:type="auto"/>
          </w:tcPr>
          <w:p>
            <w:pPr>
              <w:spacing w:line="240" w:lineRule="auto" w:before="0" w:after="0"/>
              <w:pStyle w:val="Compact"/>
            </w:pPr>
            <w:r>
              <w:rPr>
                <w:sz w:val="20"/>
                <w:szCs w:val="20"/>
              </w:rPr>
              <w:t xml:space="preserve">0.1227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-2.5718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5.7066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0.1129</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-2.4597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-28.9757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0.2719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-2.2933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6.4098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-0.0448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-2.5963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-0.1612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-11.7882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0.1317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-2.0644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0.0157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5.5909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0.2177</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-2.0471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3.8998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0.356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-1.7415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0.1916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0.1652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0.2979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-3.0643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0.1901</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9.6943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0.6267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-1.8019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0.0195</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0.6537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-1.8933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0.8191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0.7044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-1.9901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0.0225</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1.5066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0.6834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-1.8892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-0.4038</w:t>
            </w:r>
          </w:p>
        </w:tc>
        <w:tc>
          <w:tcPr>
            <w:tcW w:w="0" w:type="auto"/>
          </w:tcPr>
          <w:p>
            <w:pPr>
              <w:spacing w:line="240" w:lineRule="auto" w:before="0" w:after="0"/>
              <w:pStyle w:val="Compact"/>
            </w:pPr>
            <w:r>
              <w:rPr>
                <w:sz w:val="20"/>
                <w:szCs w:val="20"/>
              </w:rPr>
              <w:t xml:space="preserve">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97</w:t>
            </w:r>
          </w:p>
        </w:tc>
        <w:tc>
          <w:tcPr>
            <w:tcW w:w="0" w:type="auto"/>
          </w:tcPr>
          <w:p>
            <w:pPr>
              <w:spacing w:line="240" w:lineRule="auto" w:before="0" w:after="0"/>
              <w:pStyle w:val="Compact"/>
            </w:pPr>
            <w:r>
              <w:rPr>
                <w:sz w:val="20"/>
                <w:szCs w:val="20"/>
              </w:rPr>
              <w:t xml:space="preserve">0.7568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-1.8084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0.061</w:t>
            </w:r>
          </w:p>
        </w:tc>
        <w:tc>
          <w:tcPr>
            <w:tcW w:w="0" w:type="auto"/>
          </w:tcPr>
          <w:p>
            <w:pPr>
              <w:spacing w:line="240" w:lineRule="auto" w:before="0" w:after="0"/>
              <w:pStyle w:val="Compact"/>
            </w:pPr>
            <w:r>
              <w:rPr>
                <w:sz w:val="20"/>
                <w:szCs w:val="20"/>
              </w:rPr>
              <w:t xml:space="preserve">-0.4454</w:t>
            </w:r>
          </w:p>
        </w:tc>
        <w:tc>
          <w:tcPr>
            <w:tcW w:w="0" w:type="auto"/>
          </w:tcPr>
          <w:p>
            <w:pPr>
              <w:spacing w:line="240" w:lineRule="auto" w:before="0" w:after="0"/>
              <w:pStyle w:val="Compact"/>
            </w:pPr>
            <w:r>
              <w:rPr>
                <w:sz w:val="20"/>
                <w:szCs w:val="20"/>
              </w:rPr>
              <w:t xml:space="preserve">0.2098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0.712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-1.8394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0.0336</w:t>
            </w:r>
          </w:p>
        </w:tc>
        <w:tc>
          <w:tcPr>
            <w:tcW w:w="0" w:type="auto"/>
          </w:tcPr>
          <w:p>
            <w:pPr>
              <w:spacing w:line="240" w:lineRule="auto" w:before="0" w:after="0"/>
              <w:pStyle w:val="Compact"/>
            </w:pPr>
            <w:r>
              <w:rPr>
                <w:sz w:val="20"/>
                <w:szCs w:val="20"/>
              </w:rPr>
              <w:t xml:space="preserve">0.5285</w:t>
            </w:r>
          </w:p>
        </w:tc>
        <w:tc>
          <w:tcPr>
            <w:tcW w:w="0" w:type="auto"/>
          </w:tcPr>
          <w:p>
            <w:pPr>
              <w:spacing w:line="240" w:lineRule="auto" w:before="0" w:after="0"/>
              <w:pStyle w:val="Compact"/>
            </w:pPr>
            <w:r>
              <w:rPr>
                <w:sz w:val="20"/>
                <w:szCs w:val="20"/>
              </w:rPr>
              <w:t xml:space="preserve">0.0118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0.7268</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-1.4693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0.0487</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0.3909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0.6606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-1.6043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-0.0603</w:t>
            </w:r>
          </w:p>
        </w:tc>
        <w:tc>
          <w:tcPr>
            <w:tcW w:w="0" w:type="auto"/>
          </w:tcPr>
          <w:p>
            <w:pPr>
              <w:spacing w:line="240" w:lineRule="auto" w:before="0" w:after="0"/>
              <w:pStyle w:val="Compact"/>
            </w:pPr>
            <w:r>
              <w:rPr>
                <w:sz w:val="20"/>
                <w:szCs w:val="20"/>
              </w:rPr>
              <w:t xml:space="preserve">0.4287</w:t>
            </w:r>
          </w:p>
        </w:tc>
        <w:tc>
          <w:tcPr>
            <w:tcW w:w="0" w:type="auto"/>
          </w:tcPr>
          <w:p>
            <w:pPr>
              <w:spacing w:line="240" w:lineRule="auto" w:before="0" w:after="0"/>
              <w:pStyle w:val="Compact"/>
            </w:pPr>
            <w:r>
              <w:rPr>
                <w:sz w:val="20"/>
                <w:szCs w:val="20"/>
              </w:rPr>
              <w:t xml:space="preserve">-0.3002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0.5731</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-1.5244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-0.1533</w:t>
            </w:r>
          </w:p>
        </w:tc>
        <w:tc>
          <w:tcPr>
            <w:tcW w:w="0" w:type="auto"/>
          </w:tcPr>
          <w:p>
            <w:pPr>
              <w:spacing w:line="240" w:lineRule="auto" w:before="0" w:after="0"/>
              <w:pStyle w:val="Compact"/>
            </w:pPr>
            <w:r>
              <w:rPr>
                <w:sz w:val="20"/>
                <w:szCs w:val="20"/>
              </w:rPr>
              <w:t xml:space="preserve">0.3264</w:t>
            </w:r>
          </w:p>
        </w:tc>
        <w:tc>
          <w:tcPr>
            <w:tcW w:w="0" w:type="auto"/>
          </w:tcPr>
          <w:p>
            <w:pPr>
              <w:spacing w:line="240" w:lineRule="auto" w:before="0" w:after="0"/>
              <w:pStyle w:val="Compact"/>
            </w:pPr>
            <w:r>
              <w:rPr>
                <w:sz w:val="20"/>
                <w:szCs w:val="20"/>
              </w:rPr>
              <w:t xml:space="preserve">-6.0348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0.6849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-2.6773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0.0151</w:t>
            </w:r>
          </w:p>
        </w:tc>
        <w:tc>
          <w:tcPr>
            <w:tcW w:w="0" w:type="auto"/>
          </w:tcPr>
          <w:p>
            <w:pPr>
              <w:spacing w:line="240" w:lineRule="auto" w:before="0" w:after="0"/>
              <w:pStyle w:val="Compact"/>
            </w:pPr>
            <w:r>
              <w:rPr>
                <w:sz w:val="20"/>
                <w:szCs w:val="20"/>
              </w:rPr>
              <w:t xml:space="preserve">0.2894</w:t>
            </w:r>
          </w:p>
        </w:tc>
        <w:tc>
          <w:tcPr>
            <w:tcW w:w="0" w:type="auto"/>
          </w:tcPr>
          <w:p>
            <w:pPr>
              <w:spacing w:line="240" w:lineRule="auto" w:before="0" w:after="0"/>
              <w:pStyle w:val="Compact"/>
            </w:pPr>
            <w:r>
              <w:rPr>
                <w:sz w:val="20"/>
                <w:szCs w:val="20"/>
              </w:rPr>
              <w:t xml:space="preserve">4.4943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0.0335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-2.3951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0.1752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-2.6255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0.0406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0.1271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-2.5674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2.2066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0.0228</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-2.5498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0.0802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-0.1411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-2.7063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-10.0902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-0.1328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-2.6843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-0.0624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-4.2882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-0.2097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-2.4058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-0.1389</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-0.0473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-2.3121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-0.0193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0.0714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-2.0261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0.0939</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-0.3348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-0.3519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-3.714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-0.2728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11.1943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-0.3348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-2.7634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10.8243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0.0666</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-2.4804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0.2862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13.3191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0.3316</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-2.363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0.4992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-0.0886</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-2.6612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0.0693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-9.6757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0.0788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-2.4864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0.2324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-12.2902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-0.3242</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-2.8756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-11.4882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-0.2995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-2.4956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-0.1281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-11.1091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-0.3053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-2.5701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-0.1767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1.1998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-0.3175</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-2.4149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-0.1944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5.4652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-0.5196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-3.8818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15.9943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-0.2281</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-2.6567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-0.0296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21.0243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-0.4401</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-0.2642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-20.4809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0.4387</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-2.2558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0.5625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-35.7934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0.017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-2.5556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0.1311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16.5243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-0.0758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0.034</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21.9098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-0.2269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-2.7783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-0.0996</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18.7118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-0.0615</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-2.2576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0.0662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13.0909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0.0106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-2.2542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0.0954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24.3998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-0.0005794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-2.098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0.0787</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18.6652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-0.7082</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-4.0704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-0.5723</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-77.8057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-0.3073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-2.7359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0.0847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-2.4623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0.1563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2.4191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0.1221</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-2.5724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0.1417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4.1066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-0.0403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-2.6129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-11.5757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0.098</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-2.4672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-8.1902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-0.0519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-2.6034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-0.0288</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-26.3882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-0.0232</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-2.2193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0.00021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0.0545</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-2.2103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0.0351</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0.2998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0.0324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-2.0651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0.0075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18.5652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-0.2016</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-3.5637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-0.1699</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10.0943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-0.4163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-2.8449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-0.343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8.6243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-0.4333</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-2.9803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-0.3826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5.1191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0.1065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-2.5881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0.1051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5.8066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-0.1544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-2.727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8.1243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-0.0494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-2.6146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4.5098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-0.2298</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-2.7812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-0.2277</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9.3118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-0.1346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-2.3307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-0.1321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5.6909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0.2903</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-1.9745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-66.0002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0.7172</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-1.3802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0.6714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3.2652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0.2808</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-3.0814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0.2915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15.7943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0.1398</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-2.2888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0.0805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-2.4665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-0.0809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0.1424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-2.5521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0.1155</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-2.4571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0.123</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-2.4423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0.0135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6.3098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0.1403</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-2.4111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0.0484</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7.1118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-0.0816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-2.2777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-0.1733</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-49.5091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0.0616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-2.2032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-0.0728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6.7998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0.0846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-2.0129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-0.0554</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15.0652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0.1121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0.0287</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27.5943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0.1563</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-2.2722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-0.1034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0.3205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-2.2265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14.4191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0.3664</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-2.3281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0.032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-0.8934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0.2672</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-2.3054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-0.0769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0.3939</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-2.1714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0.0455</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0.2219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-2.3296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-0.1091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0.419</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-1.7771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3.9909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0.3466</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-1.9182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-0.0268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0.4044</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-1.6931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0.0255</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28.5652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0.4111</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-2.951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0.0888</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-65.9057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0.7787</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-1.6499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3.1243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0.9022</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-1.6448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0.8378</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-1.8567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0.0125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-3.6934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0.9887</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-1.5839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0.1538</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-6.3757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0.8665</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-1.6987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0.0273</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-7.9902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0.8239</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-1.7276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0.0021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1.8118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0.9891</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-1.207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0.1677</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4.1909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-1.5449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-0.1443</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-7.5002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0.8019</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-1.2955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-0.0678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6.7652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0.507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-2.8552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-0.3062</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11.2943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0.8166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-1.6119</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0.4441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12.9243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0.6864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-1.8606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0.2912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-10.5809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0.2282</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-2.4664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-0.2191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-14.8934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0.1354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-2.4372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-0.3215</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-4.5757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0.1981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-2.3672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-0.2632</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-7.1902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0.3607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-2.1908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-0.0831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-3.3882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0.5706</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-1.6255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0.1271</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-0.0091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0.4282</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-1.8366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12.2998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0.5653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-1.5321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0.0736</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8.5652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0.4467</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-2.9154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7.0943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1.5435</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-0.885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0.2692</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5.4243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1.4647</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-1.0823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0.1677</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1.9191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1.465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-1.2295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0.1159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-5.3934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1.3133</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-1.2593</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-0.0454</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-7.0757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1.216</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-1.3492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-0.1471</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-13.6902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1.6297</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-0.9217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0.2841</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-0.8882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1.2597</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-0.9364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-0.0855</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1.4909</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1.2794</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-0.9854</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-0.1087</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1.7998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1.2453</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-0.8522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-0.1483</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15.0652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1.0374</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-2.3248</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-0.2996</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1.5943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-0.1346</w:t>
            </w:r>
          </w:p>
        </w:tc>
        <w:tc>
          <w:tcPr>
            <w:tcW w:w="0" w:type="auto"/>
          </w:tcPr>
          <w:p>
            <w:pPr>
              <w:spacing w:line="240" w:lineRule="auto" w:before="0" w:after="0"/>
              <w:pStyle w:val="Compact"/>
            </w:pPr>
            <w:r>
              <w:rPr>
                <w:sz w:val="20"/>
                <w:szCs w:val="20"/>
              </w:rPr>
              <w:t xml:space="preserve">2.4286</w:t>
            </w:r>
          </w:p>
        </w:tc>
        <w:tc>
          <w:tcPr>
            <w:tcW w:w="0" w:type="auto"/>
          </w:tcPr>
          <w:p>
            <w:pPr>
              <w:spacing w:line="240" w:lineRule="auto" w:before="0" w:after="0"/>
              <w:pStyle w:val="Compact"/>
            </w:pPr>
            <w:r>
              <w:rPr>
                <w:sz w:val="20"/>
                <w:szCs w:val="20"/>
              </w:rPr>
              <w:t xml:space="preserve">-2.5632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6.2243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-0.0925</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-2.6395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9.7191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103</w:t>
            </w:r>
          </w:p>
        </w:tc>
        <w:tc>
          <w:tcPr>
            <w:tcW w:w="0" w:type="auto"/>
          </w:tcPr>
          <w:p>
            <w:pPr>
              <w:spacing w:line="240" w:lineRule="auto" w:before="0" w:after="0"/>
              <w:pStyle w:val="Compact"/>
            </w:pPr>
            <w:r>
              <w:rPr>
                <w:sz w:val="20"/>
                <w:szCs w:val="20"/>
              </w:rPr>
              <w:t xml:space="preserve">0.0745</w:t>
            </w:r>
          </w:p>
        </w:tc>
        <w:tc>
          <w:tcPr>
            <w:tcW w:w="0" w:type="auto"/>
          </w:tcPr>
          <w:p>
            <w:pPr>
              <w:spacing w:line="240" w:lineRule="auto" w:before="0" w:after="0"/>
              <w:pStyle w:val="Compact"/>
            </w:pPr>
            <w:r>
              <w:rPr>
                <w:sz w:val="20"/>
                <w:szCs w:val="20"/>
              </w:rPr>
              <w:t xml:space="preserve">2.6945</w:t>
            </w:r>
          </w:p>
        </w:tc>
        <w:tc>
          <w:tcPr>
            <w:tcW w:w="0" w:type="auto"/>
          </w:tcPr>
          <w:p>
            <w:pPr>
              <w:spacing w:line="240" w:lineRule="auto" w:before="0" w:after="0"/>
              <w:pStyle w:val="Compact"/>
            </w:pPr>
            <w:r>
              <w:rPr>
                <w:sz w:val="20"/>
                <w:szCs w:val="20"/>
              </w:rPr>
              <w:t xml:space="preserve">-2.62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0.0589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13.4066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0.0204</w:t>
            </w:r>
          </w:p>
        </w:tc>
        <w:tc>
          <w:tcPr>
            <w:tcW w:w="0" w:type="auto"/>
          </w:tcPr>
          <w:p>
            <w:pPr>
              <w:spacing w:line="240" w:lineRule="auto" w:before="0" w:after="0"/>
              <w:pStyle w:val="Compact"/>
            </w:pPr>
            <w:r>
              <w:rPr>
                <w:sz w:val="20"/>
                <w:szCs w:val="20"/>
              </w:rPr>
              <w:t xml:space="preserve">2.5726</w:t>
            </w:r>
          </w:p>
        </w:tc>
        <w:tc>
          <w:tcPr>
            <w:tcW w:w="0" w:type="auto"/>
          </w:tcPr>
          <w:p>
            <w:pPr>
              <w:spacing w:line="240" w:lineRule="auto" w:before="0" w:after="0"/>
              <w:pStyle w:val="Compact"/>
            </w:pPr>
            <w:r>
              <w:rPr>
                <w:sz w:val="20"/>
                <w:szCs w:val="20"/>
              </w:rPr>
              <w:t xml:space="preserve">-2.5522</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-0.0049</w:t>
            </w:r>
          </w:p>
        </w:tc>
        <w:tc>
          <w:tcPr>
            <w:tcW w:w="0" w:type="auto"/>
          </w:tcPr>
          <w:p>
            <w:pPr>
              <w:spacing w:line="240" w:lineRule="auto" w:before="0" w:after="0"/>
              <w:pStyle w:val="Compact"/>
            </w:pPr>
            <w:r>
              <w:rPr>
                <w:sz w:val="20"/>
                <w:szCs w:val="20"/>
              </w:rPr>
              <w:t xml:space="preserve">0.0962</w:t>
            </w:r>
          </w:p>
        </w:tc>
        <w:tc>
          <w:tcPr>
            <w:tcW w:w="0" w:type="auto"/>
          </w:tcPr>
          <w:p>
            <w:pPr>
              <w:spacing w:line="240" w:lineRule="auto" w:before="0" w:after="0"/>
              <w:pStyle w:val="Compact"/>
            </w:pPr>
            <w:r>
              <w:rPr>
                <w:sz w:val="20"/>
                <w:szCs w:val="20"/>
              </w:rPr>
              <w:t xml:space="preserve">13.7243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-2.5581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-0.0226</w:t>
            </w:r>
          </w:p>
        </w:tc>
        <w:tc>
          <w:tcPr>
            <w:tcW w:w="0" w:type="auto"/>
          </w:tcPr>
          <w:p>
            <w:pPr>
              <w:spacing w:line="240" w:lineRule="auto" w:before="0" w:after="0"/>
              <w:pStyle w:val="Compact"/>
            </w:pPr>
            <w:r>
              <w:rPr>
                <w:sz w:val="20"/>
                <w:szCs w:val="20"/>
              </w:rPr>
              <w:t xml:space="preserve">0.0546</w:t>
            </w:r>
          </w:p>
        </w:tc>
        <w:tc>
          <w:tcPr>
            <w:tcW w:w="0" w:type="auto"/>
          </w:tcPr>
          <w:p>
            <w:pPr>
              <w:spacing w:line="240" w:lineRule="auto" w:before="0" w:after="0"/>
              <w:pStyle w:val="Compact"/>
            </w:pPr>
            <w:r>
              <w:rPr>
                <w:sz w:val="20"/>
                <w:szCs w:val="20"/>
              </w:rPr>
              <w:t xml:space="preserve">11.1098</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-0.0311</w:t>
            </w:r>
          </w:p>
        </w:tc>
        <w:tc>
          <w:tcPr>
            <w:tcW w:w="0" w:type="auto"/>
          </w:tcPr>
          <w:p>
            <w:pPr>
              <w:spacing w:line="240" w:lineRule="auto" w:before="0" w:after="0"/>
              <w:pStyle w:val="Compact"/>
            </w:pPr>
            <w:r>
              <w:rPr>
                <w:sz w:val="20"/>
                <w:szCs w:val="20"/>
              </w:rPr>
              <w:t xml:space="preserve">2.5514</w:t>
            </w:r>
          </w:p>
        </w:tc>
        <w:tc>
          <w:tcPr>
            <w:tcW w:w="0" w:type="auto"/>
          </w:tcPr>
          <w:p>
            <w:pPr>
              <w:spacing w:line="240" w:lineRule="auto" w:before="0" w:after="0"/>
              <w:pStyle w:val="Compact"/>
            </w:pPr>
            <w:r>
              <w:rPr>
                <w:sz w:val="20"/>
                <w:szCs w:val="20"/>
              </w:rPr>
              <w:t xml:space="preserve">-2.5825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-0.0432</w:t>
            </w:r>
          </w:p>
        </w:tc>
        <w:tc>
          <w:tcPr>
            <w:tcW w:w="0" w:type="auto"/>
          </w:tcPr>
          <w:p>
            <w:pPr>
              <w:spacing w:line="240" w:lineRule="auto" w:before="0" w:after="0"/>
              <w:pStyle w:val="Compact"/>
            </w:pPr>
            <w:r>
              <w:rPr>
                <w:sz w:val="20"/>
                <w:szCs w:val="20"/>
              </w:rPr>
              <w:t xml:space="preserve">0.0285</w:t>
            </w:r>
          </w:p>
        </w:tc>
        <w:tc>
          <w:tcPr>
            <w:tcW w:w="0" w:type="auto"/>
          </w:tcPr>
          <w:p>
            <w:pPr>
              <w:spacing w:line="240" w:lineRule="auto" w:before="0" w:after="0"/>
              <w:pStyle w:val="Compact"/>
            </w:pPr>
            <w:r>
              <w:rPr>
                <w:sz w:val="20"/>
                <w:szCs w:val="20"/>
              </w:rPr>
              <w:t xml:space="preserve">-7.0882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0.033</w:t>
            </w:r>
          </w:p>
        </w:tc>
        <w:tc>
          <w:tcPr>
            <w:tcW w:w="0" w:type="auto"/>
          </w:tcPr>
          <w:p>
            <w:pPr>
              <w:spacing w:line="240" w:lineRule="auto" w:before="0" w:after="0"/>
              <w:pStyle w:val="Compact"/>
            </w:pPr>
            <w:r>
              <w:rPr>
                <w:sz w:val="20"/>
                <w:szCs w:val="20"/>
              </w:rPr>
              <w:t xml:space="preserve">2.1961</w:t>
            </w:r>
          </w:p>
        </w:tc>
        <w:tc>
          <w:tcPr>
            <w:tcW w:w="0" w:type="auto"/>
          </w:tcPr>
          <w:p>
            <w:pPr>
              <w:spacing w:line="240" w:lineRule="auto" w:before="0" w:after="0"/>
              <w:pStyle w:val="Compact"/>
            </w:pPr>
            <w:r>
              <w:rPr>
                <w:sz w:val="20"/>
                <w:szCs w:val="20"/>
              </w:rPr>
              <w:t xml:space="preserve">-2.1631</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0.0212</w:t>
            </w:r>
          </w:p>
        </w:tc>
        <w:tc>
          <w:tcPr>
            <w:tcW w:w="0" w:type="auto"/>
          </w:tcPr>
          <w:p>
            <w:pPr>
              <w:spacing w:line="240" w:lineRule="auto" w:before="0" w:after="0"/>
              <w:pStyle w:val="Compact"/>
            </w:pPr>
            <w:r>
              <w:rPr>
                <w:sz w:val="20"/>
                <w:szCs w:val="20"/>
              </w:rPr>
              <w:t xml:space="preserve">-0.0189</w:t>
            </w:r>
          </w:p>
        </w:tc>
        <w:tc>
          <w:tcPr>
            <w:tcW w:w="0" w:type="auto"/>
          </w:tcPr>
          <w:p>
            <w:pPr>
              <w:spacing w:line="240" w:lineRule="auto" w:before="0" w:after="0"/>
              <w:pStyle w:val="Compact"/>
            </w:pPr>
            <w:r>
              <w:rPr>
                <w:sz w:val="20"/>
                <w:szCs w:val="20"/>
              </w:rPr>
              <w:t xml:space="preserve">-2.7091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0.1201</w:t>
            </w:r>
          </w:p>
        </w:tc>
        <w:tc>
          <w:tcPr>
            <w:tcW w:w="0" w:type="auto"/>
          </w:tcPr>
          <w:p>
            <w:pPr>
              <w:spacing w:line="240" w:lineRule="auto" w:before="0" w:after="0"/>
              <w:pStyle w:val="Compact"/>
            </w:pPr>
            <w:r>
              <w:rPr>
                <w:sz w:val="20"/>
                <w:szCs w:val="20"/>
              </w:rPr>
              <w:t xml:space="preserve">2.2648</w:t>
            </w:r>
          </w:p>
        </w:tc>
        <w:tc>
          <w:tcPr>
            <w:tcW w:w="0" w:type="auto"/>
          </w:tcPr>
          <w:p>
            <w:pPr>
              <w:spacing w:line="240" w:lineRule="auto" w:before="0" w:after="0"/>
              <w:pStyle w:val="Compact"/>
            </w:pPr>
            <w:r>
              <w:rPr>
                <w:sz w:val="20"/>
                <w:szCs w:val="20"/>
              </w:rPr>
              <w:t xml:space="preserve">-2.1447</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0.0654</w:t>
            </w:r>
          </w:p>
        </w:tc>
        <w:tc>
          <w:tcPr>
            <w:tcW w:w="0" w:type="auto"/>
          </w:tcPr>
          <w:p>
            <w:pPr>
              <w:spacing w:line="240" w:lineRule="auto" w:before="0" w:after="0"/>
              <w:pStyle w:val="Compact"/>
            </w:pPr>
            <w:r>
              <w:rPr>
                <w:sz w:val="20"/>
                <w:szCs w:val="20"/>
              </w:rPr>
              <w:t xml:space="preserve">-0.0713</w:t>
            </w:r>
          </w:p>
        </w:tc>
        <w:tc>
          <w:tcPr>
            <w:tcW w:w="0" w:type="auto"/>
          </w:tcPr>
          <w:p>
            <w:pPr>
              <w:spacing w:line="240" w:lineRule="auto" w:before="0" w:after="0"/>
              <w:pStyle w:val="Compact"/>
            </w:pPr>
            <w:r>
              <w:rPr>
                <w:sz w:val="20"/>
                <w:szCs w:val="20"/>
              </w:rPr>
              <w:t xml:space="preserve">-45.4002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0.136</w:t>
            </w:r>
          </w:p>
        </w:tc>
        <w:tc>
          <w:tcPr>
            <w:tcW w:w="0" w:type="auto"/>
          </w:tcPr>
          <w:p>
            <w:pPr>
              <w:spacing w:line="240" w:lineRule="auto" w:before="0" w:after="0"/>
              <w:pStyle w:val="Compact"/>
            </w:pPr>
            <w:r>
              <w:rPr>
                <w:sz w:val="20"/>
                <w:szCs w:val="20"/>
              </w:rPr>
              <w:t xml:space="preserve">2.0975</w:t>
            </w:r>
          </w:p>
        </w:tc>
        <w:tc>
          <w:tcPr>
            <w:tcW w:w="0" w:type="auto"/>
          </w:tcPr>
          <w:p>
            <w:pPr>
              <w:spacing w:line="240" w:lineRule="auto" w:before="0" w:after="0"/>
              <w:pStyle w:val="Compact"/>
            </w:pPr>
            <w:r>
              <w:rPr>
                <w:sz w:val="20"/>
                <w:szCs w:val="20"/>
              </w:rPr>
              <w:t xml:space="preserve">-1.9615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0.0758</w:t>
            </w:r>
          </w:p>
        </w:tc>
        <w:tc>
          <w:tcPr>
            <w:tcW w:w="0" w:type="auto"/>
          </w:tcPr>
          <w:p>
            <w:pPr>
              <w:spacing w:line="240" w:lineRule="auto" w:before="0" w:after="0"/>
              <w:pStyle w:val="Compact"/>
            </w:pPr>
            <w:r>
              <w:rPr>
                <w:sz w:val="20"/>
                <w:szCs w:val="20"/>
              </w:rPr>
              <w:t xml:space="preserve">-0.1736</w:t>
            </w:r>
          </w:p>
        </w:tc>
        <w:tc>
          <w:tcPr>
            <w:tcW w:w="0" w:type="auto"/>
          </w:tcPr>
          <w:p>
            <w:pPr>
              <w:spacing w:line="240" w:lineRule="auto" w:before="0" w:after="0"/>
              <w:pStyle w:val="Compact"/>
            </w:pPr>
            <w:r>
              <w:rPr>
                <w:sz w:val="20"/>
                <w:szCs w:val="20"/>
              </w:rPr>
              <w:t xml:space="preserve">7.8652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129</w:t>
            </w:r>
          </w:p>
        </w:tc>
        <w:tc>
          <w:tcPr>
            <w:tcW w:w="0" w:type="auto"/>
          </w:tcPr>
          <w:p>
            <w:pPr>
              <w:spacing w:line="240" w:lineRule="auto" w:before="0" w:after="0"/>
              <w:pStyle w:val="Compact"/>
            </w:pPr>
            <w:r>
              <w:rPr>
                <w:sz w:val="20"/>
                <w:szCs w:val="20"/>
              </w:rPr>
              <w:t xml:space="preserve">-0.0129</w:t>
            </w:r>
          </w:p>
        </w:tc>
        <w:tc>
          <w:tcPr>
            <w:tcW w:w="0" w:type="auto"/>
          </w:tcPr>
          <w:p>
            <w:pPr>
              <w:spacing w:line="240" w:lineRule="auto" w:before="0" w:after="0"/>
              <w:pStyle w:val="Compact"/>
            </w:pPr>
            <w:r>
              <w:rPr>
                <w:sz w:val="20"/>
                <w:szCs w:val="20"/>
              </w:rPr>
              <w:t xml:space="preserve">3.3621</w:t>
            </w:r>
          </w:p>
        </w:tc>
        <w:tc>
          <w:tcPr>
            <w:tcW w:w="0" w:type="auto"/>
          </w:tcPr>
          <w:p>
            <w:pPr>
              <w:spacing w:line="240" w:lineRule="auto" w:before="0" w:after="0"/>
              <w:pStyle w:val="Compact"/>
            </w:pPr>
            <w:r>
              <w:rPr>
                <w:sz w:val="20"/>
                <w:szCs w:val="20"/>
              </w:rPr>
              <w:t xml:space="preserve">-3.375</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-0.0165</w:t>
            </w:r>
          </w:p>
        </w:tc>
        <w:tc>
          <w:tcPr>
            <w:tcW w:w="0" w:type="auto"/>
          </w:tcPr>
          <w:p>
            <w:pPr>
              <w:spacing w:line="240" w:lineRule="auto" w:before="0" w:after="0"/>
              <w:pStyle w:val="Compact"/>
            </w:pPr>
            <w:r>
              <w:rPr>
                <w:sz w:val="20"/>
                <w:szCs w:val="20"/>
              </w:rPr>
              <w:t xml:space="preserve">-0.2106</w:t>
            </w:r>
          </w:p>
        </w:tc>
        <w:tc>
          <w:tcPr>
            <w:tcW w:w="0" w:type="auto"/>
          </w:tcPr>
          <w:p>
            <w:pPr>
              <w:spacing w:line="240" w:lineRule="auto" w:before="0" w:after="0"/>
              <w:pStyle w:val="Compact"/>
            </w:pPr>
            <w:r>
              <w:rPr>
                <w:sz w:val="20"/>
                <w:szCs w:val="20"/>
              </w:rPr>
              <w:t xml:space="preserve">-6.6057</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bl>
    <w:bookmarkEnd w:id="198"/>
    <w:bookmarkStart w:id="19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alignment_score</w:t>
            </w:r>
          </w:p>
        </w:tc>
        <w:tc>
          <w:tcPr>
            <w:tcW w:w="0" w:type="auto"/>
          </w:tcPr>
          <w:p>
            <w:pPr>
              <w:spacing w:line="240" w:lineRule="auto" w:before="0" w:after="0"/>
              <w:pStyle w:val="Compact"/>
            </w:pPr>
            <w:r>
              <w:rPr>
                <w:sz w:val="20"/>
                <w:szCs w:val="20"/>
              </w:rPr>
              <w:t xml:space="preserve">Negative absolute distance between a state’s annual UNGA final-passage ideal point and the United States annual ideal point.</w:t>
            </w:r>
          </w:p>
        </w:tc>
        <w:tc>
          <w:tcPr>
            <w:tcW w:w="0" w:type="auto"/>
          </w:tcPr>
          <w:p>
            <w:pPr>
              <w:spacing w:line="240" w:lineRule="auto" w:before="0" w:after="0"/>
              <w:pStyle w:val="Compact"/>
            </w:pPr>
            <w:r>
              <w:rPr>
                <w:sz w:val="20"/>
                <w:szCs w:val="20"/>
              </w:rPr>
              <w:t xml:space="preserve">Constructed from Harvard Dataverse Idealpointestimates1946-2025.tab; higher values indicate closer voting position to the United States.</w:t>
            </w:r>
          </w:p>
        </w:tc>
      </w:tr>
      <w:tr>
        <w:tc>
          <w:tcPr>
            <w:tcW w:w="0" w:type="auto"/>
          </w:tcPr>
          <w:p>
            <w:pPr>
              <w:spacing w:line="240" w:lineRule="auto" w:before="0" w:after="0"/>
              <w:pStyle w:val="Compact"/>
            </w:pPr>
            <w:r>
              <w:rPr>
                <w:sz w:val="20"/>
                <w:szCs w:val="20"/>
              </w:rPr>
              <w:t xml:space="preserve">signed_current</w:t>
            </w:r>
          </w:p>
        </w:tc>
        <w:tc>
          <w:tcPr>
            <w:tcW w:w="0" w:type="auto"/>
          </w:tcPr>
          <w:p>
            <w:pPr>
              <w:spacing w:line="240" w:lineRule="auto" w:before="0" w:after="0"/>
              <w:pStyle w:val="Compact"/>
            </w:pPr>
            <w:r>
              <w:rPr>
                <w:sz w:val="20"/>
                <w:szCs w:val="20"/>
              </w:rPr>
              <w:t xml:space="preserve">Indicator equal to one in country-years at or after the NASA-listed Artemis Accords signature year, through 2025.</w:t>
            </w:r>
          </w:p>
        </w:tc>
        <w:tc>
          <w:tcPr>
            <w:tcW w:w="0" w:type="auto"/>
          </w:tcPr>
          <w:p>
            <w:pPr>
              <w:spacing w:line="240" w:lineRule="auto" w:before="0" w:after="0"/>
              <w:pStyle w:val="Compact"/>
            </w:pPr>
            <w:r>
              <w:rPr>
                <w:sz w:val="20"/>
                <w:szCs w:val="20"/>
              </w:rPr>
              <w:t xml:space="preserve">Constructed from NASA List of the Signatories by Date PDF.</w:t>
            </w:r>
          </w:p>
        </w:tc>
      </w:tr>
      <w:tr>
        <w:tc>
          <w:tcPr>
            <w:tcW w:w="0" w:type="auto"/>
          </w:tcPr>
          <w:p>
            <w:pPr>
              <w:spacing w:line="240" w:lineRule="auto" w:before="0" w:after="0"/>
              <w:pStyle w:val="Compact"/>
            </w:pPr>
            <w:r>
              <w:rPr>
                <w:sz w:val="20"/>
                <w:szCs w:val="20"/>
              </w:rPr>
              <w:t xml:space="preserve">alignment_twfe_residual</w:t>
            </w:r>
          </w:p>
        </w:tc>
        <w:tc>
          <w:tcPr>
            <w:tcW w:w="0" w:type="auto"/>
          </w:tcPr>
          <w:p>
            <w:pPr>
              <w:spacing w:line="240" w:lineRule="auto" w:before="0" w:after="0"/>
              <w:pStyle w:val="Compact"/>
            </w:pPr>
            <w:r>
              <w:rPr>
                <w:sz w:val="20"/>
                <w:szCs w:val="20"/>
              </w:rPr>
              <w:t xml:space="preserve">Outcome residual after subtracting country means and year means and adding the grand mean.</w:t>
            </w:r>
          </w:p>
        </w:tc>
        <w:tc>
          <w:tcPr>
            <w:tcW w:w="0" w:type="auto"/>
          </w:tcPr>
          <w:p>
            <w:pPr>
              <w:spacing w:line="240" w:lineRule="auto" w:before="0" w:after="0"/>
              <w:pStyle w:val="Compact"/>
            </w:pPr>
            <w:r>
              <w:rPr>
                <w:sz w:val="20"/>
                <w:szCs w:val="20"/>
              </w:rPr>
              <w:t xml:space="preserve">Frisch-Waugh-Lovell two-way fixed-effect transformation.</w:t>
            </w:r>
          </w:p>
        </w:tc>
      </w:tr>
      <w:tr>
        <w:tc>
          <w:tcPr>
            <w:tcW w:w="0" w:type="auto"/>
          </w:tcPr>
          <w:p>
            <w:pPr>
              <w:spacing w:line="240" w:lineRule="auto" w:before="0" w:after="0"/>
              <w:pStyle w:val="Compact"/>
            </w:pPr>
            <w:r>
              <w:rPr>
                <w:sz w:val="20"/>
                <w:szCs w:val="20"/>
              </w:rPr>
              <w:t xml:space="preserve">signed_twfe_residual</w:t>
            </w:r>
          </w:p>
        </w:tc>
        <w:tc>
          <w:tcPr>
            <w:tcW w:w="0" w:type="auto"/>
          </w:tcPr>
          <w:p>
            <w:pPr>
              <w:spacing w:line="240" w:lineRule="auto" w:before="0" w:after="0"/>
              <w:pStyle w:val="Compact"/>
            </w:pPr>
            <w:r>
              <w:rPr>
                <w:sz w:val="20"/>
                <w:szCs w:val="20"/>
              </w:rPr>
              <w:t xml:space="preserve">Treatment residual after subtracting country means and year means and adding the grand mean.</w:t>
            </w:r>
          </w:p>
        </w:tc>
        <w:tc>
          <w:tcPr>
            <w:tcW w:w="0" w:type="auto"/>
          </w:tcPr>
          <w:p>
            <w:pPr>
              <w:spacing w:line="240" w:lineRule="auto" w:before="0" w:after="0"/>
              <w:pStyle w:val="Compact"/>
            </w:pPr>
            <w:r>
              <w:rPr>
                <w:sz w:val="20"/>
                <w:szCs w:val="20"/>
              </w:rPr>
              <w:t xml:space="preserve">Frisch-Waugh-Lovell two-way fixed-effect transformation.</w:t>
            </w:r>
          </w:p>
        </w:tc>
      </w:tr>
      <w:tr>
        <w:tc>
          <w:tcPr>
            <w:tcW w:w="0" w:type="auto"/>
          </w:tcPr>
          <w:p>
            <w:pPr>
              <w:spacing w:line="240" w:lineRule="auto" w:before="0" w:after="0"/>
              <w:pStyle w:val="Compact"/>
            </w:pPr>
            <w:r>
              <w:rPr>
                <w:sz w:val="20"/>
                <w:szCs w:val="20"/>
              </w:rPr>
              <w:t xml:space="preserve">nvotes_twfe_residual</w:t>
            </w:r>
          </w:p>
        </w:tc>
        <w:tc>
          <w:tcPr>
            <w:tcW w:w="0" w:type="auto"/>
          </w:tcPr>
          <w:p>
            <w:pPr>
              <w:spacing w:line="240" w:lineRule="auto" w:before="0" w:after="0"/>
              <w:pStyle w:val="Compact"/>
            </w:pPr>
            <w:r>
              <w:rPr>
                <w:sz w:val="20"/>
                <w:szCs w:val="20"/>
              </w:rPr>
              <w:t xml:space="preserve">Residualized annual final-passage vote count.</w:t>
            </w:r>
          </w:p>
        </w:tc>
        <w:tc>
          <w:tcPr>
            <w:tcW w:w="0" w:type="auto"/>
          </w:tcPr>
          <w:p>
            <w:pPr>
              <w:spacing w:line="240" w:lineRule="auto" w:before="0" w:after="0"/>
              <w:pStyle w:val="Compact"/>
            </w:pPr>
            <w:r>
              <w:rPr>
                <w:sz w:val="20"/>
                <w:szCs w:val="20"/>
              </w:rPr>
              <w:t xml:space="preserve">Control for variation in the number of roll calls used in the ideal-point estimate.</w:t>
            </w:r>
          </w:p>
        </w:tc>
      </w:tr>
    </w:tbl>
    <w:bookmarkEnd w:id="199"/>
    <w:bookmarkEnd w:id="200"/>
    <w:bookmarkStart w:id="208" w:name="Xf430a76aed70a28cb62e738635ad02360a474ef"/>
    <w:p>
      <w:pPr>
        <w:pStyle w:val="Heading2"/>
        <w:spacing w:line="480" w:lineRule="auto"/>
      </w:pPr>
      <w:r>
        <w:t xml:space="preserve">A.2 Pre-Accession Alignment and Artemis Accords Signing Risk</w:t>
      </w:r>
    </w:p>
    <w:p>
      <w:pPr>
        <w:pStyle w:val="FirstParagraph"/>
        <w:spacing w:line="480" w:lineRule="auto"/>
      </w:pPr>
      <m:oMathPara>
        <m:oMathParaPr>
          <m:jc m:val="center"/>
        </m:oMathParaPr>
        <m:oMath>
          <m:r>
            <m:rPr>
              <m:sty m:val="p"/>
            </m:rPr>
            <m:t>Pr</m:t>
          </m:r>
          <m:r>
            <m:rPr>
              <m:sty m:val="p"/>
            </m:rPr>
            <m:t>(</m:t>
          </m:r>
          <m:r>
            <m:t>S</m:t>
          </m:r>
          <m:r>
            <m:t>i</m:t>
          </m:r>
          <m:r>
            <m:t>g</m:t>
          </m:r>
          <m:sSub>
            <m:e>
              <m:r>
                <m:t>n</m:t>
              </m:r>
            </m:e>
            <m:sub>
              <m:r>
                <m:t>i</m:t>
              </m:r>
              <m:r>
                <m:t>t</m:t>
              </m:r>
            </m:sub>
          </m:sSub>
          <m:r>
            <m:rPr>
              <m:sty m:val="p"/>
            </m:rPr>
            <m:t>=</m:t>
          </m:r>
          <m:r>
            <m:t>1</m:t>
          </m:r>
          <m:r>
            <m:rPr>
              <m:sty m:val="p"/>
            </m:rPr>
            <m:t>∣</m:t>
          </m:r>
          <m:r>
            <m:t>A</m:t>
          </m:r>
          <m:r>
            <m:t>t</m:t>
          </m:r>
          <m:r>
            <m:t>R</m:t>
          </m:r>
          <m:r>
            <m:t>i</m:t>
          </m:r>
          <m:r>
            <m:t>s</m:t>
          </m:r>
          <m:sSub>
            <m:e>
              <m:r>
                <m:t>k</m:t>
              </m:r>
            </m:e>
            <m:sub>
              <m:r>
                <m:t>i</m:t>
              </m:r>
              <m:r>
                <m:t>t</m:t>
              </m:r>
            </m:sub>
          </m:sSub>
          <m:r>
            <m:rPr>
              <m:sty m:val="p"/>
            </m:rPr>
            <m:t>=</m:t>
          </m:r>
          <m:r>
            <m:t>1</m:t>
          </m:r>
          <m:r>
            <m:rPr>
              <m:sty m:val="p"/>
            </m:rPr>
            <m:t>)</m:t>
          </m:r>
          <m:r>
            <m:rPr>
              <m:sty m:val="p"/>
            </m:rPr>
            <m:t>=</m:t>
          </m:r>
          <m:r>
            <m:rPr>
              <m:sty m:val="p"/>
            </m:rPr>
            <m:t>Λ</m:t>
          </m:r>
          <m:r>
            <m:rPr>
              <m:sty m:val="p"/>
            </m:rPr>
            <m:t>(</m:t>
          </m:r>
          <m:r>
            <m:t>α</m:t>
          </m:r>
          <m:r>
            <m:rPr>
              <m:sty m:val="p"/>
            </m:rPr>
            <m:t>+</m:t>
          </m:r>
          <m:r>
            <m:t>β</m:t>
          </m:r>
          <m:sSub>
            <m:e>
              <m:r>
                <m:t>A</m:t>
              </m:r>
            </m:e>
            <m:sub>
              <m:r>
                <m:t>i</m:t>
              </m:r>
              <m:r>
                <m:rPr>
                  <m:sty m:val="p"/>
                </m:rPr>
                <m:t>,</m:t>
              </m:r>
              <m:r>
                <m:t>t</m:t>
              </m:r>
              <m:r>
                <m:rPr>
                  <m:sty m:val="p"/>
                </m:rPr>
                <m:t>−</m:t>
              </m:r>
              <m:r>
                <m:t>1</m:t>
              </m:r>
            </m:sub>
          </m:sSub>
          <m:r>
            <m:rPr>
              <m:sty m:val="p"/>
            </m:rPr>
            <m:t>+</m:t>
          </m:r>
          <m:r>
            <m:t>δ</m:t>
          </m:r>
          <m:sSub>
            <m:e>
              <m:r>
                <m:t>G</m:t>
              </m:r>
            </m:e>
            <m:sub>
              <m:r>
                <m:t>t</m:t>
              </m:r>
              <m:r>
                <m:rPr>
                  <m:sty m:val="p"/>
                </m:rPr>
                <m:t>−</m:t>
              </m:r>
              <m:r>
                <m:t>1</m:t>
              </m:r>
            </m:sub>
          </m:sSub>
          <m:r>
            <m:rPr>
              <m:sty m:val="p"/>
            </m:rPr>
            <m:t>+</m:t>
          </m:r>
          <m:r>
            <m:t>τ</m:t>
          </m:r>
          <m:r>
            <m:t>t</m:t>
          </m:r>
          <m:r>
            <m:rPr>
              <m:sty m:val="p"/>
            </m:rPr>
            <m:t>)</m:t>
          </m:r>
        </m:oMath>
      </m:oMathPara>
    </w:p>
    <w:bookmarkStart w:id="20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-0.3723</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-0.7452</w:t>
            </w:r>
          </w:p>
        </w:tc>
        <w:tc>
          <w:tcPr>
            <w:tcW w:w="0" w:type="auto"/>
          </w:tcPr>
          <w:p>
            <w:pPr>
              <w:spacing w:line="240" w:lineRule="auto" w:before="0" w:after="0"/>
              <w:pStyle w:val="Compact"/>
            </w:pPr>
            <w:r>
              <w:rPr>
                <w:sz w:val="20"/>
                <w:szCs w:val="20"/>
              </w:rPr>
              <w:t xml:space="preserve">0.4562</w:t>
            </w:r>
          </w:p>
        </w:tc>
        <w:tc>
          <w:tcPr>
            <w:tcW w:w="0" w:type="auto"/>
          </w:tcPr>
          <w:p>
            <w:pPr>
              <w:spacing w:line="240" w:lineRule="auto" w:before="0" w:after="0"/>
              <w:pStyle w:val="Compact"/>
            </w:pPr>
            <w:r>
              <w:rPr>
                <w:sz w:val="20"/>
                <w:szCs w:val="20"/>
              </w:rPr>
              <w:t xml:space="preserve">[-1.3516, 0.6069]</w:t>
            </w:r>
          </w:p>
        </w:tc>
      </w:tr>
      <w:tr>
        <w:tc>
          <w:tcPr>
            <w:tcW w:w="0" w:type="auto"/>
          </w:tcPr>
          <w:p>
            <w:pPr>
              <w:spacing w:line="240" w:lineRule="auto" w:before="0" w:after="0"/>
              <w:pStyle w:val="Compact"/>
            </w:pPr>
            <w:r>
              <w:rPr>
                <w:sz w:val="20"/>
                <w:szCs w:val="20"/>
              </w:rPr>
              <w:t xml:space="preserve">lag_alignment_score</w:t>
            </w:r>
          </w:p>
        </w:tc>
        <w:tc>
          <w:tcPr>
            <w:tcW w:w="0" w:type="auto"/>
          </w:tcPr>
          <w:p>
            <w:pPr>
              <w:spacing w:line="240" w:lineRule="auto" w:before="0" w:after="0"/>
              <w:pStyle w:val="Compact"/>
            </w:pPr>
            <w:r>
              <w:rPr>
                <w:sz w:val="20"/>
                <w:szCs w:val="20"/>
              </w:rPr>
              <w:t xml:space="preserve">1.3759</w:t>
            </w:r>
          </w:p>
        </w:tc>
        <w:tc>
          <w:tcPr>
            <w:tcW w:w="0" w:type="auto"/>
          </w:tcPr>
          <w:p>
            <w:pPr>
              <w:spacing w:line="240" w:lineRule="auto" w:before="0" w:after="0"/>
              <w:pStyle w:val="Compact"/>
            </w:pPr>
            <w:r>
              <w:rPr>
                <w:sz w:val="20"/>
                <w:szCs w:val="20"/>
              </w:rPr>
              <w:t xml:space="preserve">0.1984</w:t>
            </w:r>
          </w:p>
        </w:tc>
        <w:tc>
          <w:tcPr>
            <w:tcW w:w="0" w:type="auto"/>
          </w:tcPr>
          <w:p>
            <w:pPr>
              <w:spacing w:line="240" w:lineRule="auto" w:before="0" w:after="0"/>
              <w:pStyle w:val="Compact"/>
            </w:pPr>
            <w:r>
              <w:rPr>
                <w:sz w:val="20"/>
                <w:szCs w:val="20"/>
              </w:rPr>
              <w:t xml:space="preserve">6.9348</w:t>
            </w:r>
          </w:p>
        </w:tc>
        <w:tc>
          <w:tcPr>
            <w:tcW w:w="0" w:type="auto"/>
          </w:tcPr>
          <w:p>
            <w:pPr>
              <w:spacing w:line="240" w:lineRule="auto" w:before="0" w:after="0"/>
              <w:pStyle w:val="Compact"/>
            </w:pPr>
            <w:r>
              <w:rPr>
                <w:sz w:val="20"/>
                <w:szCs w:val="20"/>
              </w:rPr>
              <w:t xml:space="preserve">4.069e-12</w:t>
            </w:r>
          </w:p>
        </w:tc>
        <w:tc>
          <w:tcPr>
            <w:tcW w:w="0" w:type="auto"/>
          </w:tcPr>
          <w:p>
            <w:pPr>
              <w:spacing w:line="240" w:lineRule="auto" w:before="0" w:after="0"/>
              <w:pStyle w:val="Compact"/>
            </w:pPr>
            <w:r>
              <w:rPr>
                <w:sz w:val="20"/>
                <w:szCs w:val="20"/>
              </w:rPr>
              <w:t xml:space="preserve">[0.987, 1.7647]</w:t>
            </w:r>
          </w:p>
        </w:tc>
      </w:tr>
      <w:tr>
        <w:tc>
          <w:tcPr>
            <w:tcW w:w="0" w:type="auto"/>
          </w:tcPr>
          <w:p>
            <w:pPr>
              <w:spacing w:line="240" w:lineRule="auto" w:before="0" w:after="0"/>
              <w:pStyle w:val="Compact"/>
            </w:pPr>
            <w:r>
              <w:rPr>
                <w:sz w:val="20"/>
                <w:szCs w:val="20"/>
              </w:rPr>
              <w:t xml:space="preserve">global_signatories_prior</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-1.8928</w:t>
            </w:r>
          </w:p>
        </w:tc>
        <w:tc>
          <w:tcPr>
            <w:tcW w:w="0" w:type="auto"/>
          </w:tcPr>
          <w:p>
            <w:pPr>
              <w:spacing w:line="240" w:lineRule="auto" w:before="0" w:after="0"/>
              <w:pStyle w:val="Compact"/>
            </w:pPr>
            <w:r>
              <w:rPr>
                <w:sz w:val="20"/>
                <w:szCs w:val="20"/>
              </w:rPr>
              <w:t xml:space="preserve">0.0584</w:t>
            </w:r>
          </w:p>
        </w:tc>
        <w:tc>
          <w:tcPr>
            <w:tcW w:w="0" w:type="auto"/>
          </w:tcPr>
          <w:p>
            <w:pPr>
              <w:spacing w:line="240" w:lineRule="auto" w:before="0" w:after="0"/>
              <w:pStyle w:val="Compact"/>
            </w:pPr>
            <w:r>
              <w:rPr>
                <w:sz w:val="20"/>
                <w:szCs w:val="20"/>
              </w:rPr>
              <w:t xml:space="preserve">[-0.1541, 0.0027]</w:t>
            </w:r>
          </w:p>
        </w:tc>
      </w:tr>
      <w:tr>
        <w:tc>
          <w:tcPr>
            <w:tcW w:w="0" w:type="auto"/>
          </w:tcPr>
          <w:p>
            <w:pPr>
              <w:spacing w:line="240" w:lineRule="auto" w:before="0" w:after="0"/>
              <w:pStyle w:val="Compact"/>
            </w:pPr>
            <w:r>
              <w:rPr>
                <w:sz w:val="20"/>
                <w:szCs w:val="20"/>
              </w:rPr>
              <w:t xml:space="preserve">year_index</w:t>
            </w:r>
          </w:p>
        </w:tc>
        <w:tc>
          <w:tcPr>
            <w:tcW w:w="0" w:type="auto"/>
          </w:tcPr>
          <w:p>
            <w:pPr>
              <w:spacing w:line="240" w:lineRule="auto" w:before="0" w:after="0"/>
              <w:pStyle w:val="Compact"/>
            </w:pPr>
            <w:r>
              <w:rPr>
                <w:sz w:val="20"/>
                <w:szCs w:val="20"/>
              </w:rPr>
              <w:t xml:space="preserve">0.8811</w:t>
            </w:r>
          </w:p>
        </w:tc>
        <w:tc>
          <w:tcPr>
            <w:tcW w:w="0" w:type="auto"/>
          </w:tcPr>
          <w:p>
            <w:pPr>
              <w:spacing w:line="240" w:lineRule="auto" w:before="0" w:after="0"/>
              <w:pStyle w:val="Compact"/>
            </w:pPr>
            <w:r>
              <w:rPr>
                <w:sz w:val="20"/>
                <w:szCs w:val="20"/>
              </w:rPr>
              <w:t xml:space="preserve">0.399</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0.0272</w:t>
            </w:r>
          </w:p>
        </w:tc>
        <w:tc>
          <w:tcPr>
            <w:tcW w:w="0" w:type="auto"/>
          </w:tcPr>
          <w:p>
            <w:pPr>
              <w:spacing w:line="240" w:lineRule="auto" w:before="0" w:after="0"/>
              <w:pStyle w:val="Compact"/>
            </w:pPr>
            <w:r>
              <w:rPr>
                <w:sz w:val="20"/>
                <w:szCs w:val="20"/>
              </w:rPr>
              <w:t xml:space="preserve">[0.099, 1.6632]</w:t>
            </w:r>
          </w:p>
        </w:tc>
      </w:tr>
    </w:tbl>
    <w:p>
      <w:pPr>
        <w:pStyle w:val="BodyText"/>
        <w:spacing w:line="480" w:lineRule="auto"/>
        <w:ind w:firstLine="720"/>
      </w:pPr>
      <w:r>
        <w:t xml:space="preserve">Fit: N = 1017 pseudo_R2 = 0.14 LL = -191.2985</w:t>
      </w:r>
    </w:p>
    <w:bookmarkEnd w:id="201"/>
    <w:bookmarkStart w:id="20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At-risk signing events by lagged UNGA alignment." title="" id="203" name="Picture"/>
            <a:graphic>
              <a:graphicData uri="http://schemas.openxmlformats.org/drawingml/2006/picture">
                <pic:pic>
                  <pic:nvPicPr>
                    <pic:cNvPr descr="D:/Claude_Code/brain/collegium/candidates/dissertations/INTL_GOVERNANCE_01/research_papers/p2/paper_fig1.png" id="204" name="Picture"/>
                    <pic:cNvPicPr>
                      <a:picLocks noChangeArrowheads="1" noChangeAspect="1"/>
                    </pic:cNvPicPr>
                  </pic:nvPicPr>
                  <pic:blipFill>
                    <a:blip r:embed="rId20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At-risk signing events by lagged UNGA alignment.</w:t>
      </w:r>
    </w:p>
    <w:bookmarkEnd w:id="205"/>
    <w:bookmarkStart w:id="20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iso3c</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lag_alignment_score</w:t>
            </w:r>
          </w:p>
        </w:tc>
        <w:tc>
          <w:tcPr>
            <w:tcW w:w="0" w:type="auto"/>
          </w:tcPr>
          <w:p>
            <w:pPr>
              <w:spacing w:line="240" w:lineRule="auto" w:before="0" w:after="0"/>
              <w:pStyle w:val="Compact"/>
            </w:pPr>
            <w:r>
              <w:rPr>
                <w:sz w:val="20"/>
                <w:szCs w:val="20"/>
              </w:rPr>
              <w:t xml:space="preserve">global_signatories_prior</w:t>
            </w:r>
          </w:p>
        </w:tc>
        <w:tc>
          <w:tcPr>
            <w:tcW w:w="0" w:type="auto"/>
          </w:tcPr>
          <w:p>
            <w:pPr>
              <w:spacing w:line="240" w:lineRule="auto" w:before="0" w:after="0"/>
              <w:pStyle w:val="Compact"/>
            </w:pPr>
            <w:r>
              <w:rPr>
                <w:sz w:val="20"/>
                <w:szCs w:val="20"/>
              </w:rPr>
              <w:t xml:space="preserve">year_index</w:t>
            </w:r>
          </w:p>
        </w:tc>
        <w:tc>
          <w:tcPr>
            <w:tcW w:w="0" w:type="auto"/>
          </w:tcPr>
          <w:p>
            <w:pPr>
              <w:spacing w:line="240" w:lineRule="auto" w:before="0" w:after="0"/>
              <w:pStyle w:val="Compact"/>
            </w:pPr>
            <w:r>
              <w:rPr>
                <w:sz w:val="20"/>
                <w:szCs w:val="20"/>
              </w:rPr>
              <w:t xml:space="preserve">event_this_year</w:t>
            </w:r>
          </w:p>
        </w:tc>
        <w:tc>
          <w:tcPr>
            <w:tcW w:w="0" w:type="auto"/>
          </w:tcPr>
          <w:p>
            <w:pPr>
              <w:spacing w:line="240" w:lineRule="auto" w:before="0" w:after="0"/>
              <w:pStyle w:val="Compact"/>
            </w:pPr>
            <w:r>
              <w:rPr>
                <w:sz w:val="20"/>
                <w:szCs w:val="20"/>
              </w:rPr>
              <w:t xml:space="preserve">sign_year</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CAN</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-1.3384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-2.8819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-2.8228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-2.9467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-2.4662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-2.379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BHS</w:t>
            </w:r>
          </w:p>
        </w:tc>
        <w:tc>
          <w:tcPr>
            <w:tcW w:w="0" w:type="auto"/>
          </w:tcPr>
          <w:p>
            <w:pPr>
              <w:spacing w:line="240" w:lineRule="auto" w:before="0" w:after="0"/>
              <w:pStyle w:val="Compact"/>
            </w:pPr>
            <w:r>
              <w:rPr>
                <w:sz w:val="20"/>
                <w:szCs w:val="20"/>
              </w:rPr>
              <w:t xml:space="preserve">Bahamas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-2.1869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-4.1423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-4.2066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-4.2369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-3.5482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-3.312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CUB</w:t>
            </w:r>
          </w:p>
        </w:tc>
        <w:tc>
          <w:tcPr>
            <w:tcW w:w="0" w:type="auto"/>
          </w:tcPr>
          <w:p>
            <w:pPr>
              <w:spacing w:line="240" w:lineRule="auto" w:before="0" w:after="0"/>
              <w:pStyle w:val="Compact"/>
            </w:pPr>
            <w:r>
              <w:rPr>
                <w:sz w:val="20"/>
                <w:szCs w:val="20"/>
              </w:rPr>
              <w:t xml:space="preserve">Cuba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-3.3909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-2.3446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-2.4355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-2.6096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-2.3371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-2.4479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HTI</w:t>
            </w:r>
          </w:p>
        </w:tc>
        <w:tc>
          <w:tcPr>
            <w:tcW w:w="0" w:type="auto"/>
          </w:tcPr>
          <w:p>
            <w:pPr>
              <w:spacing w:line="240" w:lineRule="auto" w:before="0" w:after="0"/>
              <w:pStyle w:val="Compact"/>
            </w:pPr>
            <w:r>
              <w:rPr>
                <w:sz w:val="20"/>
                <w:szCs w:val="20"/>
              </w:rPr>
              <w:t xml:space="preserve">Haiti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-2.3062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-2.8446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-2.9304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-2.7192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-2.2513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DOM</w:t>
            </w:r>
          </w:p>
        </w:tc>
        <w:tc>
          <w:tcPr>
            <w:tcW w:w="0" w:type="auto"/>
          </w:tcPr>
          <w:p>
            <w:pPr>
              <w:spacing w:line="240" w:lineRule="auto" w:before="0" w:after="0"/>
              <w:pStyle w:val="Compact"/>
            </w:pPr>
            <w:r>
              <w:rPr>
                <w:sz w:val="20"/>
                <w:szCs w:val="20"/>
              </w:rPr>
              <w:t xml:space="preserve">Dominican Republic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-2.4006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-2.9744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-2.853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-2.4832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-2.5138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JAM</w:t>
            </w:r>
          </w:p>
        </w:tc>
        <w:tc>
          <w:tcPr>
            <w:tcW w:w="0" w:type="auto"/>
          </w:tcPr>
          <w:p>
            <w:pPr>
              <w:spacing w:line="240" w:lineRule="auto" w:before="0" w:after="0"/>
              <w:pStyle w:val="Compact"/>
            </w:pPr>
            <w:r>
              <w:rPr>
                <w:sz w:val="20"/>
                <w:szCs w:val="20"/>
              </w:rPr>
              <w:t xml:space="preserve">Jamaica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-2.1865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-2.9862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-3.0276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-2.9512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-2.6667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-2.6949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TTO</w:t>
            </w:r>
          </w:p>
        </w:tc>
        <w:tc>
          <w:tcPr>
            <w:tcW w:w="0" w:type="auto"/>
          </w:tcPr>
          <w:p>
            <w:pPr>
              <w:spacing w:line="240" w:lineRule="auto" w:before="0" w:after="0"/>
              <w:pStyle w:val="Compact"/>
            </w:pPr>
            <w:r>
              <w:rPr>
                <w:sz w:val="20"/>
                <w:szCs w:val="20"/>
              </w:rPr>
              <w:t xml:space="preserve">Trinidad &amp; Tobago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-2.4605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-2.8164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-2.8403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-2.8448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-2.5014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BRB</w:t>
            </w:r>
          </w:p>
        </w:tc>
        <w:tc>
          <w:tcPr>
            <w:tcW w:w="0" w:type="auto"/>
          </w:tcPr>
          <w:p>
            <w:pPr>
              <w:spacing w:line="240" w:lineRule="auto" w:before="0" w:after="0"/>
              <w:pStyle w:val="Compact"/>
            </w:pPr>
            <w:r>
              <w:rPr>
                <w:sz w:val="20"/>
                <w:szCs w:val="20"/>
              </w:rPr>
              <w:t xml:space="preserve">Barbados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-2.2682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-3.1841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-3.0579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-2.4954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-2.5665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DMA</w:t>
            </w:r>
          </w:p>
        </w:tc>
        <w:tc>
          <w:tcPr>
            <w:tcW w:w="0" w:type="auto"/>
          </w:tcPr>
          <w:p>
            <w:pPr>
              <w:spacing w:line="240" w:lineRule="auto" w:before="0" w:after="0"/>
              <w:pStyle w:val="Compact"/>
            </w:pPr>
            <w:r>
              <w:rPr>
                <w:sz w:val="20"/>
                <w:szCs w:val="20"/>
              </w:rPr>
              <w:t xml:space="preserve">Dominica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-2.5024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-3.1225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-3.2108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-3.1269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-2.6137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-2.669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GRD</w:t>
            </w:r>
          </w:p>
        </w:tc>
        <w:tc>
          <w:tcPr>
            <w:tcW w:w="0" w:type="auto"/>
          </w:tcPr>
          <w:p>
            <w:pPr>
              <w:spacing w:line="240" w:lineRule="auto" w:before="0" w:after="0"/>
              <w:pStyle w:val="Compact"/>
            </w:pPr>
            <w:r>
              <w:rPr>
                <w:sz w:val="20"/>
                <w:szCs w:val="20"/>
              </w:rPr>
              <w:t xml:space="preserve">Grenada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-2.5647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-2.9852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-3.0088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-2.9844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-2.5301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-2.6885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LCA</w:t>
            </w:r>
          </w:p>
        </w:tc>
        <w:tc>
          <w:tcPr>
            <w:tcW w:w="0" w:type="auto"/>
          </w:tcPr>
          <w:p>
            <w:pPr>
              <w:spacing w:line="240" w:lineRule="auto" w:before="0" w:after="0"/>
              <w:pStyle w:val="Compact"/>
            </w:pPr>
            <w:r>
              <w:rPr>
                <w:sz w:val="20"/>
                <w:szCs w:val="20"/>
              </w:rPr>
              <w:t xml:space="preserve">St. Lucia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-2.5756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-2.9967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-2.5956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-2.6978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VCT</w:t>
            </w:r>
          </w:p>
        </w:tc>
        <w:tc>
          <w:tcPr>
            <w:tcW w:w="0" w:type="auto"/>
          </w:tcPr>
          <w:p>
            <w:pPr>
              <w:spacing w:line="240" w:lineRule="auto" w:before="0" w:after="0"/>
              <w:pStyle w:val="Compact"/>
            </w:pPr>
            <w:r>
              <w:rPr>
                <w:sz w:val="20"/>
                <w:szCs w:val="20"/>
              </w:rPr>
              <w:t xml:space="preserve">St. Vincent &amp; Grenadines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-2.5395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-3.0989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-3.0561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-2.9176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-2.5461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-2.679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ATG</w:t>
            </w:r>
          </w:p>
        </w:tc>
        <w:tc>
          <w:tcPr>
            <w:tcW w:w="0" w:type="auto"/>
          </w:tcPr>
          <w:p>
            <w:pPr>
              <w:spacing w:line="240" w:lineRule="auto" w:before="0" w:after="0"/>
              <w:pStyle w:val="Compact"/>
            </w:pPr>
            <w:r>
              <w:rPr>
                <w:sz w:val="20"/>
                <w:szCs w:val="20"/>
              </w:rPr>
              <w:t xml:space="preserve">Antigua &amp; Barbuda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-2.4866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-2.9772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-2.6355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-2.6512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KNA</w:t>
            </w:r>
          </w:p>
        </w:tc>
        <w:tc>
          <w:tcPr>
            <w:tcW w:w="0" w:type="auto"/>
          </w:tcPr>
          <w:p>
            <w:pPr>
              <w:spacing w:line="240" w:lineRule="auto" w:before="0" w:after="0"/>
              <w:pStyle w:val="Compact"/>
            </w:pPr>
            <w:r>
              <w:rPr>
                <w:sz w:val="20"/>
                <w:szCs w:val="20"/>
              </w:rPr>
              <w:t xml:space="preserve">St. Kitts &amp; Nevis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-2.4332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-2.5733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-2.5691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-2.7746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-2.883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-2.8878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-2.5245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-2.6035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BLZ</w:t>
            </w:r>
          </w:p>
        </w:tc>
        <w:tc>
          <w:tcPr>
            <w:tcW w:w="0" w:type="auto"/>
          </w:tcPr>
          <w:p>
            <w:pPr>
              <w:spacing w:line="240" w:lineRule="auto" w:before="0" w:after="0"/>
              <w:pStyle w:val="Compact"/>
            </w:pPr>
            <w:r>
              <w:rPr>
                <w:sz w:val="20"/>
                <w:szCs w:val="20"/>
              </w:rPr>
              <w:t xml:space="preserve">Belize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-2.3555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-2.4756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-2.4839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-2.5835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-2.0044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-2.1654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GTM</w:t>
            </w:r>
          </w:p>
        </w:tc>
        <w:tc>
          <w:tcPr>
            <w:tcW w:w="0" w:type="auto"/>
          </w:tcPr>
          <w:p>
            <w:pPr>
              <w:spacing w:line="240" w:lineRule="auto" w:before="0" w:after="0"/>
              <w:pStyle w:val="Compact"/>
            </w:pPr>
            <w:r>
              <w:rPr>
                <w:sz w:val="20"/>
                <w:szCs w:val="20"/>
              </w:rPr>
              <w:t xml:space="preserve">Guatemala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-1.9904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-2.4607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-2.5179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-2.5513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-2.272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-2.4782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HND</w:t>
            </w:r>
          </w:p>
        </w:tc>
        <w:tc>
          <w:tcPr>
            <w:tcW w:w="0" w:type="auto"/>
          </w:tcPr>
          <w:p>
            <w:pPr>
              <w:spacing w:line="240" w:lineRule="auto" w:before="0" w:after="0"/>
              <w:pStyle w:val="Compact"/>
            </w:pPr>
            <w:r>
              <w:rPr>
                <w:sz w:val="20"/>
                <w:szCs w:val="20"/>
              </w:rPr>
              <w:t xml:space="preserve">Honduras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-2.2365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-2.9005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-2.9697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-2.7702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-2.5284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SLV</w:t>
            </w:r>
          </w:p>
        </w:tc>
        <w:tc>
          <w:tcPr>
            <w:tcW w:w="0" w:type="auto"/>
          </w:tcPr>
          <w:p>
            <w:pPr>
              <w:spacing w:line="240" w:lineRule="auto" w:before="0" w:after="0"/>
              <w:pStyle w:val="Compact"/>
            </w:pPr>
            <w:r>
              <w:rPr>
                <w:sz w:val="20"/>
                <w:szCs w:val="20"/>
              </w:rPr>
              <w:t xml:space="preserve">El Salvador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-2.3166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-4.0797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-4.1235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-4.2423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-3.649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-3.7114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NIC</w:t>
            </w:r>
          </w:p>
        </w:tc>
        <w:tc>
          <w:tcPr>
            <w:tcW w:w="0" w:type="auto"/>
          </w:tcPr>
          <w:p>
            <w:pPr>
              <w:spacing w:line="240" w:lineRule="auto" w:before="0" w:after="0"/>
              <w:pStyle w:val="Compact"/>
            </w:pPr>
            <w:r>
              <w:rPr>
                <w:sz w:val="20"/>
                <w:szCs w:val="20"/>
              </w:rPr>
              <w:t xml:space="preserve">Nicaragua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-3.6462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-2.6916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-2.6571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-2.6794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-2.2237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-2.3524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CRI</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-2.0467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-2.6365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-2.6344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-2.6638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-2.1148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PAN</w:t>
            </w:r>
          </w:p>
        </w:tc>
        <w:tc>
          <w:tcPr>
            <w:tcW w:w="0" w:type="auto"/>
          </w:tcPr>
          <w:p>
            <w:pPr>
              <w:spacing w:line="240" w:lineRule="auto" w:before="0" w:after="0"/>
              <w:pStyle w:val="Compact"/>
            </w:pPr>
            <w:r>
              <w:rPr>
                <w:sz w:val="20"/>
                <w:szCs w:val="20"/>
              </w:rPr>
              <w:t xml:space="preserve">Panama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-2.2621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-2.5166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-2.537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-2.5794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-4.2227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VEN</w:t>
            </w:r>
          </w:p>
        </w:tc>
        <w:tc>
          <w:tcPr>
            <w:tcW w:w="0" w:type="auto"/>
          </w:tcPr>
          <w:p>
            <w:pPr>
              <w:spacing w:line="240" w:lineRule="auto" w:before="0" w:after="0"/>
              <w:pStyle w:val="Compact"/>
            </w:pPr>
            <w:r>
              <w:rPr>
                <w:sz w:val="20"/>
                <w:szCs w:val="20"/>
              </w:rPr>
              <w:t xml:space="preserve">Venezuela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-4.179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-2.8084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-2.7789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-2.7667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-2.4516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-2.547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GUY</w:t>
            </w:r>
          </w:p>
        </w:tc>
        <w:tc>
          <w:tcPr>
            <w:tcW w:w="0" w:type="auto"/>
          </w:tcPr>
          <w:p>
            <w:pPr>
              <w:spacing w:line="240" w:lineRule="auto" w:before="0" w:after="0"/>
              <w:pStyle w:val="Compact"/>
            </w:pPr>
            <w:r>
              <w:rPr>
                <w:sz w:val="20"/>
                <w:szCs w:val="20"/>
              </w:rPr>
              <w:t xml:space="preserve">Guyana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-2.1604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-3.2541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-3.1316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-3.0476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-2.4359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SUR</w:t>
            </w:r>
          </w:p>
        </w:tc>
        <w:tc>
          <w:tcPr>
            <w:tcW w:w="0" w:type="auto"/>
          </w:tcPr>
          <w:p>
            <w:pPr>
              <w:spacing w:line="240" w:lineRule="auto" w:before="0" w:after="0"/>
              <w:pStyle w:val="Compact"/>
            </w:pPr>
            <w:r>
              <w:rPr>
                <w:sz w:val="20"/>
                <w:szCs w:val="20"/>
              </w:rPr>
              <w:t xml:space="preserve">Suriname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-2.1422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-3.0205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-2.7858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ECU</w:t>
            </w:r>
          </w:p>
        </w:tc>
        <w:tc>
          <w:tcPr>
            <w:tcW w:w="0" w:type="auto"/>
          </w:tcPr>
          <w:p>
            <w:pPr>
              <w:spacing w:line="240" w:lineRule="auto" w:before="0" w:after="0"/>
              <w:pStyle w:val="Compact"/>
            </w:pPr>
            <w:r>
              <w:rPr>
                <w:sz w:val="20"/>
                <w:szCs w:val="20"/>
              </w:rPr>
              <w:t xml:space="preserve">Ecuador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-2.2475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-2.7515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-2.7615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-2.8417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-2.3673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-2.4185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-2.314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BRA</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-2.2893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-3.1363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-3.2564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-3.7341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-3.2059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-3.1572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BOL</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-2.9491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-2.7596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-2.8238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-2.8372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-2.3684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-2.3633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PRY</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-1.7851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-2.7768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-2.7697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-2.7193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-2.1722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CHL</w:t>
            </w:r>
          </w:p>
        </w:tc>
        <w:tc>
          <w:tcPr>
            <w:tcW w:w="0" w:type="auto"/>
          </w:tcPr>
          <w:p>
            <w:pPr>
              <w:spacing w:line="240" w:lineRule="auto" w:before="0" w:after="0"/>
              <w:pStyle w:val="Compact"/>
            </w:pPr>
            <w:r>
              <w:rPr>
                <w:sz w:val="20"/>
                <w:szCs w:val="20"/>
              </w:rPr>
              <w:t xml:space="preserve">Chile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-2.281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-2.6735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-2.6596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-2.6434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ARG</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-2.259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-2.9373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-2.6004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-2.6272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-2.139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URY</w:t>
            </w:r>
          </w:p>
        </w:tc>
        <w:tc>
          <w:tcPr>
            <w:tcW w:w="0" w:type="auto"/>
          </w:tcPr>
          <w:p>
            <w:pPr>
              <w:spacing w:line="240" w:lineRule="auto" w:before="0" w:after="0"/>
              <w:pStyle w:val="Compact"/>
            </w:pPr>
            <w:r>
              <w:rPr>
                <w:sz w:val="20"/>
                <w:szCs w:val="20"/>
              </w:rPr>
              <w:t xml:space="preserve">Uruguay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-2.2432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GBR</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-0.9801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-1.7976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-1.8701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-1.8597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-1.4423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-1.6047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IRL</w:t>
            </w:r>
          </w:p>
        </w:tc>
        <w:tc>
          <w:tcPr>
            <w:tcW w:w="0" w:type="auto"/>
          </w:tcPr>
          <w:p>
            <w:pPr>
              <w:spacing w:line="240" w:lineRule="auto" w:before="0" w:after="0"/>
              <w:pStyle w:val="Compact"/>
            </w:pPr>
            <w:r>
              <w:rPr>
                <w:sz w:val="20"/>
                <w:szCs w:val="20"/>
              </w:rPr>
              <w:t xml:space="preserve">Ireland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-1.4021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-1.4115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-1.4616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NLD</w:t>
            </w:r>
          </w:p>
        </w:tc>
        <w:tc>
          <w:tcPr>
            <w:tcW w:w="0" w:type="auto"/>
          </w:tcPr>
          <w:p>
            <w:pPr>
              <w:spacing w:line="240" w:lineRule="auto" w:before="0" w:after="0"/>
              <w:pStyle w:val="Compact"/>
            </w:pPr>
            <w:r>
              <w:rPr>
                <w:sz w:val="20"/>
                <w:szCs w:val="20"/>
              </w:rPr>
              <w:t xml:space="preserve">Netherlands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-1.1176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-1.5433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-1.4947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-1.5167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-1.2315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BEL</w:t>
            </w:r>
          </w:p>
        </w:tc>
        <w:tc>
          <w:tcPr>
            <w:tcW w:w="0" w:type="auto"/>
          </w:tcPr>
          <w:p>
            <w:pPr>
              <w:spacing w:line="240" w:lineRule="auto" w:before="0" w:after="0"/>
              <w:pStyle w:val="Compact"/>
            </w:pPr>
            <w:r>
              <w:rPr>
                <w:sz w:val="20"/>
                <w:szCs w:val="20"/>
              </w:rPr>
              <w:t xml:space="preserve">Belgium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-1.2972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LUX</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-1.5503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-1.1405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FRA</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-1.0681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-1.4813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-1.4742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-1.2347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-1.2552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MCO</w:t>
            </w:r>
          </w:p>
        </w:tc>
        <w:tc>
          <w:tcPr>
            <w:tcW w:w="0" w:type="auto"/>
          </w:tcPr>
          <w:p>
            <w:pPr>
              <w:spacing w:line="240" w:lineRule="auto" w:before="0" w:after="0"/>
              <w:pStyle w:val="Compact"/>
            </w:pPr>
            <w:r>
              <w:rPr>
                <w:sz w:val="20"/>
                <w:szCs w:val="20"/>
              </w:rPr>
              <w:t xml:space="preserve">Monaco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-1.0321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-1.8494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-1.8126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-1.8876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-1.4291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LIE</w:t>
            </w:r>
          </w:p>
        </w:tc>
        <w:tc>
          <w:tcPr>
            <w:tcW w:w="0" w:type="auto"/>
          </w:tcPr>
          <w:p>
            <w:pPr>
              <w:spacing w:line="240" w:lineRule="auto" w:before="0" w:after="0"/>
              <w:pStyle w:val="Compact"/>
            </w:pPr>
            <w:r>
              <w:rPr>
                <w:sz w:val="20"/>
                <w:szCs w:val="20"/>
              </w:rPr>
              <w:t xml:space="preserve">Liechtenstein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-1.627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-1.8603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-1.8539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-1.8279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-1.4637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CHE</w:t>
            </w:r>
          </w:p>
        </w:tc>
        <w:tc>
          <w:tcPr>
            <w:tcW w:w="0" w:type="auto"/>
          </w:tcPr>
          <w:p>
            <w:pPr>
              <w:spacing w:line="240" w:lineRule="auto" w:before="0" w:after="0"/>
              <w:pStyle w:val="Compact"/>
            </w:pPr>
            <w:r>
              <w:rPr>
                <w:sz w:val="20"/>
                <w:szCs w:val="20"/>
              </w:rPr>
              <w:t xml:space="preserve">Switzerland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-1.6598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-1.5409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-1.6666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-1.6337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ESP</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-1.3099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-1.8138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-1.8839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-1.4297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-1.6043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AND</w:t>
            </w:r>
          </w:p>
        </w:tc>
        <w:tc>
          <w:tcPr>
            <w:tcW w:w="0" w:type="auto"/>
          </w:tcPr>
          <w:p>
            <w:pPr>
              <w:spacing w:line="240" w:lineRule="auto" w:before="0" w:after="0"/>
              <w:pStyle w:val="Compact"/>
            </w:pPr>
            <w:r>
              <w:rPr>
                <w:sz w:val="20"/>
                <w:szCs w:val="20"/>
              </w:rPr>
              <w:t xml:space="preserve">Andorra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-1.3949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-1.5639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-1.6376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-1.5821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-1.273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-1.3127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PRT</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-1.1636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-1.4275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-1.2886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-1.3966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DEU</w:t>
            </w:r>
          </w:p>
        </w:tc>
        <w:tc>
          <w:tcPr>
            <w:tcW w:w="0" w:type="auto"/>
          </w:tcPr>
          <w:p>
            <w:pPr>
              <w:spacing w:line="240" w:lineRule="auto" w:before="0" w:after="0"/>
              <w:pStyle w:val="Compact"/>
            </w:pPr>
            <w:r>
              <w:rPr>
                <w:sz w:val="20"/>
                <w:szCs w:val="20"/>
              </w:rPr>
              <w:t xml:space="preserve">Germany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-1.0234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-1.4208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POL</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-1.3737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-1.7611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-1.7288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-1.7893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-1.2615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AUT</w:t>
            </w:r>
          </w:p>
        </w:tc>
        <w:tc>
          <w:tcPr>
            <w:tcW w:w="0" w:type="auto"/>
          </w:tcPr>
          <w:p>
            <w:pPr>
              <w:spacing w:line="240" w:lineRule="auto" w:before="0" w:after="0"/>
              <w:pStyle w:val="Compact"/>
            </w:pPr>
            <w:r>
              <w:rPr>
                <w:sz w:val="20"/>
                <w:szCs w:val="20"/>
              </w:rPr>
              <w:t xml:space="preserve">Austria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-1.4608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-1.3744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-1.2084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-1.3711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-0.9751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-0.9883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HUN</w:t>
            </w:r>
          </w:p>
        </w:tc>
        <w:tc>
          <w:tcPr>
            <w:tcW w:w="0" w:type="auto"/>
          </w:tcPr>
          <w:p>
            <w:pPr>
              <w:spacing w:line="240" w:lineRule="auto" w:before="0" w:after="0"/>
              <w:pStyle w:val="Compact"/>
            </w:pPr>
            <w:r>
              <w:rPr>
                <w:sz w:val="20"/>
                <w:szCs w:val="20"/>
              </w:rPr>
              <w:t xml:space="preserve">Hungary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-0.867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-1.3683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-1.2234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-1.2665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CZE</w:t>
            </w:r>
          </w:p>
        </w:tc>
        <w:tc>
          <w:tcPr>
            <w:tcW w:w="0" w:type="auto"/>
          </w:tcPr>
          <w:p>
            <w:pPr>
              <w:spacing w:line="240" w:lineRule="auto" w:before="0" w:after="0"/>
              <w:pStyle w:val="Compact"/>
            </w:pPr>
            <w:r>
              <w:rPr>
                <w:sz w:val="20"/>
                <w:szCs w:val="20"/>
              </w:rPr>
              <w:t xml:space="preserve">Czechia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-0.983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-1.4905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-1.3797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-1.0753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SVK</w:t>
            </w:r>
          </w:p>
        </w:tc>
        <w:tc>
          <w:tcPr>
            <w:tcW w:w="0" w:type="auto"/>
          </w:tcPr>
          <w:p>
            <w:pPr>
              <w:spacing w:line="240" w:lineRule="auto" w:before="0" w:after="0"/>
              <w:pStyle w:val="Compact"/>
            </w:pPr>
            <w:r>
              <w:rPr>
                <w:sz w:val="20"/>
                <w:szCs w:val="20"/>
              </w:rPr>
              <w:t xml:space="preserve">Slovakia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-1.1664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ITA</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-1.8108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-1.8624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-1.8751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-1.4047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-1.605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SMR</w:t>
            </w:r>
          </w:p>
        </w:tc>
        <w:tc>
          <w:tcPr>
            <w:tcW w:w="0" w:type="auto"/>
          </w:tcPr>
          <w:p>
            <w:pPr>
              <w:spacing w:line="240" w:lineRule="auto" w:before="0" w:after="0"/>
              <w:pStyle w:val="Compact"/>
            </w:pPr>
            <w:r>
              <w:rPr>
                <w:sz w:val="20"/>
                <w:szCs w:val="20"/>
              </w:rPr>
              <w:t xml:space="preserve">San Marino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-1.4006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-1.9026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-1.856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-1.4947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-1.5996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MLT</w:t>
            </w:r>
          </w:p>
        </w:tc>
        <w:tc>
          <w:tcPr>
            <w:tcW w:w="0" w:type="auto"/>
          </w:tcPr>
          <w:p>
            <w:pPr>
              <w:spacing w:line="240" w:lineRule="auto" w:before="0" w:after="0"/>
              <w:pStyle w:val="Compact"/>
            </w:pPr>
            <w:r>
              <w:rPr>
                <w:sz w:val="20"/>
                <w:szCs w:val="20"/>
              </w:rPr>
              <w:t xml:space="preserve">Malta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-1.3924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-1.4956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-1.4778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-1.4626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-1.1528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-1.2495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ALB</w:t>
            </w:r>
          </w:p>
        </w:tc>
        <w:tc>
          <w:tcPr>
            <w:tcW w:w="0" w:type="auto"/>
          </w:tcPr>
          <w:p>
            <w:pPr>
              <w:spacing w:line="240" w:lineRule="auto" w:before="0" w:after="0"/>
              <w:pStyle w:val="Compact"/>
            </w:pPr>
            <w:r>
              <w:rPr>
                <w:sz w:val="20"/>
                <w:szCs w:val="20"/>
              </w:rPr>
              <w:t xml:space="preserve">Albania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-1.1465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-1.5628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-1.4962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-1.2839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-1.3167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MNE</w:t>
            </w:r>
          </w:p>
        </w:tc>
        <w:tc>
          <w:tcPr>
            <w:tcW w:w="0" w:type="auto"/>
          </w:tcPr>
          <w:p>
            <w:pPr>
              <w:spacing w:line="240" w:lineRule="auto" w:before="0" w:after="0"/>
              <w:pStyle w:val="Compact"/>
            </w:pPr>
            <w:r>
              <w:rPr>
                <w:sz w:val="20"/>
                <w:szCs w:val="20"/>
              </w:rPr>
              <w:t xml:space="preserve">Montenegro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-1.1712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-1.5869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-1.5231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-1.2342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-1.4193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MKD</w:t>
            </w:r>
          </w:p>
        </w:tc>
        <w:tc>
          <w:tcPr>
            <w:tcW w:w="0" w:type="auto"/>
          </w:tcPr>
          <w:p>
            <w:pPr>
              <w:spacing w:line="240" w:lineRule="auto" w:before="0" w:after="0"/>
              <w:pStyle w:val="Compact"/>
            </w:pPr>
            <w:r>
              <w:rPr>
                <w:sz w:val="20"/>
                <w:szCs w:val="20"/>
              </w:rPr>
              <w:t xml:space="preserve">North Macedonia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-1.5581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-1.4005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-1.4031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-1.0639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-1.1189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HRV</w:t>
            </w:r>
          </w:p>
        </w:tc>
        <w:tc>
          <w:tcPr>
            <w:tcW w:w="0" w:type="auto"/>
          </w:tcPr>
          <w:p>
            <w:pPr>
              <w:spacing w:line="240" w:lineRule="auto" w:before="0" w:after="0"/>
              <w:pStyle w:val="Compact"/>
            </w:pPr>
            <w:r>
              <w:rPr>
                <w:sz w:val="20"/>
                <w:szCs w:val="20"/>
              </w:rPr>
              <w:t xml:space="preserve">Croatia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-0.9173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-2.1883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-2.1905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-2.2019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-1.8354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-1.876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YUG</w:t>
            </w:r>
          </w:p>
        </w:tc>
        <w:tc>
          <w:tcPr>
            <w:tcW w:w="0" w:type="auto"/>
          </w:tcPr>
          <w:p>
            <w:pPr>
              <w:spacing w:line="240" w:lineRule="auto" w:before="0" w:after="0"/>
              <w:pStyle w:val="Compact"/>
            </w:pPr>
            <w:r>
              <w:rPr>
                <w:sz w:val="20"/>
                <w:szCs w:val="20"/>
              </w:rPr>
              <w:t xml:space="preserve">Yugoslavia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-1.841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-1.8608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-1.9754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-1.9208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-1.4879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-1.4956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BIH</w:t>
            </w:r>
          </w:p>
        </w:tc>
        <w:tc>
          <w:tcPr>
            <w:tcW w:w="0" w:type="auto"/>
          </w:tcPr>
          <w:p>
            <w:pPr>
              <w:spacing w:line="240" w:lineRule="auto" w:before="0" w:after="0"/>
              <w:pStyle w:val="Compact"/>
            </w:pPr>
            <w:r>
              <w:rPr>
                <w:sz w:val="20"/>
                <w:szCs w:val="20"/>
              </w:rPr>
              <w:t xml:space="preserve">Bosnia &amp; Herzegovina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-1.4428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-1.5948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-1.4203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-1.2962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Slovenia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-1.3281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-1.5901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-1.6821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-1.6501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-1.3081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GRC</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-1.3592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-1.8616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-1.9318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-1.8837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-1.5012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CYP</w:t>
            </w:r>
          </w:p>
        </w:tc>
        <w:tc>
          <w:tcPr>
            <w:tcW w:w="0" w:type="auto"/>
          </w:tcPr>
          <w:p>
            <w:pPr>
              <w:spacing w:line="240" w:lineRule="auto" w:before="0" w:after="0"/>
              <w:pStyle w:val="Compact"/>
            </w:pPr>
            <w:r>
              <w:rPr>
                <w:sz w:val="20"/>
                <w:szCs w:val="20"/>
              </w:rPr>
              <w:t xml:space="preserve">Cyprus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-1.6141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-1.4858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-1.3966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-1.4643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BGR</w:t>
            </w:r>
          </w:p>
        </w:tc>
        <w:tc>
          <w:tcPr>
            <w:tcW w:w="0" w:type="auto"/>
          </w:tcPr>
          <w:p>
            <w:pPr>
              <w:spacing w:line="240" w:lineRule="auto" w:before="0" w:after="0"/>
              <w:pStyle w:val="Compact"/>
            </w:pPr>
            <w:r>
              <w:rPr>
                <w:sz w:val="20"/>
                <w:szCs w:val="20"/>
              </w:rPr>
              <w:t xml:space="preserve">Bulgaria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-1.1489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-1.8637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-1.9139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-1.8551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-1.4103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-1.5729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MDA</w:t>
            </w:r>
          </w:p>
        </w:tc>
        <w:tc>
          <w:tcPr>
            <w:tcW w:w="0" w:type="auto"/>
          </w:tcPr>
          <w:p>
            <w:pPr>
              <w:spacing w:line="240" w:lineRule="auto" w:before="0" w:after="0"/>
              <w:pStyle w:val="Compact"/>
            </w:pPr>
            <w:r>
              <w:rPr>
                <w:sz w:val="20"/>
                <w:szCs w:val="20"/>
              </w:rPr>
              <w:t xml:space="preserve">Moldova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-1.2718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-1.4517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-1.4201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ROU</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-1.4771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-2.5555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-2.5441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-2.5756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-2.9604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-2.5355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-2.9479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-1.3932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-1.3401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-1.3907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-1.1017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EST</w:t>
            </w:r>
          </w:p>
        </w:tc>
        <w:tc>
          <w:tcPr>
            <w:tcW w:w="0" w:type="auto"/>
          </w:tcPr>
          <w:p>
            <w:pPr>
              <w:spacing w:line="240" w:lineRule="auto" w:before="0" w:after="0"/>
              <w:pStyle w:val="Compact"/>
            </w:pPr>
            <w:r>
              <w:rPr>
                <w:sz w:val="20"/>
                <w:szCs w:val="20"/>
              </w:rPr>
              <w:t xml:space="preserve">Estonia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-1.1711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-1.3855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-1.394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-1.1541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-1.2005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LVA</w:t>
            </w:r>
          </w:p>
        </w:tc>
        <w:tc>
          <w:tcPr>
            <w:tcW w:w="0" w:type="auto"/>
          </w:tcPr>
          <w:p>
            <w:pPr>
              <w:spacing w:line="240" w:lineRule="auto" w:before="0" w:after="0"/>
              <w:pStyle w:val="Compact"/>
            </w:pPr>
            <w:r>
              <w:rPr>
                <w:sz w:val="20"/>
                <w:szCs w:val="20"/>
              </w:rPr>
              <w:t xml:space="preserve">Latvia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-0.9784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-1.3397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-1.0767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LTU</w:t>
            </w:r>
          </w:p>
        </w:tc>
        <w:tc>
          <w:tcPr>
            <w:tcW w:w="0" w:type="auto"/>
          </w:tcPr>
          <w:p>
            <w:pPr>
              <w:spacing w:line="240" w:lineRule="auto" w:before="0" w:after="0"/>
              <w:pStyle w:val="Compact"/>
            </w:pPr>
            <w:r>
              <w:rPr>
                <w:sz w:val="20"/>
                <w:szCs w:val="20"/>
              </w:rPr>
              <w:t xml:space="preserve">Lithuania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-1.1008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UKR</w:t>
            </w:r>
          </w:p>
        </w:tc>
        <w:tc>
          <w:tcPr>
            <w:tcW w:w="0" w:type="auto"/>
          </w:tcPr>
          <w:p>
            <w:pPr>
              <w:spacing w:line="240" w:lineRule="auto" w:before="0" w:after="0"/>
              <w:pStyle w:val="Compact"/>
            </w:pPr>
            <w:r>
              <w:rPr>
                <w:sz w:val="20"/>
                <w:szCs w:val="20"/>
              </w:rPr>
              <w:t xml:space="preserve">Ukraine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-1.4183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-2.8696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-2.8922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-3.0274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-3.2398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-2.8908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BLR</w:t>
            </w:r>
          </w:p>
        </w:tc>
        <w:tc>
          <w:tcPr>
            <w:tcW w:w="0" w:type="auto"/>
          </w:tcPr>
          <w:p>
            <w:pPr>
              <w:spacing w:line="240" w:lineRule="auto" w:before="0" w:after="0"/>
              <w:pStyle w:val="Compact"/>
            </w:pPr>
            <w:r>
              <w:rPr>
                <w:sz w:val="20"/>
                <w:szCs w:val="20"/>
              </w:rPr>
              <w:t xml:space="preserve">Belarus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-3.0113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-2.4721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-2.3657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-2.3995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-2.2449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ARM</w:t>
            </w:r>
          </w:p>
        </w:tc>
        <w:tc>
          <w:tcPr>
            <w:tcW w:w="0" w:type="auto"/>
          </w:tcPr>
          <w:p>
            <w:pPr>
              <w:spacing w:line="240" w:lineRule="auto" w:before="0" w:after="0"/>
              <w:pStyle w:val="Compact"/>
            </w:pPr>
            <w:r>
              <w:rPr>
                <w:sz w:val="20"/>
                <w:szCs w:val="20"/>
              </w:rPr>
              <w:t xml:space="preserve">Armenia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-2.1763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-1.6856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-1.6098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-1.7572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-1.3446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-1.4907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GEO</w:t>
            </w:r>
          </w:p>
        </w:tc>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-1.2749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-3.1818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-3.2552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-2.7678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-2.7275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AZE</w:t>
            </w:r>
          </w:p>
        </w:tc>
        <w:tc>
          <w:tcPr>
            <w:tcW w:w="0" w:type="auto"/>
          </w:tcPr>
          <w:p>
            <w:pPr>
              <w:spacing w:line="240" w:lineRule="auto" w:before="0" w:after="0"/>
              <w:pStyle w:val="Compact"/>
            </w:pPr>
            <w:r>
              <w:rPr>
                <w:sz w:val="20"/>
                <w:szCs w:val="20"/>
              </w:rPr>
              <w:t xml:space="preserve">Azerbaijan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-2.5655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-1.6143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-1.6384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-1.2414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-1.2811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FIN</w:t>
            </w:r>
          </w:p>
        </w:tc>
        <w:tc>
          <w:tcPr>
            <w:tcW w:w="0" w:type="auto"/>
          </w:tcPr>
          <w:p>
            <w:pPr>
              <w:spacing w:line="240" w:lineRule="auto" w:before="0" w:after="0"/>
              <w:pStyle w:val="Compact"/>
            </w:pPr>
            <w:r>
              <w:rPr>
                <w:sz w:val="20"/>
                <w:szCs w:val="20"/>
              </w:rPr>
              <w:t xml:space="preserve">Finland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-1.0531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-1.7295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-1.7116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-1.2072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SWE</w:t>
            </w:r>
          </w:p>
        </w:tc>
        <w:tc>
          <w:tcPr>
            <w:tcW w:w="0" w:type="auto"/>
          </w:tcPr>
          <w:p>
            <w:pPr>
              <w:spacing w:line="240" w:lineRule="auto" w:before="0" w:after="0"/>
              <w:pStyle w:val="Compact"/>
            </w:pPr>
            <w:r>
              <w:rPr>
                <w:sz w:val="20"/>
                <w:szCs w:val="20"/>
              </w:rPr>
              <w:t xml:space="preserve">Sweden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-1.2548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-1.6757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-1.7207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-1.5195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-1.3056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-1.4702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NOR</w:t>
            </w:r>
          </w:p>
        </w:tc>
        <w:tc>
          <w:tcPr>
            <w:tcW w:w="0" w:type="auto"/>
          </w:tcPr>
          <w:p>
            <w:pPr>
              <w:spacing w:line="240" w:lineRule="auto" w:before="0" w:after="0"/>
              <w:pStyle w:val="Compact"/>
            </w:pPr>
            <w:r>
              <w:rPr>
                <w:sz w:val="20"/>
                <w:szCs w:val="20"/>
              </w:rPr>
              <w:t xml:space="preserve">Norway</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-1.4322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-1.4773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-1.371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-1.4032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-1.1476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DNK</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-1.2069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-1.6424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-1.6766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-1.5784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ISL</w:t>
            </w:r>
          </w:p>
        </w:tc>
        <w:tc>
          <w:tcPr>
            <w:tcW w:w="0" w:type="auto"/>
          </w:tcPr>
          <w:p>
            <w:pPr>
              <w:spacing w:line="240" w:lineRule="auto" w:before="0" w:after="0"/>
              <w:pStyle w:val="Compact"/>
            </w:pPr>
            <w:r>
              <w:rPr>
                <w:sz w:val="20"/>
                <w:szCs w:val="20"/>
              </w:rPr>
              <w:t xml:space="preserve">Iceland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-1.3107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-2.8572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-2.8588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-3.0272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-2.4546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-2.3776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CPV</w:t>
            </w:r>
          </w:p>
        </w:tc>
        <w:tc>
          <w:tcPr>
            <w:tcW w:w="0" w:type="auto"/>
          </w:tcPr>
          <w:p>
            <w:pPr>
              <w:spacing w:line="240" w:lineRule="auto" w:before="0" w:after="0"/>
              <w:pStyle w:val="Compact"/>
            </w:pPr>
            <w:r>
              <w:rPr>
                <w:sz w:val="20"/>
                <w:szCs w:val="20"/>
              </w:rPr>
              <w:t xml:space="preserve">Cape Verde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-2.1358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-3.0566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-2.9816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-2.5335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-2.4067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STP</w:t>
            </w:r>
          </w:p>
        </w:tc>
        <w:tc>
          <w:tcPr>
            <w:tcW w:w="0" w:type="auto"/>
          </w:tcPr>
          <w:p>
            <w:pPr>
              <w:spacing w:line="240" w:lineRule="auto" w:before="0" w:after="0"/>
              <w:pStyle w:val="Compact"/>
            </w:pPr>
            <w:r>
              <w:rPr>
                <w:sz w:val="20"/>
                <w:szCs w:val="20"/>
              </w:rPr>
              <w:t xml:space="preserve">São Tomé &amp; Príncipe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-2.1705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-3.0246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-3.0993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-2.8142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-2.9515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GNB</w:t>
            </w:r>
          </w:p>
        </w:tc>
        <w:tc>
          <w:tcPr>
            <w:tcW w:w="0" w:type="auto"/>
          </w:tcPr>
          <w:p>
            <w:pPr>
              <w:spacing w:line="240" w:lineRule="auto" w:before="0" w:after="0"/>
              <w:pStyle w:val="Compact"/>
            </w:pPr>
            <w:r>
              <w:rPr>
                <w:sz w:val="20"/>
                <w:szCs w:val="20"/>
              </w:rPr>
              <w:t xml:space="preserve">Guinea-Bissau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-2.7458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-3.1926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-3.3355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-2.969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-2.9933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GNQ</w:t>
            </w:r>
          </w:p>
        </w:tc>
        <w:tc>
          <w:tcPr>
            <w:tcW w:w="0" w:type="auto"/>
          </w:tcPr>
          <w:p>
            <w:pPr>
              <w:spacing w:line="240" w:lineRule="auto" w:before="0" w:after="0"/>
              <w:pStyle w:val="Compact"/>
            </w:pPr>
            <w:r>
              <w:rPr>
                <w:sz w:val="20"/>
                <w:szCs w:val="20"/>
              </w:rPr>
              <w:t xml:space="preserve">Equatorial 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-2.8342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-3.0743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-3.0156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-2.992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-2.6345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GMB</w:t>
            </w:r>
          </w:p>
        </w:tc>
        <w:tc>
          <w:tcPr>
            <w:tcW w:w="0" w:type="auto"/>
          </w:tcPr>
          <w:p>
            <w:pPr>
              <w:spacing w:line="240" w:lineRule="auto" w:before="0" w:after="0"/>
              <w:pStyle w:val="Compact"/>
            </w:pPr>
            <w:r>
              <w:rPr>
                <w:sz w:val="20"/>
                <w:szCs w:val="20"/>
              </w:rPr>
              <w:t xml:space="preserve">Gambia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-2.3678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-2.7881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-2.7252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-3.4027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-3.2285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-2.5652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MLI</w:t>
            </w:r>
          </w:p>
        </w:tc>
        <w:tc>
          <w:tcPr>
            <w:tcW w:w="0" w:type="auto"/>
          </w:tcPr>
          <w:p>
            <w:pPr>
              <w:spacing w:line="240" w:lineRule="auto" w:before="0" w:after="0"/>
              <w:pStyle w:val="Compact"/>
            </w:pPr>
            <w:r>
              <w:rPr>
                <w:sz w:val="20"/>
                <w:szCs w:val="20"/>
              </w:rPr>
              <w:t xml:space="preserve">Mali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-2.9785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-3.1396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-3.0173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-2.7345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-2.8435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SEN</w:t>
            </w:r>
          </w:p>
        </w:tc>
        <w:tc>
          <w:tcPr>
            <w:tcW w:w="0" w:type="auto"/>
          </w:tcPr>
          <w:p>
            <w:pPr>
              <w:spacing w:line="240" w:lineRule="auto" w:before="0" w:after="0"/>
              <w:pStyle w:val="Compact"/>
            </w:pPr>
            <w:r>
              <w:rPr>
                <w:sz w:val="20"/>
                <w:szCs w:val="20"/>
              </w:rPr>
              <w:t xml:space="preserve">Senegal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-2.6741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-3.0722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-2.9548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-3.1048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-2.5161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-2.575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BEN</w:t>
            </w:r>
          </w:p>
        </w:tc>
        <w:tc>
          <w:tcPr>
            <w:tcW w:w="0" w:type="auto"/>
          </w:tcPr>
          <w:p>
            <w:pPr>
              <w:spacing w:line="240" w:lineRule="auto" w:before="0" w:after="0"/>
              <w:pStyle w:val="Compact"/>
            </w:pPr>
            <w:r>
              <w:rPr>
                <w:sz w:val="20"/>
                <w:szCs w:val="20"/>
              </w:rPr>
              <w:t xml:space="preserve">Benin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-2.3101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-3.4433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-3.2884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-3.1938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-2.8546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-3.0131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MRT</w:t>
            </w:r>
          </w:p>
        </w:tc>
        <w:tc>
          <w:tcPr>
            <w:tcW w:w="0" w:type="auto"/>
          </w:tcPr>
          <w:p>
            <w:pPr>
              <w:spacing w:line="240" w:lineRule="auto" w:before="0" w:after="0"/>
              <w:pStyle w:val="Compact"/>
            </w:pPr>
            <w:r>
              <w:rPr>
                <w:sz w:val="20"/>
                <w:szCs w:val="20"/>
              </w:rPr>
              <w:t xml:space="preserve">Mauritania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-2.8013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-3.075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-2.6608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-2.8811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NER</w:t>
            </w:r>
          </w:p>
        </w:tc>
        <w:tc>
          <w:tcPr>
            <w:tcW w:w="0" w:type="auto"/>
          </w:tcPr>
          <w:p>
            <w:pPr>
              <w:spacing w:line="240" w:lineRule="auto" w:before="0" w:after="0"/>
              <w:pStyle w:val="Compact"/>
            </w:pPr>
            <w:r>
              <w:rPr>
                <w:sz w:val="20"/>
                <w:szCs w:val="20"/>
              </w:rPr>
              <w:t xml:space="preserve">Niger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-2.6737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-2.7596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-2.7769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-2.7014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CIV</w:t>
            </w:r>
          </w:p>
        </w:tc>
        <w:tc>
          <w:tcPr>
            <w:tcW w:w="0" w:type="auto"/>
          </w:tcPr>
          <w:p>
            <w:pPr>
              <w:spacing w:line="240" w:lineRule="auto" w:before="0" w:after="0"/>
              <w:pStyle w:val="Compact"/>
            </w:pPr>
            <w:r>
              <w:rPr>
                <w:sz w:val="20"/>
                <w:szCs w:val="20"/>
              </w:rPr>
              <w:t xml:space="preserve">Côte d’Ivoire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-2.3014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-3.3326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-3.0891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-2.6908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-2.6718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GIN</w:t>
            </w:r>
          </w:p>
        </w:tc>
        <w:tc>
          <w:tcPr>
            <w:tcW w:w="0" w:type="auto"/>
          </w:tcPr>
          <w:p>
            <w:pPr>
              <w:spacing w:line="240" w:lineRule="auto" w:before="0" w:after="0"/>
              <w:pStyle w:val="Compact"/>
            </w:pPr>
            <w:r>
              <w:rPr>
                <w:sz w:val="20"/>
                <w:szCs w:val="20"/>
              </w:rPr>
              <w:t xml:space="preserve">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-2.6118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-3.0456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-3.0394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-3.1936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-2.8313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BFA</w:t>
            </w:r>
          </w:p>
        </w:tc>
        <w:tc>
          <w:tcPr>
            <w:tcW w:w="0" w:type="auto"/>
          </w:tcPr>
          <w:p>
            <w:pPr>
              <w:spacing w:line="240" w:lineRule="auto" w:before="0" w:after="0"/>
              <w:pStyle w:val="Compact"/>
            </w:pPr>
            <w:r>
              <w:rPr>
                <w:sz w:val="20"/>
                <w:szCs w:val="20"/>
              </w:rPr>
              <w:t xml:space="preserve">Burkina Faso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-2.6664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-2.2195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-2.3275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-2.2166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-1.2472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-1.8816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LBR</w:t>
            </w:r>
          </w:p>
        </w:tc>
        <w:tc>
          <w:tcPr>
            <w:tcW w:w="0" w:type="auto"/>
          </w:tcPr>
          <w:p>
            <w:pPr>
              <w:spacing w:line="240" w:lineRule="auto" w:before="0" w:after="0"/>
              <w:pStyle w:val="Compact"/>
            </w:pPr>
            <w:r>
              <w:rPr>
                <w:sz w:val="20"/>
                <w:szCs w:val="20"/>
              </w:rPr>
              <w:t xml:space="preserve">Liberia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-1.6962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-3.0958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-3.104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-2.5581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-2.5398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SLE</w:t>
            </w:r>
          </w:p>
        </w:tc>
        <w:tc>
          <w:tcPr>
            <w:tcW w:w="0" w:type="auto"/>
          </w:tcPr>
          <w:p>
            <w:pPr>
              <w:spacing w:line="240" w:lineRule="auto" w:before="0" w:after="0"/>
              <w:pStyle w:val="Compact"/>
            </w:pPr>
            <w:r>
              <w:rPr>
                <w:sz w:val="20"/>
                <w:szCs w:val="20"/>
              </w:rPr>
              <w:t xml:space="preserve">Sierra Leone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-2.2487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-2.9492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-2.5482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-2.6971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GHA</w:t>
            </w:r>
          </w:p>
        </w:tc>
        <w:tc>
          <w:tcPr>
            <w:tcW w:w="0" w:type="auto"/>
          </w:tcPr>
          <w:p>
            <w:pPr>
              <w:spacing w:line="240" w:lineRule="auto" w:before="0" w:after="0"/>
              <w:pStyle w:val="Compact"/>
            </w:pPr>
            <w:r>
              <w:rPr>
                <w:sz w:val="20"/>
                <w:szCs w:val="20"/>
              </w:rPr>
              <w:t xml:space="preserve">Ghana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-2.4679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-2.6145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-2.6201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-2.6515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-2.5777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-2.6275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Togo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-2.5794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-2.5728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-2.5643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-2.6122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-2.381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-2.4615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CMR</w:t>
            </w:r>
          </w:p>
        </w:tc>
        <w:tc>
          <w:tcPr>
            <w:tcW w:w="0" w:type="auto"/>
          </w:tcPr>
          <w:p>
            <w:pPr>
              <w:spacing w:line="240" w:lineRule="auto" w:before="0" w:after="0"/>
              <w:pStyle w:val="Compact"/>
            </w:pPr>
            <w:r>
              <w:rPr>
                <w:sz w:val="20"/>
                <w:szCs w:val="20"/>
              </w:rPr>
              <w:t xml:space="preserve">Cameroon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-2.3273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-3.0151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-2.8675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NGA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-3.0854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-3.2518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-2.7434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-2.8431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-2.7633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GAB</w:t>
            </w:r>
          </w:p>
        </w:tc>
        <w:tc>
          <w:tcPr>
            <w:tcW w:w="0" w:type="auto"/>
          </w:tcPr>
          <w:p>
            <w:pPr>
              <w:spacing w:line="240" w:lineRule="auto" w:before="0" w:after="0"/>
              <w:pStyle w:val="Compact"/>
            </w:pPr>
            <w:r>
              <w:rPr>
                <w:sz w:val="20"/>
                <w:szCs w:val="20"/>
              </w:rPr>
              <w:t xml:space="preserve">Gabon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-2.6476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-2.615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-3.1374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-3.1484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CAF</w:t>
            </w:r>
          </w:p>
        </w:tc>
        <w:tc>
          <w:tcPr>
            <w:tcW w:w="0" w:type="auto"/>
          </w:tcPr>
          <w:p>
            <w:pPr>
              <w:spacing w:line="240" w:lineRule="auto" w:before="0" w:after="0"/>
              <w:pStyle w:val="Compact"/>
            </w:pPr>
            <w:r>
              <w:rPr>
                <w:sz w:val="20"/>
                <w:szCs w:val="20"/>
              </w:rPr>
              <w:t xml:space="preserve">Central African Republic</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-2.5065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-3.1423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-3.1146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-3.1729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-2.4709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-2.752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TCD</w:t>
            </w:r>
          </w:p>
        </w:tc>
        <w:tc>
          <w:tcPr>
            <w:tcW w:w="0" w:type="auto"/>
          </w:tcPr>
          <w:p>
            <w:pPr>
              <w:spacing w:line="240" w:lineRule="auto" w:before="0" w:after="0"/>
              <w:pStyle w:val="Compact"/>
            </w:pPr>
            <w:r>
              <w:rPr>
                <w:sz w:val="20"/>
                <w:szCs w:val="20"/>
              </w:rPr>
              <w:t xml:space="preserve">Chad</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-2.5476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-3.3456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-3.1582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-3.1636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-3.0157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-2.8219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COG</w:t>
            </w:r>
          </w:p>
        </w:tc>
        <w:tc>
          <w:tcPr>
            <w:tcW w:w="0" w:type="auto"/>
          </w:tcPr>
          <w:p>
            <w:pPr>
              <w:spacing w:line="240" w:lineRule="auto" w:before="0" w:after="0"/>
              <w:pStyle w:val="Compact"/>
            </w:pPr>
            <w:r>
              <w:rPr>
                <w:sz w:val="20"/>
                <w:szCs w:val="20"/>
              </w:rPr>
              <w:t xml:space="preserve">Congo - Brazzaville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-2.6999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-2.6653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-2.6396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-2.4524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-2.3283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COD</w:t>
            </w:r>
          </w:p>
        </w:tc>
        <w:tc>
          <w:tcPr>
            <w:tcW w:w="0" w:type="auto"/>
          </w:tcPr>
          <w:p>
            <w:pPr>
              <w:spacing w:line="240" w:lineRule="auto" w:before="0" w:after="0"/>
              <w:pStyle w:val="Compact"/>
            </w:pPr>
            <w:r>
              <w:rPr>
                <w:sz w:val="20"/>
                <w:szCs w:val="20"/>
              </w:rPr>
              <w:t xml:space="preserve">Congo - Kinshasa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-2.1868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-3.3942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-3.337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-3.3666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-2.9813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-2.8367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UGA</w:t>
            </w:r>
          </w:p>
        </w:tc>
        <w:tc>
          <w:tcPr>
            <w:tcW w:w="0" w:type="auto"/>
          </w:tcPr>
          <w:p>
            <w:pPr>
              <w:spacing w:line="240" w:lineRule="auto" w:before="0" w:after="0"/>
              <w:pStyle w:val="Compact"/>
            </w:pPr>
            <w:r>
              <w:rPr>
                <w:sz w:val="20"/>
                <w:szCs w:val="20"/>
              </w:rPr>
              <w:t xml:space="preserve">Uganda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-2.7021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-3.0378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-3.1922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-2.8891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-2.6024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-2.6175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KEN</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-2.4157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-3.2152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-3.1686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-3.033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-2.875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-2.6622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TZA</w:t>
            </w:r>
          </w:p>
        </w:tc>
        <w:tc>
          <w:tcPr>
            <w:tcW w:w="0" w:type="auto"/>
          </w:tcPr>
          <w:p>
            <w:pPr>
              <w:spacing w:line="240" w:lineRule="auto" w:before="0" w:after="0"/>
              <w:pStyle w:val="Compact"/>
            </w:pPr>
            <w:r>
              <w:rPr>
                <w:sz w:val="20"/>
                <w:szCs w:val="20"/>
              </w:rPr>
              <w:t xml:space="preserve">Tanzania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-3.7003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-3.8774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-3.1901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-2.9569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-3.3072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BDI</w:t>
            </w:r>
          </w:p>
        </w:tc>
        <w:tc>
          <w:tcPr>
            <w:tcW w:w="0" w:type="auto"/>
          </w:tcPr>
          <w:p>
            <w:pPr>
              <w:spacing w:line="240" w:lineRule="auto" w:before="0" w:after="0"/>
              <w:pStyle w:val="Compact"/>
            </w:pPr>
            <w:r>
              <w:rPr>
                <w:sz w:val="20"/>
                <w:szCs w:val="20"/>
              </w:rPr>
              <w:t xml:space="preserve">Burundi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-3.2709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-2.7241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-2.7618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RWA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-2.6485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-3.1612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-3.2417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-2.5817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-2.9331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SOM</w:t>
            </w:r>
          </w:p>
        </w:tc>
        <w:tc>
          <w:tcPr>
            <w:tcW w:w="0" w:type="auto"/>
          </w:tcPr>
          <w:p>
            <w:pPr>
              <w:spacing w:line="240" w:lineRule="auto" w:before="0" w:after="0"/>
              <w:pStyle w:val="Compact"/>
            </w:pPr>
            <w:r>
              <w:rPr>
                <w:sz w:val="20"/>
                <w:szCs w:val="20"/>
              </w:rPr>
              <w:t xml:space="preserve">Somalia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-2.7678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-2.9595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-3.1377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-3.1249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-2.7782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-2.8774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DJI</w:t>
            </w:r>
          </w:p>
        </w:tc>
        <w:tc>
          <w:tcPr>
            <w:tcW w:w="0" w:type="auto"/>
          </w:tcPr>
          <w:p>
            <w:pPr>
              <w:spacing w:line="240" w:lineRule="auto" w:before="0" w:after="0"/>
              <w:pStyle w:val="Compact"/>
            </w:pPr>
            <w:r>
              <w:rPr>
                <w:sz w:val="20"/>
                <w:szCs w:val="20"/>
              </w:rPr>
              <w:t xml:space="preserve">Djibouti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-2.6673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-3.0671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-3.3185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-3.2897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-2.6793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ETH</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-2.5972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-3.2465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-3.2196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-3.6454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-3.3082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-3.3327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ERI</w:t>
            </w:r>
          </w:p>
        </w:tc>
        <w:tc>
          <w:tcPr>
            <w:tcW w:w="0" w:type="auto"/>
          </w:tcPr>
          <w:p>
            <w:pPr>
              <w:spacing w:line="240" w:lineRule="auto" w:before="0" w:after="0"/>
              <w:pStyle w:val="Compact"/>
            </w:pPr>
            <w:r>
              <w:rPr>
                <w:sz w:val="20"/>
                <w:szCs w:val="20"/>
              </w:rPr>
              <w:t xml:space="preserve">Eritrea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-3.4069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-3.1427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-3.1897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AGO</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-2.8409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-3.1284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-3.1401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-2.8709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-2.8437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MOZ</w:t>
            </w:r>
          </w:p>
        </w:tc>
        <w:tc>
          <w:tcPr>
            <w:tcW w:w="0" w:type="auto"/>
          </w:tcPr>
          <w:p>
            <w:pPr>
              <w:spacing w:line="240" w:lineRule="auto" w:before="0" w:after="0"/>
              <w:pStyle w:val="Compact"/>
            </w:pPr>
            <w:r>
              <w:rPr>
                <w:sz w:val="20"/>
                <w:szCs w:val="20"/>
              </w:rPr>
              <w:t xml:space="preserve">Mozambique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-2.5431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-3.1503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-2.8176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-2.5983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-2.5574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ZMB</w:t>
            </w:r>
          </w:p>
        </w:tc>
        <w:tc>
          <w:tcPr>
            <w:tcW w:w="0" w:type="auto"/>
          </w:tcPr>
          <w:p>
            <w:pPr>
              <w:spacing w:line="240" w:lineRule="auto" w:before="0" w:after="0"/>
              <w:pStyle w:val="Compact"/>
            </w:pPr>
            <w:r>
              <w:rPr>
                <w:sz w:val="20"/>
                <w:szCs w:val="20"/>
              </w:rPr>
              <w:t xml:space="preserve">Zambia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-2.2662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-3.4826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-3.4355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-3.0549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ZWE</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-3.0024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-2.9307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-2.6941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-2.0624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-2.3541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MWI</w:t>
            </w:r>
          </w:p>
        </w:tc>
        <w:tc>
          <w:tcPr>
            <w:tcW w:w="0" w:type="auto"/>
          </w:tcPr>
          <w:p>
            <w:pPr>
              <w:spacing w:line="240" w:lineRule="auto" w:before="0" w:after="0"/>
              <w:pStyle w:val="Compact"/>
            </w:pPr>
            <w:r>
              <w:rPr>
                <w:sz w:val="20"/>
                <w:szCs w:val="20"/>
              </w:rPr>
              <w:t xml:space="preserve">Malawi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-1.981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-2.9754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-2.9869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-2.8364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-2.7985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ZAF</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-2.6541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-3.1782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-2.891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-2.8793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NAM</w:t>
            </w:r>
          </w:p>
        </w:tc>
        <w:tc>
          <w:tcPr>
            <w:tcW w:w="0" w:type="auto"/>
          </w:tcPr>
          <w:p>
            <w:pPr>
              <w:spacing w:line="240" w:lineRule="auto" w:before="0" w:after="0"/>
              <w:pStyle w:val="Compact"/>
            </w:pPr>
            <w:r>
              <w:rPr>
                <w:sz w:val="20"/>
                <w:szCs w:val="20"/>
              </w:rPr>
              <w:t xml:space="preserve">Namibia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-2.7445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-2.9741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-2.8706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-2.877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-2.6102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-2.7973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LSO</w:t>
            </w:r>
          </w:p>
        </w:tc>
        <w:tc>
          <w:tcPr>
            <w:tcW w:w="0" w:type="auto"/>
          </w:tcPr>
          <w:p>
            <w:pPr>
              <w:spacing w:line="240" w:lineRule="auto" w:before="0" w:after="0"/>
              <w:pStyle w:val="Compact"/>
            </w:pPr>
            <w:r>
              <w:rPr>
                <w:sz w:val="20"/>
                <w:szCs w:val="20"/>
              </w:rPr>
              <w:t xml:space="preserve">Lesotho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-2.6549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-2.9243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-2.878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-2.8845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-2.6522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-2.6554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BWA</w:t>
            </w:r>
          </w:p>
        </w:tc>
        <w:tc>
          <w:tcPr>
            <w:tcW w:w="0" w:type="auto"/>
          </w:tcPr>
          <w:p>
            <w:pPr>
              <w:spacing w:line="240" w:lineRule="auto" w:before="0" w:after="0"/>
              <w:pStyle w:val="Compact"/>
            </w:pPr>
            <w:r>
              <w:rPr>
                <w:sz w:val="20"/>
                <w:szCs w:val="20"/>
              </w:rPr>
              <w:t xml:space="preserve">Botswana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-2.396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-2.7798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-2.9654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-3.1003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-2.6554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-2.6369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SWZ</w:t>
            </w:r>
          </w:p>
        </w:tc>
        <w:tc>
          <w:tcPr>
            <w:tcW w:w="0" w:type="auto"/>
          </w:tcPr>
          <w:p>
            <w:pPr>
              <w:spacing w:line="240" w:lineRule="auto" w:before="0" w:after="0"/>
              <w:pStyle w:val="Compact"/>
            </w:pPr>
            <w:r>
              <w:rPr>
                <w:sz w:val="20"/>
                <w:szCs w:val="20"/>
              </w:rPr>
              <w:t xml:space="preserve">Eswatini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-2.6193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-3.1443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-2.6357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-2.8366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-2.7186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-2.7425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MDG</w:t>
            </w:r>
          </w:p>
        </w:tc>
        <w:tc>
          <w:tcPr>
            <w:tcW w:w="0" w:type="auto"/>
          </w:tcPr>
          <w:p>
            <w:pPr>
              <w:spacing w:line="240" w:lineRule="auto" w:before="0" w:after="0"/>
              <w:pStyle w:val="Compact"/>
            </w:pPr>
            <w:r>
              <w:rPr>
                <w:sz w:val="20"/>
                <w:szCs w:val="20"/>
              </w:rPr>
              <w:t xml:space="preserve">Madagascar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-2.9184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-3.6814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-2.5341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-2.8446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COM</w:t>
            </w:r>
          </w:p>
        </w:tc>
        <w:tc>
          <w:tcPr>
            <w:tcW w:w="0" w:type="auto"/>
          </w:tcPr>
          <w:p>
            <w:pPr>
              <w:spacing w:line="240" w:lineRule="auto" w:before="0" w:after="0"/>
              <w:pStyle w:val="Compact"/>
            </w:pPr>
            <w:r>
              <w:rPr>
                <w:sz w:val="20"/>
                <w:szCs w:val="20"/>
              </w:rPr>
              <w:t xml:space="preserve">Comoros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-2.5609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-3.0549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-3.0932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-3.0426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-2.5869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-2.6072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MUS</w:t>
            </w:r>
          </w:p>
        </w:tc>
        <w:tc>
          <w:tcPr>
            <w:tcW w:w="0" w:type="auto"/>
          </w:tcPr>
          <w:p>
            <w:pPr>
              <w:spacing w:line="240" w:lineRule="auto" w:before="0" w:after="0"/>
              <w:pStyle w:val="Compact"/>
            </w:pPr>
            <w:r>
              <w:rPr>
                <w:sz w:val="20"/>
                <w:szCs w:val="20"/>
              </w:rPr>
              <w:t xml:space="preserve">Mauritius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-2.4113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-2.9721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-2.9353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-3.0311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-2.2069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-2.5041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SYC</w:t>
            </w:r>
          </w:p>
        </w:tc>
        <w:tc>
          <w:tcPr>
            <w:tcW w:w="0" w:type="auto"/>
          </w:tcPr>
          <w:p>
            <w:pPr>
              <w:spacing w:line="240" w:lineRule="auto" w:before="0" w:after="0"/>
              <w:pStyle w:val="Compact"/>
            </w:pPr>
            <w:r>
              <w:rPr>
                <w:sz w:val="20"/>
                <w:szCs w:val="20"/>
              </w:rPr>
              <w:t xml:space="preserve">Seychelles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-2.284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-3.1283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-3.2201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-2.9427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-2.6551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MAR</w:t>
            </w:r>
          </w:p>
        </w:tc>
        <w:tc>
          <w:tcPr>
            <w:tcW w:w="0" w:type="auto"/>
          </w:tcPr>
          <w:p>
            <w:pPr>
              <w:spacing w:line="240" w:lineRule="auto" w:before="0" w:after="0"/>
              <w:pStyle w:val="Compact"/>
            </w:pPr>
            <w:r>
              <w:rPr>
                <w:sz w:val="20"/>
                <w:szCs w:val="20"/>
              </w:rPr>
              <w:t xml:space="preserve">Morocco</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-2.5482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-3.5796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-3.5779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-3.3493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-3.1868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DZA</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-2.9252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-3.2579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-3.3264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-3.1117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-2.8171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-2.7838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TUN</w:t>
            </w:r>
          </w:p>
        </w:tc>
        <w:tc>
          <w:tcPr>
            <w:tcW w:w="0" w:type="auto"/>
          </w:tcPr>
          <w:p>
            <w:pPr>
              <w:spacing w:line="240" w:lineRule="auto" w:before="0" w:after="0"/>
              <w:pStyle w:val="Compact"/>
            </w:pPr>
            <w:r>
              <w:rPr>
                <w:sz w:val="20"/>
                <w:szCs w:val="20"/>
              </w:rPr>
              <w:t xml:space="preserve">Tunisia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-2.6421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-3.0179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-3.1086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-3.2836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-2.8293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-3.0044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LBY</w:t>
            </w:r>
          </w:p>
        </w:tc>
        <w:tc>
          <w:tcPr>
            <w:tcW w:w="0" w:type="auto"/>
          </w:tcPr>
          <w:p>
            <w:pPr>
              <w:spacing w:line="240" w:lineRule="auto" w:before="0" w:after="0"/>
              <w:pStyle w:val="Compact"/>
            </w:pPr>
            <w:r>
              <w:rPr>
                <w:sz w:val="20"/>
                <w:szCs w:val="20"/>
              </w:rPr>
              <w:t xml:space="preserve">Libya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-2.7891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-3.6592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-3.7954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-3.5359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-3.0735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-3.2632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SDN</w:t>
            </w:r>
          </w:p>
        </w:tc>
        <w:tc>
          <w:tcPr>
            <w:tcW w:w="0" w:type="auto"/>
          </w:tcPr>
          <w:p>
            <w:pPr>
              <w:spacing w:line="240" w:lineRule="auto" w:before="0" w:after="0"/>
              <w:pStyle w:val="Compact"/>
            </w:pPr>
            <w:r>
              <w:rPr>
                <w:sz w:val="20"/>
                <w:szCs w:val="20"/>
              </w:rPr>
              <w:t xml:space="preserve">Sudan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-3.1442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-2.5373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-2.9036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-2.341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-1.8913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SSD</w:t>
            </w:r>
          </w:p>
        </w:tc>
        <w:tc>
          <w:tcPr>
            <w:tcW w:w="0" w:type="auto"/>
          </w:tcPr>
          <w:p>
            <w:pPr>
              <w:spacing w:line="240" w:lineRule="auto" w:before="0" w:after="0"/>
              <w:pStyle w:val="Compact"/>
            </w:pPr>
            <w:r>
              <w:rPr>
                <w:sz w:val="20"/>
                <w:szCs w:val="20"/>
              </w:rPr>
              <w:t xml:space="preserve">South Sudan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-1.8574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-4.1619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-4.0954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-4.4403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-3.7638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-3.6674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IRN</w:t>
            </w:r>
          </w:p>
        </w:tc>
        <w:tc>
          <w:tcPr>
            <w:tcW w:w="0" w:type="auto"/>
          </w:tcPr>
          <w:p>
            <w:pPr>
              <w:spacing w:line="240" w:lineRule="auto" w:before="0" w:after="0"/>
              <w:pStyle w:val="Compact"/>
            </w:pPr>
            <w:r>
              <w:rPr>
                <w:sz w:val="20"/>
                <w:szCs w:val="20"/>
              </w:rPr>
              <w:t xml:space="preserve">Iran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-3.3078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-2.0174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-2.0168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-1.8906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-1.7091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TUR</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-1.673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-3.4253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-3.3502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-3.2532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-3.0063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-3.0302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IRQ</w:t>
            </w:r>
          </w:p>
        </w:tc>
        <w:tc>
          <w:tcPr>
            <w:tcW w:w="0" w:type="auto"/>
          </w:tcPr>
          <w:p>
            <w:pPr>
              <w:spacing w:line="240" w:lineRule="auto" w:before="0" w:after="0"/>
              <w:pStyle w:val="Compact"/>
            </w:pPr>
            <w:r>
              <w:rPr>
                <w:sz w:val="20"/>
                <w:szCs w:val="20"/>
              </w:rPr>
              <w:t xml:space="preserve">Iraq</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-2.7858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-3.5798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-3.5988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-3.6204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-2.9964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-3.043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EGY</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-2.7855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-4.4095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-4.0944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-4.5898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-4.076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-3.8432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SYR</w:t>
            </w:r>
          </w:p>
        </w:tc>
        <w:tc>
          <w:tcPr>
            <w:tcW w:w="0" w:type="auto"/>
          </w:tcPr>
          <w:p>
            <w:pPr>
              <w:spacing w:line="240" w:lineRule="auto" w:before="0" w:after="0"/>
              <w:pStyle w:val="Compact"/>
            </w:pPr>
            <w:r>
              <w:rPr>
                <w:sz w:val="20"/>
                <w:szCs w:val="20"/>
              </w:rPr>
              <w:t xml:space="preserve">Syria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-3.7581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-3.5426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-3.5112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-3.1573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-2.9895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-3.0058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LBN</w:t>
            </w:r>
          </w:p>
        </w:tc>
        <w:tc>
          <w:tcPr>
            <w:tcW w:w="0" w:type="auto"/>
          </w:tcPr>
          <w:p>
            <w:pPr>
              <w:spacing w:line="240" w:lineRule="auto" w:before="0" w:after="0"/>
              <w:pStyle w:val="Compact"/>
            </w:pPr>
            <w:r>
              <w:rPr>
                <w:sz w:val="20"/>
                <w:szCs w:val="20"/>
              </w:rPr>
              <w:t xml:space="preserve">Lebanon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-2.8298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-3.2795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-3.1331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-3.1355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-2.7564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JOR</w:t>
            </w:r>
          </w:p>
        </w:tc>
        <w:tc>
          <w:tcPr>
            <w:tcW w:w="0" w:type="auto"/>
          </w:tcPr>
          <w:p>
            <w:pPr>
              <w:spacing w:line="240" w:lineRule="auto" w:before="0" w:after="0"/>
              <w:pStyle w:val="Compact"/>
            </w:pPr>
            <w:r>
              <w:rPr>
                <w:sz w:val="20"/>
                <w:szCs w:val="20"/>
              </w:rPr>
              <w:t xml:space="preserve">Jordan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-2.7135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-0.1776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-0.1727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ISR</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-0.319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-3.2136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-2.8859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-3.2199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-3.1625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-3.1476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-2.7334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-2.9074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YEM</w:t>
            </w:r>
          </w:p>
        </w:tc>
        <w:tc>
          <w:tcPr>
            <w:tcW w:w="0" w:type="auto"/>
          </w:tcPr>
          <w:p>
            <w:pPr>
              <w:spacing w:line="240" w:lineRule="auto" w:before="0" w:after="0"/>
              <w:pStyle w:val="Compact"/>
            </w:pPr>
            <w:r>
              <w:rPr>
                <w:sz w:val="20"/>
                <w:szCs w:val="20"/>
              </w:rPr>
              <w:t xml:space="preserve">Yemen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-2.7029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-3.2491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-3.2456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-3.0885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-2.6631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-2.8283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KWT</w:t>
            </w:r>
          </w:p>
        </w:tc>
        <w:tc>
          <w:tcPr>
            <w:tcW w:w="0" w:type="auto"/>
          </w:tcPr>
          <w:p>
            <w:pPr>
              <w:spacing w:line="240" w:lineRule="auto" w:before="0" w:after="0"/>
              <w:pStyle w:val="Compact"/>
            </w:pPr>
            <w:r>
              <w:rPr>
                <w:sz w:val="20"/>
                <w:szCs w:val="20"/>
              </w:rPr>
              <w:t xml:space="preserve">Kuwait</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-2.4917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-3.0989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-3.1617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BHR</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-3.1132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-3.2381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-3.2505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-3.1272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-2.6645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-2.7866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QAT</w:t>
            </w:r>
          </w:p>
        </w:tc>
        <w:tc>
          <w:tcPr>
            <w:tcW w:w="0" w:type="auto"/>
          </w:tcPr>
          <w:p>
            <w:pPr>
              <w:spacing w:line="240" w:lineRule="auto" w:before="0" w:after="0"/>
              <w:pStyle w:val="Compact"/>
            </w:pPr>
            <w:r>
              <w:rPr>
                <w:sz w:val="20"/>
                <w:szCs w:val="20"/>
              </w:rPr>
              <w:t xml:space="preserve">Qatar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-2.3105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ARE</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-3.3772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-3.4007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-3.2374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-2.8537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-3.0774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OMN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-2.8501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-3.0695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-3.0779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-3.1215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AFG</w:t>
            </w:r>
          </w:p>
        </w:tc>
        <w:tc>
          <w:tcPr>
            <w:tcW w:w="0" w:type="auto"/>
          </w:tcPr>
          <w:p>
            <w:pPr>
              <w:spacing w:line="240" w:lineRule="auto" w:before="0" w:after="0"/>
              <w:pStyle w:val="Compact"/>
            </w:pPr>
            <w:r>
              <w:rPr>
                <w:sz w:val="20"/>
                <w:szCs w:val="20"/>
              </w:rPr>
              <w:t xml:space="preserve">Afghanistan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-2.4152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-3.3434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-3.3095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-3.3706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-2.9444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-3.0923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TKM</w:t>
            </w:r>
          </w:p>
        </w:tc>
        <w:tc>
          <w:tcPr>
            <w:tcW w:w="0" w:type="auto"/>
          </w:tcPr>
          <w:p>
            <w:pPr>
              <w:spacing w:line="240" w:lineRule="auto" w:before="0" w:after="0"/>
              <w:pStyle w:val="Compact"/>
            </w:pPr>
            <w:r>
              <w:rPr>
                <w:sz w:val="20"/>
                <w:szCs w:val="20"/>
              </w:rPr>
              <w:t xml:space="preserve">Turkmenistan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-2.9324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-3.1129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-3.1511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-2.9282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-2.8328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TJK</w:t>
            </w:r>
          </w:p>
        </w:tc>
        <w:tc>
          <w:tcPr>
            <w:tcW w:w="0" w:type="auto"/>
          </w:tcPr>
          <w:p>
            <w:pPr>
              <w:spacing w:line="240" w:lineRule="auto" w:before="0" w:after="0"/>
              <w:pStyle w:val="Compact"/>
            </w:pPr>
            <w:r>
              <w:rPr>
                <w:sz w:val="20"/>
                <w:szCs w:val="20"/>
              </w:rPr>
              <w:t xml:space="preserve">Tajikistan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-2.7002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-3.2714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-3.3617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-3.1546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-2.7893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KGZ</w:t>
            </w:r>
          </w:p>
        </w:tc>
        <w:tc>
          <w:tcPr>
            <w:tcW w:w="0" w:type="auto"/>
          </w:tcPr>
          <w:p>
            <w:pPr>
              <w:spacing w:line="240" w:lineRule="auto" w:before="0" w:after="0"/>
              <w:pStyle w:val="Compact"/>
            </w:pPr>
            <w:r>
              <w:rPr>
                <w:sz w:val="20"/>
                <w:szCs w:val="20"/>
              </w:rPr>
              <w:t xml:space="preserve">Kyrgyzstan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-2.653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-2.9453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-3.3343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-3.3367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-3.096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-2.9926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UZB</w:t>
            </w:r>
          </w:p>
        </w:tc>
        <w:tc>
          <w:tcPr>
            <w:tcW w:w="0" w:type="auto"/>
          </w:tcPr>
          <w:p>
            <w:pPr>
              <w:spacing w:line="240" w:lineRule="auto" w:before="0" w:after="0"/>
              <w:pStyle w:val="Compact"/>
            </w:pPr>
            <w:r>
              <w:rPr>
                <w:sz w:val="20"/>
                <w:szCs w:val="20"/>
              </w:rPr>
              <w:t xml:space="preserve">Uzbekistan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-2.8128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-3.0669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-3.0307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-3.1248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-2.6283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KAZ</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-2.5456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-3.0165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-3.1201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-2.9305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-3.5503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-2.905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-2.9765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-3.0965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-3.1484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-3.1539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-2.8927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-2.7821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MNG</w:t>
            </w:r>
          </w:p>
        </w:tc>
        <w:tc>
          <w:tcPr>
            <w:tcW w:w="0" w:type="auto"/>
          </w:tcPr>
          <w:p>
            <w:pPr>
              <w:spacing w:line="240" w:lineRule="auto" w:before="0" w:after="0"/>
              <w:pStyle w:val="Compact"/>
            </w:pPr>
            <w:r>
              <w:rPr>
                <w:sz w:val="20"/>
                <w:szCs w:val="20"/>
              </w:rPr>
              <w:t xml:space="preserve">Mongolia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-2.6805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-2.8466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-2.8553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-2.8633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-3.1688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-2.746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PRK</w:t>
            </w:r>
          </w:p>
        </w:tc>
        <w:tc>
          <w:tcPr>
            <w:tcW w:w="0" w:type="auto"/>
          </w:tcPr>
          <w:p>
            <w:pPr>
              <w:spacing w:line="240" w:lineRule="auto" w:before="0" w:after="0"/>
              <w:pStyle w:val="Compact"/>
            </w:pPr>
            <w:r>
              <w:rPr>
                <w:sz w:val="20"/>
                <w:szCs w:val="20"/>
              </w:rPr>
              <w:t xml:space="preserve">North Korea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-3.0537</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-1.8385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KOR</w:t>
            </w:r>
          </w:p>
        </w:tc>
        <w:tc>
          <w:tcPr>
            <w:tcW w:w="0" w:type="auto"/>
          </w:tcPr>
          <w:p>
            <w:pPr>
              <w:spacing w:line="240" w:lineRule="auto" w:before="0" w:after="0"/>
              <w:pStyle w:val="Compact"/>
            </w:pPr>
            <w:r>
              <w:rPr>
                <w:sz w:val="20"/>
                <w:szCs w:val="20"/>
              </w:rPr>
              <w:t xml:space="preserve">South Korea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-1.7849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-2.6973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-2.6713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-2.5833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-3.0903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-3.0728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-2.9526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-2.551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-2.619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BTN</w:t>
            </w:r>
          </w:p>
        </w:tc>
        <w:tc>
          <w:tcPr>
            <w:tcW w:w="0" w:type="auto"/>
          </w:tcPr>
          <w:p>
            <w:pPr>
              <w:spacing w:line="240" w:lineRule="auto" w:before="0" w:after="0"/>
              <w:pStyle w:val="Compact"/>
            </w:pPr>
            <w:r>
              <w:rPr>
                <w:sz w:val="20"/>
                <w:szCs w:val="20"/>
              </w:rPr>
              <w:t xml:space="preserve">Bhutan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-2.5583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-2.7729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-2.7469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-2.6736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-2.9275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-2.5594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PAK</w:t>
            </w:r>
          </w:p>
        </w:tc>
        <w:tc>
          <w:tcPr>
            <w:tcW w:w="0" w:type="auto"/>
          </w:tcPr>
          <w:p>
            <w:pPr>
              <w:spacing w:line="240" w:lineRule="auto" w:before="0" w:after="0"/>
              <w:pStyle w:val="Compact"/>
            </w:pPr>
            <w:r>
              <w:rPr>
                <w:sz w:val="20"/>
                <w:szCs w:val="20"/>
              </w:rPr>
              <w:t xml:space="preserve">Pakistan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-2.5058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-3.1431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-3.2629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-2.8289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-2.8155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BGD</w:t>
            </w:r>
          </w:p>
        </w:tc>
        <w:tc>
          <w:tcPr>
            <w:tcW w:w="0" w:type="auto"/>
          </w:tcPr>
          <w:p>
            <w:pPr>
              <w:spacing w:line="240" w:lineRule="auto" w:before="0" w:after="0"/>
              <w:pStyle w:val="Compact"/>
            </w:pPr>
            <w:r>
              <w:rPr>
                <w:sz w:val="20"/>
                <w:szCs w:val="20"/>
              </w:rPr>
              <w:t xml:space="preserve">Bangladesh</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-2.6605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-3.4723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-3.521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-3.0706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-2.3491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-2.391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MMR</w:t>
            </w:r>
          </w:p>
        </w:tc>
        <w:tc>
          <w:tcPr>
            <w:tcW w:w="0" w:type="auto"/>
          </w:tcPr>
          <w:p>
            <w:pPr>
              <w:spacing w:line="240" w:lineRule="auto" w:before="0" w:after="0"/>
              <w:pStyle w:val="Compact"/>
            </w:pPr>
            <w:r>
              <w:rPr>
                <w:sz w:val="20"/>
                <w:szCs w:val="20"/>
              </w:rPr>
              <w:t xml:space="preserve">Myanmar (Burma)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-2.0703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-3.1779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-3.2802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-3.5301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-3.0252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-2.9411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LKA</w:t>
            </w:r>
          </w:p>
        </w:tc>
        <w:tc>
          <w:tcPr>
            <w:tcW w:w="0" w:type="auto"/>
          </w:tcPr>
          <w:p>
            <w:pPr>
              <w:spacing w:line="240" w:lineRule="auto" w:before="0" w:after="0"/>
              <w:pStyle w:val="Compact"/>
            </w:pPr>
            <w:r>
              <w:rPr>
                <w:sz w:val="20"/>
                <w:szCs w:val="20"/>
              </w:rPr>
              <w:t xml:space="preserve">Sri Lanka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-2.7699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-3.0349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-3.0333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-2.9242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-2.5234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-2.7658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MDV</w:t>
            </w:r>
          </w:p>
        </w:tc>
        <w:tc>
          <w:tcPr>
            <w:tcW w:w="0" w:type="auto"/>
          </w:tcPr>
          <w:p>
            <w:pPr>
              <w:spacing w:line="240" w:lineRule="auto" w:before="0" w:after="0"/>
              <w:pStyle w:val="Compact"/>
            </w:pPr>
            <w:r>
              <w:rPr>
                <w:sz w:val="20"/>
                <w:szCs w:val="20"/>
              </w:rPr>
              <w:t xml:space="preserve">Maldives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-2.4628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-3.186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-3.1475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-2.6841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-2.6736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NPL</w:t>
            </w:r>
          </w:p>
        </w:tc>
        <w:tc>
          <w:tcPr>
            <w:tcW w:w="0" w:type="auto"/>
          </w:tcPr>
          <w:p>
            <w:pPr>
              <w:spacing w:line="240" w:lineRule="auto" w:before="0" w:after="0"/>
              <w:pStyle w:val="Compact"/>
            </w:pPr>
            <w:r>
              <w:rPr>
                <w:sz w:val="20"/>
                <w:szCs w:val="20"/>
              </w:rPr>
              <w:t xml:space="preserve">Nepal</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-2.6188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-2.9063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-2.8871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-2.5987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THA</w:t>
            </w:r>
          </w:p>
        </w:tc>
        <w:tc>
          <w:tcPr>
            <w:tcW w:w="0" w:type="auto"/>
          </w:tcPr>
          <w:p>
            <w:pPr>
              <w:spacing w:line="240" w:lineRule="auto" w:before="0" w:after="0"/>
              <w:pStyle w:val="Compact"/>
            </w:pPr>
            <w:r>
              <w:rPr>
                <w:sz w:val="20"/>
                <w:szCs w:val="20"/>
              </w:rPr>
              <w:t xml:space="preserve">Thailand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-2.6208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-3.7704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-3.6068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-3.7193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-2.7602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-2.7963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KHM</w:t>
            </w:r>
          </w:p>
        </w:tc>
        <w:tc>
          <w:tcPr>
            <w:tcW w:w="0" w:type="auto"/>
          </w:tcPr>
          <w:p>
            <w:pPr>
              <w:spacing w:line="240" w:lineRule="auto" w:before="0" w:after="0"/>
              <w:pStyle w:val="Compact"/>
            </w:pPr>
            <w:r>
              <w:rPr>
                <w:sz w:val="20"/>
                <w:szCs w:val="20"/>
              </w:rPr>
              <w:t xml:space="preserve">Cambodia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-2.6786</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-3.5123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-3.543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-3.4269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-3.1194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-2.8782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LAO</w:t>
            </w:r>
          </w:p>
        </w:tc>
        <w:tc>
          <w:tcPr>
            <w:tcW w:w="0" w:type="auto"/>
          </w:tcPr>
          <w:p>
            <w:pPr>
              <w:spacing w:line="240" w:lineRule="auto" w:before="0" w:after="0"/>
              <w:pStyle w:val="Compact"/>
            </w:pPr>
            <w:r>
              <w:rPr>
                <w:sz w:val="20"/>
                <w:szCs w:val="20"/>
              </w:rPr>
              <w:t xml:space="preserve">Laos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-2.8984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-3.4102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-3.3863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-3.2653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-3.124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-2.8928</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VNM</w:t>
            </w:r>
          </w:p>
        </w:tc>
        <w:tc>
          <w:tcPr>
            <w:tcW w:w="0" w:type="auto"/>
          </w:tcPr>
          <w:p>
            <w:pPr>
              <w:spacing w:line="240" w:lineRule="auto" w:before="0" w:after="0"/>
              <w:pStyle w:val="Compact"/>
            </w:pPr>
            <w:r>
              <w:rPr>
                <w:sz w:val="20"/>
                <w:szCs w:val="20"/>
              </w:rPr>
              <w:t xml:space="preserve">Vietnam</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-2.7462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-3.2459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-3.2551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-3.1772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-2.7924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-2.8766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MYS</w:t>
            </w:r>
          </w:p>
        </w:tc>
        <w:tc>
          <w:tcPr>
            <w:tcW w:w="0" w:type="auto"/>
          </w:tcPr>
          <w:p>
            <w:pPr>
              <w:spacing w:line="240" w:lineRule="auto" w:before="0" w:after="0"/>
              <w:pStyle w:val="Compact"/>
            </w:pPr>
            <w:r>
              <w:rPr>
                <w:sz w:val="20"/>
                <w:szCs w:val="20"/>
              </w:rPr>
              <w:t xml:space="preserve">Malaysia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-2.7018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-2.9978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-2.8941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SGP</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-2.9132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-3.2309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-3.332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-3.3122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-2.8756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-2.953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BRN</w:t>
            </w:r>
          </w:p>
        </w:tc>
        <w:tc>
          <w:tcPr>
            <w:tcW w:w="0" w:type="auto"/>
          </w:tcPr>
          <w:p>
            <w:pPr>
              <w:spacing w:line="240" w:lineRule="auto" w:before="0" w:after="0"/>
              <w:pStyle w:val="Compact"/>
            </w:pPr>
            <w:r>
              <w:rPr>
                <w:sz w:val="20"/>
                <w:szCs w:val="20"/>
              </w:rPr>
              <w:t xml:space="preserve">Brunei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-2.7405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-3.0116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-3.0077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-2.8876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-2.3926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-2.6054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PHL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-2.4261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-3.4133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-3.4529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-3.3616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-2.8903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-2.862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IDN</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-2.6864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-2.8853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-2.9565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-2.8966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-2.366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-2.4443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TLS</w:t>
            </w:r>
          </w:p>
        </w:tc>
        <w:tc>
          <w:tcPr>
            <w:tcW w:w="0" w:type="auto"/>
          </w:tcPr>
          <w:p>
            <w:pPr>
              <w:spacing w:line="240" w:lineRule="auto" w:before="0" w:after="0"/>
              <w:pStyle w:val="Compact"/>
            </w:pPr>
            <w:r>
              <w:rPr>
                <w:sz w:val="20"/>
                <w:szCs w:val="20"/>
              </w:rPr>
              <w:t xml:space="preserve">Timor-Leste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-2.2255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AUS</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-1.1927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-2.4597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-2.2933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-2.5963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-2.0644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-2.0471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PNG</w:t>
            </w:r>
          </w:p>
        </w:tc>
        <w:tc>
          <w:tcPr>
            <w:tcW w:w="0" w:type="auto"/>
          </w:tcPr>
          <w:p>
            <w:pPr>
              <w:spacing w:line="240" w:lineRule="auto" w:before="0" w:after="0"/>
              <w:pStyle w:val="Compact"/>
            </w:pPr>
            <w:r>
              <w:rPr>
                <w:sz w:val="20"/>
                <w:szCs w:val="20"/>
              </w:rPr>
              <w:t xml:space="preserve">Papua New Guinea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-1.7415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-1.8892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NZL</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-1.8084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-2.5498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-2.7063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-2.6843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-2.4058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-2.3121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VUT</w:t>
            </w:r>
          </w:p>
        </w:tc>
        <w:tc>
          <w:tcPr>
            <w:tcW w:w="0" w:type="auto"/>
          </w:tcPr>
          <w:p>
            <w:pPr>
              <w:spacing w:line="240" w:lineRule="auto" w:before="0" w:after="0"/>
              <w:pStyle w:val="Compact"/>
            </w:pPr>
            <w:r>
              <w:rPr>
                <w:sz w:val="20"/>
                <w:szCs w:val="20"/>
              </w:rPr>
              <w:t xml:space="preserve">Vanuatu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-2.0261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-2.6612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-2.4864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-2.8756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-2.4956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-2.5701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SLB</w:t>
            </w:r>
          </w:p>
        </w:tc>
        <w:tc>
          <w:tcPr>
            <w:tcW w:w="0" w:type="auto"/>
          </w:tcPr>
          <w:p>
            <w:pPr>
              <w:spacing w:line="240" w:lineRule="auto" w:before="0" w:after="0"/>
              <w:pStyle w:val="Compact"/>
            </w:pPr>
            <w:r>
              <w:rPr>
                <w:sz w:val="20"/>
                <w:szCs w:val="20"/>
              </w:rPr>
              <w:t xml:space="preserve">Solomon Islands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-2.4149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-2.5556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-2.641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-2.7783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-2.2576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-2.2542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KIR</w:t>
            </w:r>
          </w:p>
        </w:tc>
        <w:tc>
          <w:tcPr>
            <w:tcW w:w="0" w:type="auto"/>
          </w:tcPr>
          <w:p>
            <w:pPr>
              <w:spacing w:line="240" w:lineRule="auto" w:before="0" w:after="0"/>
              <w:pStyle w:val="Compact"/>
            </w:pPr>
            <w:r>
              <w:rPr>
                <w:sz w:val="20"/>
                <w:szCs w:val="20"/>
              </w:rPr>
              <w:t xml:space="preserve">Kiribati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-2.098</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-2.6129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-2.4672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-2.6034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-2.2193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-2.2103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TUV</w:t>
            </w:r>
          </w:p>
        </w:tc>
        <w:tc>
          <w:tcPr>
            <w:tcW w:w="0" w:type="auto"/>
          </w:tcPr>
          <w:p>
            <w:pPr>
              <w:spacing w:line="240" w:lineRule="auto" w:before="0" w:after="0"/>
              <w:pStyle w:val="Compact"/>
            </w:pPr>
            <w:r>
              <w:rPr>
                <w:sz w:val="20"/>
                <w:szCs w:val="20"/>
              </w:rPr>
              <w:t xml:space="preserve">Tuvalu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-2.0651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-2.727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-2.6146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-2.7812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-2.3307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-1.9745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FJI</w:t>
            </w:r>
          </w:p>
        </w:tc>
        <w:tc>
          <w:tcPr>
            <w:tcW w:w="0" w:type="auto"/>
          </w:tcPr>
          <w:p>
            <w:pPr>
              <w:spacing w:line="240" w:lineRule="auto" w:before="0" w:after="0"/>
              <w:pStyle w:val="Compact"/>
            </w:pPr>
            <w:r>
              <w:rPr>
                <w:sz w:val="20"/>
                <w:szCs w:val="20"/>
              </w:rPr>
              <w:t xml:space="preserve">Fiji</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-1.3802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-2.4571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-2.4423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-2.4111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-2.2777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-2.2032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TON</w:t>
            </w:r>
          </w:p>
        </w:tc>
        <w:tc>
          <w:tcPr>
            <w:tcW w:w="0" w:type="auto"/>
          </w:tcPr>
          <w:p>
            <w:pPr>
              <w:spacing w:line="240" w:lineRule="auto" w:before="0" w:after="0"/>
              <w:pStyle w:val="Compact"/>
            </w:pPr>
            <w:r>
              <w:rPr>
                <w:sz w:val="20"/>
                <w:szCs w:val="20"/>
              </w:rPr>
              <w:t xml:space="preserve">Tonga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-2.0129</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-2.3054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-2.1714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-2.3296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-1.7771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-1.9182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NRU</w:t>
            </w:r>
          </w:p>
        </w:tc>
        <w:tc>
          <w:tcPr>
            <w:tcW w:w="0" w:type="auto"/>
          </w:tcPr>
          <w:p>
            <w:pPr>
              <w:spacing w:line="240" w:lineRule="auto" w:before="0" w:after="0"/>
              <w:pStyle w:val="Compact"/>
            </w:pPr>
            <w:r>
              <w:rPr>
                <w:sz w:val="20"/>
                <w:szCs w:val="20"/>
              </w:rPr>
              <w:t xml:space="preserve">Nauru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-1.6931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-1.5839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-1.6987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-1.7276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-1.207</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-1.5449</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MHL</w:t>
            </w:r>
          </w:p>
        </w:tc>
        <w:tc>
          <w:tcPr>
            <w:tcW w:w="0" w:type="auto"/>
          </w:tcPr>
          <w:p>
            <w:pPr>
              <w:spacing w:line="240" w:lineRule="auto" w:before="0" w:after="0"/>
              <w:pStyle w:val="Compact"/>
            </w:pPr>
            <w:r>
              <w:rPr>
                <w:sz w:val="20"/>
                <w:szCs w:val="20"/>
              </w:rPr>
              <w:t xml:space="preserve">Marshall Islands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-1.2955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-2.4372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-2.3672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-2.1908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-1.6255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-1.8366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PLW</w:t>
            </w:r>
          </w:p>
        </w:tc>
        <w:tc>
          <w:tcPr>
            <w:tcW w:w="0" w:type="auto"/>
          </w:tcPr>
          <w:p>
            <w:pPr>
              <w:spacing w:line="240" w:lineRule="auto" w:before="0" w:after="0"/>
              <w:pStyle w:val="Compact"/>
            </w:pPr>
            <w:r>
              <w:rPr>
                <w:sz w:val="20"/>
                <w:szCs w:val="20"/>
              </w:rPr>
              <w:t xml:space="preserve">Palau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-1.5321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-1.2593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-1.3492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-0.9217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-0.9364</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-0.9854</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FSM</w:t>
            </w:r>
          </w:p>
        </w:tc>
        <w:tc>
          <w:tcPr>
            <w:tcW w:w="0" w:type="auto"/>
          </w:tcPr>
          <w:p>
            <w:pPr>
              <w:spacing w:line="240" w:lineRule="auto" w:before="0" w:after="0"/>
              <w:pStyle w:val="Compact"/>
            </w:pPr>
            <w:r>
              <w:rPr>
                <w:sz w:val="20"/>
                <w:szCs w:val="20"/>
              </w:rPr>
              <w:t xml:space="preserve">Micronesia (Federated States of)</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-0.8522</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-2.5522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-2.5581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-2.5825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-2.1631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-2.1447</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r>
        <w:tc>
          <w:tcPr>
            <w:tcW w:w="0" w:type="auto"/>
          </w:tcPr>
          <w:p>
            <w:pPr>
              <w:spacing w:line="240" w:lineRule="auto" w:before="0" w:after="0"/>
              <w:pStyle w:val="Compact"/>
            </w:pPr>
            <w:r>
              <w:rPr>
                <w:sz w:val="20"/>
                <w:szCs w:val="20"/>
              </w:rPr>
              <w:t xml:space="preserve">WSM</w:t>
            </w:r>
          </w:p>
        </w:tc>
        <w:tc>
          <w:tcPr>
            <w:tcW w:w="0" w:type="auto"/>
          </w:tcPr>
          <w:p>
            <w:pPr>
              <w:spacing w:line="240" w:lineRule="auto" w:before="0" w:after="0"/>
              <w:pStyle w:val="Compact"/>
            </w:pPr>
            <w:r>
              <w:rPr>
                <w:sz w:val="20"/>
                <w:szCs w:val="20"/>
              </w:rPr>
              <w:t xml:space="preserve">Samoa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-1.9615</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NASA Artemis Accords signatory-date PDF; Harvard Dataverse United Nations General Assembly Ideal Points file Idealpointestimates1946-2025.tab</w:t>
            </w:r>
          </w:p>
        </w:tc>
      </w:tr>
    </w:tbl>
    <w:bookmarkEnd w:id="206"/>
    <w:bookmarkStart w:id="20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event_this_year</w:t>
            </w:r>
          </w:p>
        </w:tc>
        <w:tc>
          <w:tcPr>
            <w:tcW w:w="0" w:type="auto"/>
          </w:tcPr>
          <w:p>
            <w:pPr>
              <w:spacing w:line="240" w:lineRule="auto" w:before="0" w:after="0"/>
              <w:pStyle w:val="Compact"/>
            </w:pPr>
            <w:r>
              <w:rPr>
                <w:sz w:val="20"/>
                <w:szCs w:val="20"/>
              </w:rPr>
              <w:t xml:space="preserve">Indicator equal to one in the country-year in which a state signs the Artemis Accords, if signature occurs from 2020 through 2025.</w:t>
            </w:r>
          </w:p>
        </w:tc>
        <w:tc>
          <w:tcPr>
            <w:tcW w:w="0" w:type="auto"/>
          </w:tcPr>
          <w:p>
            <w:pPr>
              <w:spacing w:line="240" w:lineRule="auto" w:before="0" w:after="0"/>
              <w:pStyle w:val="Compact"/>
            </w:pPr>
            <w:r>
              <w:rPr>
                <w:sz w:val="20"/>
                <w:szCs w:val="20"/>
              </w:rPr>
              <w:t xml:space="preserve">Constructed from NASA List of the Signatories by Date PDF.</w:t>
            </w:r>
          </w:p>
        </w:tc>
      </w:tr>
      <w:tr>
        <w:tc>
          <w:tcPr>
            <w:tcW w:w="0" w:type="auto"/>
          </w:tcPr>
          <w:p>
            <w:pPr>
              <w:spacing w:line="240" w:lineRule="auto" w:before="0" w:after="0"/>
              <w:pStyle w:val="Compact"/>
            </w:pPr>
            <w:r>
              <w:rPr>
                <w:sz w:val="20"/>
                <w:szCs w:val="20"/>
              </w:rPr>
              <w:t xml:space="preserve">lag_alignment_score</w:t>
            </w:r>
          </w:p>
        </w:tc>
        <w:tc>
          <w:tcPr>
            <w:tcW w:w="0" w:type="auto"/>
          </w:tcPr>
          <w:p>
            <w:pPr>
              <w:spacing w:line="240" w:lineRule="auto" w:before="0" w:after="0"/>
              <w:pStyle w:val="Compact"/>
            </w:pPr>
            <w:r>
              <w:rPr>
                <w:sz w:val="20"/>
                <w:szCs w:val="20"/>
              </w:rPr>
              <w:t xml:space="preserve">Previous-year negative absolute distance between the country and the United States in UNGA final-passage ideal-point space.</w:t>
            </w:r>
          </w:p>
        </w:tc>
        <w:tc>
          <w:tcPr>
            <w:tcW w:w="0" w:type="auto"/>
          </w:tcPr>
          <w:p>
            <w:pPr>
              <w:spacing w:line="240" w:lineRule="auto" w:before="0" w:after="0"/>
              <w:pStyle w:val="Compact"/>
            </w:pPr>
            <w:r>
              <w:rPr>
                <w:sz w:val="20"/>
                <w:szCs w:val="20"/>
              </w:rPr>
              <w:t xml:space="preserve">Constructed from Harvard Dataverse Idealpointestimates1946-2025.tab.</w:t>
            </w:r>
          </w:p>
        </w:tc>
      </w:tr>
      <w:tr>
        <w:tc>
          <w:tcPr>
            <w:tcW w:w="0" w:type="auto"/>
          </w:tcPr>
          <w:p>
            <w:pPr>
              <w:spacing w:line="240" w:lineRule="auto" w:before="0" w:after="0"/>
              <w:pStyle w:val="Compact"/>
            </w:pPr>
            <w:r>
              <w:rPr>
                <w:sz w:val="20"/>
                <w:szCs w:val="20"/>
              </w:rPr>
              <w:t xml:space="preserve">global_signatories_prior</w:t>
            </w:r>
          </w:p>
        </w:tc>
        <w:tc>
          <w:tcPr>
            <w:tcW w:w="0" w:type="auto"/>
          </w:tcPr>
          <w:p>
            <w:pPr>
              <w:spacing w:line="240" w:lineRule="auto" w:before="0" w:after="0"/>
              <w:pStyle w:val="Compact"/>
            </w:pPr>
            <w:r>
              <w:rPr>
                <w:sz w:val="20"/>
                <w:szCs w:val="20"/>
              </w:rPr>
              <w:t xml:space="preserve">Number of countries that had already signed the Artemis Accords before the current calendar year.</w:t>
            </w:r>
          </w:p>
        </w:tc>
        <w:tc>
          <w:tcPr>
            <w:tcW w:w="0" w:type="auto"/>
          </w:tcPr>
          <w:p>
            <w:pPr>
              <w:spacing w:line="240" w:lineRule="auto" w:before="0" w:after="0"/>
              <w:pStyle w:val="Compact"/>
            </w:pPr>
            <w:r>
              <w:rPr>
                <w:sz w:val="20"/>
                <w:szCs w:val="20"/>
              </w:rPr>
              <w:t xml:space="preserve">Constructed from NASA signatory dates.</w:t>
            </w:r>
          </w:p>
        </w:tc>
      </w:tr>
      <w:tr>
        <w:tc>
          <w:tcPr>
            <w:tcW w:w="0" w:type="auto"/>
          </w:tcPr>
          <w:p>
            <w:pPr>
              <w:spacing w:line="240" w:lineRule="auto" w:before="0" w:after="0"/>
              <w:pStyle w:val="Compact"/>
            </w:pPr>
            <w:r>
              <w:rPr>
                <w:sz w:val="20"/>
                <w:szCs w:val="20"/>
              </w:rPr>
              <w:t xml:space="preserve">year_index</w:t>
            </w:r>
          </w:p>
        </w:tc>
        <w:tc>
          <w:tcPr>
            <w:tcW w:w="0" w:type="auto"/>
          </w:tcPr>
          <w:p>
            <w:pPr>
              <w:spacing w:line="240" w:lineRule="auto" w:before="0" w:after="0"/>
              <w:pStyle w:val="Compact"/>
            </w:pPr>
            <w:r>
              <w:rPr>
                <w:sz w:val="20"/>
                <w:szCs w:val="20"/>
              </w:rPr>
              <w:t xml:space="preserve">Calendar-year index with 2020 set to zero.</w:t>
            </w:r>
          </w:p>
        </w:tc>
        <w:tc>
          <w:tcPr>
            <w:tcW w:w="0" w:type="auto"/>
          </w:tcPr>
          <w:p>
            <w:pPr>
              <w:spacing w:line="240" w:lineRule="auto" w:before="0" w:after="0"/>
              <w:pStyle w:val="Compact"/>
            </w:pPr>
            <w:r>
              <w:rPr>
                <w:sz w:val="20"/>
                <w:szCs w:val="20"/>
              </w:rPr>
              <w:t xml:space="preserve">Constructed from the country-year panel.</w:t>
            </w:r>
          </w:p>
        </w:tc>
      </w:tr>
    </w:tbl>
    <w:bookmarkEnd w:id="207"/>
    <w:bookmarkEnd w:id="208"/>
    <w:bookmarkEnd w:id="20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4" Type="http://schemas.openxmlformats.org/officeDocument/2006/relationships/image" Target="media/rId194.png"/><Relationship Id="rId202" Type="http://schemas.openxmlformats.org/officeDocument/2006/relationships/image" Target="media/rId202.png"/><Relationship Id="rId176" Type="http://schemas.openxmlformats.org/officeDocument/2006/relationships/hyperlink" Target="https://doi.org/10.1016/j.actaastro.2024.09.005" TargetMode="External"/><Relationship Id="rId174" Type="http://schemas.openxmlformats.org/officeDocument/2006/relationships/hyperlink" Target="https://doi.org/10.1016/j.actaastro.2025.02.010" TargetMode="External"/><Relationship Id="rId184" Type="http://schemas.openxmlformats.org/officeDocument/2006/relationships/hyperlink" Target="https://doi.org/10.1016/j.actaastro.2025.04.041" TargetMode="External"/><Relationship Id="rId178" Type="http://schemas.openxmlformats.org/officeDocument/2006/relationships/hyperlink" Target="https://doi.org/10.1016/j.actaastro.2025.04.063" TargetMode="External"/><Relationship Id="rId182" Type="http://schemas.openxmlformats.org/officeDocument/2006/relationships/hyperlink" Target="https://doi.org/10.1016/j.actaastro.2025.09.070" TargetMode="External"/><Relationship Id="rId180" Type="http://schemas.openxmlformats.org/officeDocument/2006/relationships/hyperlink" Target="https://doi.org/10.1016/j.actaastro.2026.02.013" TargetMode="External"/><Relationship Id="rId169" Type="http://schemas.openxmlformats.org/officeDocument/2006/relationships/hyperlink" Target="https://doi.org/10.64861/KSPN2451" TargetMode="External"/><Relationship Id="rId172" Type="http://schemas.openxmlformats.org/officeDocument/2006/relationships/hyperlink" Target="https://doi.org/10.64861/LFFV2455" TargetMode="External"/><Relationship Id="rId161" Type="http://schemas.openxmlformats.org/officeDocument/2006/relationships/hyperlink" Target="https://doi.org/10.7910/DVN/LEJUQZ" TargetMode="External"/></Relationships>
</file>

<file path=word/_rels/footnotes.xml.rels><?xml version='1.0' encoding='UTF-8' standalone='yes'?>
<Relationships xmlns="http://schemas.openxmlformats.org/package/2006/relationships"><Relationship Id="rId176" Type="http://schemas.openxmlformats.org/officeDocument/2006/relationships/hyperlink" Target="https://doi.org/10.1016/j.actaastro.2024.09.005" TargetMode="External"/><Relationship Id="rId174" Type="http://schemas.openxmlformats.org/officeDocument/2006/relationships/hyperlink" Target="https://doi.org/10.1016/j.actaastro.2025.02.010" TargetMode="External"/><Relationship Id="rId184" Type="http://schemas.openxmlformats.org/officeDocument/2006/relationships/hyperlink" Target="https://doi.org/10.1016/j.actaastro.2025.04.041" TargetMode="External"/><Relationship Id="rId178" Type="http://schemas.openxmlformats.org/officeDocument/2006/relationships/hyperlink" Target="https://doi.org/10.1016/j.actaastro.2025.04.063" TargetMode="External"/><Relationship Id="rId182" Type="http://schemas.openxmlformats.org/officeDocument/2006/relationships/hyperlink" Target="https://doi.org/10.1016/j.actaastro.2025.09.070" TargetMode="External"/><Relationship Id="rId180" Type="http://schemas.openxmlformats.org/officeDocument/2006/relationships/hyperlink" Target="https://doi.org/10.1016/j.actaastro.2026.02.013" TargetMode="External"/><Relationship Id="rId169" Type="http://schemas.openxmlformats.org/officeDocument/2006/relationships/hyperlink" Target="https://doi.org/10.64861/KSPN2451" TargetMode="External"/><Relationship Id="rId172" Type="http://schemas.openxmlformats.org/officeDocument/2006/relationships/hyperlink" Target="https://doi.org/10.64861/LFFV2455" TargetMode="External"/><Relationship Id="rId161" Type="http://schemas.openxmlformats.org/officeDocument/2006/relationships/hyperlink" Target="https://doi.org/10.7910/DVN/LEJUQ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Order-Building by Accession: Does Artemis Accords Signing Realign a State’s Broa</dc:title>
  <dc:creator>Theodore Yoon (1B-IGV-148)</dc:creator>
  <cp:keywords/>
  <dcterms:created xsi:type="dcterms:W3CDTF">2026-07-03T18:07:56Z</dcterms:created>
  <dcterms:modified xsi:type="dcterms:W3CDTF">2026-07-03T18:07:56Z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