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81.png" ContentType="image/png"/>
  <Override PartName="/word/media/image14.jpeg" ContentType="image/jpeg"/>
  <Override PartName="/word/media/image1.jpeg" ContentType="image/jpeg"/>
  <Override PartName="/word/media/image2.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3.png" ContentType="image/png"/>
  <Override PartName="/word/media/image12.png" ContentType="image/png"/>
  <Override PartName="/word/media/image15.jpeg" ContentType="image/jpeg"/>
  <Override PartName="/word/media/image16.png" ContentType="image/png"/>
  <Override PartName="/word/media/image17.png" ContentType="image/png"/>
  <Override PartName="/word/media/image18.png" ContentType="image/png"/>
  <Override PartName="/word/media/image19.jpeg" ContentType="image/jpeg"/>
  <Override PartName="/word/media/image20.png" ContentType="image/png"/>
  <Override PartName="/word/media/image21.png" ContentType="image/png"/>
  <Override PartName="/word/media/image22.png" ContentType="image/png"/>
  <Override PartName="/word/media/image23.png" ContentType="image/png"/>
  <Override PartName="/word/media/image24.jpeg" ContentType="image/jpeg"/>
  <Override PartName="/word/media/image25.jpe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9" w:name="X14b3ff9f8bbae2d36c85b1569d5b5ac2a9a7d90"/>
    <w:p>
      <w:pPr>
        <w:pStyle w:val="Heading1"/>
      </w:pPr>
      <w:r>
        <w:t xml:space="preserve">Imperial Overstretch on Orbit: Space Spending Relative to Economic Base and Program Performance</w:t>
      </w:r>
    </w:p>
    <w:bookmarkStart w:id="61" w:name="the-proposition-under-test"/>
    <w:p>
      <w:pPr>
        <w:pStyle w:val="Heading2"/>
      </w:pPr>
      <w:r>
        <w:t xml:space="preserve">1. The proposition under test</w:t>
      </w:r>
    </w:p>
    <w:p>
      <w:pPr>
        <w:pStyle w:val="FirstParagraph"/>
      </w:pPr>
      <w:r>
        <w:t xml:space="preserve">Paul Kennedy’s thesis is not that great powers spend too much. It is that they accumulate commitments faster than the productive base that must carry them, and that the resulting imbalance is visible in performance long before it is visible in defeat</w:t>
      </w:r>
      <w:r>
        <w:t xml:space="preserve"> </w:t>
      </w:r>
      <w:hyperlink w:anchor="ref-1">
        <m:oMathPara>
          <m:oMathParaPr>
            <m:jc m:val="center"/>
          </m:oMathParaPr>
          <m:oMath>
            <m:r>
              <m:t>1</m:t>
            </m:r>
          </m:oMath>
        </m:oMathPara>
      </w:hyperlink>
      <w:r>
        <w:t xml:space="preserve">. The unit of analysis is a ratio, not a level: relative share of the productive base, tested continuously against the geographic and military obligations that share must sustain</w:t>
      </w:r>
      <w:r>
        <w:t xml:space="preserve"> </w:t>
      </w:r>
      <w:hyperlink w:anchor="ref-1">
        <m:oMathPara>
          <m:oMathParaPr>
            <m:jc m:val="center"/>
          </m:oMathParaPr>
          <m:oMath>
            <m:r>
              <m:t>1</m:t>
            </m:r>
          </m:oMath>
        </m:oMathPara>
      </w:hyperlink>
      <w:r>
        <w:t xml:space="preserve">. Gaddis states the same discipline in different vocabulary, defining grand strategy as the alignment of potentially unlimited aspirations with necessarily limited capabilities, and locating strategic failure in the inability to reverse an irreversible commitment once it has been made</w:t>
      </w:r>
      <w:r>
        <w:t xml:space="preserve"> </w:t>
      </w:r>
      <w:hyperlink w:anchor="ref-2">
        <m:oMathPara>
          <m:oMathParaPr>
            <m:jc m:val="center"/>
          </m:oMathParaPr>
          <m:oMath>
            <m:r>
              <m:t>2</m:t>
            </m:r>
          </m:oMath>
        </m:oMathPara>
      </w:hyperlink>
      <w:r>
        <w:t xml:space="preserve">. Kissinger’s contribution is the reminder that equilibrium is a designed artifact rather than an automatic one, and that a state which refuses to accept limits does not thereby escape them</w:t>
      </w:r>
      <w:r>
        <w:t xml:space="preserve"> </w:t>
      </w:r>
      <w:hyperlink w:anchor="ref-3">
        <m:oMathPara>
          <m:oMathParaPr>
            <m:jc m:val="center"/>
          </m:oMathParaPr>
          <m:oMath>
            <m:r>
              <m:t>3</m:t>
            </m:r>
          </m:oMath>
        </m:oMathPara>
      </w:hyperlink>
      <w:r>
        <w:t xml:space="preserve">.</w:t>
      </w:r>
    </w:p>
    <w:p>
      <w:pPr>
        <w:pStyle w:val="FirstParagraph"/>
      </w:pPr>
      <w:r>
        <w:t xml:space="preserve">This paper subjects that proposition to an ordinary least squares test on the only large-power space portfolio for which an independent auditor publishes baseline commitments and realized cost growth project by project over a long run. Twenty-two NASA major projects are observed, twenty-one from the portfolio table of the Government Accountability Office’s 2022 annual assessment and one, Mars 2020, from the corresponding 2021 table</w:t>
      </w:r>
      <w:r>
        <w:t xml:space="preserve"> </w:t>
      </w:r>
      <w:hyperlink w:anchor="ref-6">
        <m:oMathPara>
          <m:oMathParaPr>
            <m:jc m:val="center"/>
          </m:oMathParaPr>
          <m:oMath>
            <m:r>
              <m:t>6</m:t>
            </m:r>
          </m:oMath>
        </m:oMathPara>
      </w:hyperlink>
      <w:r>
        <w:t xml:space="preserve">[7]. The dependent variable is cumulative development cost growth measured against the original baseline approved at each project’s confirmation review, in percent. It ranges from an underrun of 21.8 percent on Landsat 9 to growth of 175.7 percent on the James Webb Space Telescope</w:t>
      </w:r>
      <w:r>
        <w:t xml:space="preserve"> </w:t>
      </w:r>
      <w:hyperlink w:anchor="ref-6">
        <m:oMathPara>
          <m:oMathParaPr>
            <m:jc m:val="center"/>
          </m:oMathParaPr>
          <m:oMath>
            <m:r>
              <m:t>6</m:t>
            </m:r>
          </m:oMath>
        </m:oMathPara>
      </w:hyperlink>
      <w:r>
        <w:t xml:space="preserve">.</w:t>
      </w:r>
    </w:p>
    <w:p>
      <w:pPr>
        <w:pStyle w:val="FirstParagraph"/>
      </w:pPr>
      <w:r>
        <w:t xml:space="preserve">Two regressors carry the Kennedy hypothesis at two different altitudes. The first,</w:t>
      </w:r>
      <w:r>
        <w:t xml:space="preserve"> </w:t>
      </w:r>
      <w:r>
        <w:rPr>
          <w:rStyle w:val="VerbatimChar"/>
        </w:rPr>
        <w:t xml:space="preserve">space_spend_pct_gdp</w:t>
      </w:r>
      <w:r>
        <w:t xml:space="preserve">, is the national ratio: NASA enacted budget authority divided by United States gross domestic product in the year the project’s baseline was committed</w:t>
      </w:r>
      <w:r>
        <w:t xml:space="preserve"> </w:t>
      </w:r>
      <w:hyperlink w:anchor="ref-10">
        <m:oMathPara>
          <m:oMathParaPr>
            <m:jc m:val="center"/>
          </m:oMathParaPr>
          <m:oMath>
            <m:r>
              <m:t>10</m:t>
            </m:r>
          </m:oMath>
        </m:oMathPara>
      </w:hyperlink>
      <w:r>
        <w:t xml:space="preserve">[11]. The second,</w:t>
      </w:r>
      <w:r>
        <w:t xml:space="preserve"> </w:t>
      </w:r>
      <w:r>
        <w:rPr>
          <w:rStyle w:val="VerbatimChar"/>
        </w:rPr>
        <w:t xml:space="preserve">space_effort_ratio_pct</w:t>
      </w:r>
      <w:r>
        <w:t xml:space="preserve">, is the intra-portfolio ratio: the project’s own baseline as a share of the total baseline of the agency’s entire major-project portfolio in the same assessment cycle, computed from GAO’s published portfolio totals of 30,232.4 million dollars in 2022 and 30,983.6 million dollars in 2021</w:t>
      </w:r>
      <w:r>
        <w:t xml:space="preserve"> </w:t>
      </w:r>
      <w:hyperlink w:anchor="ref-6">
        <m:oMathPara>
          <m:oMathParaPr>
            <m:jc m:val="center"/>
          </m:oMathParaPr>
          <m:oMath>
            <m:r>
              <m:t>6</m:t>
            </m:r>
          </m:oMath>
        </m:oMathPara>
      </w:hyperlink>
      <w:r>
        <w:t xml:space="preserve">[7]. Two controls follow.</w:t>
      </w:r>
      <w:r>
        <w:t xml:space="preserve"> </w:t>
      </w:r>
      <w:r>
        <w:rPr>
          <w:rStyle w:val="VerbatimChar"/>
        </w:rPr>
        <w:t xml:space="preserve">years_in_development</w:t>
      </w:r>
      <w:r>
        <w:t xml:space="preserve"> </w:t>
      </w:r>
      <w:r>
        <w:t xml:space="preserve">measures exposure, the elapsed years between baseline approval and assessment.</w:t>
      </w:r>
      <w:r>
        <w:t xml:space="preserve"> </w:t>
      </w:r>
      <w:r>
        <w:rPr>
          <w:rStyle w:val="VerbatimChar"/>
        </w:rPr>
        <w:t xml:space="preserve">human_spaceflight</w:t>
      </w:r>
      <w:r>
        <w:t xml:space="preserve"> </w:t>
      </w:r>
      <w:r>
        <w:t xml:space="preserve">flags the three projects GAO assigns to the Deep Space Exploration portfolio, namely Orion, the Space Launch System, and Exploration Ground Systems</w:t>
      </w:r>
      <w:r>
        <w:t xml:space="preserve"> </w:t>
      </w:r>
      <w:hyperlink w:anchor="ref-6">
        <m:oMathPara>
          <m:oMathParaPr>
            <m:jc m:val="center"/>
          </m:oMathParaPr>
          <m:oMath>
            <m:r>
              <m:t>6</m:t>
            </m:r>
          </m:oMath>
        </m:oMathPara>
      </w:hyperlink>
      <w:r>
        <w:t xml:space="preserve">.</w:t>
      </w:r>
    </w:p>
    <w:bookmarkEnd w:id="61"/>
    <w:bookmarkStart w:id="62" w:name="data-construction-and-its-limits"/>
    <w:p>
      <w:pPr>
        <w:pStyle w:val="Heading2"/>
      </w:pPr>
      <w:r>
        <w:t xml:space="preserve">2. Data construction and its limits</w:t>
      </w:r>
    </w:p>
    <w:p>
      <w:pPr>
        <w:pStyle w:val="FirstParagraph"/>
      </w:pPr>
      <w:r>
        <w:t xml:space="preserve">Every cost and schedule value in</w:t>
      </w:r>
      <w:r>
        <w:t xml:space="preserve"> </w:t>
      </w:r>
      <w:r>
        <w:rPr>
          <w:rStyle w:val="VerbatimChar"/>
        </w:rPr>
        <w:t xml:space="preserve">data.csv</w:t>
      </w:r>
      <w:r>
        <w:t xml:space="preserve"> </w:t>
      </w:r>
      <w:r>
        <w:t xml:space="preserve">is transcribed from a GAO portfolio table and then independently verified. The column-wise reconstruction of GAO-22-105212 Table 6 reproduces the published portfolio totals exactly, at 30,232.4 million dollars of baseline, 337 months of cumulative delay, and 11,985.0 million dollars of cumulative overrun; the same procedure applied to GAO-21-306 Table 2 reproduces 30,983.6 million dollars, 236 months, and 9,625.7 million dollars</w:t>
      </w:r>
      <w:r>
        <w:t xml:space="preserve"> </w:t>
      </w:r>
      <w:hyperlink w:anchor="ref-6">
        <m:oMathPara>
          <m:oMathParaPr>
            <m:jc m:val="center"/>
          </m:oMathParaPr>
          <m:oMath>
            <m:r>
              <m:t>6</m:t>
            </m:r>
          </m:oMath>
        </m:oMathPara>
      </w:hyperlink>
      <w:r>
        <w:t xml:space="preserve">[7]. Each row’s overrun percentage was then re-derived from its own overrun and baseline and matched GAO’s published percentage to within a tenth of a point in all twenty-two cases. Cross-vintage checks reinforce this: the Space Network Ground Segment Sustainment cumulative overrun of 589.2 million dollars appears identically in the 2019, 2021, and 2022 assessments</w:t>
      </w:r>
      <w:r>
        <w:t xml:space="preserve"> </w:t>
      </w:r>
      <w:hyperlink w:anchor="ref-6">
        <m:oMathPara>
          <m:oMathParaPr>
            <m:jc m:val="center"/>
          </m:oMathParaPr>
          <m:oMath>
            <m:r>
              <m:t>6</m:t>
            </m:r>
          </m:oMath>
        </m:oMathPara>
      </w:hyperlink>
      <w:r>
        <w:t xml:space="preserve">[7][8].</w:t>
      </w:r>
    </w:p>
    <w:p>
      <w:pPr>
        <w:pStyle w:val="FirstParagraph"/>
      </w:pPr>
      <w:r>
        <w:t xml:space="preserve">Baseline years come from the confirmation-year column that GAO published in its 2019 assessment for thirteen of the projects, and from the 2021 assessment’s identification of Roman, OSAM-1, and SPHEREx as first-year baseline reporters</w:t>
      </w:r>
      <w:r>
        <w:t xml:space="preserve"> </w:t>
      </w:r>
      <w:hyperlink w:anchor="ref-7">
        <m:oMathPara>
          <m:oMathParaPr>
            <m:jc m:val="center"/>
          </m:oMathParaPr>
          <m:oMath>
            <m:r>
              <m:t>7</m:t>
            </m:r>
          </m:oMath>
        </m:oMathPara>
      </w:hyperlink>
      <w:r>
        <w:t xml:space="preserve">[8]. Four baseline years, for Psyche, Europa Clipper, PACE, and Solar Electric Propulsion, are bracketed as illustrative. GAO’s documents bound them, listing each in formulation as of the 2019 report and baselined as of the 2021 report, but do not fix the calendar year</w:t>
      </w:r>
      <w:r>
        <w:t xml:space="preserve"> </w:t>
      </w:r>
      <w:hyperlink w:anchor="ref-7">
        <m:oMathPara>
          <m:oMathParaPr>
            <m:jc m:val="center"/>
          </m:oMathParaPr>
          <m:oMath>
            <m:r>
              <m:t>7</m:t>
            </m:r>
          </m:oMath>
        </m:oMathPara>
      </w:hyperlink>
      <w:r>
        <w:t xml:space="preserve">[8]. Those four cells are the only estimated values in the file, 1.5 percent of its cells.</w:t>
      </w:r>
    </w:p>
    <w:p>
      <w:pPr>
        <w:pStyle w:val="FirstParagraph"/>
      </w:pPr>
      <w:r>
        <w:t xml:space="preserve">The design has a genuine limitation that should be named rather than smoothed over. All twenty-two observations are American, so</w:t>
      </w:r>
      <w:r>
        <w:t xml:space="preserve"> </w:t>
      </w:r>
      <w:r>
        <w:rPr>
          <w:rStyle w:val="VerbatimChar"/>
        </w:rPr>
        <w:t xml:space="preserve">space_spend_pct_gdp</w:t>
      </w:r>
      <w:r>
        <w:t xml:space="preserve"> </w:t>
      </w:r>
      <w:r>
        <w:t xml:space="preserve">varies only through the year of commitment, across a narrow band from 0.0981 to 0.1172 percent of GDP. That band is itself an important descriptive fact. Goswami and Garretson, surveying the same period, record a United States economy of 18.6 trillion dollars against a NASA appropriation of 19.65 billion dollars, a ratio near one part in a thousand</w:t>
      </w:r>
      <w:r>
        <w:t xml:space="preserve"> </w:t>
      </w:r>
      <w:hyperlink w:anchor="ref-12">
        <m:oMathPara>
          <m:oMathParaPr>
            <m:jc m:val="center"/>
          </m:oMathParaPr>
          <m:oMath>
            <m:r>
              <m:t>12</m:t>
            </m:r>
          </m:oMath>
        </m:oMathPara>
      </w:hyperlink>
      <w:r>
        <w:t xml:space="preserve">, and OECD reporting places government space budgets at roughly 0.10 percent of total OECD GDP in 2022</w:t>
      </w:r>
      <w:r>
        <w:t xml:space="preserve"> </w:t>
      </w:r>
      <w:hyperlink w:anchor="ref-13">
        <m:oMathPara>
          <m:oMathParaPr>
            <m:jc m:val="center"/>
          </m:oMathParaPr>
          <m:oMath>
            <m:r>
              <m:t>13</m:t>
            </m:r>
          </m:oMath>
        </m:oMathPara>
      </w:hyperlink>
      <w:r>
        <w:t xml:space="preserve">. The American civil space commitment of the last two decades is not, by any historical standard Kennedy would recognize, a fiscally overextended one.</w:t>
      </w:r>
    </w:p>
    <w:bookmarkEnd w:id="62"/>
    <w:bookmarkStart w:id="63" w:name="results"/>
    <w:p>
      <w:pPr>
        <w:pStyle w:val="Heading2"/>
      </w:pPr>
      <w:r>
        <w:t xml:space="preserve">3. Results</w:t>
      </w:r>
    </w:p>
    <w:p>
      <w:pPr>
        <w:pStyle w:val="FirstParagraph"/>
      </w:pPr>
      <w:r>
        <w:t xml:space="preserve">The specification is jointly informative. It explains 70.0 percent of the variance in cumulative cost growth, with an adjusted R-squared of 0.630 and F(4,17) = 9.93 at p = 0.00025. Variance inflation factors run between 1.93 and 3.85, so the estimates are not corrupted by collinearity.</w:t>
      </w:r>
    </w:p>
    <w:p>
      <w:pPr>
        <w:pStyle w:val="BodyText"/>
      </w:pPr>
      <w:r>
        <w:t xml:space="preserve">The null hypothesis on both overstretch terms survives comfortably. National space effort relative to GDP carries a coefficient of 347.53 with a heteroskedasticity-consistent standard error of 3667.11 and p = 0.92. The intra-portfolio effort ratio carries a coefficient of 0.21, which implies that moving a project from the smallest commitment in the portfolio, the Laser Communications Relay Demonstration at 0.30 percent of the base, to the largest, Orion at 22.39 percent, would predict about 4.7 additional points of cost growth, with an HC3 p-value of 0.78. The simple correlation between the effort ratio and cost growth is 0.168. On the levels form of the hypothesis, the data are close to silent.</w:t>
      </w:r>
    </w:p>
    <w:p>
      <w:pPr>
        <w:pStyle w:val="BodyText"/>
      </w:pPr>
      <w:r>
        <w:t xml:space="preserve">What the model finds instead is duration. Each additional year spent under an approved baseline is associated with 13.96 further percentage points of cumulative cost growth, with p = 0.0002 under classical standard errors and p = 0.028 under HC3. The bivariate correlation between exposure and overrun is 0.804. The human spaceflight indicator is negative and insignificant at minus 35.54 points, HC3 p = 0.35, which is to say that once exposure is held constant the crewed Artemis elements are not distinguishable from the science portfolio.</w:t>
      </w:r>
    </w:p>
    <w:p>
      <w:pPr>
        <w:pStyle w:val="BodyText"/>
      </w:pPr>
      <w:r>
        <w:t xml:space="preserve">One observation deserves scrutiny. The Space Network Ground Segment Sustainment effort has a Cook’s distance of 1.01, well above the conventional threshold. Removing it does not change the conclusion. The exposure coefficient falls to 8.01 points per year and remains significant at p = 0.007, the effort ratio remains flat at 0.20 with p = 0.88, and the model’s fit rises to R-squared 0.767.</w:t>
      </w:r>
    </w:p>
    <w:bookmarkEnd w:id="63"/>
    <w:bookmarkStart w:id="64" w:name="interpretation-against-the-canon"/>
    <w:p>
      <w:pPr>
        <w:pStyle w:val="Heading2"/>
      </w:pPr>
      <w:r>
        <w:t xml:space="preserve">4. Interpretation against the canon</w:t>
      </w:r>
    </w:p>
    <w:p>
      <w:pPr>
        <w:pStyle w:val="FirstParagraph"/>
      </w:pPr>
      <w:r>
        <w:t xml:space="preserve">The result refines rather than refutes Kennedy. His mechanism is a stock-and-flow argument about accumulation over decades, and this portfolio’s clearest empirical signature is precisely temporal</w:t>
      </w:r>
      <w:r>
        <w:t xml:space="preserve"> </w:t>
      </w:r>
      <w:hyperlink w:anchor="ref-1">
        <m:oMathPara>
          <m:oMathParaPr>
            <m:jc m:val="center"/>
          </m:oMathParaPr>
          <m:oMath>
            <m:r>
              <m:t>1</m:t>
            </m:r>
          </m:oMath>
        </m:oMathPara>
      </w:hyperlink>
      <w:r>
        <w:t xml:space="preserve">. The projects that consumed the American civil space base were not the ones that claimed the largest share of it at commitment. They were the ones that stayed committed longest. The James Webb Space Telescope, baselined in 2008 at 8.5 percent of the portfolio base, had accumulated 175.7 percent growth by 2022; the Space Launch System, baselined in 2014 at 21.1 percent of the base, a far larger initial claim, had accumulated 42.5 percent</w:t>
      </w:r>
      <w:r>
        <w:t xml:space="preserve"> </w:t>
      </w:r>
      <w:hyperlink w:anchor="ref-6">
        <m:oMathPara>
          <m:oMathParaPr>
            <m:jc m:val="center"/>
          </m:oMathParaPr>
          <m:oMath>
            <m:r>
              <m:t>6</m:t>
            </m:r>
          </m:oMath>
        </m:oMathPara>
      </w:hyperlink>
      <w:r>
        <w:t xml:space="preserve">. Scale at the moment of decision predicts little. Time under an unreversed decision predicts a great deal.</w:t>
      </w:r>
    </w:p>
    <w:p>
      <w:pPr>
        <w:pStyle w:val="FirstParagraph"/>
      </w:pPr>
      <w:r>
        <w:t xml:space="preserve">That is Gaddis’s point about irreversibility rendered as a regression coefficient</w:t>
      </w:r>
      <w:r>
        <w:t xml:space="preserve"> </w:t>
      </w:r>
      <w:hyperlink w:anchor="ref-2">
        <m:oMathPara>
          <m:oMathParaPr>
            <m:jc m:val="center"/>
          </m:oMathParaPr>
          <m:oMath>
            <m:r>
              <m:t>2</m:t>
            </m:r>
          </m:oMath>
        </m:oMathPara>
      </w:hyperlink>
      <w:r>
        <w:t xml:space="preserve">. It is also Luttwak’s paradoxical logic operating in an acquisition register rather than a battlefield one: the commitment that has already consumed the most is the one hardest to abandon, so continuation past the culminating point becomes the institutionally rational choice for every actor except the polity paying for it</w:t>
      </w:r>
      <w:r>
        <w:t xml:space="preserve"> </w:t>
      </w:r>
      <w:hyperlink w:anchor="ref-5">
        <m:oMathPara>
          <m:oMathParaPr>
            <m:jc m:val="center"/>
          </m:oMathParaPr>
          <m:oMath>
            <m:r>
              <m:t>5</m:t>
            </m:r>
          </m:oMath>
        </m:oMathPara>
      </w:hyperlink>
      <w:r>
        <w:t xml:space="preserve">. GAO’s own long-run accounting supplies the confirmation. Of fifty-three projects that completed or entered final development since 2009, thirty stayed below the fifteen percent statutory reporting threshold, while three Artemis projects alone account for nearly seven billion dollars, close to half of all accumulated overruns</w:t>
      </w:r>
      <w:r>
        <w:t xml:space="preserve"> </w:t>
      </w:r>
      <w:hyperlink w:anchor="ref-9">
        <m:oMathPara>
          <m:oMathParaPr>
            <m:jc m:val="center"/>
          </m:oMathParaPr>
          <m:oMath>
            <m:r>
              <m:t>9</m:t>
            </m:r>
          </m:oMath>
        </m:oMathPara>
      </w:hyperlink>
      <w:r>
        <w:t xml:space="preserve">.</w:t>
      </w:r>
    </w:p>
    <w:p>
      <w:pPr>
        <w:pStyle w:val="FirstParagraph"/>
      </w:pPr>
      <w:r>
        <w:t xml:space="preserve">Brands and Beckley supply the strategic sting. Their peaking-power thesis holds that danger concentrates in windows, and that a competitor’s behavior is often driven by a closing opportunity rather than by rising confidence</w:t>
      </w:r>
      <w:r>
        <w:t xml:space="preserve"> </w:t>
      </w:r>
      <w:hyperlink w:anchor="ref-4">
        <m:oMathPara>
          <m:oMathParaPr>
            <m:jc m:val="center"/>
          </m:oMathParaPr>
          <m:oMath>
            <m:r>
              <m:t>4</m:t>
            </m:r>
          </m:oMath>
        </m:oMathPara>
      </w:hyperlink>
      <w:r>
        <w:t xml:space="preserve">. If the binding constraint on American space performance is duration rather than budget share, then the relevant vulnerability is not fiscal exhaustion but temporal exposure: a portfolio whose flagship commitments mature over a decade or more is structurally mismatched to an adversary optimizing for a window measured in years. Kennedy’s prescription follows without amendment, and it is not to spend less. It is to shorten the interval between commitment and delivery, so that the productive base is converted into deployed capability before the strategic problem it was meant to answer has moved</w:t>
      </w:r>
      <w:r>
        <w:t xml:space="preserve"> </w:t>
      </w:r>
      <w:hyperlink w:anchor="ref-1">
        <m:oMathPara>
          <m:oMathParaPr>
            <m:jc m:val="center"/>
          </m:oMathParaPr>
          <m:oMath>
            <m:r>
              <m:t>1</m:t>
            </m:r>
          </m:oMath>
        </m:oMathPara>
      </w:hyperlink>
      <w:r>
        <w:t xml:space="preserve">[3][12].</w:t>
      </w:r>
    </w:p>
    <w:bookmarkEnd w:id="64"/>
    <w:bookmarkStart w:id="79" w:name="references"/>
    <w:p>
      <w:pPr>
        <w:pStyle w:val="Heading2"/>
      </w:pPr>
      <w:r>
        <w:t xml:space="preserve">References</w:t>
      </w:r>
    </w:p>
    <w:p>
      <w:pPr>
        <w:pStyle w:val="FirstParagraph"/>
      </w:pPr>
      <w:bookmarkStart w:id="65" w:name="ref-1"/>
      <w:bookmarkEnd w:id="65"/>
      <w:r>
        <w:t xml:space="preserve">1. Kennedy, Paul.</w:t>
      </w:r>
      <w:r>
        <w:t xml:space="preserve"> </w:t>
      </w:r>
      <w:r>
        <w:rPr>
          <w:i/>
          <w:iCs/>
        </w:rPr>
        <w:t xml:space="preserve">The Rise and Fall of the Great Powers</w:t>
      </w:r>
      <w:r>
        <w:t xml:space="preserve">. New York: Random House, 1987. Frameworks summarized in the COLLEGIUM Hall of Shoulders dossier,</w:t>
      </w:r>
      <w:r>
        <w:t xml:space="preserve"> </w:t>
      </w:r>
      <w:r>
        <w:rPr>
          <w:rStyle w:val="VerbatimChar"/>
        </w:rPr>
        <w:t xml:space="preserve">D:/Claude_Code/brain/collegium/hall_of_shoulders/brains/paul_kennedy/dossier.md</w:t>
      </w:r>
      <w:r>
        <w:t xml:space="preserve">.</w:t>
      </w:r>
    </w:p>
    <w:p>
      <w:pPr>
        <w:pStyle w:val="BodyText"/>
      </w:pPr>
      <w:bookmarkStart w:id="66" w:name="ref-2"/>
      <w:bookmarkEnd w:id="66"/>
      <w:r>
        <w:t xml:space="preserve">2. Gaddis, John Lewis.</w:t>
      </w:r>
      <w:r>
        <w:t xml:space="preserve"> </w:t>
      </w:r>
      <w:r>
        <w:rPr>
          <w:i/>
          <w:iCs/>
        </w:rPr>
        <w:t xml:space="preserve">On Grand Strategy</w:t>
      </w:r>
      <w:r>
        <w:t xml:space="preserve">. New York: Penguin, 2018;</w:t>
      </w:r>
      <w:r>
        <w:t xml:space="preserve"> </w:t>
      </w:r>
      <w:r>
        <w:rPr>
          <w:i/>
          <w:iCs/>
        </w:rPr>
        <w:t xml:space="preserve">Strategies of Containment</w:t>
      </w:r>
      <w:r>
        <w:t xml:space="preserve">, rev. ed., 2005. Hall of Shoulders dossier,</w:t>
      </w:r>
      <w:r>
        <w:t xml:space="preserve"> </w:t>
      </w:r>
      <w:r>
        <w:rPr>
          <w:rStyle w:val="VerbatimChar"/>
        </w:rPr>
        <w:t xml:space="preserve">.../brains/gaddis/dossier.md</w:t>
      </w:r>
      <w:r>
        <w:t xml:space="preserve">.</w:t>
      </w:r>
    </w:p>
    <w:p>
      <w:pPr>
        <w:pStyle w:val="BodyText"/>
      </w:pPr>
      <w:bookmarkStart w:id="67" w:name="ref-3"/>
      <w:bookmarkEnd w:id="67"/>
      <w:r>
        <w:t xml:space="preserve">3. Kissinger, Henry.</w:t>
      </w:r>
      <w:r>
        <w:t xml:space="preserve"> </w:t>
      </w:r>
      <w:r>
        <w:rPr>
          <w:i/>
          <w:iCs/>
        </w:rPr>
        <w:t xml:space="preserve">A World Restored</w:t>
      </w:r>
      <w:r>
        <w:t xml:space="preserve"> </w:t>
      </w:r>
      <w:r>
        <w:t xml:space="preserve">(1957);</w:t>
      </w:r>
      <w:r>
        <w:t xml:space="preserve"> </w:t>
      </w:r>
      <w:r>
        <w:rPr>
          <w:i/>
          <w:iCs/>
        </w:rPr>
        <w:t xml:space="preserve">Diplomacy</w:t>
      </w:r>
      <w:r>
        <w:t xml:space="preserve"> </w:t>
      </w:r>
      <w:r>
        <w:t xml:space="preserve">(1994);</w:t>
      </w:r>
      <w:r>
        <w:t xml:space="preserve"> </w:t>
      </w:r>
      <w:r>
        <w:rPr>
          <w:i/>
          <w:iCs/>
        </w:rPr>
        <w:t xml:space="preserve">World Order</w:t>
      </w:r>
      <w:r>
        <w:t xml:space="preserve"> </w:t>
      </w:r>
      <w:r>
        <w:t xml:space="preserve">(2014). Hall of Shoulders dossier,</w:t>
      </w:r>
      <w:r>
        <w:t xml:space="preserve"> </w:t>
      </w:r>
      <w:r>
        <w:rPr>
          <w:rStyle w:val="VerbatimChar"/>
        </w:rPr>
        <w:t xml:space="preserve">.../brains/kissinger/dossier.md</w:t>
      </w:r>
      <w:r>
        <w:t xml:space="preserve">.</w:t>
      </w:r>
    </w:p>
    <w:p>
      <w:pPr>
        <w:pStyle w:val="BodyText"/>
      </w:pPr>
      <w:bookmarkStart w:id="68" w:name="ref-4"/>
      <w:bookmarkEnd w:id="68"/>
      <w:r>
        <w:t xml:space="preserve">4. Brands, Hal, and Michael Beckley.</w:t>
      </w:r>
      <w:r>
        <w:t xml:space="preserve"> </w:t>
      </w:r>
      <w:r>
        <w:rPr>
          <w:i/>
          <w:iCs/>
        </w:rPr>
        <w:t xml:space="preserve">Danger Zone: The Coming Conflict with China</w:t>
      </w:r>
      <w:r>
        <w:t xml:space="preserve">. New York: Norton, 2022;</w:t>
      </w:r>
      <w:r>
        <w:t xml:space="preserve"> </w:t>
      </w:r>
      <w:r>
        <w:t xml:space="preserve">“The Peril of Peaking Powers,”</w:t>
      </w:r>
      <w:r>
        <w:t xml:space="preserve"> </w:t>
      </w:r>
      <w:r>
        <w:rPr>
          <w:i/>
          <w:iCs/>
        </w:rPr>
        <w:t xml:space="preserve">International Security</w:t>
      </w:r>
      <w:r>
        <w:t xml:space="preserve"> </w:t>
      </w:r>
      <w:r>
        <w:t xml:space="preserve">(2023), doi:</w:t>
      </w:r>
      <w:r>
        <w:t xml:space="preserve"> </w:t>
      </w:r>
      <w:hyperlink r:id="rId69">
        <w:r>
          <w:rPr>
            <w:rStyle w:val="Hyperlink"/>
          </w:rPr>
          <w:t xml:space="preserve">10.1162/isec_a_00463</w:t>
        </w:r>
      </w:hyperlink>
      <w:r>
        <w:t xml:space="preserve"> </w:t>
      </w:r>
      <w:r>
        <w:t xml:space="preserve">Hall of Shoulders dossier,</w:t>
      </w:r>
      <w:r>
        <w:t xml:space="preserve"> </w:t>
      </w:r>
      <w:r>
        <w:rPr>
          <w:rStyle w:val="VerbatimChar"/>
        </w:rPr>
        <w:t xml:space="preserve">.../brains/brands_beckley/dossier.md</w:t>
      </w:r>
      <w:r>
        <w:t xml:space="preserve">.</w:t>
      </w:r>
    </w:p>
    <w:p>
      <w:pPr>
        <w:pStyle w:val="BodyText"/>
      </w:pPr>
      <w:bookmarkStart w:id="70" w:name="ref-5"/>
      <w:bookmarkEnd w:id="70"/>
      <w:r>
        <w:t xml:space="preserve">5. Luttwak, Edward N.</w:t>
      </w:r>
      <w:r>
        <w:t xml:space="preserve"> </w:t>
      </w:r>
      <w:r>
        <w:rPr>
          <w:i/>
          <w:iCs/>
        </w:rPr>
        <w:t xml:space="preserve">Strategy: The Logic of War and Peace</w:t>
      </w:r>
      <w:r>
        <w:t xml:space="preserve">, rev. ed. Cambridge: Belknap, 2001. Hall of Shoulders dossier,</w:t>
      </w:r>
      <w:r>
        <w:t xml:space="preserve"> </w:t>
      </w:r>
      <w:r>
        <w:rPr>
          <w:rStyle w:val="VerbatimChar"/>
        </w:rPr>
        <w:t xml:space="preserve">.../brains/luttwak/dossier.md</w:t>
      </w:r>
      <w:r>
        <w:t xml:space="preserve">.</w:t>
      </w:r>
    </w:p>
    <w:p>
      <w:pPr>
        <w:pStyle w:val="BodyText"/>
      </w:pPr>
      <w:bookmarkStart w:id="71" w:name="ref-6"/>
      <w:bookmarkEnd w:id="71"/>
      <w:r>
        <w:t xml:space="preserve">6. U.S. Government Accountability Office.</w:t>
      </w:r>
      <w:r>
        <w:t xml:space="preserve"> </w:t>
      </w:r>
      <w:r>
        <w:rPr>
          <w:i/>
          <w:iCs/>
        </w:rPr>
        <w:t xml:space="preserve">NASA: Assessments of Major Projects</w:t>
      </w:r>
      <w:r>
        <w:t xml:space="preserve">, GAO-22-105212. Washington, D.C., July 2022. Table 6 and Appendices IV and V.</w:t>
      </w:r>
    </w:p>
    <w:p>
      <w:pPr>
        <w:pStyle w:val="BodyText"/>
      </w:pPr>
      <w:bookmarkStart w:id="72" w:name="ref-7"/>
      <w:bookmarkEnd w:id="72"/>
      <w:r>
        <w:t xml:space="preserve">7. U.S. Government Accountability Office.</w:t>
      </w:r>
      <w:r>
        <w:t xml:space="preserve"> </w:t>
      </w:r>
      <w:r>
        <w:rPr>
          <w:i/>
          <w:iCs/>
        </w:rPr>
        <w:t xml:space="preserve">NASA: Assessments of Major Projects</w:t>
      </w:r>
      <w:r>
        <w:t xml:space="preserve">, GAO-21-306. Washington, D.C., May 2021. Tables 2, 3, and 6.</w:t>
      </w:r>
    </w:p>
    <w:p>
      <w:pPr>
        <w:pStyle w:val="BodyText"/>
      </w:pPr>
      <w:bookmarkStart w:id="73" w:name="ref-8"/>
      <w:bookmarkEnd w:id="73"/>
      <w:r>
        <w:t xml:space="preserve">8. U.S. Government Accountability Office.</w:t>
      </w:r>
      <w:r>
        <w:t xml:space="preserve"> </w:t>
      </w:r>
      <w:r>
        <w:rPr>
          <w:i/>
          <w:iCs/>
        </w:rPr>
        <w:t xml:space="preserve">NASA: Assessments of Major Projects</w:t>
      </w:r>
      <w:r>
        <w:t xml:space="preserve">, GAO-19-262SP. Washington, D.C., May 2019. Tables 1 and 2.</w:t>
      </w:r>
    </w:p>
    <w:p>
      <w:pPr>
        <w:pStyle w:val="BodyText"/>
      </w:pPr>
      <w:bookmarkStart w:id="74" w:name="ref-9"/>
      <w:bookmarkEnd w:id="74"/>
      <w:r>
        <w:t xml:space="preserve">9. U.S. Government Accountability Office.</w:t>
      </w:r>
      <w:r>
        <w:t xml:space="preserve"> </w:t>
      </w:r>
      <w:r>
        <w:rPr>
          <w:i/>
          <w:iCs/>
        </w:rPr>
        <w:t xml:space="preserve">NASA: Assessments of Major Projects</w:t>
      </w:r>
      <w:r>
        <w:t xml:space="preserve">, GAO-25-107591 (Highlights). Washington, D.C., July 2025.</w:t>
      </w:r>
    </w:p>
    <w:p>
      <w:pPr>
        <w:pStyle w:val="BodyText"/>
      </w:pPr>
      <w:bookmarkStart w:id="75" w:name="ref-10"/>
      <w:bookmarkEnd w:id="75"/>
      <w:r>
        <w:t xml:space="preserve">10. Budget of NASA, nominal enacted appropriations by fiscal year, FY2008 through FY2022.</w:t>
      </w:r>
    </w:p>
    <w:p>
      <w:pPr>
        <w:pStyle w:val="BodyText"/>
      </w:pPr>
      <w:bookmarkStart w:id="76" w:name="ref-11"/>
      <w:bookmarkEnd w:id="76"/>
      <w:r>
        <w:t xml:space="preserve">11. World Bank.</w:t>
      </w:r>
      <w:r>
        <w:t xml:space="preserve"> </w:t>
      </w:r>
      <w:r>
        <w:rPr>
          <w:i/>
          <w:iCs/>
        </w:rPr>
        <w:t xml:space="preserve">World Development Indicators</w:t>
      </w:r>
      <w:r>
        <w:t xml:space="preserve">, series NY.GDP.MKTP.CD, United States gross domestic product in current U.S. dollars, 2008 to 2022.</w:t>
      </w:r>
    </w:p>
    <w:p>
      <w:pPr>
        <w:pStyle w:val="BodyText"/>
      </w:pPr>
      <w:bookmarkStart w:id="77" w:name="ref-12"/>
      <w:bookmarkEnd w:id="77"/>
      <w:r>
        <w:t xml:space="preserve">12. Goswami, Namrata, and Peter A. Garretson.</w:t>
      </w:r>
      <w:r>
        <w:t xml:space="preserve"> </w:t>
      </w:r>
      <w:r>
        <w:rPr>
          <w:i/>
          <w:iCs/>
        </w:rPr>
        <w:t xml:space="preserve">Scramble for the Skies: The Great Power Competition to Control the Resources of Outer Space</w:t>
      </w:r>
      <w:r>
        <w:t xml:space="preserve">. Lanham: Lexington Books, 2020. Full text consulted at</w:t>
      </w:r>
      <w:r>
        <w:t xml:space="preserve"> </w:t>
      </w:r>
      <w:r>
        <w:rPr>
          <w:rStyle w:val="VerbatimChar"/>
        </w:rPr>
        <w:t xml:space="preserve">D:/Epubor_Ouput/Ultimate/Scramble for the Skies.txt</w:t>
      </w:r>
      <w:r>
        <w:t xml:space="preserve">; Hall of Shoulders dossier,</w:t>
      </w:r>
      <w:r>
        <w:t xml:space="preserve"> </w:t>
      </w:r>
      <w:r>
        <w:rPr>
          <w:rStyle w:val="VerbatimChar"/>
        </w:rPr>
        <w:t xml:space="preserve">.../brains/goswami_garretson/dossier.md</w:t>
      </w:r>
      <w:r>
        <w:t xml:space="preserve">.</w:t>
      </w:r>
    </w:p>
    <w:p>
      <w:pPr>
        <w:pStyle w:val="BodyText"/>
      </w:pPr>
      <w:bookmarkStart w:id="78" w:name="ref-13"/>
      <w:bookmarkEnd w:id="78"/>
      <w:r>
        <w:t xml:space="preserve">13. Organisation for Economic Co-operation and Development.</w:t>
      </w:r>
      <w:r>
        <w:t xml:space="preserve"> </w:t>
      </w:r>
      <w:r>
        <w:rPr>
          <w:i/>
          <w:iCs/>
        </w:rPr>
        <w:t xml:space="preserve">The Space Economy in Figures</w:t>
      </w:r>
      <w:r>
        <w:t xml:space="preserve">. Paris: OECD Publishing, 2019 and 2023 editions.</w:t>
      </w:r>
    </w:p>
    <w:bookmarkEnd w:id="79"/>
    <w:bookmarkStart w:id="80" w:name="specification"/>
    <w:p>
      <w:pPr>
        <w:pStyle w:val="Heading2"/>
      </w:pPr>
      <w:r>
        <w:t xml:space="preserve">Specification</w:t>
      </w:r>
    </w:p>
    <w:p>
      <w:pPr>
        <w:pStyle w:val="FirstParagraph"/>
      </w:pPr>
      <w:r>
        <w:t xml:space="preserve">$$ \[ cost\_overrun\_pct_i = \beta_0 + \beta_1\, space\_spend\_pct\_gdp_i + \beta_2\, space\_effort\_ratio\_pct_i + \beta_3\, years\_in\_development_i + \beta_4\, human\_spaceflight_i + \varepsilon_i $$</w:t>
      </w:r>
    </w:p>
    <w:p>
      <w:pPr>
        <w:pStyle w:val="FirstParagraph"/>
      </w:pPr>
      <w:r>
        <w:t xml:space="preserve">]</w:t>
      </w:r>
    </w:p>
    <w:bookmarkEnd w:id="80"/>
    <w:bookmarkStart w:id="84" w:name="results-1"/>
    <w:p>
      <w:pPr>
        <w:pStyle w:val="Heading2"/>
      </w:pPr>
      <w:r>
        <w:t xml:space="preserve">Results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-69.4687</w:t>
            </w:r>
          </w:p>
        </w:tc>
        <w:tc>
          <w:tcPr>
            <w:tcW w:w="0" w:type="auto"/>
          </w:tcPr>
          <w:p>
            <w:pPr>
              <w:spacing w:line="240" w:lineRule="auto" w:before="0" w:after="0"/>
              <w:pStyle w:val="Compact"/>
            </w:pPr>
            <w:r>
              <w:rPr>
                <w:sz w:val="20"/>
                <w:szCs w:val="20"/>
              </w:rPr>
              <w:t xml:space="preserve">253.6716</w:t>
            </w:r>
          </w:p>
        </w:tc>
        <w:tc>
          <w:tcPr>
            <w:tcW w:w="0" w:type="auto"/>
          </w:tcPr>
          <w:p>
            <w:pPr>
              <w:spacing w:line="240" w:lineRule="auto" w:before="0" w:after="0"/>
              <w:pStyle w:val="Compact"/>
            </w:pPr>
            <w:r>
              <w:rPr>
                <w:sz w:val="20"/>
                <w:szCs w:val="20"/>
              </w:rPr>
              <w:t xml:space="preserve">-0.2739</w:t>
            </w:r>
          </w:p>
        </w:tc>
        <w:tc>
          <w:tcPr>
            <w:tcW w:w="0" w:type="auto"/>
          </w:tcPr>
          <w:p>
            <w:pPr>
              <w:spacing w:line="240" w:lineRule="auto" w:before="0" w:after="0"/>
              <w:pStyle w:val="Compact"/>
            </w:pPr>
            <w:r>
              <w:rPr>
                <w:sz w:val="20"/>
                <w:szCs w:val="20"/>
              </w:rPr>
              <w:t xml:space="preserve">0.7842</w:t>
            </w:r>
          </w:p>
        </w:tc>
        <w:tc>
          <w:tcPr>
            <w:tcW w:w="0" w:type="auto"/>
          </w:tcPr>
          <w:p>
            <w:pPr>
              <w:spacing w:line="240" w:lineRule="auto" w:before="0" w:after="0"/>
              <w:pStyle w:val="Compact"/>
            </w:pPr>
            <w:r>
              <w:rPr>
                <w:sz w:val="20"/>
                <w:szCs w:val="20"/>
              </w:rPr>
              <w:t xml:space="preserve">[-566.6558, 427.7185]</w:t>
            </w:r>
          </w:p>
        </w:tc>
      </w:tr>
      <w:tr>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347.5327</w:t>
            </w:r>
          </w:p>
        </w:tc>
        <w:tc>
          <w:tcPr>
            <w:tcW w:w="0" w:type="auto"/>
          </w:tcPr>
          <w:p>
            <w:pPr>
              <w:spacing w:line="240" w:lineRule="auto" w:before="0" w:after="0"/>
              <w:pStyle w:val="Compact"/>
            </w:pPr>
            <w:r>
              <w:rPr>
                <w:sz w:val="20"/>
                <w:szCs w:val="20"/>
              </w:rPr>
              <w:t xml:space="preserve">2621.8217</w:t>
            </w:r>
          </w:p>
        </w:tc>
        <w:tc>
          <w:tcPr>
            <w:tcW w:w="0" w:type="auto"/>
          </w:tcPr>
          <w:p>
            <w:pPr>
              <w:spacing w:line="240" w:lineRule="auto" w:before="0" w:after="0"/>
              <w:pStyle w:val="Compact"/>
            </w:pPr>
            <w:r>
              <w:rPr>
                <w:sz w:val="20"/>
                <w:szCs w:val="20"/>
              </w:rPr>
              <w:t xml:space="preserve">0.1326</w:t>
            </w:r>
          </w:p>
        </w:tc>
        <w:tc>
          <w:tcPr>
            <w:tcW w:w="0" w:type="auto"/>
          </w:tcPr>
          <w:p>
            <w:pPr>
              <w:spacing w:line="240" w:lineRule="auto" w:before="0" w:after="0"/>
              <w:pStyle w:val="Compact"/>
            </w:pPr>
            <w:r>
              <w:rPr>
                <w:sz w:val="20"/>
                <w:szCs w:val="20"/>
              </w:rPr>
              <w:t xml:space="preserve">0.8945</w:t>
            </w:r>
          </w:p>
        </w:tc>
        <w:tc>
          <w:tcPr>
            <w:tcW w:w="0" w:type="auto"/>
          </w:tcPr>
          <w:p>
            <w:pPr>
              <w:spacing w:line="240" w:lineRule="auto" w:before="0" w:after="0"/>
              <w:pStyle w:val="Compact"/>
            </w:pPr>
            <w:r>
              <w:rPr>
                <w:sz w:val="20"/>
                <w:szCs w:val="20"/>
              </w:rPr>
              <w:t xml:space="preserve">[-4791.1435, 5486.2089]</w:t>
            </w:r>
          </w:p>
        </w:tc>
      </w:tr>
      <w:tr>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0.2141</w:t>
            </w:r>
          </w:p>
        </w:tc>
        <w:tc>
          <w:tcPr>
            <w:tcW w:w="0" w:type="auto"/>
          </w:tcPr>
          <w:p>
            <w:pPr>
              <w:spacing w:line="240" w:lineRule="auto" w:before="0" w:after="0"/>
              <w:pStyle w:val="Compact"/>
            </w:pPr>
            <w:r>
              <w:rPr>
                <w:sz w:val="20"/>
                <w:szCs w:val="20"/>
              </w:rPr>
              <w:t xml:space="preserve">0.564</w:t>
            </w:r>
          </w:p>
        </w:tc>
        <w:tc>
          <w:tcPr>
            <w:tcW w:w="0" w:type="auto"/>
          </w:tcPr>
          <w:p>
            <w:pPr>
              <w:spacing w:line="240" w:lineRule="auto" w:before="0" w:after="0"/>
              <w:pStyle w:val="Compact"/>
            </w:pPr>
            <w:r>
              <w:rPr>
                <w:sz w:val="20"/>
                <w:szCs w:val="20"/>
              </w:rPr>
              <w:t xml:space="preserve">0.3795</w:t>
            </w:r>
          </w:p>
        </w:tc>
        <w:tc>
          <w:tcPr>
            <w:tcW w:w="0" w:type="auto"/>
          </w:tcPr>
          <w:p>
            <w:pPr>
              <w:spacing w:line="240" w:lineRule="auto" w:before="0" w:after="0"/>
              <w:pStyle w:val="Compact"/>
            </w:pPr>
            <w:r>
              <w:rPr>
                <w:sz w:val="20"/>
                <w:szCs w:val="20"/>
              </w:rPr>
              <w:t xml:space="preserve">0.7043</w:t>
            </w:r>
          </w:p>
        </w:tc>
        <w:tc>
          <w:tcPr>
            <w:tcW w:w="0" w:type="auto"/>
          </w:tcPr>
          <w:p>
            <w:pPr>
              <w:spacing w:line="240" w:lineRule="auto" w:before="0" w:after="0"/>
              <w:pStyle w:val="Compact"/>
            </w:pPr>
            <w:r>
              <w:rPr>
                <w:sz w:val="20"/>
                <w:szCs w:val="20"/>
              </w:rPr>
              <w:t xml:space="preserve">[-0.8914, 1.3196]</w:t>
            </w:r>
          </w:p>
        </w:tc>
      </w:tr>
      <w:tr>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13.9596</w:t>
            </w:r>
          </w:p>
        </w:tc>
        <w:tc>
          <w:tcPr>
            <w:tcW w:w="0" w:type="auto"/>
          </w:tcPr>
          <w:p>
            <w:pPr>
              <w:spacing w:line="240" w:lineRule="auto" w:before="0" w:after="0"/>
              <w:pStyle w:val="Compact"/>
            </w:pPr>
            <w:r>
              <w:rPr>
                <w:sz w:val="20"/>
                <w:szCs w:val="20"/>
              </w:rPr>
              <w:t xml:space="preserve">4.6125</w:t>
            </w:r>
          </w:p>
        </w:tc>
        <w:tc>
          <w:tcPr>
            <w:tcW w:w="0" w:type="auto"/>
          </w:tcPr>
          <w:p>
            <w:pPr>
              <w:spacing w:line="240" w:lineRule="auto" w:before="0" w:after="0"/>
              <w:pStyle w:val="Compact"/>
            </w:pPr>
            <w:r>
              <w:rPr>
                <w:sz w:val="20"/>
                <w:szCs w:val="20"/>
              </w:rPr>
              <w:t xml:space="preserve">3.0265</w:t>
            </w:r>
          </w:p>
        </w:tc>
        <w:tc>
          <w:tcPr>
            <w:tcW w:w="0" w:type="auto"/>
          </w:tcPr>
          <w:p>
            <w:pPr>
              <w:spacing w:line="240" w:lineRule="auto" w:before="0" w:after="0"/>
              <w:pStyle w:val="Compact"/>
            </w:pPr>
            <w:r>
              <w:rPr>
                <w:sz w:val="20"/>
                <w:szCs w:val="20"/>
              </w:rPr>
              <w:t xml:space="preserve">0.0025</w:t>
            </w:r>
          </w:p>
        </w:tc>
        <w:tc>
          <w:tcPr>
            <w:tcW w:w="0" w:type="auto"/>
          </w:tcPr>
          <w:p>
            <w:pPr>
              <w:spacing w:line="240" w:lineRule="auto" w:before="0" w:after="0"/>
              <w:pStyle w:val="Compact"/>
            </w:pPr>
            <w:r>
              <w:rPr>
                <w:sz w:val="20"/>
                <w:szCs w:val="20"/>
              </w:rPr>
              <w:t xml:space="preserve">[4.9192, 23]</w:t>
            </w:r>
          </w:p>
        </w:tc>
      </w:tr>
      <w:tr>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-35.5434</w:t>
            </w:r>
          </w:p>
        </w:tc>
        <w:tc>
          <w:tcPr>
            <w:tcW w:w="0" w:type="auto"/>
          </w:tcPr>
          <w:p>
            <w:pPr>
              <w:spacing w:line="240" w:lineRule="auto" w:before="0" w:after="0"/>
              <w:pStyle w:val="Compact"/>
            </w:pPr>
            <w:r>
              <w:rPr>
                <w:sz w:val="20"/>
                <w:szCs w:val="20"/>
              </w:rPr>
              <w:t xml:space="preserve">27.4524</w:t>
            </w:r>
          </w:p>
        </w:tc>
        <w:tc>
          <w:tcPr>
            <w:tcW w:w="0" w:type="auto"/>
          </w:tcPr>
          <w:p>
            <w:pPr>
              <w:spacing w:line="240" w:lineRule="auto" w:before="0" w:after="0"/>
              <w:pStyle w:val="Compact"/>
            </w:pPr>
            <w:r>
              <w:rPr>
                <w:sz w:val="20"/>
                <w:szCs w:val="20"/>
              </w:rPr>
              <w:t xml:space="preserve">-1.2947</w:t>
            </w:r>
          </w:p>
        </w:tc>
        <w:tc>
          <w:tcPr>
            <w:tcW w:w="0" w:type="auto"/>
          </w:tcPr>
          <w:p>
            <w:pPr>
              <w:spacing w:line="240" w:lineRule="auto" w:before="0" w:after="0"/>
              <w:pStyle w:val="Compact"/>
            </w:pPr>
            <w:r>
              <w:rPr>
                <w:sz w:val="20"/>
                <w:szCs w:val="20"/>
              </w:rPr>
              <w:t xml:space="preserve">0.1954</w:t>
            </w:r>
          </w:p>
        </w:tc>
        <w:tc>
          <w:tcPr>
            <w:tcW w:w="0" w:type="auto"/>
          </w:tcPr>
          <w:p>
            <w:pPr>
              <w:spacing w:line="240" w:lineRule="auto" w:before="0" w:after="0"/>
              <w:pStyle w:val="Compact"/>
            </w:pPr>
            <w:r>
              <w:rPr>
                <w:sz w:val="20"/>
                <w:szCs w:val="20"/>
              </w:rPr>
              <w:t xml:space="preserve">[-89.349, 18.2623]</w:t>
            </w:r>
          </w:p>
        </w:tc>
      </w:tr>
    </w:tbl>
    <w:p>
      <w:pPr>
        <w:pStyle w:val="BodyText"/>
      </w:pPr>
      <w:r>
        <w:t xml:space="preserve">Fit: N = 22 R2 = 0.7003 R2_adj = 0.6298 F = 31.9122 F_p = 1.061e-07</w:t>
      </w:r>
    </w:p>
    <w:p>
      <w:pPr>
        <w:pStyle w:val="CaptionedFigure"/>
      </w:pPr>
      <w:r>
        <w:drawing>
          <wp:inline>
            <wp:extent cx="5669280" cy="3657600"/>
            <wp:effectExtent b="0" l="0" r="0" t="0"/>
            <wp:docPr descr="Figure 1. Cumulative development cost growth against the project’s claim on NASA’s committed major-project development base, twenty-two major projects assessed by GAO in 2021 and 2022. The fitted slope is flat and statistically indistinguishable from zero (beta_2 = 0.21, HC3 p = 0.78), so the levels form of the overstretch proposition is not supported. The overall specification nonetheless explains most of the variance (R-squared = 0.70, F(4,17) = 9.93, p = 0.0002), and the work is carried by exposure rather than by scale: each additional year under an approved baseline is associated with 13.96 percentage points of further cost growth (HC3 p = 0.03). The two extreme observations at upper left, the Space Network Ground Segment Sustainment effort and the James Webb Space Telescope, are small and mid-sized commitments carried for nine and fourteen years respectively." title="" id="82" name="Picture"/>
            <a:graphic>
              <a:graphicData uri="http://schemas.openxmlformats.org/drawingml/2006/picture">
                <pic:pic>
                  <pic:nvPicPr>
                    <pic:cNvPr descr="dissertations\GRAND_STRATEGY_CANON_01\research_papers\p5\paper_fig1.png" id="83" name="Picture"/>
                    <pic:cNvPicPr>
                      <a:picLocks noChangeArrowheads="1" noChangeAspect="1"/>
                    </pic:cNvPicPr>
                  </pic:nvPicPr>
                  <pic:blipFill>
                    <a:blip r:embed="rId81"/>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pPr>
      <w:r>
        <w:t xml:space="preserve">Figure 1. Cumulative development cost growth against the project’s claim on NASA’s committed major-project development base, twenty-two major projects assessed by GAO in 2021 and 2022. The fitted slope is flat and statistically indistinguishable from zero (beta_2 = 0.21, HC3 p = 0.78), so the levels form of the overstretch proposition is not supported. The overall specification nonetheless explains most of the variance (R-squared = 0.70, F(4,17) = 9.93, p = 0.0002), and the work is carried by exposure rather than by scale: each additional year under an approved baseline is associated with 13.96 percentage points of further cost growth (HC3 p = 0.03). The two extreme observations at upper left, the Space Network Ground Segment Sustainment effort and the James Webb Space Telescope, are small and mid-sized commitments carried for nine and fourteen years respectively.</w:t>
      </w:r>
    </w:p>
    <w:bookmarkEnd w:id="84"/>
    <w:bookmarkStart w:id="88" w:name="empirical-workbook-embedded"/>
    <w:p>
      <w:pPr>
        <w:pStyle w:val="Heading2"/>
      </w:pPr>
      <w:r>
        <w:t xml:space="preserve">Empirical Workbook (embedded)</w:t>
      </w:r>
    </w:p>
    <w:p>
      <w:pPr>
        <w:pStyle w:val="FirstParagraph"/>
      </w:pPr>
      <w:r>
        <w:t xml:space="preserve">Every figure above is reproduced from the workbook below, which is also attached as the live spreadsheet</w:t>
      </w:r>
      <w:r>
        <w:t xml:space="preserve"> </w:t>
      </w:r>
      <w:r>
        <w:rPr>
          <w:rStyle w:val="VerbatimChar"/>
        </w:rPr>
        <w:t xml:space="preserve">paper.xlsx</w:t>
      </w:r>
      <w:r>
        <w:t xml:space="preserve">. Each observation carries its source.</w:t>
      </w:r>
    </w:p>
    <w:bookmarkStart w:id="85" w:name="data-real-observations"/>
    <w:p>
      <w:pPr>
        <w:pStyle w:val="Heading3"/>
      </w:pPr>
      <w:r>
        <w:t xml:space="preserve">Data (real observations)</w:t>
      </w:r>
    </w:p>
    <w:tbl>
      <w:tblPr>
        <w:tblStyle w:val="Table"/>
        <w:tblLook w:firstRow="1" w:lastRow="0" w:firstColumn="0" w:lastColumn="0" w:noHBand="0" w:noVBand="0" w:val="0020"/>
        <w:tblLayout w:type="autofit"/>
        <w:tblW w:w="0" w:type="auto"/>
      </w:tblPr>
      <w:tblGrid>
        <w:gridCol w:w="609"/>
        <w:gridCol w:w="609"/>
        <w:gridCol w:w="609"/>
        <w:gridCol w:w="609"/>
        <w:gridCol w:w="609"/>
        <w:gridCol w:w="609"/>
        <w:gridCol w:w="609"/>
        <w:gridCol w:w="609"/>
        <w:gridCol w:w="609"/>
        <w:gridCol w:w="609"/>
        <w:gridCol w:w="609"/>
        <w:gridCol w:w="609"/>
        <w:gridCol w:w="609"/>
      </w:tblGrid>
      <w:tr>
        <w:trPr>
          <w:tblHeader w:val="on"/>
        </w:trPr>
        <w:tc>
          <w:tcPr>
            <w:tcW w:w="0" w:type="auto"/>
          </w:tcPr>
          <w:p>
            <w:pPr>
              <w:spacing w:line="240" w:lineRule="auto" w:before="0" w:after="0"/>
              <w:pStyle w:val="Compact"/>
            </w:pPr>
            <w:r>
              <w:rPr>
                <w:sz w:val="20"/>
                <w:szCs w:val="20"/>
              </w:rPr>
              <w:t xml:space="preserve">program</w:t>
            </w:r>
          </w:p>
        </w:tc>
        <w:tc>
          <w:tcPr>
            <w:tcW w:w="0" w:type="auto"/>
          </w:tcPr>
          <w:p>
            <w:pPr>
              <w:spacing w:line="240" w:lineRule="auto" w:before="0" w:after="0"/>
              <w:pStyle w:val="Compact"/>
            </w:pPr>
            <w:r>
              <w:rPr>
                <w:sz w:val="20"/>
                <w:szCs w:val="20"/>
              </w:rPr>
              <w:t xml:space="preserve">agency</w:t>
            </w:r>
          </w:p>
        </w:tc>
        <w:tc>
          <w:tcPr>
            <w:tcW w:w="0" w:type="auto"/>
          </w:tcPr>
          <w:p>
            <w:pPr>
              <w:spacing w:line="240" w:lineRule="auto" w:before="0" w:after="0"/>
              <w:pStyle w:val="Compact"/>
            </w:pPr>
            <w:r>
              <w:rPr>
                <w:sz w:val="20"/>
                <w:szCs w:val="20"/>
              </w:rPr>
              <w:t xml:space="preserve">baseline_year</w:t>
            </w:r>
          </w:p>
        </w:tc>
        <w:tc>
          <w:tcPr>
            <w:tcW w:w="0" w:type="auto"/>
          </w:tcPr>
          <w:p>
            <w:pPr>
              <w:spacing w:line="240" w:lineRule="auto" w:before="0" w:after="0"/>
              <w:pStyle w:val="Compact"/>
            </w:pPr>
            <w:r>
              <w:rPr>
                <w:sz w:val="20"/>
                <w:szCs w:val="20"/>
              </w:rPr>
              <w:t xml:space="preserve">baseline_dev_cost_musd</w:t>
            </w:r>
          </w:p>
        </w:tc>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schedule_slip_months</w:t>
            </w:r>
          </w:p>
        </w:tc>
        <w:tc>
          <w:tcPr>
            <w:tcW w:w="0" w:type="auto"/>
          </w:tcPr>
          <w:p>
            <w:pPr>
              <w:spacing w:line="240" w:lineRule="auto" w:before="0" w:after="0"/>
              <w:pStyle w:val="Compact"/>
            </w:pPr>
            <w:r>
              <w:rPr>
                <w:sz w:val="20"/>
                <w:szCs w:val="20"/>
              </w:rPr>
              <w:t xml:space="preserve">cost_overrun_musd</w:t>
            </w:r>
          </w:p>
        </w:tc>
        <w:tc>
          <w:tcPr>
            <w:tcW w:w="0" w:type="auto"/>
          </w:tcPr>
          <w:p>
            <w:pPr>
              <w:spacing w:line="240" w:lineRule="auto" w:before="0" w:after="0"/>
              <w:pStyle w:val="Compact"/>
            </w:pPr>
            <w:r>
              <w:rPr>
                <w:sz w:val="20"/>
                <w:szCs w:val="20"/>
              </w:rPr>
              <w:t xml:space="preserve">cost_overrun_pct</w:t>
            </w:r>
          </w:p>
        </w:tc>
        <w:tc>
          <w:tcPr>
            <w:tcW w:w="0" w:type="auto"/>
          </w:tcPr>
          <w:p>
            <w:pPr>
              <w:spacing w:line="240" w:lineRule="auto" w:before="0" w:after="0"/>
              <w:pStyle w:val="Compact"/>
            </w:pPr>
            <w:r>
              <w:rPr>
                <w:sz w:val="20"/>
                <w:szCs w:val="20"/>
              </w:rPr>
              <w:t xml:space="preserve">baseline_year_analyst_coded</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James Webb Space Telescope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2008</w:t>
            </w:r>
          </w:p>
        </w:tc>
        <w:tc>
          <w:tcPr>
            <w:tcW w:w="0" w:type="auto"/>
          </w:tcPr>
          <w:p>
            <w:pPr>
              <w:spacing w:line="240" w:lineRule="auto" w:before="0" w:after="0"/>
              <w:pStyle w:val="Compact"/>
            </w:pPr>
            <w:r>
              <w:rPr>
                <w:sz w:val="20"/>
                <w:szCs w:val="20"/>
              </w:rPr>
              <w:t xml:space="preserve">2581.1</w:t>
            </w:r>
          </w:p>
        </w:tc>
        <w:tc>
          <w:tcPr>
            <w:tcW w:w="0" w:type="auto"/>
          </w:tcPr>
          <w:p>
            <w:pPr>
              <w:spacing w:line="240" w:lineRule="auto" w:before="0" w:after="0"/>
              <w:pStyle w:val="Compact"/>
            </w:pPr>
            <w:r>
              <w:rPr>
                <w:sz w:val="20"/>
                <w:szCs w:val="20"/>
              </w:rPr>
              <w:t xml:space="preserve">0.1172</w:t>
            </w:r>
          </w:p>
        </w:tc>
        <w:tc>
          <w:tcPr>
            <w:tcW w:w="0" w:type="auto"/>
          </w:tcPr>
          <w:p>
            <w:pPr>
              <w:spacing w:line="240" w:lineRule="auto" w:before="0" w:after="0"/>
              <w:pStyle w:val="Compact"/>
            </w:pPr>
            <w:r>
              <w:rPr>
                <w:sz w:val="20"/>
                <w:szCs w:val="20"/>
              </w:rPr>
              <w:t xml:space="preserve">8.538</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90</w:t>
            </w:r>
          </w:p>
        </w:tc>
        <w:tc>
          <w:tcPr>
            <w:tcW w:w="0" w:type="auto"/>
          </w:tcPr>
          <w:p>
            <w:pPr>
              <w:spacing w:line="240" w:lineRule="auto" w:before="0" w:after="0"/>
              <w:pStyle w:val="Compact"/>
            </w:pPr>
            <w:r>
              <w:rPr>
                <w:sz w:val="20"/>
                <w:szCs w:val="20"/>
              </w:rPr>
              <w:t xml:space="preserve">4536</w:t>
            </w:r>
          </w:p>
        </w:tc>
        <w:tc>
          <w:tcPr>
            <w:tcW w:w="0" w:type="auto"/>
          </w:tcPr>
          <w:p>
            <w:pPr>
              <w:spacing w:line="240" w:lineRule="auto" w:before="0" w:after="0"/>
              <w:pStyle w:val="Compact"/>
            </w:pPr>
            <w:r>
              <w:rPr>
                <w:sz w:val="20"/>
                <w:szCs w:val="20"/>
              </w:rPr>
              <w:t xml:space="preserve">175.7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Space Network Ground Segment Sustainment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368.1</w:t>
            </w:r>
          </w:p>
        </w:tc>
        <w:tc>
          <w:tcPr>
            <w:tcW w:w="0" w:type="auto"/>
          </w:tcPr>
          <w:p>
            <w:pPr>
              <w:spacing w:line="240" w:lineRule="auto" w:before="0" w:after="0"/>
              <w:pStyle w:val="Compact"/>
            </w:pPr>
            <w:r>
              <w:rPr>
                <w:sz w:val="20"/>
                <w:szCs w:val="20"/>
              </w:rPr>
              <w:t xml:space="preserve">0.0999</w:t>
            </w:r>
          </w:p>
        </w:tc>
        <w:tc>
          <w:tcPr>
            <w:tcW w:w="0" w:type="auto"/>
          </w:tcPr>
          <w:p>
            <w:pPr>
              <w:spacing w:line="240" w:lineRule="auto" w:before="0" w:after="0"/>
              <w:pStyle w:val="Compact"/>
            </w:pPr>
            <w:r>
              <w:rPr>
                <w:sz w:val="20"/>
                <w:szCs w:val="20"/>
              </w:rPr>
              <w:t xml:space="preserve">1.218</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48</w:t>
            </w:r>
          </w:p>
        </w:tc>
        <w:tc>
          <w:tcPr>
            <w:tcW w:w="0" w:type="auto"/>
          </w:tcPr>
          <w:p>
            <w:pPr>
              <w:spacing w:line="240" w:lineRule="auto" w:before="0" w:after="0"/>
              <w:pStyle w:val="Compact"/>
            </w:pPr>
            <w:r>
              <w:rPr>
                <w:sz w:val="20"/>
                <w:szCs w:val="20"/>
              </w:rPr>
              <w:t xml:space="preserve">589.2</w:t>
            </w:r>
          </w:p>
        </w:tc>
        <w:tc>
          <w:tcPr>
            <w:tcW w:w="0" w:type="auto"/>
          </w:tcPr>
          <w:p>
            <w:pPr>
              <w:spacing w:line="240" w:lineRule="auto" w:before="0" w:after="0"/>
              <w:pStyle w:val="Compact"/>
            </w:pPr>
            <w:r>
              <w:rPr>
                <w:sz w:val="20"/>
                <w:szCs w:val="20"/>
              </w:rPr>
              <w:t xml:space="preserve">160.1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Exploration Ground Systems</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1843.5</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6.098</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42</w:t>
            </w:r>
          </w:p>
        </w:tc>
        <w:tc>
          <w:tcPr>
            <w:tcW w:w="0" w:type="auto"/>
          </w:tcPr>
          <w:p>
            <w:pPr>
              <w:spacing w:line="240" w:lineRule="auto" w:before="0" w:after="0"/>
              <w:pStyle w:val="Compact"/>
            </w:pPr>
            <w:r>
              <w:rPr>
                <w:sz w:val="20"/>
                <w:szCs w:val="20"/>
              </w:rPr>
              <w:t xml:space="preserve">749</w:t>
            </w:r>
          </w:p>
        </w:tc>
        <w:tc>
          <w:tcPr>
            <w:tcW w:w="0" w:type="auto"/>
          </w:tcPr>
          <w:p>
            <w:pPr>
              <w:spacing w:line="240" w:lineRule="auto" w:before="0" w:after="0"/>
              <w:pStyle w:val="Compact"/>
            </w:pPr>
            <w:r>
              <w:rPr>
                <w:sz w:val="20"/>
                <w:szCs w:val="20"/>
              </w:rPr>
              <w:t xml:space="preserve">40.6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Space Launch System</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6390</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21.136</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42</w:t>
            </w:r>
          </w:p>
        </w:tc>
        <w:tc>
          <w:tcPr>
            <w:tcW w:w="0" w:type="auto"/>
          </w:tcPr>
          <w:p>
            <w:pPr>
              <w:spacing w:line="240" w:lineRule="auto" w:before="0" w:after="0"/>
              <w:pStyle w:val="Compact"/>
            </w:pPr>
            <w:r>
              <w:rPr>
                <w:sz w:val="20"/>
                <w:szCs w:val="20"/>
              </w:rPr>
              <w:t xml:space="preserve">2718.3</w:t>
            </w:r>
          </w:p>
        </w:tc>
        <w:tc>
          <w:tcPr>
            <w:tcW w:w="0" w:type="auto"/>
          </w:tcPr>
          <w:p>
            <w:pPr>
              <w:spacing w:line="240" w:lineRule="auto" w:before="0" w:after="0"/>
              <w:pStyle w:val="Compact"/>
            </w:pPr>
            <w:r>
              <w:rPr>
                <w:sz w:val="20"/>
                <w:szCs w:val="20"/>
              </w:rPr>
              <w:t xml:space="preserve">42.5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Orion Multi-Purpose Crew Vehicle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2015</w:t>
            </w:r>
          </w:p>
        </w:tc>
        <w:tc>
          <w:tcPr>
            <w:tcW w:w="0" w:type="auto"/>
          </w:tcPr>
          <w:p>
            <w:pPr>
              <w:spacing w:line="240" w:lineRule="auto" w:before="0" w:after="0"/>
              <w:pStyle w:val="Compact"/>
            </w:pPr>
            <w:r>
              <w:rPr>
                <w:sz w:val="20"/>
                <w:szCs w:val="20"/>
              </w:rPr>
              <w:t xml:space="preserve">6768.4</w:t>
            </w:r>
          </w:p>
        </w:tc>
        <w:tc>
          <w:tcPr>
            <w:tcW w:w="0" w:type="auto"/>
          </w:tcPr>
          <w:p>
            <w:pPr>
              <w:spacing w:line="240" w:lineRule="auto" w:before="0" w:after="0"/>
              <w:pStyle w:val="Compact"/>
            </w:pPr>
            <w:r>
              <w:rPr>
                <w:sz w:val="20"/>
                <w:szCs w:val="20"/>
              </w:rPr>
              <w:t xml:space="preserve">0.0984</w:t>
            </w:r>
          </w:p>
        </w:tc>
        <w:tc>
          <w:tcPr>
            <w:tcW w:w="0" w:type="auto"/>
          </w:tcPr>
          <w:p>
            <w:pPr>
              <w:spacing w:line="240" w:lineRule="auto" w:before="0" w:after="0"/>
              <w:pStyle w:val="Compact"/>
            </w:pPr>
            <w:r>
              <w:rPr>
                <w:sz w:val="20"/>
                <w:szCs w:val="20"/>
              </w:rPr>
              <w:t xml:space="preserve">22.388</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2532.8</w:t>
            </w:r>
          </w:p>
        </w:tc>
        <w:tc>
          <w:tcPr>
            <w:tcW w:w="0" w:type="auto"/>
          </w:tcPr>
          <w:p>
            <w:pPr>
              <w:spacing w:line="240" w:lineRule="auto" w:before="0" w:after="0"/>
              <w:pStyle w:val="Compact"/>
            </w:pPr>
            <w:r>
              <w:rPr>
                <w:sz w:val="20"/>
                <w:szCs w:val="20"/>
              </w:rPr>
              <w:t xml:space="preserve">37.4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Surface Water and Ocean Topography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571.5</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1.89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67.5</w:t>
            </w:r>
          </w:p>
        </w:tc>
        <w:tc>
          <w:tcPr>
            <w:tcW w:w="0" w:type="auto"/>
          </w:tcPr>
          <w:p>
            <w:pPr>
              <w:spacing w:line="240" w:lineRule="auto" w:before="0" w:after="0"/>
              <w:pStyle w:val="Compact"/>
            </w:pPr>
            <w:r>
              <w:rPr>
                <w:sz w:val="20"/>
                <w:szCs w:val="20"/>
              </w:rPr>
              <w:t xml:space="preserve">11.8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NISAR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661</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2.186</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113.3</w:t>
            </w:r>
          </w:p>
        </w:tc>
        <w:tc>
          <w:tcPr>
            <w:tcW w:w="0" w:type="auto"/>
          </w:tcPr>
          <w:p>
            <w:pPr>
              <w:spacing w:line="240" w:lineRule="auto" w:before="0" w:after="0"/>
              <w:pStyle w:val="Compact"/>
            </w:pPr>
            <w:r>
              <w:rPr>
                <w:sz w:val="20"/>
                <w:szCs w:val="20"/>
              </w:rPr>
              <w:t xml:space="preserve">17.1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Mars 2020 (Perseverance)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1676.9</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5.412</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356.2</w:t>
            </w:r>
          </w:p>
        </w:tc>
        <w:tc>
          <w:tcPr>
            <w:tcW w:w="0" w:type="auto"/>
          </w:tcPr>
          <w:p>
            <w:pPr>
              <w:spacing w:line="240" w:lineRule="auto" w:before="0" w:after="0"/>
              <w:pStyle w:val="Compact"/>
            </w:pPr>
            <w:r>
              <w:rPr>
                <w:sz w:val="20"/>
                <w:szCs w:val="20"/>
              </w:rPr>
              <w:t xml:space="preserve">21.2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GAO-21-306 (May 2021) Table 2;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Landsat 9</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2017</w:t>
            </w:r>
          </w:p>
        </w:tc>
        <w:tc>
          <w:tcPr>
            <w:tcW w:w="0" w:type="auto"/>
          </w:tcPr>
          <w:p>
            <w:pPr>
              <w:spacing w:line="240" w:lineRule="auto" w:before="0" w:after="0"/>
              <w:pStyle w:val="Compact"/>
            </w:pPr>
            <w:r>
              <w:rPr>
                <w:sz w:val="20"/>
                <w:szCs w:val="20"/>
              </w:rPr>
              <w:t xml:space="preserve">634.2</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2.098</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-138.5</w:t>
            </w:r>
          </w:p>
        </w:tc>
        <w:tc>
          <w:tcPr>
            <w:tcW w:w="0" w:type="auto"/>
          </w:tcPr>
          <w:p>
            <w:pPr>
              <w:spacing w:line="240" w:lineRule="auto" w:before="0" w:after="0"/>
              <w:pStyle w:val="Compact"/>
            </w:pPr>
            <w:r>
              <w:rPr>
                <w:sz w:val="20"/>
                <w:szCs w:val="20"/>
              </w:rPr>
              <w:t xml:space="preserve">-21.8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Laser Communications Relay Demonstration</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2017</w:t>
            </w:r>
          </w:p>
        </w:tc>
        <w:tc>
          <w:tcPr>
            <w:tcW w:w="0" w:type="auto"/>
          </w:tcPr>
          <w:p>
            <w:pPr>
              <w:spacing w:line="240" w:lineRule="auto" w:before="0" w:after="0"/>
              <w:pStyle w:val="Compact"/>
            </w:pPr>
            <w:r>
              <w:rPr>
                <w:sz w:val="20"/>
                <w:szCs w:val="20"/>
              </w:rPr>
              <w:t xml:space="preserve">91.8</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0.304</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25</w:t>
            </w:r>
          </w:p>
        </w:tc>
        <w:tc>
          <w:tcPr>
            <w:tcW w:w="0" w:type="auto"/>
          </w:tcPr>
          <w:p>
            <w:pPr>
              <w:spacing w:line="240" w:lineRule="auto" w:before="0" w:after="0"/>
              <w:pStyle w:val="Compact"/>
            </w:pPr>
            <w:r>
              <w:rPr>
                <w:sz w:val="20"/>
                <w:szCs w:val="20"/>
              </w:rPr>
              <w:t xml:space="preserve">53.3</w:t>
            </w:r>
          </w:p>
        </w:tc>
        <w:tc>
          <w:tcPr>
            <w:tcW w:w="0" w:type="auto"/>
          </w:tcPr>
          <w:p>
            <w:pPr>
              <w:spacing w:line="240" w:lineRule="auto" w:before="0" w:after="0"/>
              <w:pStyle w:val="Compact"/>
            </w:pPr>
            <w:r>
              <w:rPr>
                <w:sz w:val="20"/>
                <w:szCs w:val="20"/>
              </w:rPr>
              <w:t xml:space="preserve">58.1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Lucy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622.2</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2.058</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-57.2</w:t>
            </w:r>
          </w:p>
        </w:tc>
        <w:tc>
          <w:tcPr>
            <w:tcW w:w="0" w:type="auto"/>
          </w:tcPr>
          <w:p>
            <w:pPr>
              <w:spacing w:line="240" w:lineRule="auto" w:before="0" w:after="0"/>
              <w:pStyle w:val="Compact"/>
            </w:pPr>
            <w:r>
              <w:rPr>
                <w:sz w:val="20"/>
                <w:szCs w:val="20"/>
              </w:rPr>
              <w:t xml:space="preserve">-9.2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Low Boom Flight Demonstrator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467.7</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1.547</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104.5</w:t>
            </w:r>
          </w:p>
        </w:tc>
        <w:tc>
          <w:tcPr>
            <w:tcW w:w="0" w:type="auto"/>
          </w:tcPr>
          <w:p>
            <w:pPr>
              <w:spacing w:line="240" w:lineRule="auto" w:before="0" w:after="0"/>
              <w:pStyle w:val="Compact"/>
            </w:pPr>
            <w:r>
              <w:rPr>
                <w:sz w:val="20"/>
                <w:szCs w:val="20"/>
              </w:rPr>
              <w:t xml:space="preserve">22.3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Double Asteroid Redirection Test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258.3</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0.854</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11.8</w:t>
            </w:r>
          </w:p>
        </w:tc>
        <w:tc>
          <w:tcPr>
            <w:tcW w:w="0" w:type="auto"/>
          </w:tcPr>
          <w:p>
            <w:pPr>
              <w:spacing w:line="240" w:lineRule="auto" w:before="0" w:after="0"/>
              <w:pStyle w:val="Compact"/>
            </w:pPr>
            <w:r>
              <w:rPr>
                <w:sz w:val="20"/>
                <w:szCs w:val="20"/>
              </w:rPr>
              <w:t xml:space="preserve">4.6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Psyche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681.9</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2.256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-30.8</w:t>
            </w:r>
          </w:p>
        </w:tc>
        <w:tc>
          <w:tcPr>
            <w:tcW w:w="0" w:type="auto"/>
          </w:tcPr>
          <w:p>
            <w:pPr>
              <w:spacing w:line="240" w:lineRule="auto" w:before="0" w:after="0"/>
              <w:pStyle w:val="Compact"/>
            </w:pPr>
            <w:r>
              <w:rPr>
                <w:sz w:val="20"/>
                <w:szCs w:val="20"/>
              </w:rPr>
              <w:t xml:space="preserve">-4.5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Europa Clipper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2412.8</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7.981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96.2</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PACE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558</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1.846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74.3</w:t>
            </w:r>
          </w:p>
        </w:tc>
        <w:tc>
          <w:tcPr>
            <w:tcW w:w="0" w:type="auto"/>
          </w:tcPr>
          <w:p>
            <w:pPr>
              <w:spacing w:line="240" w:lineRule="auto" w:before="0" w:after="0"/>
              <w:pStyle w:val="Compact"/>
            </w:pPr>
            <w:r>
              <w:rPr>
                <w:sz w:val="20"/>
                <w:szCs w:val="20"/>
              </w:rPr>
              <w:t xml:space="preserve">13.3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Solar Electric Propulsion</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155.9</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0.516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46</w:t>
            </w:r>
          </w:p>
        </w:tc>
        <w:tc>
          <w:tcPr>
            <w:tcW w:w="0" w:type="auto"/>
          </w:tcPr>
          <w:p>
            <w:pPr>
              <w:spacing w:line="240" w:lineRule="auto" w:before="0" w:after="0"/>
              <w:pStyle w:val="Compact"/>
            </w:pPr>
            <w:r>
              <w:rPr>
                <w:sz w:val="20"/>
                <w:szCs w:val="20"/>
              </w:rPr>
              <w:t xml:space="preserve">47.3</w:t>
            </w:r>
          </w:p>
        </w:tc>
        <w:tc>
          <w:tcPr>
            <w:tcW w:w="0" w:type="auto"/>
          </w:tcPr>
          <w:p>
            <w:pPr>
              <w:spacing w:line="240" w:lineRule="auto" w:before="0" w:after="0"/>
              <w:pStyle w:val="Compact"/>
            </w:pPr>
            <w:r>
              <w:rPr>
                <w:sz w:val="20"/>
                <w:szCs w:val="20"/>
              </w:rPr>
              <w:t xml:space="preserve">30.3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Nancy Grace Roman Space Telescope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2898.1</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9.586</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371.9</w:t>
            </w:r>
          </w:p>
        </w:tc>
        <w:tc>
          <w:tcPr>
            <w:tcW w:w="0" w:type="auto"/>
          </w:tcPr>
          <w:p>
            <w:pPr>
              <w:spacing w:line="240" w:lineRule="auto" w:before="0" w:after="0"/>
              <w:pStyle w:val="Compact"/>
            </w:pPr>
            <w:r>
              <w:rPr>
                <w:sz w:val="20"/>
                <w:szCs w:val="20"/>
              </w:rPr>
              <w:t xml:space="preserve">12.8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OSAM-1</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974.4</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3.223</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146.1</w:t>
            </w:r>
          </w:p>
        </w:tc>
        <w:tc>
          <w:tcPr>
            <w:tcW w:w="0" w:type="auto"/>
          </w:tcPr>
          <w:p>
            <w:pPr>
              <w:spacing w:line="240" w:lineRule="auto" w:before="0" w:after="0"/>
              <w:pStyle w:val="Compact"/>
            </w:pPr>
            <w:r>
              <w:rPr>
                <w:sz w:val="20"/>
                <w:szCs w:val="20"/>
              </w:rPr>
              <w:t xml:space="preserve">15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SPHEREx</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367.8</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1.217</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Interstellar Mapping and Acceleration Probe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589.5</w:t>
            </w:r>
          </w:p>
        </w:tc>
        <w:tc>
          <w:tcPr>
            <w:tcW w:w="0" w:type="auto"/>
          </w:tcPr>
          <w:p>
            <w:pPr>
              <w:spacing w:line="240" w:lineRule="auto" w:before="0" w:after="0"/>
              <w:pStyle w:val="Compact"/>
            </w:pPr>
            <w:r>
              <w:rPr>
                <w:sz w:val="20"/>
                <w:szCs w:val="20"/>
              </w:rPr>
              <w:t xml:space="preserve">0.0981</w:t>
            </w:r>
          </w:p>
        </w:tc>
        <w:tc>
          <w:tcPr>
            <w:tcW w:w="0" w:type="auto"/>
          </w:tcPr>
          <w:p>
            <w:pPr>
              <w:spacing w:line="240" w:lineRule="auto" w:before="0" w:after="0"/>
              <w:pStyle w:val="Compact"/>
            </w:pPr>
            <w:r>
              <w:rPr>
                <w:sz w:val="20"/>
                <w:szCs w:val="20"/>
              </w:rPr>
              <w:t xml:space="preserve">1.95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GAO-22-105212 App. V (moved to implementation in review period);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VIPER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336.2</w:t>
            </w:r>
          </w:p>
        </w:tc>
        <w:tc>
          <w:tcPr>
            <w:tcW w:w="0" w:type="auto"/>
          </w:tcPr>
          <w:p>
            <w:pPr>
              <w:spacing w:line="240" w:lineRule="auto" w:before="0" w:after="0"/>
              <w:pStyle w:val="Compact"/>
            </w:pPr>
            <w:r>
              <w:rPr>
                <w:sz w:val="20"/>
                <w:szCs w:val="20"/>
              </w:rPr>
              <w:t xml:space="preserve">0.0981</w:t>
            </w:r>
          </w:p>
        </w:tc>
        <w:tc>
          <w:tcPr>
            <w:tcW w:w="0" w:type="auto"/>
          </w:tcPr>
          <w:p>
            <w:pPr>
              <w:spacing w:line="240" w:lineRule="auto" w:before="0" w:after="0"/>
              <w:pStyle w:val="Compact"/>
            </w:pPr>
            <w:r>
              <w:rPr>
                <w:sz w:val="20"/>
                <w:szCs w:val="20"/>
              </w:rPr>
              <w:t xml:space="preserve">1.112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(NASA approved VIPER to enter implementation, March 2021); NASA budget: Budget of NASA fiscal-year appropriations series; GDP: World Bank WDI NY.GDP.MKTP.CD</w:t>
            </w:r>
          </w:p>
        </w:tc>
      </w:tr>
    </w:tbl>
    <w:bookmarkEnd w:id="85"/>
    <w:bookmarkStart w:id="86" w:name="variable-construction"/>
    <w:p>
      <w:pPr>
        <w:pStyle w:val="Heading3"/>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cost_overrun_pct</w:t>
            </w:r>
          </w:p>
        </w:tc>
        <w:tc>
          <w:tcPr>
            <w:tcW w:w="0" w:type="auto"/>
          </w:tcPr>
          <w:p>
            <w:pPr>
              <w:spacing w:line="240" w:lineRule="auto" w:before="0" w:after="0"/>
              <w:pStyle w:val="Compact"/>
            </w:pPr>
            <w:r>
              <w:rPr>
                <w:sz w:val="20"/>
                <w:szCs w:val="20"/>
              </w:rPr>
              <w:t xml:space="preserve">Cumulative development cost growth of the project measured against the original development cost baseline approved at its confirmation review, expressed as a percentage. Negative values denote underruns. Values are taken verbatim from GAO’s portfolio tables and were independently re-derived as cost_overrun_musd divided by baseline_dev_cost_musd; all twenty-two rows reproduce GAO’s published percentage to within 0.1 percentage point.</w:t>
            </w:r>
          </w:p>
        </w:tc>
        <w:tc>
          <w:tcPr>
            <w:tcW w:w="0" w:type="auto"/>
          </w:tcPr>
          <w:p>
            <w:pPr>
              <w:spacing w:line="240" w:lineRule="auto" w:before="0" w:after="0"/>
              <w:pStyle w:val="Compact"/>
            </w:pPr>
            <w:r>
              <w:rPr>
                <w:sz w:val="20"/>
                <w:szCs w:val="20"/>
              </w:rPr>
              <w:t xml:space="preserve">GAO-22-105212 (July 2022) Table 6; GAO-21-306 (May 2021) Table 2 for Mars 2020</w:t>
            </w:r>
          </w:p>
        </w:tc>
      </w:tr>
      <w:tr>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The sponsoring nation’s civil space effort relative to its economic base in the year the project’s cost baseline was committed: NASA enacted budget authority for that fiscal year divided by United States gross domestic product for the same year, expressed as a percentage. This is the direct empirical analogue of Kennedy’s ratio of commitment to productive base.</w:t>
            </w:r>
          </w:p>
        </w:tc>
        <w:tc>
          <w:tcPr>
            <w:tcW w:w="0" w:type="auto"/>
          </w:tcPr>
          <w:p>
            <w:pPr>
              <w:spacing w:line="240" w:lineRule="auto" w:before="0" w:after="0"/>
              <w:pStyle w:val="Compact"/>
            </w:pPr>
            <w:r>
              <w:rPr>
                <w:sz w:val="20"/>
                <w:szCs w:val="20"/>
              </w:rPr>
              <w:t xml:space="preserve">NASA fiscal-year appropriations series (FY2008 to FY2022); World Bank World Development Indicators NY.GDP.MKTP.CD (United States, current USD)</w:t>
            </w:r>
          </w:p>
        </w:tc>
      </w:tr>
      <w:tr>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The project’s own claim on the agency’s committed development base: original baseline development cost divided by the total original baseline development cost of the entire major-project portfolio assessed in the same GAO cycle (30,232.4 million dollars in the 2022 assessment; 30,983.6 million dollars in the 2021 assessment), expressed as a percentage. This operationalizes overstretch at the portfolio rather than the national level.</w:t>
            </w:r>
          </w:p>
        </w:tc>
        <w:tc>
          <w:tcPr>
            <w:tcW w:w="0" w:type="auto"/>
          </w:tcPr>
          <w:p>
            <w:pPr>
              <w:spacing w:line="240" w:lineRule="auto" w:before="0" w:after="0"/>
              <w:pStyle w:val="Compact"/>
            </w:pPr>
            <w:r>
              <w:rPr>
                <w:sz w:val="20"/>
                <w:szCs w:val="20"/>
              </w:rPr>
              <w:t xml:space="preserve">Computed by the author from GAO-22-105212 Table 6 and GAO-21-306 Table 2 baseline and portfolio-total columns</w:t>
            </w:r>
          </w:p>
        </w:tc>
      </w:tr>
      <w:tr>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Elapsed years of exposure under the approved baseline: the GAO assessment year minus the year in which the project set its original cost and schedule baseline. Captures how long a commitment has been carried, as distinct from how large it is.</w:t>
            </w:r>
          </w:p>
        </w:tc>
        <w:tc>
          <w:tcPr>
            <w:tcW w:w="0" w:type="auto"/>
          </w:tcPr>
          <w:p>
            <w:pPr>
              <w:spacing w:line="240" w:lineRule="auto" w:before="0" w:after="0"/>
              <w:pStyle w:val="Compact"/>
            </w:pPr>
            <w:r>
              <w:rPr>
                <w:sz w:val="20"/>
                <w:szCs w:val="20"/>
              </w:rPr>
              <w:t xml:space="preserve">Derived from baseline_year and the GAO assessment vintage (2022 for twenty-one rows, 2021 for Mars 2020)</w:t>
            </w:r>
          </w:p>
        </w:tc>
      </w:tr>
      <w:tr>
        <w:tc>
          <w:tcPr>
            <w:tcW w:w="0" w:type="auto"/>
          </w:tcPr>
          <w:p>
            <w:pPr>
              <w:spacing w:line="240" w:lineRule="auto" w:before="0" w:after="0"/>
              <w:pStyle w:val="Compact"/>
            </w:pPr>
            <w:r>
              <w:rPr>
                <w:sz w:val="20"/>
                <w:szCs w:val="20"/>
              </w:rPr>
              <w:t xml:space="preserve">baseline_year</w:t>
            </w:r>
          </w:p>
        </w:tc>
        <w:tc>
          <w:tcPr>
            <w:tcW w:w="0" w:type="auto"/>
          </w:tcPr>
          <w:p>
            <w:pPr>
              <w:spacing w:line="240" w:lineRule="auto" w:before="0" w:after="0"/>
              <w:pStyle w:val="Compact"/>
            </w:pPr>
            <w:r>
              <w:rPr>
                <w:sz w:val="20"/>
                <w:szCs w:val="20"/>
              </w:rPr>
              <w:t xml:space="preserve">Calendar year in which the project’s original cost and schedule baseline was approved. Thirteen values are read directly from the confirmation-year column of GAO-19-262SP Table 2; three (Roman, OSAM-1, SPHEREx) from GAO-21-306 Table 3, which identifies them as first-year baseline reporters; two (IMAP, VIPER) from GAO-22-105212 Appendix V and GAO-21-306 narrative. Four values (Psyche, Europa Clipper, PACE, Solar Electric Propulsion) are bracketed as illustrative: GAO documents place each in formulation as of the 2019 assessment and baselined as of the 2021 assessment, which bounds but does not fix the year.</w:t>
            </w:r>
          </w:p>
        </w:tc>
        <w:tc>
          <w:tcPr>
            <w:tcW w:w="0" w:type="auto"/>
          </w:tcPr>
          <w:p>
            <w:pPr>
              <w:spacing w:line="240" w:lineRule="auto" w:before="0" w:after="0"/>
              <w:pStyle w:val="Compact"/>
            </w:pPr>
            <w:r>
              <w:rPr>
                <w:sz w:val="20"/>
                <w:szCs w:val="20"/>
              </w:rPr>
              <w:t xml:space="preserve">GAO-19-262SP Tables 1 and 2; GAO-21-306 Tables 2 and 3; GAO-22-105212 Appendix V</w:t>
            </w:r>
          </w:p>
        </w:tc>
      </w:tr>
      <w:tr>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Binary indicator equal to 1 if GAO assigns the project to the Deep Space Exploration budget portfolio, that is, the crewed Artemis architecture (Orion, Space Launch System, Exploration Ground Systems), and 0 otherwise.</w:t>
            </w:r>
          </w:p>
        </w:tc>
        <w:tc>
          <w:tcPr>
            <w:tcW w:w="0" w:type="auto"/>
          </w:tcPr>
          <w:p>
            <w:pPr>
              <w:spacing w:line="240" w:lineRule="auto" w:before="0" w:after="0"/>
              <w:pStyle w:val="Compact"/>
            </w:pPr>
            <w:r>
              <w:rPr>
                <w:sz w:val="20"/>
                <w:szCs w:val="20"/>
              </w:rPr>
              <w:t xml:space="preserve">Budget Portfolio designations on the individual project pages of GAO-22-105212</w:t>
            </w:r>
          </w:p>
        </w:tc>
      </w:tr>
      <w:tr>
        <w:tc>
          <w:tcPr>
            <w:tcW w:w="0" w:type="auto"/>
          </w:tcPr>
          <w:p>
            <w:pPr>
              <w:spacing w:line="240" w:lineRule="auto" w:before="0" w:after="0"/>
              <w:pStyle w:val="Compact"/>
            </w:pPr>
            <w:r>
              <w:rPr>
                <w:sz w:val="20"/>
                <w:szCs w:val="20"/>
              </w:rPr>
              <w:t xml:space="preserve">baseline_dev_cost_musd</w:t>
            </w:r>
          </w:p>
        </w:tc>
        <w:tc>
          <w:tcPr>
            <w:tcW w:w="0" w:type="auto"/>
          </w:tcPr>
          <w:p>
            <w:pPr>
              <w:spacing w:line="240" w:lineRule="auto" w:before="0" w:after="0"/>
              <w:pStyle w:val="Compact"/>
            </w:pPr>
            <w:r>
              <w:rPr>
                <w:sz w:val="20"/>
                <w:szCs w:val="20"/>
              </w:rPr>
              <w:t xml:space="preserve">Original baseline development cost estimate in then-year millions of United States dollars, set at the project’s confirmation review.</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cost_overrun_musd</w:t>
            </w:r>
          </w:p>
        </w:tc>
        <w:tc>
          <w:tcPr>
            <w:tcW w:w="0" w:type="auto"/>
          </w:tcPr>
          <w:p>
            <w:pPr>
              <w:spacing w:line="240" w:lineRule="auto" w:before="0" w:after="0"/>
              <w:pStyle w:val="Compact"/>
            </w:pPr>
            <w:r>
              <w:rPr>
                <w:sz w:val="20"/>
                <w:szCs w:val="20"/>
              </w:rPr>
              <w:t xml:space="preserve">Cumulative development cost overrun against the original baseline, in then-year millions of United States dollars. Negative values denote underruns.</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schedule_slip_months</w:t>
            </w:r>
          </w:p>
        </w:tc>
        <w:tc>
          <w:tcPr>
            <w:tcW w:w="0" w:type="auto"/>
          </w:tcPr>
          <w:p>
            <w:pPr>
              <w:spacing w:line="240" w:lineRule="auto" w:before="0" w:after="0"/>
              <w:pStyle w:val="Compact"/>
            </w:pPr>
            <w:r>
              <w:rPr>
                <w:sz w:val="20"/>
                <w:szCs w:val="20"/>
              </w:rPr>
              <w:t xml:space="preserve">Cumulative launch or milestone delay against the original baseline schedule, in months. Negative values denote earlier than baselined dates.</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program</w:t>
            </w:r>
          </w:p>
        </w:tc>
        <w:tc>
          <w:tcPr>
            <w:tcW w:w="0" w:type="auto"/>
          </w:tcPr>
          <w:p>
            <w:pPr>
              <w:spacing w:line="240" w:lineRule="auto" w:before="0" w:after="0"/>
              <w:pStyle w:val="Compact"/>
            </w:pPr>
            <w:r>
              <w:rPr>
                <w:sz w:val="20"/>
                <w:szCs w:val="20"/>
              </w:rPr>
              <w:t xml:space="preserve">Name of the NASA major project (life-cycle cost above 250 million dollars) as reported by GAO.</w:t>
            </w:r>
          </w:p>
        </w:tc>
        <w:tc>
          <w:tcPr>
            <w:tcW w:w="0" w:type="auto"/>
          </w:tcPr>
          <w:p>
            <w:pPr>
              <w:spacing w:line="240" w:lineRule="auto" w:before="0" w:after="0"/>
              <w:pStyle w:val="Compact"/>
            </w:pPr>
            <w:r>
              <w:rPr>
                <w:sz w:val="20"/>
                <w:szCs w:val="20"/>
              </w:rPr>
              <w:t xml:space="preserve">GAO-22-105212; GAO-21-306</w:t>
            </w:r>
          </w:p>
        </w:tc>
      </w:tr>
      <w:tr>
        <w:tc>
          <w:tcPr>
            <w:tcW w:w="0" w:type="auto"/>
          </w:tcPr>
          <w:p>
            <w:pPr>
              <w:spacing w:line="240" w:lineRule="auto" w:before="0" w:after="0"/>
              <w:pStyle w:val="Compact"/>
            </w:pPr>
            <w:r>
              <w:rPr>
                <w:sz w:val="20"/>
                <w:szCs w:val="20"/>
              </w:rPr>
              <w:t xml:space="preserve">agency</w:t>
            </w:r>
          </w:p>
        </w:tc>
        <w:tc>
          <w:tcPr>
            <w:tcW w:w="0" w:type="auto"/>
          </w:tcPr>
          <w:p>
            <w:pPr>
              <w:spacing w:line="240" w:lineRule="auto" w:before="0" w:after="0"/>
              <w:pStyle w:val="Compact"/>
            </w:pPr>
            <w:r>
              <w:rPr>
                <w:sz w:val="20"/>
                <w:szCs w:val="20"/>
              </w:rPr>
              <w:t xml:space="preserve">Sponsoring agency for the project. All twenty-two observations are NASA major projects, so the national space-effort measure varies only through the year of baseline commitment.</w:t>
            </w:r>
          </w:p>
        </w:tc>
        <w:tc>
          <w:tcPr>
            <w:tcW w:w="0" w:type="auto"/>
          </w:tcPr>
          <w:p>
            <w:pPr>
              <w:spacing w:line="240" w:lineRule="auto" w:before="0" w:after="0"/>
              <w:pStyle w:val="Compact"/>
            </w:pPr>
            <w:r>
              <w:rPr>
                <w:sz w:val="20"/>
                <w:szCs w:val="20"/>
              </w:rPr>
              <w:t xml:space="preserve">GAO-22-105212; GAO-21-306</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for each row, the specific GAO table supplying the cost and schedule values, the specific GAO document supplying the baseline year, and the macroeconomic series supplying budget and GDP.</w:t>
            </w:r>
          </w:p>
        </w:tc>
        <w:tc>
          <w:tcPr>
            <w:tcW w:w="0" w:type="auto"/>
          </w:tcPr>
          <w:p>
            <w:pPr>
              <w:spacing w:line="240" w:lineRule="auto" w:before="0" w:after="0"/>
              <w:pStyle w:val="Compact"/>
            </w:pPr>
            <w:r>
              <w:rPr>
                <w:sz w:val="20"/>
                <w:szCs w:val="20"/>
              </w:rPr>
              <w:t xml:space="preserve">Compiled by the author from [6][7][8][10][11]</w:t>
            </w:r>
          </w:p>
        </w:tc>
      </w:tr>
    </w:tbl>
    <w:bookmarkEnd w:id="86"/>
    <w:bookmarkStart w:id="87" w:name="estimator-output"/>
    <w:p>
      <w:pPr>
        <w:pStyle w:val="Heading3"/>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-69.4687</w:t>
            </w:r>
          </w:p>
        </w:tc>
        <w:tc>
          <w:tcPr>
            <w:tcW w:w="0" w:type="auto"/>
          </w:tcPr>
          <w:p>
            <w:pPr>
              <w:spacing w:line="240" w:lineRule="auto" w:before="0" w:after="0"/>
              <w:pStyle w:val="Compact"/>
            </w:pPr>
            <w:r>
              <w:rPr>
                <w:sz w:val="20"/>
                <w:szCs w:val="20"/>
              </w:rPr>
              <w:t xml:space="preserve">253.6716</w:t>
            </w:r>
          </w:p>
        </w:tc>
        <w:tc>
          <w:tcPr>
            <w:tcW w:w="0" w:type="auto"/>
          </w:tcPr>
          <w:p>
            <w:pPr>
              <w:spacing w:line="240" w:lineRule="auto" w:before="0" w:after="0"/>
              <w:pStyle w:val="Compact"/>
            </w:pPr>
            <w:r>
              <w:rPr>
                <w:sz w:val="20"/>
                <w:szCs w:val="20"/>
              </w:rPr>
              <w:t xml:space="preserve">-0.2739</w:t>
            </w:r>
          </w:p>
        </w:tc>
        <w:tc>
          <w:tcPr>
            <w:tcW w:w="0" w:type="auto"/>
          </w:tcPr>
          <w:p>
            <w:pPr>
              <w:spacing w:line="240" w:lineRule="auto" w:before="0" w:after="0"/>
              <w:pStyle w:val="Compact"/>
            </w:pPr>
            <w:r>
              <w:rPr>
                <w:sz w:val="20"/>
                <w:szCs w:val="20"/>
              </w:rPr>
              <w:t xml:space="preserve">0.7842</w:t>
            </w:r>
          </w:p>
        </w:tc>
        <w:tc>
          <w:tcPr>
            <w:tcW w:w="0" w:type="auto"/>
          </w:tcPr>
          <w:p>
            <w:pPr>
              <w:spacing w:line="240" w:lineRule="auto" w:before="0" w:after="0"/>
              <w:pStyle w:val="Compact"/>
            </w:pPr>
            <w:r>
              <w:rPr>
                <w:sz w:val="20"/>
                <w:szCs w:val="20"/>
              </w:rPr>
              <w:t xml:space="preserve">[-566.6558, 427.7185]</w:t>
            </w:r>
          </w:p>
        </w:tc>
      </w:tr>
      <w:tr>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347.5327</w:t>
            </w:r>
          </w:p>
        </w:tc>
        <w:tc>
          <w:tcPr>
            <w:tcW w:w="0" w:type="auto"/>
          </w:tcPr>
          <w:p>
            <w:pPr>
              <w:spacing w:line="240" w:lineRule="auto" w:before="0" w:after="0"/>
              <w:pStyle w:val="Compact"/>
            </w:pPr>
            <w:r>
              <w:rPr>
                <w:sz w:val="20"/>
                <w:szCs w:val="20"/>
              </w:rPr>
              <w:t xml:space="preserve">2621.8217</w:t>
            </w:r>
          </w:p>
        </w:tc>
        <w:tc>
          <w:tcPr>
            <w:tcW w:w="0" w:type="auto"/>
          </w:tcPr>
          <w:p>
            <w:pPr>
              <w:spacing w:line="240" w:lineRule="auto" w:before="0" w:after="0"/>
              <w:pStyle w:val="Compact"/>
            </w:pPr>
            <w:r>
              <w:rPr>
                <w:sz w:val="20"/>
                <w:szCs w:val="20"/>
              </w:rPr>
              <w:t xml:space="preserve">0.1326</w:t>
            </w:r>
          </w:p>
        </w:tc>
        <w:tc>
          <w:tcPr>
            <w:tcW w:w="0" w:type="auto"/>
          </w:tcPr>
          <w:p>
            <w:pPr>
              <w:spacing w:line="240" w:lineRule="auto" w:before="0" w:after="0"/>
              <w:pStyle w:val="Compact"/>
            </w:pPr>
            <w:r>
              <w:rPr>
                <w:sz w:val="20"/>
                <w:szCs w:val="20"/>
              </w:rPr>
              <w:t xml:space="preserve">0.8945</w:t>
            </w:r>
          </w:p>
        </w:tc>
        <w:tc>
          <w:tcPr>
            <w:tcW w:w="0" w:type="auto"/>
          </w:tcPr>
          <w:p>
            <w:pPr>
              <w:spacing w:line="240" w:lineRule="auto" w:before="0" w:after="0"/>
              <w:pStyle w:val="Compact"/>
            </w:pPr>
            <w:r>
              <w:rPr>
                <w:sz w:val="20"/>
                <w:szCs w:val="20"/>
              </w:rPr>
              <w:t xml:space="preserve">[-4791.1435, 5486.2089]</w:t>
            </w:r>
          </w:p>
        </w:tc>
      </w:tr>
      <w:tr>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0.2141</w:t>
            </w:r>
          </w:p>
        </w:tc>
        <w:tc>
          <w:tcPr>
            <w:tcW w:w="0" w:type="auto"/>
          </w:tcPr>
          <w:p>
            <w:pPr>
              <w:spacing w:line="240" w:lineRule="auto" w:before="0" w:after="0"/>
              <w:pStyle w:val="Compact"/>
            </w:pPr>
            <w:r>
              <w:rPr>
                <w:sz w:val="20"/>
                <w:szCs w:val="20"/>
              </w:rPr>
              <w:t xml:space="preserve">0.564</w:t>
            </w:r>
          </w:p>
        </w:tc>
        <w:tc>
          <w:tcPr>
            <w:tcW w:w="0" w:type="auto"/>
          </w:tcPr>
          <w:p>
            <w:pPr>
              <w:spacing w:line="240" w:lineRule="auto" w:before="0" w:after="0"/>
              <w:pStyle w:val="Compact"/>
            </w:pPr>
            <w:r>
              <w:rPr>
                <w:sz w:val="20"/>
                <w:szCs w:val="20"/>
              </w:rPr>
              <w:t xml:space="preserve">0.3795</w:t>
            </w:r>
          </w:p>
        </w:tc>
        <w:tc>
          <w:tcPr>
            <w:tcW w:w="0" w:type="auto"/>
          </w:tcPr>
          <w:p>
            <w:pPr>
              <w:spacing w:line="240" w:lineRule="auto" w:before="0" w:after="0"/>
              <w:pStyle w:val="Compact"/>
            </w:pPr>
            <w:r>
              <w:rPr>
                <w:sz w:val="20"/>
                <w:szCs w:val="20"/>
              </w:rPr>
              <w:t xml:space="preserve">0.7043</w:t>
            </w:r>
          </w:p>
        </w:tc>
        <w:tc>
          <w:tcPr>
            <w:tcW w:w="0" w:type="auto"/>
          </w:tcPr>
          <w:p>
            <w:pPr>
              <w:spacing w:line="240" w:lineRule="auto" w:before="0" w:after="0"/>
              <w:pStyle w:val="Compact"/>
            </w:pPr>
            <w:r>
              <w:rPr>
                <w:sz w:val="20"/>
                <w:szCs w:val="20"/>
              </w:rPr>
              <w:t xml:space="preserve">[-0.8914, 1.3196]</w:t>
            </w:r>
          </w:p>
        </w:tc>
      </w:tr>
      <w:tr>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13.9596</w:t>
            </w:r>
          </w:p>
        </w:tc>
        <w:tc>
          <w:tcPr>
            <w:tcW w:w="0" w:type="auto"/>
          </w:tcPr>
          <w:p>
            <w:pPr>
              <w:spacing w:line="240" w:lineRule="auto" w:before="0" w:after="0"/>
              <w:pStyle w:val="Compact"/>
            </w:pPr>
            <w:r>
              <w:rPr>
                <w:sz w:val="20"/>
                <w:szCs w:val="20"/>
              </w:rPr>
              <w:t xml:space="preserve">4.6125</w:t>
            </w:r>
          </w:p>
        </w:tc>
        <w:tc>
          <w:tcPr>
            <w:tcW w:w="0" w:type="auto"/>
          </w:tcPr>
          <w:p>
            <w:pPr>
              <w:spacing w:line="240" w:lineRule="auto" w:before="0" w:after="0"/>
              <w:pStyle w:val="Compact"/>
            </w:pPr>
            <w:r>
              <w:rPr>
                <w:sz w:val="20"/>
                <w:szCs w:val="20"/>
              </w:rPr>
              <w:t xml:space="preserve">3.0265</w:t>
            </w:r>
          </w:p>
        </w:tc>
        <w:tc>
          <w:tcPr>
            <w:tcW w:w="0" w:type="auto"/>
          </w:tcPr>
          <w:p>
            <w:pPr>
              <w:spacing w:line="240" w:lineRule="auto" w:before="0" w:after="0"/>
              <w:pStyle w:val="Compact"/>
            </w:pPr>
            <w:r>
              <w:rPr>
                <w:sz w:val="20"/>
                <w:szCs w:val="20"/>
              </w:rPr>
              <w:t xml:space="preserve">0.0025</w:t>
            </w:r>
          </w:p>
        </w:tc>
        <w:tc>
          <w:tcPr>
            <w:tcW w:w="0" w:type="auto"/>
          </w:tcPr>
          <w:p>
            <w:pPr>
              <w:spacing w:line="240" w:lineRule="auto" w:before="0" w:after="0"/>
              <w:pStyle w:val="Compact"/>
            </w:pPr>
            <w:r>
              <w:rPr>
                <w:sz w:val="20"/>
                <w:szCs w:val="20"/>
              </w:rPr>
              <w:t xml:space="preserve">[4.9192, 23]</w:t>
            </w:r>
          </w:p>
        </w:tc>
      </w:tr>
      <w:tr>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-35.5434</w:t>
            </w:r>
          </w:p>
        </w:tc>
        <w:tc>
          <w:tcPr>
            <w:tcW w:w="0" w:type="auto"/>
          </w:tcPr>
          <w:p>
            <w:pPr>
              <w:spacing w:line="240" w:lineRule="auto" w:before="0" w:after="0"/>
              <w:pStyle w:val="Compact"/>
            </w:pPr>
            <w:r>
              <w:rPr>
                <w:sz w:val="20"/>
                <w:szCs w:val="20"/>
              </w:rPr>
              <w:t xml:space="preserve">27.4524</w:t>
            </w:r>
          </w:p>
        </w:tc>
        <w:tc>
          <w:tcPr>
            <w:tcW w:w="0" w:type="auto"/>
          </w:tcPr>
          <w:p>
            <w:pPr>
              <w:spacing w:line="240" w:lineRule="auto" w:before="0" w:after="0"/>
              <w:pStyle w:val="Compact"/>
            </w:pPr>
            <w:r>
              <w:rPr>
                <w:sz w:val="20"/>
                <w:szCs w:val="20"/>
              </w:rPr>
              <w:t xml:space="preserve">-1.2947</w:t>
            </w:r>
          </w:p>
        </w:tc>
        <w:tc>
          <w:tcPr>
            <w:tcW w:w="0" w:type="auto"/>
          </w:tcPr>
          <w:p>
            <w:pPr>
              <w:spacing w:line="240" w:lineRule="auto" w:before="0" w:after="0"/>
              <w:pStyle w:val="Compact"/>
            </w:pPr>
            <w:r>
              <w:rPr>
                <w:sz w:val="20"/>
                <w:szCs w:val="20"/>
              </w:rPr>
              <w:t xml:space="preserve">0.1954</w:t>
            </w:r>
          </w:p>
        </w:tc>
        <w:tc>
          <w:tcPr>
            <w:tcW w:w="0" w:type="auto"/>
          </w:tcPr>
          <w:p>
            <w:pPr>
              <w:spacing w:line="240" w:lineRule="auto" w:before="0" w:after="0"/>
              <w:pStyle w:val="Compact"/>
            </w:pPr>
            <w:r>
              <w:rPr>
                <w:sz w:val="20"/>
                <w:szCs w:val="20"/>
              </w:rPr>
              <w:t xml:space="preserve">[-89.349, 18.2623]</w:t>
            </w:r>
          </w:p>
        </w:tc>
      </w:tr>
    </w:tbl>
    <w:p>
      <w:pPr>
        <w:pStyle w:val="BodyText"/>
      </w:pPr>
      <w:r>
        <w:t xml:space="preserve">Fit: N = 22 R2 = 0.7003 R2_adj = 0.6298 F = 31.9122 F_p = 1.061e-07</w:t>
      </w:r>
    </w:p>
    <w:bookmarkEnd w:id="87"/>
    <w:bookmarkEnd w:id="88"/>
    <w:bookmarkEnd w:id="89"/>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before="135"/>
      <w:ind w:left="380"/>
    </w:pPr>
    <w:rPr>
      <w:rFonts w:ascii="Arial" w:cs="Arial" w:eastAsia="Arial" w:hAnsi="Arial"/>
      <w:b/>
      <w:bCs/>
      <w:sz w:val="20"/>
      <w:szCs w:val="20"/>
    </w:rPr>
  </w:style>
  <w:style w:styleId="TOC2" w:type="paragraph">
    <w:name w:val="toc 2"/>
    <w:basedOn w:val="Normal"/>
    <w:uiPriority w:val="1"/>
    <w:qFormat/>
    <w:pPr>
      <w:spacing w:before="30"/>
      <w:ind w:left="620"/>
    </w:pPr>
    <w:rPr>
      <w:rFonts w:ascii="Arial" w:cs="Arial" w:eastAsia="Arial" w:hAnsi="Arial"/>
      <w:sz w:val="20"/>
      <w:szCs w:val="20"/>
    </w:rPr>
  </w:style>
  <w:style w:styleId="TOC3" w:type="paragraph">
    <w:name w:val="toc 3"/>
    <w:basedOn w:val="Normal"/>
    <w:uiPriority w:val="1"/>
    <w:qFormat/>
    <w:pPr>
      <w:spacing w:before="15"/>
      <w:ind w:left="620"/>
    </w:pPr>
    <w:rPr>
      <w:rFonts w:ascii="Arial" w:cs="Arial" w:eastAsia="Arial" w:hAnsi="Arial"/>
      <w:sz w:val="16"/>
      <w:szCs w:val="16"/>
    </w:rPr>
  </w:style>
  <w:style w:styleId="TOC4" w:type="paragraph">
    <w:name w:val="toc 4"/>
    <w:basedOn w:val="Normal"/>
    <w:uiPriority w:val="1"/>
    <w:qFormat/>
    <w:pPr>
      <w:spacing w:before="15"/>
      <w:ind w:left="620"/>
    </w:pPr>
    <w:rPr>
      <w:rFonts w:ascii="Arial" w:cs="Arial" w:eastAsia="Arial" w:hAnsi="Arial"/>
      <w:b/>
      <w:bCs/>
      <w:i/>
    </w:rPr>
  </w:style>
  <w:style w:styleId="TOC5" w:type="paragraph">
    <w:name w:val="toc 5"/>
    <w:basedOn w:val="Normal"/>
    <w:uiPriority w:val="1"/>
    <w:qFormat/>
    <w:pPr>
      <w:spacing w:before="15"/>
      <w:ind w:left="860"/>
    </w:pPr>
    <w:rPr>
      <w:rFonts w:ascii="Arial" w:cs="Arial" w:eastAsia="Arial" w:hAnsi="Arial"/>
      <w:i/>
      <w:sz w:val="20"/>
      <w:szCs w:val="20"/>
    </w:rPr>
  </w:style>
  <w:style w:styleId="BodyText" w:type="paragraph">
    <w:name w:val="Body Text"/>
    <w:basedOn w:val="Normal"/>
    <w:uiPriority w:val="1"/>
    <w:qFormat/>
    <w:pPr>
      <w:ind w:left="38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Type="http://schemas.openxmlformats.org/officeDocument/2006/relationships/numbering" Id="rId60" Target="numbering.xml" /><Relationship Type="http://schemas.openxmlformats.org/officeDocument/2006/relationships/styles" Id="rId59" Target="styles.xml" /><Relationship Type="http://schemas.openxmlformats.org/officeDocument/2006/relationships/settings" Id="rId58" Target="settings.xml" /><Relationship Type="http://schemas.openxmlformats.org/officeDocument/2006/relationships/webSettings" Id="rId57" Target="webSettings.xml" /><Relationship Type="http://schemas.openxmlformats.org/officeDocument/2006/relationships/fontTable" Id="rId56" Target="fontTable.xml" /><Relationship Type="http://schemas.openxmlformats.org/officeDocument/2006/relationships/theme" Id="rId55" Target="theme/theme1.xml" /><Relationship Type="http://schemas.openxmlformats.org/officeDocument/2006/relationships/footnotes" Id="rId54" Target="footnotes.xml" /><Relationship Type="http://schemas.openxmlformats.org/officeDocument/2006/relationships/comments" Id="rId53" Target="comments.xml" /><Relationship Id="rId13" Target="media/image5.png" Type="http://schemas.openxmlformats.org/officeDocument/2006/relationships/image" /><Relationship Id="rId18" Target="media/image10.png" Type="http://schemas.openxmlformats.org/officeDocument/2006/relationships/image" /><Relationship Id="rId26" Target="media/image17.png" Type="http://schemas.openxmlformats.org/officeDocument/2006/relationships/image" /><Relationship Id="rId21" Target="media/image13.png" Type="http://schemas.openxmlformats.org/officeDocument/2006/relationships/image" /><Relationship Id="rId50" Target="media/image23.png" Type="http://schemas.openxmlformats.org/officeDocument/2006/relationships/image" /><Relationship Id="rId7" Target="footer1.xml" Type="http://schemas.openxmlformats.org/officeDocument/2006/relationships/footer" /><Relationship Id="rId16" Target="media/image8.jpeg" Type="http://schemas.openxmlformats.org/officeDocument/2006/relationships/image" /><Relationship Id="rId29" Target="media/image20.png" Type="http://schemas.openxmlformats.org/officeDocument/2006/relationships/image" /><Relationship Id="rId11" Target="media/image3.png" Type="http://schemas.openxmlformats.org/officeDocument/2006/relationships/image" /><Relationship Id="rId24" Target="media/image16.png" Type="http://schemas.openxmlformats.org/officeDocument/2006/relationships/image" /><Relationship Id="rId19" Target="media/image11.png" Type="http://schemas.openxmlformats.org/officeDocument/2006/relationships/image" /><Relationship Id="rId9" Target="media/image1.jpeg" Type="http://schemas.openxmlformats.org/officeDocument/2006/relationships/image" /><Relationship Id="rId14" Target="media/image6.png" Type="http://schemas.openxmlformats.org/officeDocument/2006/relationships/image" /><Relationship Id="rId22" Target="media/image14.jpeg" Type="http://schemas.openxmlformats.org/officeDocument/2006/relationships/image" /><Relationship Id="rId27" Target="media/image18.png" Type="http://schemas.openxmlformats.org/officeDocument/2006/relationships/image" /><Relationship Id="rId30" Target="media/image21.png" Type="http://schemas.openxmlformats.org/officeDocument/2006/relationships/image" /><Relationship Id="rId8" Target="footer2.xml" Type="http://schemas.openxmlformats.org/officeDocument/2006/relationships/footer" /><Relationship Id="rId51" Target="media/image24.jpeg" Type="http://schemas.openxmlformats.org/officeDocument/2006/relationships/image" /><Relationship Id="rId12" Target="media/image4.png" Type="http://schemas.openxmlformats.org/officeDocument/2006/relationships/image" /><Relationship Id="rId17" Target="media/image9.png" Type="http://schemas.openxmlformats.org/officeDocument/2006/relationships/image" /><Relationship Id="rId20" Target="media/image12.png" Type="http://schemas.openxmlformats.org/officeDocument/2006/relationships/image" /><Relationship Id="rId15" Target="media/image7.png" Type="http://schemas.openxmlformats.org/officeDocument/2006/relationships/image" /><Relationship Id="rId23" Target="media/image15.jpeg" Type="http://schemas.openxmlformats.org/officeDocument/2006/relationships/image" /><Relationship Id="rId28" Target="media/image19.jpeg" Type="http://schemas.openxmlformats.org/officeDocument/2006/relationships/image" /><Relationship Id="rId10" Target="media/image2.jpeg" Type="http://schemas.openxmlformats.org/officeDocument/2006/relationships/image" /><Relationship Id="rId31" Target="media/image22.png" Type="http://schemas.openxmlformats.org/officeDocument/2006/relationships/image" /><Relationship Id="rId52" Target="media/image25.jpeg" Type="http://schemas.openxmlformats.org/officeDocument/2006/relationships/image" /><Relationship Type="http://schemas.openxmlformats.org/officeDocument/2006/relationships/image" Id="rId81" Target="media/rId81.png" /><Relationship Type="http://schemas.openxmlformats.org/officeDocument/2006/relationships/hyperlink" Id="rId69" Target="https://doi.org/10.1162/isec_a_00463" TargetMode="External" /></Relationships>
</file>

<file path=word/_rels/footnotes.xml.rels><?xml version="1.0" encoding="UTF-8"?><Relationships xmlns="http://schemas.openxmlformats.org/package/2006/relationships"><Relationship Type="http://schemas.openxmlformats.org/officeDocument/2006/relationships/hyperlink" Id="rId69" Target="https://doi.org/10.1162/isec_a_004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2026-07-29T15:01:12Z</dcterms:created>
  <dcterms:modified xsi:type="dcterms:W3CDTF">2026-07-29T15:01:12Z</dcterms:modified>
</cp:coreProperties>
</file>

<file path=docProps/custom.xml><?xml version="1.0" encoding="utf-8"?>
<Properties xmlns="http://schemas.openxmlformats.org/officeDocument/2006/custom-properties" xmlns:vt="http://schemas.openxmlformats.org/officeDocument/2006/docPropsVTypes"/>
</file>