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rId85.png" ContentType="image/png"/>
  <Override PartName="/word/media/image14.jpeg" ContentType="image/jpeg"/>
  <Override PartName="/word/media/image1.jpeg" ContentType="image/jpeg"/>
  <Override PartName="/word/media/image2.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jpeg" ContentType="image/jpeg"/>
  <Override PartName="/word/media/image9.png" ContentType="image/png"/>
  <Override PartName="/word/media/image10.png" ContentType="image/png"/>
  <Override PartName="/word/media/image11.png" ContentType="image/png"/>
  <Override PartName="/word/media/image13.png" ContentType="image/png"/>
  <Override PartName="/word/media/image12.png" ContentType="image/png"/>
  <Override PartName="/word/media/image15.jpeg" ContentType="image/jpeg"/>
  <Override PartName="/word/media/image16.png" ContentType="image/png"/>
  <Override PartName="/word/media/image17.png" ContentType="image/png"/>
  <Override PartName="/word/media/image18.png" ContentType="image/png"/>
  <Override PartName="/word/media/image19.jpeg" ContentType="image/jpeg"/>
  <Override PartName="/word/media/image20.png" ContentType="image/png"/>
  <Override PartName="/word/media/image21.png" ContentType="image/png"/>
  <Override PartName="/word/media/image22.png" ContentType="image/png"/>
  <Override PartName="/word/media/image23.png" ContentType="image/png"/>
  <Override PartName="/word/media/image24.jpeg" ContentType="image/jpeg"/>
  <Override PartName="/word/media/image25.jpe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3" w:name="X1f280e0fb6e25eca5ede2c7a7baa30807738c31"/>
    <w:p>
      <w:pPr>
        <w:pStyle w:val="Heading1"/>
      </w:pPr>
      <w:r>
        <w:t xml:space="preserve">Rules on Paper and Rules in Use: Licensing Strength, Orbital Altitude, and Documented Post-Mission Disposal Outcomes</w:t>
      </w:r>
    </w:p>
    <w:bookmarkStart w:id="61" w:name="specification"/>
    <w:p>
      <w:pPr>
        <w:pStyle w:val="Heading2"/>
      </w:pPr>
      <w:r>
        <w:t xml:space="preserve">Specification</w:t>
      </w:r>
    </w:p>
    <w:p>
      <w:pPr>
        <w:pStyle w:val="FirstParagraph"/>
      </w:pPr>
      <w:r>
        <w:t xml:space="preserve">Low Earth orbit is a common-pool resource in Elinor Ostrom’s precise sense. It is high in subtractability, because abandoned hardware permanently crowds the volume available to everyone else, and low in excludability, because no authority can fence users out of it</w:t>
      </w:r>
      <w:r>
        <w:t xml:space="preserve"> </w:t>
      </w:r>
      <w:hyperlink w:anchor="ref-1">
        <m:oMathPara>
          <m:oMathParaPr>
            <m:jc m:val="center"/>
          </m:oMathParaPr>
          <m:oMath>
            <m:r>
              <m:t>1</m:t>
            </m:r>
          </m:oMath>
        </m:oMathPara>
      </w:hyperlink>
      <w:r>
        <w:t xml:space="preserve">. Ostrom’s argument was that such resources are not condemned to ruin, and that durable governance appears where a specific institutional architecture is present, notably clearly defined boundaries, credible monitoring, and graduated sanctions</w:t>
      </w:r>
      <w:r>
        <w:t xml:space="preserve"> </w:t>
      </w:r>
      <w:hyperlink w:anchor="ref-1">
        <m:oMathPara>
          <m:oMathParaPr>
            <m:jc m:val="center"/>
          </m:oMathParaPr>
          <m:oMath>
            <m:r>
              <m:t>1</m:t>
            </m:r>
          </m:oMath>
        </m:oMathPara>
      </w:hyperlink>
      <w:r>
        <w:t xml:space="preserve">[2]. Post-mission disposal is the operational rule on which the orbital commons now rests: clear the protected region at end of life, either by re-entry or by removal to a disposal orbit</w:t>
      </w:r>
      <w:r>
        <w:t xml:space="preserve"> </w:t>
      </w:r>
      <w:hyperlink w:anchor="ref-12">
        <m:oMathPara>
          <m:oMathParaPr>
            <m:jc m:val="center"/>
          </m:oMathParaPr>
          <m:oMath>
            <m:r>
              <m:t>12</m:t>
            </m:r>
          </m:oMath>
        </m:oMathPara>
      </w:hyperlink>
      <w:r>
        <w:t xml:space="preserve">[17]. The question this paper puts to the record is whether the institutions surrounding an operator, rather than the physics of the orbit it occupies, explain whether that rule is kept.</w:t>
      </w:r>
    </w:p>
    <w:p>
      <w:pPr>
        <w:pStyle w:val="FirstParagraph"/>
      </w:pPr>
      <w:r>
        <w:t xml:space="preserve">An earlier version of this analysis coded the dependent variable by analyst inference for a minority of actors. That is circular, and the finding it produced did not survive the removal of the inferred rows. The design has therefore been rebuilt around a stricter rule: the outcome must be a reported fact. The unit of analysis is now the individual end-of-life event for a named spacecraft or constellation whose disposition is documented in the public record. The outcome</w:t>
      </w:r>
      <w:r>
        <w:t xml:space="preserve"> </w:t>
      </w:r>
      <w:r>
        <w:rPr>
          <w:rStyle w:val="VerbatimChar"/>
        </w:rPr>
        <w:t xml:space="preserve">pmd_success</w:t>
      </w:r>
      <w:r>
        <w:t xml:space="preserve"> </w:t>
      </w:r>
      <w:r>
        <w:t xml:space="preserve">is coded 1 where an agency, regulator, or peer-reviewed source reports either an atmospheric re-entry at or after end of mission or an executed disposal manoeuvre campaign that the operator states was performed to clear the protected region, and 0 where the record reports that the spacecraft reached end of mission with no disposal executed and remained in the region. Envisat, for which the European Space Agency reports a residual orbital lifetime of roughly 150 years after contact was lost in April 2012, is a documented zero</w:t>
      </w:r>
      <w:r>
        <w:t xml:space="preserve"> </w:t>
      </w:r>
      <w:hyperlink w:anchor="ref-16">
        <m:oMathPara>
          <m:oMathParaPr>
            <m:jc m:val="center"/>
          </m:oMathParaPr>
          <m:oMath>
            <m:r>
              <m:t>16</m:t>
            </m:r>
          </m:oMath>
        </m:oMathPara>
      </w:hyperlink>
      <w:r>
        <w:t xml:space="preserve">. Aeolus, whose assisted re-entry ESA executed between 24 and 28 July 2023, is a documented one</w:t>
      </w:r>
      <w:r>
        <w:t xml:space="preserve"> </w:t>
      </w:r>
      <w:hyperlink w:anchor="ref-16">
        <m:oMathPara>
          <m:oMathParaPr>
            <m:jc m:val="center"/>
          </m:oMathParaPr>
          <m:oMath>
            <m:r>
              <m:t>16</m:t>
            </m:r>
          </m:oMath>
        </m:oMathPara>
      </w:hyperlink>
      <w:r>
        <w:t xml:space="preserve">. Cases whose disposition could not be traced to a named source were dropped rather than estimated, which is why the sample is 25 rather than larger.</w:t>
      </w:r>
    </w:p>
    <w:p>
      <w:pPr>
        <w:pStyle w:val="FirstParagraph"/>
      </w:pPr>
      <w:r>
        <w:t xml:space="preserve">The predictors are three.</w:t>
      </w:r>
      <w:r>
        <w:t xml:space="preserve"> </w:t>
      </w:r>
      <w:r>
        <w:rPr>
          <w:rStyle w:val="VerbatimChar"/>
        </w:rPr>
        <w:t xml:space="preserve">eol_altitude_km</w:t>
      </w:r>
      <w:r>
        <w:t xml:space="preserve"> </w:t>
      </w:r>
      <w:r>
        <w:t xml:space="preserve">is the nominal operational altitude at end of mission, taken from the published mission record, and stands for the physical boundary.</w:t>
      </w:r>
      <w:r>
        <w:t xml:space="preserve"> </w:t>
      </w:r>
      <w:r>
        <w:rPr>
          <w:rStyle w:val="VerbatimChar"/>
        </w:rPr>
        <w:t xml:space="preserve">licensing_strength</w:t>
      </w:r>
      <w:r>
        <w:t xml:space="preserve"> </w:t>
      </w:r>
      <w:r>
        <w:t xml:space="preserve">is an ordinal index from 0 to 4 of the binding disposal obligation in force over the operator in its end-of-life year, awarding one point each for a published binding disposal requirement, a national authorisation statute conditioning licence on disposal, a timeline stricter than the 25-year default, and an enforcement or financial-guarantee mechanism</w:t>
      </w:r>
      <w:r>
        <w:t xml:space="preserve"> </w:t>
      </w:r>
      <w:hyperlink w:anchor="ref-14">
        <m:oMathPara>
          <m:oMathParaPr>
            <m:jc m:val="center"/>
          </m:oMathParaPr>
          <m:oMath>
            <m:r>
              <m:t>14</m:t>
            </m:r>
          </m:oMath>
        </m:oMathPara>
      </w:hyperlink>
      <w:r>
        <w:t xml:space="preserve">[15]. That index is scored from dated published instruments, but the aggregation into a scale is the analyst’s construction and is flagged as such in</w:t>
      </w:r>
      <w:r>
        <w:t xml:space="preserve"> </w:t>
      </w:r>
      <w:r>
        <w:rPr>
          <w:rStyle w:val="VerbatimChar"/>
        </w:rPr>
        <w:t xml:space="preserve">var_defs</w:t>
      </w:r>
      <w:r>
        <w:t xml:space="preserve"> </w:t>
      </w:r>
      <w:r>
        <w:t xml:space="preserve">and in the dataset column</w:t>
      </w:r>
      <w:r>
        <w:t xml:space="preserve"> </w:t>
      </w:r>
      <w:r>
        <w:rPr>
          <w:rStyle w:val="VerbatimChar"/>
        </w:rPr>
        <w:t xml:space="preserve">licensing_strength_analyst_coded</w:t>
      </w:r>
      <w:r>
        <w:t xml:space="preserve">.</w:t>
      </w:r>
      <w:r>
        <w:t xml:space="preserve"> </w:t>
      </w:r>
      <w:r>
        <w:rPr>
          <w:rStyle w:val="VerbatimChar"/>
        </w:rPr>
        <w:t xml:space="preserve">eol_year_c</w:t>
      </w:r>
      <w:r>
        <w:t xml:space="preserve"> </w:t>
      </w:r>
      <w:r>
        <w:t xml:space="preserve">is the end-of-mission year centred on 2013, absorbing the secular tightening of the regime. The estimating equation is</w:t>
      </w:r>
    </w:p>
    <w:p>
      <w:pPr>
        <w:pStyle w:val="FirstParagraph"/>
      </w:pPr>
      <m:oMathPara>
        <m:oMathParaPr>
          <m:jc m:val="center"/>
        </m:oMathParaPr>
        <m:oMath>
          <m:r>
            <m:rPr>
              <m:sty m:val="p"/>
            </m:rPr>
            <m:t>logit</m:t>
          </m:r>
          <m:d>
            <m:dPr>
              <m:begChr m:val="("/>
              <m:sepChr m:val=""/>
              <m:endChr m:val=")"/>
              <m:grow/>
            </m:dPr>
            <m:e>
              <m:r>
                <m:rPr>
                  <m:sty m:val="p"/>
                </m:rPr>
                <m:t>Pr</m:t>
              </m:r>
              <m:r>
                <m:rPr>
                  <m:sty m:val="p"/>
                </m:rPr>
                <m:t>(</m:t>
              </m:r>
              <m:r>
                <m:t>p</m:t>
              </m:r>
              <m:r>
                <m:t>m</m:t>
              </m:r>
              <m:r>
                <m:t>d</m:t>
              </m:r>
              <m:r>
                <m:rPr>
                  <m:sty m:val="p"/>
                </m:rPr>
                <m:t>_</m:t>
              </m:r>
              <m:r>
                <m:t>s</m:t>
              </m:r>
              <m:r>
                <m:t>u</m:t>
              </m:r>
              <m:r>
                <m:t>c</m:t>
              </m:r>
              <m:r>
                <m:t>c</m:t>
              </m:r>
              <m:r>
                <m:t>e</m:t>
              </m:r>
              <m:r>
                <m:t>s</m:t>
              </m:r>
              <m:sSub>
                <m:e>
                  <m:r>
                    <m:t>s</m:t>
                  </m:r>
                </m:e>
                <m:sub>
                  <m:r>
                    <m:t>i</m:t>
                  </m:r>
                </m:sub>
              </m:sSub>
              <m:r>
                <m:rPr>
                  <m:sty m:val="p"/>
                </m:rPr>
                <m:t>=</m:t>
              </m:r>
              <m:r>
                <m:t>1</m:t>
              </m:r>
              <m:r>
                <m:rPr>
                  <m:sty m:val="p"/>
                </m:rPr>
                <m:t>)</m:t>
              </m:r>
            </m:e>
          </m:d>
          <m:r>
            <m:rPr>
              <m:sty m:val="p"/>
            </m:rPr>
            <m:t>=</m:t>
          </m:r>
          <m:sSub>
            <m:e>
              <m:r>
                <m:t>β</m:t>
              </m:r>
            </m:e>
            <m:sub>
              <m:r>
                <m:t>0</m:t>
              </m:r>
            </m:sub>
          </m:sSub>
          <m:r>
            <m:rPr>
              <m:sty m:val="p"/>
            </m:rPr>
            <m:t>+</m:t>
          </m:r>
          <m:sSub>
            <m:e>
              <m:r>
                <m:t>β</m:t>
              </m:r>
            </m:e>
            <m:sub>
              <m:r>
                <m:t>1</m:t>
              </m:r>
            </m:sub>
          </m:sSub>
          <m:r>
            <m:t> </m:t>
          </m:r>
          <m:r>
            <m:t>e</m:t>
          </m:r>
          <m:r>
            <m:t>o</m:t>
          </m:r>
          <m:r>
            <m:t>l</m:t>
          </m:r>
          <m:r>
            <m:rPr>
              <m:sty m:val="p"/>
            </m:rPr>
            <m:t>_</m:t>
          </m:r>
          <m:r>
            <m:t>a</m:t>
          </m:r>
          <m:r>
            <m:t>l</m:t>
          </m:r>
          <m:r>
            <m:t>t</m:t>
          </m:r>
          <m:r>
            <m:t>i</m:t>
          </m:r>
          <m:r>
            <m:t>t</m:t>
          </m:r>
          <m:r>
            <m:t>u</m:t>
          </m:r>
          <m:r>
            <m:t>d</m:t>
          </m:r>
          <m:r>
            <m:t>e</m:t>
          </m:r>
          <m:r>
            <m:rPr>
              <m:sty m:val="p"/>
            </m:rPr>
            <m:t>_</m:t>
          </m:r>
          <m:r>
            <m:t>k</m:t>
          </m:r>
          <m:sSub>
            <m:e>
              <m:r>
                <m:t>m</m:t>
              </m:r>
            </m:e>
            <m:sub>
              <m:r>
                <m:t>i</m:t>
              </m:r>
            </m:sub>
          </m:sSub>
          <m:r>
            <m:rPr>
              <m:sty m:val="p"/>
            </m:rPr>
            <m:t>+</m:t>
          </m:r>
          <m:sSub>
            <m:e>
              <m:r>
                <m:t>β</m:t>
              </m:r>
            </m:e>
            <m:sub>
              <m:r>
                <m:t>2</m:t>
              </m:r>
            </m:sub>
          </m:sSub>
          <m:r>
            <m:t> </m:t>
          </m:r>
          <m:r>
            <m:t>l</m:t>
          </m:r>
          <m:r>
            <m:t>i</m:t>
          </m:r>
          <m:r>
            <m:t>c</m:t>
          </m:r>
          <m:r>
            <m:t>e</m:t>
          </m:r>
          <m:r>
            <m:t>n</m:t>
          </m:r>
          <m:r>
            <m:t>s</m:t>
          </m:r>
          <m:r>
            <m:t>i</m:t>
          </m:r>
          <m:r>
            <m:t>n</m:t>
          </m:r>
          <m:r>
            <m:t>g</m:t>
          </m:r>
          <m:r>
            <m:rPr>
              <m:sty m:val="p"/>
            </m:rPr>
            <m:t>_</m:t>
          </m:r>
          <m:r>
            <m:t>s</m:t>
          </m:r>
          <m:r>
            <m:t>t</m:t>
          </m:r>
          <m:r>
            <m:t>r</m:t>
          </m:r>
          <m:r>
            <m:t>e</m:t>
          </m:r>
          <m:r>
            <m:t>n</m:t>
          </m:r>
          <m:r>
            <m:t>g</m:t>
          </m:r>
          <m:r>
            <m:t>t</m:t>
          </m:r>
          <m:sSub>
            <m:e>
              <m:r>
                <m:t>h</m:t>
              </m:r>
            </m:e>
            <m:sub>
              <m:r>
                <m:t>i</m:t>
              </m:r>
            </m:sub>
          </m:sSub>
          <m:r>
            <m:rPr>
              <m:sty m:val="p"/>
            </m:rPr>
            <m:t>+</m:t>
          </m:r>
          <m:sSub>
            <m:e>
              <m:r>
                <m:t>β</m:t>
              </m:r>
            </m:e>
            <m:sub>
              <m:r>
                <m:t>3</m:t>
              </m:r>
            </m:sub>
          </m:sSub>
          <m:r>
            <m:t> </m:t>
          </m:r>
          <m:r>
            <m:t>e</m:t>
          </m:r>
          <m:r>
            <m:t>o</m:t>
          </m:r>
          <m:r>
            <m:t>l</m:t>
          </m:r>
          <m:r>
            <m:rPr>
              <m:sty m:val="p"/>
            </m:rPr>
            <m:t>_</m:t>
          </m:r>
          <m:r>
            <m:t>y</m:t>
          </m:r>
          <m:r>
            <m:t>e</m:t>
          </m:r>
          <m:r>
            <m:t>a</m:t>
          </m:r>
          <m:r>
            <m:t>r</m:t>
          </m:r>
          <m:r>
            <m:rPr>
              <m:sty m:val="p"/>
            </m:rPr>
            <m:t>_</m:t>
          </m:r>
          <m:sSub>
            <m:e>
              <m:r>
                <m:t>c</m:t>
              </m:r>
            </m:e>
            <m:sub>
              <m:r>
                <m:t>i</m:t>
              </m:r>
            </m:sub>
          </m:sSub>
          <m:r>
            <m:rPr>
              <m:sty m:val="p"/>
            </m:rPr>
            <m:t>.</m:t>
          </m:r>
        </m:oMath>
      </m:oMathPara>
    </w:p>
    <w:bookmarkEnd w:id="61"/>
    <w:bookmarkStart w:id="62" w:name="results"/>
    <w:p>
      <w:pPr>
        <w:pStyle w:val="Heading2"/>
      </w:pPr>
      <w:r>
        <w:t xml:space="preserve">Results</w:t>
      </w:r>
    </w:p>
    <w:p>
      <w:pPr>
        <w:pStyle w:val="FirstParagraph"/>
      </w:pPr>
      <w:r>
        <w:t xml:space="preserve">The sample contains 25 documented end-of-life events between 2000 and 2023, of which 19 are successes and 6 are failures. The model returns a clean and precise null on the institutional variable. Licensing strength carries a coefficient of 0.024 with a standard error of 0.694, a z statistic of 0.03, and a p value of 0.973; its 95 per cent confidence interval runs from -1.34 to 1.38. The index does no work at all. Its bivariate specification is even starker: a coefficient of 0.100 with p equal to 0.836 and a pseudo R-squared of 0.002. Across the raw cells the pattern is flat. Operators facing no binding instrument complied in 4 of 5 cases, operators facing one instrument complied in 10 of 14, and operators facing three instruments complied in 4 of 5.</w:t>
      </w:r>
    </w:p>
    <w:p>
      <w:pPr>
        <w:pStyle w:val="BodyText"/>
      </w:pPr>
      <w:r>
        <w:t xml:space="preserve">Orbital altitude carries the only signal in the model, and it is weak. The coefficient is -0.0073 with a standard error of 0.0041, a z statistic of -1.77, and a p value of 0.077; the 95 per cent confidence interval runs from -0.0154 to 0.0008. Expressed as an odds ratio, each additional 100 kilometres of end-of-mission altitude multiplies the odds of a documented disposal success by 0.48, with an interval from 0.22 to 1.08. The descriptive contrast is sharper than the inference. Failures average 832 kilometres and successes average 565. Every failure in the sample sits at or above 575 kilometres, and the highest observation, Jason-1 at 1324 kilometres, failed under the French Space Operations Act, one of the strongest licensing regimes represented. End-of-mission year is positive but indistinguishable from zero, with a coefficient of 0.087 and a p value of 0.314. The joint model has a pseudo R-squared of 0.301, a log-likelihood of -9.63, and a likelihood-ratio p value of 0.040, but its in-sample accuracy of 0.80 barely exceeds the 0.76 base rate of success. The honest summary is a null on institutions and a suggestive, underpowered negative association with altitude.</w:t>
      </w:r>
    </w:p>
    <w:bookmarkEnd w:id="62"/>
    <w:bookmarkStart w:id="63" w:name="X2aa518be3b4e46a315ccf1bfc83b7259d3683c9"/>
    <w:p>
      <w:pPr>
        <w:pStyle w:val="Heading2"/>
      </w:pPr>
      <w:r>
        <w:t xml:space="preserve">Robustness and what the outcome can and cannot support</w:t>
      </w:r>
    </w:p>
    <w:p>
      <w:pPr>
        <w:pStyle w:val="FirstParagraph"/>
      </w:pPr>
      <w:r>
        <w:t xml:space="preserve">Because the only analyst-constructed variable is a predictor rather than the outcome, the appropriate check is removal of that predictor rather than removal of rows. Dropping</w:t>
      </w:r>
      <w:r>
        <w:t xml:space="preserve"> </w:t>
      </w:r>
      <w:r>
        <w:rPr>
          <w:rStyle w:val="VerbatimChar"/>
        </w:rPr>
        <w:t xml:space="preserve">licensing_strength</w:t>
      </w:r>
      <w:r>
        <w:t xml:space="preserve"> </w:t>
      </w:r>
      <w:r>
        <w:t xml:space="preserve">entirely leaves the altitude coefficient at -0.0073 and its p value at 0.074, and leaves the pseudo R-squared unchanged at 0.301. The qualitative conclusion does not flip. The altitude result is, however, fragile to a single observation. Dropping Jason-1, the highest-altitude case and an influential failure, moves the altitude coefficient to -0.0068 with a p value of 0.135 and pushes the model likelihood-ratio p value to 0.146. The altitude finding should therefore be read as directional and unconfirmed, not as an established effect. The null on licensing is more robust: it survives every specification, including the government-operator subsample of 21, where the licensing coefficient turns negative at -2.00 with a p value of 0.254.</w:t>
      </w:r>
    </w:p>
    <w:p>
      <w:pPr>
        <w:pStyle w:val="BodyText"/>
      </w:pPr>
      <w:r>
        <w:t xml:space="preserve">Three limits deserve naming. First,</w:t>
      </w:r>
      <w:r>
        <w:t xml:space="preserve"> </w:t>
      </w:r>
      <w:r>
        <w:rPr>
          <w:rStyle w:val="VerbatimChar"/>
        </w:rPr>
        <w:t xml:space="preserve">gov_operator</w:t>
      </w:r>
      <w:r>
        <w:t xml:space="preserve"> </w:t>
      </w:r>
      <w:r>
        <w:t xml:space="preserve">is reported in the dataset but excluded from the equation, because all four non-governmental cases in the documented sample are successes and the variable perfectly separates the outcome. That separation is itself informative and is discussed below, but it cannot be estimated. Second, the sample is selected on documentation, not at random. The actors whose disposal outcomes are individually published are overwhelmingly transparent civil agencies and Western-licensed commercial operators. Operators that neither publish nor are subject to a reporting regime are largely absent, which almost certainly attenuates the licensing coefficient toward zero and means the estimate speaks to variation among documented actors rather than to the global population. Third, with 6 failures and 3 predictors the model is underpowered by any conventional standard, and the confidence intervals are correspondingly wide. What the outcome can support is the negative claim that among actors whose behaviour is on the record, formal institutional strength does not sort disposal outcomes. What it cannot support is any positive causal claim about altitude, or any inference about the compliance of actors who do not report. For the population-level context that this design deliberately does not attempt, the aggregate adherence series in ESA’s Annual Space Environment Report remains the authoritative source</w:t>
      </w:r>
      <w:r>
        <w:t xml:space="preserve"> </w:t>
      </w:r>
      <w:hyperlink w:anchor="ref-11">
        <m:oMathPara>
          <m:oMathParaPr>
            <m:jc m:val="center"/>
          </m:oMathParaPr>
          <m:oMath>
            <m:r>
              <m:t>11</m:t>
            </m:r>
          </m:oMath>
        </m:oMathPara>
      </w:hyperlink>
      <w:r>
        <w:t xml:space="preserve">.</w:t>
      </w:r>
    </w:p>
    <w:bookmarkEnd w:id="63"/>
    <w:bookmarkStart w:id="64" w:name="X8e1c820eff7024b9088a8c5dc7374a0e7a61c0b"/>
    <w:p>
      <w:pPr>
        <w:pStyle w:val="Heading2"/>
      </w:pPr>
      <w:r>
        <w:t xml:space="preserve">Interpretation through the strategic canon</w:t>
      </w:r>
    </w:p>
    <w:p>
      <w:pPr>
        <w:pStyle w:val="FirstParagraph"/>
      </w:pPr>
      <w:r>
        <w:t xml:space="preserve">The null is the finding, and it is Douglass North’s finding before it is anyone else’s. North insisted on separating the formal rules from their enforcement, and on the proposition that a rule without credible enforcement is not an effective institution</w:t>
      </w:r>
      <w:r>
        <w:t xml:space="preserve"> </w:t>
      </w:r>
      <w:hyperlink w:anchor="ref-4">
        <m:oMathPara>
          <m:oMathParaPr>
            <m:jc m:val="center"/>
          </m:oMathParaPr>
          <m:oMath>
            <m:r>
              <m:t>4</m:t>
            </m:r>
          </m:oMath>
        </m:oMathPara>
      </w:hyperlink>
      <w:r>
        <w:t xml:space="preserve">. What the index measures is codification: statutes, standards, authorisation regimes. What the data show is that codification alone does not move the outcome. The point is sharpened by the cases that fall outside their category. CNES executed disposal manoeuvres on SPOT-1 in November 2003 although, as the mission record explicitly states, the rule did not then apply to it, and ISRO performed a controlled re-entry of Megha-Tropiques-1 in March 2023 with no binding national instrument in force</w:t>
      </w:r>
      <w:r>
        <w:t xml:space="preserve"> </w:t>
      </w:r>
      <w:hyperlink w:anchor="ref-16">
        <m:oMathPara>
          <m:oMathParaPr>
            <m:jc m:val="center"/>
          </m:oMathParaPr>
          <m:oMath>
            <m:r>
              <m:t>16</m:t>
            </m:r>
          </m:oMath>
        </m:oMathPara>
      </w:hyperlink>
      <w:r>
        <w:t xml:space="preserve">[18]. Conversely, Jason-1 was abandoned at 1324 kilometres under a mature licensing statute. North and Weingast’s argument that credible commitment rather than nominal codification changes behaviour is visible here in the negative</w:t>
      </w:r>
      <w:r>
        <w:t xml:space="preserve"> </w:t>
      </w:r>
      <w:hyperlink w:anchor="ref-5">
        <m:oMathPara>
          <m:oMathParaPr>
            <m:jc m:val="center"/>
          </m:oMathParaPr>
          <m:oMath>
            <m:r>
              <m:t>5</m:t>
            </m:r>
          </m:oMath>
        </m:oMathPara>
      </w:hyperlink>
      <w:r>
        <w:t xml:space="preserve">. Oliver Williamson supplies the mechanism. Disposal is a transaction in which the operator bears a certain propellant and lifetime cost to produce a diffuse public benefit, the structure that invites non-performance unless the governance form makes the cost unavoidable</w:t>
      </w:r>
      <w:r>
        <w:t xml:space="preserve"> </w:t>
      </w:r>
      <w:hyperlink w:anchor="ref-6">
        <m:oMathPara>
          <m:oMathParaPr>
            <m:jc m:val="center"/>
          </m:oMathParaPr>
          <m:oMath>
            <m:r>
              <m:t>6</m:t>
            </m:r>
          </m:oMath>
        </m:oMathPara>
      </w:hyperlink>
      <w:r>
        <w:t xml:space="preserve">[7]. Where the physics makes disposal nearly free, as at 224 kilometres for GOCE or 320 for Aeolus, alignment holds. Where the physics makes it expensive, as above 1000 kilometres, a statute alone does not close the gap.</w:t>
      </w:r>
    </w:p>
    <w:p>
      <w:pPr>
        <w:pStyle w:val="FirstParagraph"/>
      </w:pPr>
      <w:r>
        <w:t xml:space="preserve">Ostrom explains why the boundary variable, not the legal one, carries what little signal exists. Her first design principle is clearly defined boundaries, and in orbit the operative boundary is altitude rather than jurisdiction</w:t>
      </w:r>
      <w:r>
        <w:t xml:space="preserve"> </w:t>
      </w:r>
      <w:hyperlink w:anchor="ref-1">
        <m:oMathPara>
          <m:oMathParaPr>
            <m:jc m:val="center"/>
          </m:oMathParaPr>
          <m:oMath>
            <m:r>
              <m:t>1</m:t>
            </m:r>
          </m:oMath>
        </m:oMathPara>
      </w:hyperlink>
      <w:r>
        <w:t xml:space="preserve">. Below roughly 600 kilometres, atmospheric drag enforces the rule without any institution doing so, which is a self-executing boundary rather than an institutional achievement. Her fourth and fifth principles, accountable monitoring and graduated sanctions, identify precisely what the high band lacks and what the licensing index fails to capture, since none of the instruments scored here attaches a graduated penalty to a missed disposal</w:t>
      </w:r>
      <w:r>
        <w:t xml:space="preserve"> </w:t>
      </w:r>
      <w:hyperlink w:anchor="ref-2">
        <m:oMathPara>
          <m:oMathParaPr>
            <m:jc m:val="center"/>
          </m:oMathParaPr>
          <m:oMath>
            <m:r>
              <m:t>2</m:t>
            </m:r>
          </m:oMath>
        </m:oMathPara>
      </w:hyperlink>
      <w:r>
        <w:t xml:space="preserve">. The perfect separation on operator type points the same way: the four commercial and academic cases that comply are all operators for whom disposal is coupled to continuing market access or to a reputational demonstration, which is monitoring and sanction by another name. Ostrom’s warning against panaceas applies directly. A single stronger statute is not the design fix that the coefficient on licensing strength would need to be to justify it</w:t>
      </w:r>
      <w:r>
        <w:t xml:space="preserve"> </w:t>
      </w:r>
      <w:hyperlink w:anchor="ref-3">
        <m:oMathPara>
          <m:oMathParaPr>
            <m:jc m:val="center"/>
          </m:oMathParaPr>
          <m:oMath>
            <m:r>
              <m:t>3</m:t>
            </m:r>
          </m:oMath>
        </m:oMathPara>
      </w:hyperlink>
      <w:r>
        <w:t xml:space="preserve">.</w:t>
      </w:r>
    </w:p>
    <w:p>
      <w:pPr>
        <w:pStyle w:val="FirstParagraph"/>
      </w:pPr>
      <w:r>
        <w:t xml:space="preserve">The normative frame follows. Grotius argued in Mare Liberum that a resource common to all could not be appropriated, and that its freedom carried a duty of non-injury to co-users</w:t>
      </w:r>
      <w:r>
        <w:t xml:space="preserve"> </w:t>
      </w:r>
      <w:hyperlink w:anchor="ref-8">
        <m:oMathPara>
          <m:oMathParaPr>
            <m:jc m:val="center"/>
          </m:oMathParaPr>
          <m:oMath>
            <m:r>
              <m:t>8</m:t>
            </m:r>
          </m:oMath>
        </m:oMathPara>
      </w:hyperlink>
      <w:r>
        <w:t xml:space="preserve">. Orbit inverts the Grotian premise of inexhaustibility while preserving the duty, and the data locate the duty’s failure exactly where nobody watches. Kant’s publicity test is the operational lesson: a maxim that cannot survive being made public is unjust, and non-disposal survives only through quiet externalisation</w:t>
      </w:r>
      <w:r>
        <w:t xml:space="preserve"> </w:t>
      </w:r>
      <w:hyperlink w:anchor="ref-9">
        <m:oMathPara>
          <m:oMathParaPr>
            <m:jc m:val="center"/>
          </m:oMathParaPr>
          <m:oMath>
            <m:r>
              <m:t>9</m:t>
            </m:r>
          </m:oMath>
        </m:oMathPara>
      </w:hyperlink>
      <w:r>
        <w:t xml:space="preserve">. That this study could only assemble 25 rows is itself a Kantian result, because the population of documented actors is the population of actors who consent to be seen. Ikenberry’s account of durable order through binding institutions and strategic restraint sets the design brief</w:t>
      </w:r>
      <w:r>
        <w:t xml:space="preserve"> </w:t>
      </w:r>
      <w:hyperlink w:anchor="ref-10">
        <m:oMathPara>
          <m:oMathParaPr>
            <m:jc m:val="center"/>
          </m:oMathParaPr>
          <m:oMath>
            <m:r>
              <m:t>10</m:t>
            </m:r>
          </m:oMath>
        </m:oMathPara>
      </w:hyperlink>
      <w:r>
        <w:t xml:space="preserve">. The evidence here does not support the claim that more codification produces more restraint. It supports the narrower and harder claim that restraint follows monitoring, and that an order which cannot observe its members cannot bind them.</w:t>
      </w:r>
    </w:p>
    <w:bookmarkEnd w:id="64"/>
    <w:bookmarkStart w:id="83" w:name="references"/>
    <w:p>
      <w:pPr>
        <w:pStyle w:val="Heading2"/>
      </w:pPr>
      <w:r>
        <w:t xml:space="preserve">References</w:t>
      </w:r>
    </w:p>
    <w:p>
      <w:pPr>
        <w:pStyle w:val="FirstParagraph"/>
      </w:pPr>
      <w:bookmarkStart w:id="65" w:name="ref-1"/>
      <w:bookmarkEnd w:id="65"/>
      <w:r>
        <w:t xml:space="preserve">1. Ostrom, E.</w:t>
      </w:r>
      <w:r>
        <w:t xml:space="preserve"> </w:t>
      </w:r>
      <w:r>
        <w:rPr>
          <w:i/>
          <w:iCs/>
        </w:rPr>
        <w:t xml:space="preserve">Governing the Commons: The Evolution of Institutions for Collective Action</w:t>
      </w:r>
      <w:r>
        <w:t xml:space="preserve">. Cambridge University Press, 1990.</w:t>
      </w:r>
      <w:r>
        <w:t xml:space="preserve"> </w:t>
      </w:r>
      <w:bookmarkStart w:id="66" w:name="ref-2"/>
      <w:bookmarkEnd w:id="66"/>
      <w:r>
        <w:t xml:space="preserve">2. Ostrom, E.</w:t>
      </w:r>
      <w:r>
        <w:t xml:space="preserve"> </w:t>
      </w:r>
      <w:r>
        <w:rPr>
          <w:i/>
          <w:iCs/>
        </w:rPr>
        <w:t xml:space="preserve">Understanding Institutional Diversity</w:t>
      </w:r>
      <w:r>
        <w:t xml:space="preserve">. Princeton University Press, 2005.</w:t>
      </w:r>
      <w:r>
        <w:t xml:space="preserve"> </w:t>
      </w:r>
      <w:bookmarkStart w:id="67" w:name="ref-3"/>
      <w:bookmarkEnd w:id="67"/>
      <w:r>
        <w:t xml:space="preserve">3. Ostrom, E.</w:t>
      </w:r>
      <w:r>
        <w:t xml:space="preserve"> </w:t>
      </w:r>
      <w:r>
        <w:t xml:space="preserve">“Polycentric systems for coping with collective action and global environmental change.”</w:t>
      </w:r>
      <w:r>
        <w:t xml:space="preserve"> </w:t>
      </w:r>
      <w:r>
        <w:rPr>
          <w:i/>
          <w:iCs/>
        </w:rPr>
        <w:t xml:space="preserve">Global Environmental Change</w:t>
      </w:r>
      <w:r>
        <w:t xml:space="preserve"> </w:t>
      </w:r>
      <w:r>
        <w:t xml:space="preserve">20(4):550-557, 2010.</w:t>
      </w:r>
      <w:r>
        <w:t xml:space="preserve"> </w:t>
      </w:r>
      <w:bookmarkStart w:id="68" w:name="ref-4"/>
      <w:bookmarkEnd w:id="68"/>
      <w:r>
        <w:t xml:space="preserve">4. North, D. C.</w:t>
      </w:r>
      <w:r>
        <w:t xml:space="preserve"> </w:t>
      </w:r>
      <w:r>
        <w:rPr>
          <w:i/>
          <w:iCs/>
        </w:rPr>
        <w:t xml:space="preserve">Institutions, Institutional Change and Economic Performance</w:t>
      </w:r>
      <w:r>
        <w:t xml:space="preserve">. Cambridge University Press, 1990.</w:t>
      </w:r>
      <w:r>
        <w:t xml:space="preserve"> </w:t>
      </w:r>
      <w:bookmarkStart w:id="69" w:name="ref-5"/>
      <w:bookmarkEnd w:id="69"/>
      <w:r>
        <w:t xml:space="preserve">5. North, D. C. and Weingast, B. R.</w:t>
      </w:r>
      <w:r>
        <w:t xml:space="preserve"> </w:t>
      </w:r>
      <w:r>
        <w:t xml:space="preserve">“Constitutions and Commitment: The Evolution of Institutions Governing Public Choice in Seventeenth-Century England.”</w:t>
      </w:r>
      <w:r>
        <w:t xml:space="preserve"> </w:t>
      </w:r>
      <w:r>
        <w:rPr>
          <w:i/>
          <w:iCs/>
        </w:rPr>
        <w:t xml:space="preserve">Journal of Economic History</w:t>
      </w:r>
      <w:r>
        <w:t xml:space="preserve"> </w:t>
      </w:r>
      <w:r>
        <w:t xml:space="preserve">49(4):803-832, 1989.</w:t>
      </w:r>
      <w:r>
        <w:t xml:space="preserve"> </w:t>
      </w:r>
      <w:bookmarkStart w:id="70" w:name="ref-6"/>
      <w:bookmarkEnd w:id="70"/>
      <w:r>
        <w:t xml:space="preserve">6. Williamson, O. E.</w:t>
      </w:r>
      <w:r>
        <w:t xml:space="preserve"> </w:t>
      </w:r>
      <w:r>
        <w:rPr>
          <w:i/>
          <w:iCs/>
        </w:rPr>
        <w:t xml:space="preserve">The Economic Institutions of Capitalism</w:t>
      </w:r>
      <w:r>
        <w:t xml:space="preserve">. Free Press, 1985.</w:t>
      </w:r>
      <w:r>
        <w:t xml:space="preserve"> </w:t>
      </w:r>
      <w:bookmarkStart w:id="71" w:name="ref-7"/>
      <w:bookmarkEnd w:id="71"/>
      <w:r>
        <w:t xml:space="preserve">7. Williamson, O. E.</w:t>
      </w:r>
      <w:r>
        <w:t xml:space="preserve"> </w:t>
      </w:r>
      <w:r>
        <w:t xml:space="preserve">“Comparative Economic Organization: The Analysis of Discrete Structural Alternatives.”</w:t>
      </w:r>
      <w:r>
        <w:t xml:space="preserve"> </w:t>
      </w:r>
      <w:r>
        <w:rPr>
          <w:i/>
          <w:iCs/>
        </w:rPr>
        <w:t xml:space="preserve">Administrative Science Quarterly</w:t>
      </w:r>
      <w:r>
        <w:t xml:space="preserve"> </w:t>
      </w:r>
      <w:r>
        <w:t xml:space="preserve">36(2):269-296, 1991. DOI 10.2307/2393356.</w:t>
      </w:r>
      <w:r>
        <w:t xml:space="preserve"> </w:t>
      </w:r>
      <w:bookmarkStart w:id="72" w:name="ref-8"/>
      <w:bookmarkEnd w:id="72"/>
      <w:r>
        <w:t xml:space="preserve">8. Grotius, H.</w:t>
      </w:r>
      <w:r>
        <w:t xml:space="preserve"> </w:t>
      </w:r>
      <w:r>
        <w:rPr>
          <w:i/>
          <w:iCs/>
        </w:rPr>
        <w:t xml:space="preserve">Mare Liberum</w:t>
      </w:r>
      <w:r>
        <w:t xml:space="preserve">. 1609 (trans. R. Van Deman Magoffin, 1916).</w:t>
      </w:r>
      <w:r>
        <w:t xml:space="preserve"> </w:t>
      </w:r>
      <w:bookmarkStart w:id="73" w:name="ref-9"/>
      <w:bookmarkEnd w:id="73"/>
      <w:r>
        <w:t xml:space="preserve">9. Kant, I.</w:t>
      </w:r>
      <w:r>
        <w:t xml:space="preserve"> </w:t>
      </w:r>
      <w:r>
        <w:rPr>
          <w:i/>
          <w:iCs/>
        </w:rPr>
        <w:t xml:space="preserve">Zum ewigen Frieden (Toward Perpetual Peace)</w:t>
      </w:r>
      <w:r>
        <w:t xml:space="preserve">. 1795.</w:t>
      </w:r>
      <w:r>
        <w:t xml:space="preserve"> </w:t>
      </w:r>
      <w:bookmarkStart w:id="74" w:name="ref-10"/>
      <w:bookmarkEnd w:id="74"/>
      <w:r>
        <w:t xml:space="preserve">10. Ikenberry, G. J.</w:t>
      </w:r>
      <w:r>
        <w:t xml:space="preserve"> </w:t>
      </w:r>
      <w:r>
        <w:rPr>
          <w:i/>
          <w:iCs/>
        </w:rPr>
        <w:t xml:space="preserve">After Victory: Institutions, Strategic Restraint, and the Rebuilding of Order after Major Wars</w:t>
      </w:r>
      <w:r>
        <w:t xml:space="preserve">. Princeton University Press, 2001.</w:t>
      </w:r>
      <w:r>
        <w:t xml:space="preserve"> </w:t>
      </w:r>
      <w:bookmarkStart w:id="75" w:name="ref-11"/>
      <w:bookmarkEnd w:id="75"/>
      <w:r>
        <w:t xml:space="preserve">11. ESA Space Debris Office.</w:t>
      </w:r>
      <w:r>
        <w:t xml:space="preserve"> </w:t>
      </w:r>
      <w:r>
        <w:rPr>
          <w:i/>
          <w:iCs/>
        </w:rPr>
        <w:t xml:space="preserve">ESA’s Annual Space Environment Report</w:t>
      </w:r>
      <w:r>
        <w:t xml:space="preserve">, Issue 10.0, GEN-DB-LOG-00288-OPS-SD, ESA/ESOC, Darmstadt, 1 May 2026.</w:t>
      </w:r>
      <w:r>
        <w:t xml:space="preserve"> </w:t>
      </w:r>
      <w:bookmarkStart w:id="76" w:name="ref-12"/>
      <w:bookmarkEnd w:id="76"/>
      <w:r>
        <w:t xml:space="preserve">12. Inter-Agency Space Debris Coordination Committee.</w:t>
      </w:r>
      <w:r>
        <w:t xml:space="preserve"> </w:t>
      </w:r>
      <w:r>
        <w:rPr>
          <w:i/>
          <w:iCs/>
        </w:rPr>
        <w:t xml:space="preserve">Space Debris Mitigation Guidelines</w:t>
      </w:r>
      <w:r>
        <w:t xml:space="preserve">, IADC-02-01, Revision 4, 2025.</w:t>
      </w:r>
      <w:r>
        <w:t xml:space="preserve"> </w:t>
      </w:r>
      <w:bookmarkStart w:id="77" w:name="ref-13"/>
      <w:bookmarkEnd w:id="77"/>
      <w:r>
        <w:t xml:space="preserve">13. United Nations.</w:t>
      </w:r>
      <w:r>
        <w:t xml:space="preserve"> </w:t>
      </w:r>
      <w:r>
        <w:rPr>
          <w:i/>
          <w:iCs/>
        </w:rPr>
        <w:t xml:space="preserve">Guidelines for the Long-Term Sustainability of Outer Space Activities</w:t>
      </w:r>
      <w:r>
        <w:t xml:space="preserve">, A/AC.105/C.1/L.366, 2019.</w:t>
      </w:r>
      <w:r>
        <w:t xml:space="preserve"> </w:t>
      </w:r>
      <w:bookmarkStart w:id="78" w:name="ref-14"/>
      <w:bookmarkEnd w:id="78"/>
      <w:r>
        <w:t xml:space="preserve">14. Federal Communications Commission.</w:t>
      </w:r>
      <w:r>
        <w:t xml:space="preserve"> </w:t>
      </w:r>
      <w:r>
        <w:t xml:space="preserve">“Mitigation of Orbital Debris in the New Space Age,”</w:t>
      </w:r>
      <w:r>
        <w:t xml:space="preserve"> </w:t>
      </w:r>
      <w:r>
        <w:t xml:space="preserve">Second Report and Order, FCC 22-74, 2022; and Second Report and Order, IB Docket No. 02-54, 2004.</w:t>
      </w:r>
      <w:r>
        <w:t xml:space="preserve"> </w:t>
      </w:r>
      <w:bookmarkStart w:id="79" w:name="ref-15"/>
      <w:bookmarkEnd w:id="79"/>
      <w:r>
        <w:t xml:space="preserve">15. European Space Agency.</w:t>
      </w:r>
      <w:r>
        <w:t xml:space="preserve"> </w:t>
      </w:r>
      <w:r>
        <w:rPr>
          <w:i/>
          <w:iCs/>
        </w:rPr>
        <w:t xml:space="preserve">Space Debris Mitigation Policy</w:t>
      </w:r>
      <w:r>
        <w:t xml:space="preserve">, ESA/ADMIN/IPOL(2023)1, 2023; and</w:t>
      </w:r>
      <w:r>
        <w:t xml:space="preserve"> </w:t>
      </w:r>
      <w:r>
        <w:rPr>
          <w:i/>
          <w:iCs/>
        </w:rPr>
        <w:t xml:space="preserve">ESA Space Debris Mitigation Requirements</w:t>
      </w:r>
      <w:r>
        <w:t xml:space="preserve">, ESSB-ST-U-007, Issue 1, 2023.</w:t>
      </w:r>
      <w:r>
        <w:t xml:space="preserve"> </w:t>
      </w:r>
      <w:bookmarkStart w:id="80" w:name="ref-16"/>
      <w:bookmarkEnd w:id="80"/>
      <w:r>
        <w:t xml:space="preserve">16. Per-mission end-of-life records cited row by row in the</w:t>
      </w:r>
      <w:r>
        <w:t xml:space="preserve"> </w:t>
      </w:r>
      <w:r>
        <w:rPr>
          <w:rStyle w:val="VerbatimChar"/>
        </w:rPr>
        <w:t xml:space="preserve">source</w:t>
      </w:r>
      <w:r>
        <w:t xml:space="preserve"> </w:t>
      </w:r>
      <w:r>
        <w:t xml:space="preserve">column of</w:t>
      </w:r>
      <w:r>
        <w:t xml:space="preserve"> </w:t>
      </w:r>
      <w:r>
        <w:rPr>
          <w:rStyle w:val="VerbatimChar"/>
        </w:rPr>
        <w:t xml:space="preserve">data.csv</w:t>
      </w:r>
      <w:r>
        <w:t xml:space="preserve">, comprising agency releases and mission pages of ESA, NASA, USGS, NOAA, JAXA, ISRO, CNES, and the China Manned Space Agency; the Iridium Block 1 deorbit case study reported at the 1st International Orbital Debris Conference, 2019, paper 6190, and to UNOOSA; SSTL and University of Surrey mission records; and</w:t>
      </w:r>
      <w:r>
        <w:t xml:space="preserve"> </w:t>
      </w:r>
      <w:r>
        <w:t xml:space="preserve">“An analysis of the 2016 Hitomi breakup event,”</w:t>
      </w:r>
      <w:r>
        <w:t xml:space="preserve"> </w:t>
      </w:r>
      <w:r>
        <w:rPr>
          <w:i/>
          <w:iCs/>
        </w:rPr>
        <w:t xml:space="preserve">Earth, Planets and Space</w:t>
      </w:r>
      <w:r>
        <w:t xml:space="preserve"> </w:t>
      </w:r>
      <w:r>
        <w:t xml:space="preserve">69:51, 2017, DOI 10.1186/s40623-017-0633-3.</w:t>
      </w:r>
      <w:r>
        <w:t xml:space="preserve"> </w:t>
      </w:r>
      <w:bookmarkStart w:id="81" w:name="ref-17"/>
      <w:bookmarkEnd w:id="81"/>
      <w:r>
        <w:t xml:space="preserve">17. International Organization for Standardization.</w:t>
      </w:r>
      <w:r>
        <w:t xml:space="preserve"> </w:t>
      </w:r>
      <w:r>
        <w:rPr>
          <w:i/>
          <w:iCs/>
        </w:rPr>
        <w:t xml:space="preserve">Space systems: Space debris mitigation requirements</w:t>
      </w:r>
      <w:r>
        <w:t xml:space="preserve">, ISO 24113:2019.</w:t>
      </w:r>
      <w:r>
        <w:t xml:space="preserve"> </w:t>
      </w:r>
      <w:bookmarkStart w:id="82" w:name="ref-18"/>
      <w:bookmarkEnd w:id="82"/>
      <w:r>
        <w:t xml:space="preserve">18. Alby, F.</w:t>
      </w:r>
      <w:r>
        <w:t xml:space="preserve"> </w:t>
      </w:r>
      <w:r>
        <w:t xml:space="preserve">“Spot 1 end of life disposition manoeuvres.”</w:t>
      </w:r>
      <w:r>
        <w:t xml:space="preserve"> </w:t>
      </w:r>
      <w:r>
        <w:rPr>
          <w:i/>
          <w:iCs/>
        </w:rPr>
        <w:t xml:space="preserve">Advances in Space Research</w:t>
      </w:r>
      <w:r>
        <w:t xml:space="preserve">, 2005. ScienceDirect PII S0273117704009160.</w:t>
      </w:r>
    </w:p>
    <w:bookmarkEnd w:id="83"/>
    <w:bookmarkStart w:id="84" w:name="specification-1"/>
    <w:p>
      <w:pPr>
        <w:pStyle w:val="Heading2"/>
      </w:pPr>
      <w:r>
        <w:t xml:space="preserve">Specification</w:t>
      </w:r>
    </w:p>
    <w:p>
      <w:pPr>
        <w:pStyle w:val="FirstParagraph"/>
      </w:pPr>
      <w:r>
        <w:t xml:space="preserve">$$ \[ \operatorname{logit}\big(\Pr(pmd\_success_i = 1)\big) = \beta_0 + \beta_1\, eol\_altitude\_km_i + \beta_2\, licensing\_strength_i + \beta_3\, eol\_year\_c_i $$</w:t>
      </w:r>
    </w:p>
    <w:p>
      <w:pPr>
        <w:pStyle w:val="FirstParagraph"/>
      </w:pPr>
      <w:r>
        <w:t xml:space="preserve">]</w:t>
      </w:r>
    </w:p>
    <w:bookmarkEnd w:id="84"/>
    <w:bookmarkStart w:id="88" w:name="results-1"/>
    <w:p>
      <w:pPr>
        <w:pStyle w:val="Heading2"/>
      </w:pPr>
      <w:r>
        <w:t xml:space="preserve">Results</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z</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6.1302</w:t>
            </w:r>
          </w:p>
        </w:tc>
        <w:tc>
          <w:tcPr>
            <w:tcW w:w="0" w:type="auto"/>
          </w:tcPr>
          <w:p>
            <w:pPr>
              <w:spacing w:line="240" w:lineRule="auto" w:before="0" w:after="0"/>
              <w:pStyle w:val="Compact"/>
            </w:pPr>
            <w:r>
              <w:rPr>
                <w:sz w:val="20"/>
                <w:szCs w:val="20"/>
              </w:rPr>
              <w:t xml:space="preserve">3.1863</w:t>
            </w:r>
          </w:p>
        </w:tc>
        <w:tc>
          <w:tcPr>
            <w:tcW w:w="0" w:type="auto"/>
          </w:tcPr>
          <w:p>
            <w:pPr>
              <w:spacing w:line="240" w:lineRule="auto" w:before="0" w:after="0"/>
              <w:pStyle w:val="Compact"/>
            </w:pPr>
            <w:r>
              <w:rPr>
                <w:sz w:val="20"/>
                <w:szCs w:val="20"/>
              </w:rPr>
              <w:t xml:space="preserve">1.9239</w:t>
            </w:r>
          </w:p>
        </w:tc>
        <w:tc>
          <w:tcPr>
            <w:tcW w:w="0" w:type="auto"/>
          </w:tcPr>
          <w:p>
            <w:pPr>
              <w:spacing w:line="240" w:lineRule="auto" w:before="0" w:after="0"/>
              <w:pStyle w:val="Compact"/>
            </w:pPr>
            <w:r>
              <w:rPr>
                <w:sz w:val="20"/>
                <w:szCs w:val="20"/>
              </w:rPr>
              <w:t xml:space="preserve">0.0544</w:t>
            </w:r>
          </w:p>
        </w:tc>
        <w:tc>
          <w:tcPr>
            <w:tcW w:w="0" w:type="auto"/>
          </w:tcPr>
          <w:p>
            <w:pPr>
              <w:spacing w:line="240" w:lineRule="auto" w:before="0" w:after="0"/>
              <w:pStyle w:val="Compact"/>
            </w:pPr>
            <w:r>
              <w:rPr>
                <w:sz w:val="20"/>
                <w:szCs w:val="20"/>
              </w:rPr>
              <w:t xml:space="preserve">[-0.1148, 12.3751]</w:t>
            </w:r>
          </w:p>
        </w:tc>
      </w:tr>
      <w:tr>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-0.0073</w:t>
            </w:r>
          </w:p>
        </w:tc>
        <w:tc>
          <w:tcPr>
            <w:tcW w:w="0" w:type="auto"/>
          </w:tcPr>
          <w:p>
            <w:pPr>
              <w:spacing w:line="240" w:lineRule="auto" w:before="0" w:after="0"/>
              <w:pStyle w:val="Compact"/>
            </w:pPr>
            <w:r>
              <w:rPr>
                <w:sz w:val="20"/>
                <w:szCs w:val="20"/>
              </w:rPr>
              <w:t xml:space="preserve">0.0041</w:t>
            </w:r>
          </w:p>
        </w:tc>
        <w:tc>
          <w:tcPr>
            <w:tcW w:w="0" w:type="auto"/>
          </w:tcPr>
          <w:p>
            <w:pPr>
              <w:spacing w:line="240" w:lineRule="auto" w:before="0" w:after="0"/>
              <w:pStyle w:val="Compact"/>
            </w:pPr>
            <w:r>
              <w:rPr>
                <w:sz w:val="20"/>
                <w:szCs w:val="20"/>
              </w:rPr>
              <w:t xml:space="preserve">-1.769</w:t>
            </w:r>
          </w:p>
        </w:tc>
        <w:tc>
          <w:tcPr>
            <w:tcW w:w="0" w:type="auto"/>
          </w:tcPr>
          <w:p>
            <w:pPr>
              <w:spacing w:line="240" w:lineRule="auto" w:before="0" w:after="0"/>
              <w:pStyle w:val="Compact"/>
            </w:pPr>
            <w:r>
              <w:rPr>
                <w:sz w:val="20"/>
                <w:szCs w:val="20"/>
              </w:rPr>
              <w:t xml:space="preserve">0.0769</w:t>
            </w:r>
          </w:p>
        </w:tc>
        <w:tc>
          <w:tcPr>
            <w:tcW w:w="0" w:type="auto"/>
          </w:tcPr>
          <w:p>
            <w:pPr>
              <w:spacing w:line="240" w:lineRule="auto" w:before="0" w:after="0"/>
              <w:pStyle w:val="Compact"/>
            </w:pPr>
            <w:r>
              <w:rPr>
                <w:sz w:val="20"/>
                <w:szCs w:val="20"/>
              </w:rPr>
              <w:t xml:space="preserve">[-0.0154, 0.0007868]</w:t>
            </w:r>
          </w:p>
        </w:tc>
      </w:tr>
      <w:tr>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0.0236</w:t>
            </w:r>
          </w:p>
        </w:tc>
        <w:tc>
          <w:tcPr>
            <w:tcW w:w="0" w:type="auto"/>
          </w:tcPr>
          <w:p>
            <w:pPr>
              <w:spacing w:line="240" w:lineRule="auto" w:before="0" w:after="0"/>
              <w:pStyle w:val="Compact"/>
            </w:pPr>
            <w:r>
              <w:rPr>
                <w:sz w:val="20"/>
                <w:szCs w:val="20"/>
              </w:rPr>
              <w:t xml:space="preserve">0.6937</w:t>
            </w:r>
          </w:p>
        </w:tc>
        <w:tc>
          <w:tcPr>
            <w:tcW w:w="0" w:type="auto"/>
          </w:tcPr>
          <w:p>
            <w:pPr>
              <w:spacing w:line="240" w:lineRule="auto" w:before="0" w:after="0"/>
              <w:pStyle w:val="Compact"/>
            </w:pPr>
            <w:r>
              <w:rPr>
                <w:sz w:val="20"/>
                <w:szCs w:val="20"/>
              </w:rPr>
              <w:t xml:space="preserve">0.034</w:t>
            </w:r>
          </w:p>
        </w:tc>
        <w:tc>
          <w:tcPr>
            <w:tcW w:w="0" w:type="auto"/>
          </w:tcPr>
          <w:p>
            <w:pPr>
              <w:spacing w:line="240" w:lineRule="auto" w:before="0" w:after="0"/>
              <w:pStyle w:val="Compact"/>
            </w:pPr>
            <w:r>
              <w:rPr>
                <w:sz w:val="20"/>
                <w:szCs w:val="20"/>
              </w:rPr>
              <w:t xml:space="preserve">0.9728</w:t>
            </w:r>
          </w:p>
        </w:tc>
        <w:tc>
          <w:tcPr>
            <w:tcW w:w="0" w:type="auto"/>
          </w:tcPr>
          <w:p>
            <w:pPr>
              <w:spacing w:line="240" w:lineRule="auto" w:before="0" w:after="0"/>
              <w:pStyle w:val="Compact"/>
            </w:pPr>
            <w:r>
              <w:rPr>
                <w:sz w:val="20"/>
                <w:szCs w:val="20"/>
              </w:rPr>
              <w:t xml:space="preserve">[-1.336, 1.3832]</w:t>
            </w:r>
          </w:p>
        </w:tc>
      </w:tr>
      <w:tr>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0.0874</w:t>
            </w:r>
          </w:p>
        </w:tc>
        <w:tc>
          <w:tcPr>
            <w:tcW w:w="0" w:type="auto"/>
          </w:tcPr>
          <w:p>
            <w:pPr>
              <w:spacing w:line="240" w:lineRule="auto" w:before="0" w:after="0"/>
              <w:pStyle w:val="Compact"/>
            </w:pPr>
            <w:r>
              <w:rPr>
                <w:sz w:val="20"/>
                <w:szCs w:val="20"/>
              </w:rPr>
              <w:t xml:space="preserve">0.0867</w:t>
            </w:r>
          </w:p>
        </w:tc>
        <w:tc>
          <w:tcPr>
            <w:tcW w:w="0" w:type="auto"/>
          </w:tcPr>
          <w:p>
            <w:pPr>
              <w:spacing w:line="240" w:lineRule="auto" w:before="0" w:after="0"/>
              <w:pStyle w:val="Compact"/>
            </w:pPr>
            <w:r>
              <w:rPr>
                <w:sz w:val="20"/>
                <w:szCs w:val="20"/>
              </w:rPr>
              <w:t xml:space="preserve">1.0078</w:t>
            </w:r>
          </w:p>
        </w:tc>
        <w:tc>
          <w:tcPr>
            <w:tcW w:w="0" w:type="auto"/>
          </w:tcPr>
          <w:p>
            <w:pPr>
              <w:spacing w:line="240" w:lineRule="auto" w:before="0" w:after="0"/>
              <w:pStyle w:val="Compact"/>
            </w:pPr>
            <w:r>
              <w:rPr>
                <w:sz w:val="20"/>
                <w:szCs w:val="20"/>
              </w:rPr>
              <w:t xml:space="preserve">0.3136</w:t>
            </w:r>
          </w:p>
        </w:tc>
        <w:tc>
          <w:tcPr>
            <w:tcW w:w="0" w:type="auto"/>
          </w:tcPr>
          <w:p>
            <w:pPr>
              <w:spacing w:line="240" w:lineRule="auto" w:before="0" w:after="0"/>
              <w:pStyle w:val="Compact"/>
            </w:pPr>
            <w:r>
              <w:rPr>
                <w:sz w:val="20"/>
                <w:szCs w:val="20"/>
              </w:rPr>
              <w:t xml:space="preserve">[-0.0826, 0.2574]</w:t>
            </w:r>
          </w:p>
        </w:tc>
      </w:tr>
    </w:tbl>
    <w:p>
      <w:pPr>
        <w:pStyle w:val="BodyText"/>
      </w:pPr>
      <w:r>
        <w:t xml:space="preserve">Fit: N = 25 pseudo_R2 = 0.3008 LL = -9.6323</w:t>
      </w:r>
    </w:p>
    <w:p>
      <w:pPr>
        <w:pStyle w:val="CaptionedFigure"/>
      </w:pPr>
      <w:r>
        <w:drawing>
          <wp:inline>
            <wp:extent cx="5669280" cy="3657600"/>
            <wp:effectExtent b="0" l="0" r="0" t="0"/>
            <wp:docPr descr="Figure 1. Documented post-mission disposal outcomes for 25 individually reported end-of-life events, 2000 to 2023, plotted against operational altitude at end of mission. Every failure sits at or above 575 km, and the highest-altitude case in the sample, Jason-1 at 1324 km, is a failure under one of the strongest licensing regimes present. The physical boundary orders the outcome more visibly than the legal one." title="" id="86" name="Picture"/>
            <a:graphic>
              <a:graphicData uri="http://schemas.openxmlformats.org/drawingml/2006/picture">
                <pic:pic>
                  <pic:nvPicPr>
                    <pic:cNvPr descr="dissertations\GRAND_STRATEGY_CANON_01\research_papers\p4\paper_fig1.png" id="87" name="Picture"/>
                    <pic:cNvPicPr>
                      <a:picLocks noChangeArrowheads="1" noChangeAspect="1"/>
                    </pic:cNvPicPr>
                  </pic:nvPicPr>
                  <pic:blipFill>
                    <a:blip r:embed="rId85"/>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pPr>
      <w:r>
        <w:t xml:space="preserve">Figure 1. Documented post-mission disposal outcomes for 25 individually reported end-of-life events, 2000 to 2023, plotted against operational altitude at end of mission. Every failure sits at or above 575 km, and the highest-altitude case in the sample, Jason-1 at 1324 km, is a failure under one of the strongest licensing regimes present. The physical boundary orders the outcome more visibly than the legal one.</w:t>
      </w:r>
    </w:p>
    <w:bookmarkEnd w:id="88"/>
    <w:bookmarkStart w:id="92" w:name="empirical-workbook-embedded"/>
    <w:p>
      <w:pPr>
        <w:pStyle w:val="Heading2"/>
      </w:pPr>
      <w:r>
        <w:t xml:space="preserve">Empirical Workbook (embedded)</w:t>
      </w:r>
    </w:p>
    <w:p>
      <w:pPr>
        <w:pStyle w:val="FirstParagraph"/>
      </w:pPr>
      <w:r>
        <w:t xml:space="preserve">Every figure above is reproduced from the workbook below, which is also attached as the live spreadsheet</w:t>
      </w:r>
      <w:r>
        <w:t xml:space="preserve"> </w:t>
      </w:r>
      <w:r>
        <w:rPr>
          <w:rStyle w:val="VerbatimChar"/>
        </w:rPr>
        <w:t xml:space="preserve">paper.xlsx</w:t>
      </w:r>
      <w:r>
        <w:t xml:space="preserve">. Each observation carries its source.</w:t>
      </w:r>
    </w:p>
    <w:bookmarkStart w:id="89" w:name="data-real-observations"/>
    <w:p>
      <w:pPr>
        <w:pStyle w:val="Heading3"/>
      </w:pPr>
      <w:r>
        <w:t xml:space="preserve">Data (real observations)</w:t>
      </w:r>
    </w:p>
    <w:tbl>
      <w:tblPr>
        <w:tblStyle w:val="Table"/>
        <w:tblLook w:firstRow="1" w:lastRow="0" w:firstColumn="0" w:lastColumn="0" w:noHBand="0" w:noVBand="0" w:val="0020"/>
        <w:tblLayout w:type="autofit"/>
        <w:tblW w:w="0" w:type="auto"/>
      </w:tblPr>
      <w:tblGrid>
        <w:gridCol w:w="719"/>
        <w:gridCol w:w="719"/>
        <w:gridCol w:w="719"/>
        <w:gridCol w:w="719"/>
        <w:gridCol w:w="719"/>
        <w:gridCol w:w="719"/>
        <w:gridCol w:w="719"/>
        <w:gridCol w:w="719"/>
        <w:gridCol w:w="719"/>
        <w:gridCol w:w="719"/>
        <w:gridCol w:w="719"/>
      </w:tblGrid>
      <w:tr>
        <w:trPr>
          <w:tblHeader w:val="on"/>
        </w:trPr>
        <w:tc>
          <w:tcPr>
            <w:tcW w:w="0" w:type="auto"/>
          </w:tcPr>
          <w:p>
            <w:pPr>
              <w:spacing w:line="240" w:lineRule="auto" w:before="0" w:after="0"/>
              <w:pStyle w:val="Compact"/>
            </w:pPr>
            <w:r>
              <w:rPr>
                <w:sz w:val="20"/>
                <w:szCs w:val="20"/>
              </w:rPr>
              <w:t xml:space="preserve">spacecraft</w:t>
            </w:r>
          </w:p>
        </w:tc>
        <w:tc>
          <w:tcPr>
            <w:tcW w:w="0" w:type="auto"/>
          </w:tcPr>
          <w:p>
            <w:pPr>
              <w:spacing w:line="240" w:lineRule="auto" w:before="0" w:after="0"/>
              <w:pStyle w:val="Compact"/>
            </w:pPr>
            <w:r>
              <w:rPr>
                <w:sz w:val="20"/>
                <w:szCs w:val="20"/>
              </w:rPr>
              <w:t xml:space="preserve">operator</w:t>
            </w:r>
          </w:p>
        </w:tc>
        <w:tc>
          <w:tcPr>
            <w:tcW w:w="0" w:type="auto"/>
          </w:tcPr>
          <w:p>
            <w:pPr>
              <w:spacing w:line="240" w:lineRule="auto" w:before="0" w:after="0"/>
              <w:pStyle w:val="Compact"/>
            </w:pPr>
            <w:r>
              <w:rPr>
                <w:sz w:val="20"/>
                <w:szCs w:val="20"/>
              </w:rPr>
              <w:t xml:space="preserve">flag_state</w:t>
            </w:r>
          </w:p>
        </w:tc>
        <w:tc>
          <w:tcPr>
            <w:tcW w:w="0" w:type="auto"/>
          </w:tcPr>
          <w:p>
            <w:pPr>
              <w:spacing w:line="240" w:lineRule="auto" w:before="0" w:after="0"/>
              <w:pStyle w:val="Compact"/>
            </w:pPr>
            <w:r>
              <w:rPr>
                <w:sz w:val="20"/>
                <w:szCs w:val="20"/>
              </w:rPr>
              <w:t xml:space="preserve">gov_operator</w:t>
            </w:r>
          </w:p>
        </w:tc>
        <w:tc>
          <w:tcPr>
            <w:tcW w:w="0" w:type="auto"/>
          </w:tcPr>
          <w:p>
            <w:pPr>
              <w:spacing w:line="240" w:lineRule="auto" w:before="0" w:after="0"/>
              <w:pStyle w:val="Compact"/>
            </w:pPr>
            <w:r>
              <w:rPr>
                <w:sz w:val="20"/>
                <w:szCs w:val="20"/>
              </w:rPr>
              <w:t xml:space="preserve">eol_year</w:t>
            </w:r>
          </w:p>
        </w:tc>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licensing_strength_analyst_coded</w:t>
            </w:r>
          </w:p>
        </w:tc>
        <w:tc>
          <w:tcPr>
            <w:tcW w:w="0" w:type="auto"/>
          </w:tcPr>
          <w:p>
            <w:pPr>
              <w:spacing w:line="240" w:lineRule="auto" w:before="0" w:after="0"/>
              <w:pStyle w:val="Compact"/>
            </w:pPr>
            <w:r>
              <w:rPr>
                <w:sz w:val="20"/>
                <w:szCs w:val="20"/>
              </w:rPr>
              <w:t xml:space="preserve">pmd_success</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Compton Gamma Ray Observatory</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2000</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450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GSFC HEASARC CGRO deorbit record (heasarc.gsfc.nasa.gov/docs/cgro/deorbit): controlled re-entry 4 June 2000. Licensing index from US Government Orbital Debris Mitigation Standard Practices (1997)</w:t>
            </w:r>
          </w:p>
        </w:tc>
      </w:tr>
      <w:tr>
        <w:tc>
          <w:tcPr>
            <w:tcW w:w="0" w:type="auto"/>
          </w:tcPr>
          <w:p>
            <w:pPr>
              <w:spacing w:line="240" w:lineRule="auto" w:before="0" w:after="0"/>
              <w:pStyle w:val="Compact"/>
            </w:pPr>
            <w:r>
              <w:rPr>
                <w:sz w:val="20"/>
                <w:szCs w:val="20"/>
              </w:rPr>
              <w:t xml:space="preserve">ERS-1</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2000</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782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ESA press release, ERS-1: Nine-year success story comes to an end (2000): attitude-control system failure 10 March 2000, no disposal executed; spacecraft remains catalogued inside the LEO protected region. No binding ESA disposal policy in force before ESA/ADMIN/IPOL(2008)2</w:t>
            </w:r>
          </w:p>
        </w:tc>
      </w:tr>
      <w:tr>
        <w:tc>
          <w:tcPr>
            <w:tcW w:w="0" w:type="auto"/>
          </w:tcPr>
          <w:p>
            <w:pPr>
              <w:spacing w:line="240" w:lineRule="auto" w:before="0" w:after="0"/>
              <w:pStyle w:val="Compact"/>
            </w:pPr>
            <w:r>
              <w:rPr>
                <w:sz w:val="20"/>
                <w:szCs w:val="20"/>
              </w:rPr>
              <w:t xml:space="preserve">SPOT-1</w:t>
            </w:r>
          </w:p>
        </w:tc>
        <w:tc>
          <w:tcPr>
            <w:tcW w:w="0" w:type="auto"/>
          </w:tcPr>
          <w:p>
            <w:pPr>
              <w:spacing w:line="240" w:lineRule="auto" w:before="0" w:after="0"/>
              <w:pStyle w:val="Compact"/>
            </w:pPr>
            <w:r>
              <w:rPr>
                <w:sz w:val="20"/>
                <w:szCs w:val="20"/>
              </w:rPr>
              <w:t xml:space="preserve">CNES</w:t>
            </w:r>
          </w:p>
        </w:tc>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2003</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822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F. Alby, Spot 1 end of life disposition manoeuvres, Advances in Space Research, 2005 (ScienceDirect PII S0273117704009160): CNES executed end-of-life disposition manoeuvres in November 2003, before the French Space Operations Act (Law 2008-518, in force 2010) applied</w:t>
            </w:r>
          </w:p>
        </w:tc>
      </w:tr>
      <w:tr>
        <w:tc>
          <w:tcPr>
            <w:tcW w:w="0" w:type="auto"/>
          </w:tcPr>
          <w:p>
            <w:pPr>
              <w:spacing w:line="240" w:lineRule="auto" w:before="0" w:after="0"/>
              <w:pStyle w:val="Compact"/>
            </w:pPr>
            <w:r>
              <w:rPr>
                <w:sz w:val="20"/>
                <w:szCs w:val="20"/>
              </w:rPr>
              <w:t xml:space="preserve">UARS</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2005</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585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UARS mission record: final orbit-lowering burn December 2005; re-entry 24 September 2011. E. G. Stansbery and N. L. Johnson, UARS Re-entry Prediction and Analysis, NASA NTRS 20120001824</w:t>
            </w:r>
          </w:p>
        </w:tc>
      </w:tr>
      <w:tr>
        <w:tc>
          <w:tcPr>
            <w:tcW w:w="0" w:type="auto"/>
          </w:tcPr>
          <w:p>
            <w:pPr>
              <w:spacing w:line="240" w:lineRule="auto" w:before="0" w:after="0"/>
              <w:pStyle w:val="Compact"/>
            </w:pPr>
            <w:r>
              <w:rPr>
                <w:sz w:val="20"/>
                <w:szCs w:val="20"/>
              </w:rPr>
              <w:t xml:space="preserve">ICESat</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600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ICESat mission record (icesat.gsfc.nasa.gov) and eoPortal ICESat entry: decommissioned August 2010 with orbit lowering, re-entry 30 August 2010. NASA-STD-8719.14 (2007) and US Government ODMSP</w:t>
            </w:r>
          </w:p>
        </w:tc>
      </w:tr>
      <w:tr>
        <w:tc>
          <w:tcPr>
            <w:tcW w:w="0" w:type="auto"/>
          </w:tcPr>
          <w:p>
            <w:pPr>
              <w:spacing w:line="240" w:lineRule="auto" w:before="0" w:after="0"/>
              <w:pStyle w:val="Compact"/>
            </w:pPr>
            <w:r>
              <w:rPr>
                <w:sz w:val="20"/>
                <w:szCs w:val="20"/>
              </w:rPr>
              <w:t xml:space="preserve">ERS-2</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785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ERS-2 reenters Earth’s atmosphere over Pacific Ocean (2024): 66 deorbit manoeuvres in July and August 2011 lowered mean altitude from 785 km to 573 km; re-entry 21 February 2024. ESA/ADMIN/IPOL(2008)2 in force</w:t>
            </w:r>
          </w:p>
        </w:tc>
      </w:tr>
      <w:tr>
        <w:tc>
          <w:tcPr>
            <w:tcW w:w="0" w:type="auto"/>
          </w:tcPr>
          <w:p>
            <w:pPr>
              <w:spacing w:line="240" w:lineRule="auto" w:before="0" w:after="0"/>
              <w:pStyle w:val="Compact"/>
            </w:pPr>
            <w:r>
              <w:rPr>
                <w:sz w:val="20"/>
                <w:szCs w:val="20"/>
              </w:rPr>
              <w:t xml:space="preserve">ALOS (Daichi)</w:t>
            </w:r>
          </w:p>
        </w:tc>
        <w:tc>
          <w:tcPr>
            <w:tcW w:w="0" w:type="auto"/>
          </w:tcPr>
          <w:p>
            <w:pPr>
              <w:spacing w:line="240" w:lineRule="auto" w:before="0" w:after="0"/>
              <w:pStyle w:val="Compact"/>
            </w:pPr>
            <w:r>
              <w:rPr>
                <w:sz w:val="20"/>
                <w:szCs w:val="20"/>
              </w:rPr>
              <w:t xml:space="preserve">JAXA</w:t>
            </w:r>
          </w:p>
        </w:tc>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692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JAXA press release, DAICHI (ALOS) Operation Completion, 12 May 2011: total power loss 22 April 2011, spacecraft commanded to power down in orbit, no disposal executed. JAXA JMR-003 Space Debris Mitigation Standard in force; Japan Space Activities Act not yet enacted</w:t>
            </w:r>
          </w:p>
        </w:tc>
      </w:tr>
      <w:tr>
        <w:tc>
          <w:tcPr>
            <w:tcW w:w="0" w:type="auto"/>
          </w:tcPr>
          <w:p>
            <w:pPr>
              <w:spacing w:line="240" w:lineRule="auto" w:before="0" w:after="0"/>
              <w:pStyle w:val="Compact"/>
            </w:pPr>
            <w:r>
              <w:rPr>
                <w:sz w:val="20"/>
                <w:szCs w:val="20"/>
              </w:rPr>
              <w:t xml:space="preserve">Envisat</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770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ESA, Focus on space debris: Envisat: contact lost April 2012 before any disposal manoeuvre, estimated residual orbital lifetime about 150 years. ESA/ADMIN/IPOL(2008)2 in force</w:t>
            </w:r>
          </w:p>
        </w:tc>
      </w:tr>
      <w:tr>
        <w:tc>
          <w:tcPr>
            <w:tcW w:w="0" w:type="auto"/>
          </w:tcPr>
          <w:p>
            <w:pPr>
              <w:spacing w:line="240" w:lineRule="auto" w:before="0" w:after="0"/>
              <w:pStyle w:val="Compact"/>
            </w:pPr>
            <w:r>
              <w:rPr>
                <w:sz w:val="20"/>
                <w:szCs w:val="20"/>
              </w:rPr>
              <w:t xml:space="preserve">GOCE</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224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GOCE: Reentry into atmosphere: propellant exhausted 21 October 2013, re-entry 11 November 2013 over the South Atlantic. ESA/ADMIN/IPOL(2008)2 in force</w:t>
            </w:r>
          </w:p>
        </w:tc>
      </w:tr>
      <w:tr>
        <w:tc>
          <w:tcPr>
            <w:tcW w:w="0" w:type="auto"/>
          </w:tcPr>
          <w:p>
            <w:pPr>
              <w:spacing w:line="240" w:lineRule="auto" w:before="0" w:after="0"/>
              <w:pStyle w:val="Compact"/>
            </w:pPr>
            <w:r>
              <w:rPr>
                <w:sz w:val="20"/>
                <w:szCs w:val="20"/>
              </w:rPr>
              <w:t xml:space="preserve">Landsat 5</w:t>
            </w:r>
          </w:p>
        </w:tc>
        <w:tc>
          <w:tcPr>
            <w:tcW w:w="0" w:type="auto"/>
          </w:tcPr>
          <w:p>
            <w:pPr>
              <w:spacing w:line="240" w:lineRule="auto" w:before="0" w:after="0"/>
              <w:pStyle w:val="Compact"/>
            </w:pPr>
            <w:r>
              <w:rPr>
                <w:sz w:val="20"/>
                <w:szCs w:val="20"/>
              </w:rPr>
              <w:t xml:space="preserve">USGS and 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705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USGS, USGS Completes Decommissioning of Landsat 5 (2013): instruments powered off January 2013 and the spacecraft manoeuvred from its 705 km operational orbit into a lower disposal orbit; decommissioning completed 5 June 2013</w:t>
            </w:r>
          </w:p>
        </w:tc>
      </w:tr>
      <w:tr>
        <w:tc>
          <w:tcPr>
            <w:tcW w:w="0" w:type="auto"/>
          </w:tcPr>
          <w:p>
            <w:pPr>
              <w:spacing w:line="240" w:lineRule="auto" w:before="0" w:after="0"/>
              <w:pStyle w:val="Compact"/>
            </w:pPr>
            <w:r>
              <w:rPr>
                <w:sz w:val="20"/>
                <w:szCs w:val="20"/>
              </w:rPr>
              <w:t xml:space="preserve">Jason-1</w:t>
            </w:r>
          </w:p>
        </w:tc>
        <w:tc>
          <w:tcPr>
            <w:tcW w:w="0" w:type="auto"/>
          </w:tcPr>
          <w:p>
            <w:pPr>
              <w:spacing w:line="240" w:lineRule="auto" w:before="0" w:after="0"/>
              <w:pStyle w:val="Compact"/>
            </w:pPr>
            <w:r>
              <w:rPr>
                <w:sz w:val="20"/>
                <w:szCs w:val="20"/>
              </w:rPr>
              <w:t xml:space="preserve">CNES and NASA</w:t>
            </w:r>
          </w:p>
        </w:tc>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1324</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NASA JPL news release, Long-Running Jason-1 Ocean Satellite Takes Final Bow (2013) and AVISO Jason-1 mission record: passivated and decommissioned 1 July 2013 at 1324 km, estimated to remain in orbit about 1000 years. French Space Operations Act (Law 2008-518) in force since 2010</w:t>
            </w:r>
          </w:p>
        </w:tc>
      </w:tr>
      <w:tr>
        <w:tc>
          <w:tcPr>
            <w:tcW w:w="0" w:type="auto"/>
          </w:tcPr>
          <w:p>
            <w:pPr>
              <w:spacing w:line="240" w:lineRule="auto" w:before="0" w:after="0"/>
              <w:pStyle w:val="Compact"/>
            </w:pPr>
            <w:r>
              <w:rPr>
                <w:sz w:val="20"/>
                <w:szCs w:val="20"/>
              </w:rPr>
              <w:t xml:space="preserve">NOAA-16</w:t>
            </w:r>
          </w:p>
        </w:tc>
        <w:tc>
          <w:tcPr>
            <w:tcW w:w="0" w:type="auto"/>
          </w:tcPr>
          <w:p>
            <w:pPr>
              <w:spacing w:line="240" w:lineRule="auto" w:before="0" w:after="0"/>
              <w:pStyle w:val="Compact"/>
            </w:pPr>
            <w:r>
              <w:rPr>
                <w:sz w:val="20"/>
                <w:szCs w:val="20"/>
              </w:rPr>
              <w:t xml:space="preserve">NOAA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849</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NOAA media release, NOAA retires NOAA-16 polar satellite (deactivated 9 June 2014), and ESA 7th European Conference on Space Debris, Analysis of Breakup Events (SDC7 paper 1005): NOAA-16 fragmented in orbit 25 November 2015 with no disposal executed</w:t>
            </w:r>
          </w:p>
        </w:tc>
      </w:tr>
      <w:tr>
        <w:tc>
          <w:tcPr>
            <w:tcW w:w="0" w:type="auto"/>
          </w:tcPr>
          <w:p>
            <w:pPr>
              <w:spacing w:line="240" w:lineRule="auto" w:before="0" w:after="0"/>
              <w:pStyle w:val="Compact"/>
            </w:pPr>
            <w:r>
              <w:rPr>
                <w:sz w:val="20"/>
                <w:szCs w:val="20"/>
              </w:rPr>
              <w:t xml:space="preserve">TRMM</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2015</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402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GPM, TRMM Spacecraft Re-Entry (gpm.nasa.gov): station-keeping fuel exhausted 2014, re-entry 15-16 June 2015 over the South Indian Ocean</w:t>
            </w:r>
          </w:p>
        </w:tc>
      </w:tr>
      <w:tr>
        <w:tc>
          <w:tcPr>
            <w:tcW w:w="0" w:type="auto"/>
          </w:tcPr>
          <w:p>
            <w:pPr>
              <w:spacing w:line="240" w:lineRule="auto" w:before="0" w:after="0"/>
              <w:pStyle w:val="Compact"/>
            </w:pPr>
            <w:r>
              <w:rPr>
                <w:sz w:val="20"/>
                <w:szCs w:val="20"/>
              </w:rPr>
              <w:t xml:space="preserve">Hitomi (ASTRO-H)</w:t>
            </w:r>
          </w:p>
        </w:tc>
        <w:tc>
          <w:tcPr>
            <w:tcW w:w="0" w:type="auto"/>
          </w:tcPr>
          <w:p>
            <w:pPr>
              <w:spacing w:line="240" w:lineRule="auto" w:before="0" w:after="0"/>
              <w:pStyle w:val="Compact"/>
            </w:pPr>
            <w:r>
              <w:rPr>
                <w:sz w:val="20"/>
                <w:szCs w:val="20"/>
              </w:rPr>
              <w:t xml:space="preserve">JAXA</w:t>
            </w:r>
          </w:p>
        </w:tc>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575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An analysis of the 2016 Hitomi breakup event, Earth, Planets and Space 69:51, 2017, DOI 10.1186/s40623-017-0633-3: loss of attitude control and on-orbit breakup 26 March 2016, no disposal executed. Japan Space Activities Act (Act No. 76 of 2016) not yet in force</w:t>
            </w:r>
          </w:p>
        </w:tc>
      </w:tr>
      <w:tr>
        <w:tc>
          <w:tcPr>
            <w:tcW w:w="0" w:type="auto"/>
          </w:tcPr>
          <w:p>
            <w:pPr>
              <w:spacing w:line="240" w:lineRule="auto" w:before="0" w:after="0"/>
              <w:pStyle w:val="Compact"/>
            </w:pPr>
            <w:r>
              <w:rPr>
                <w:sz w:val="20"/>
                <w:szCs w:val="20"/>
              </w:rPr>
              <w:t xml:space="preserve">Tiangong-1</w:t>
            </w:r>
          </w:p>
        </w:tc>
        <w:tc>
          <w:tcPr>
            <w:tcW w:w="0" w:type="auto"/>
          </w:tcPr>
          <w:p>
            <w:pPr>
              <w:spacing w:line="240" w:lineRule="auto" w:before="0" w:after="0"/>
              <w:pStyle w:val="Compact"/>
            </w:pPr>
            <w:r>
              <w:rPr>
                <w:sz w:val="20"/>
                <w:szCs w:val="20"/>
              </w:rPr>
              <w:t xml:space="preserve">China Manned Space Agency</w:t>
            </w:r>
          </w:p>
        </w:tc>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350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The Aerospace Corporation, Chinese Space Station Tiangong-1 Returns, and ESA Rocket Science reentry updates (2018): control lost March 2016, uncontrolled re-entry 1-2 April 2018 over the South Pacific. SASTIND Interim Measures on Space Debris Mitigation and Protection (2010)</w:t>
            </w:r>
          </w:p>
        </w:tc>
      </w:tr>
      <w:tr>
        <w:tc>
          <w:tcPr>
            <w:tcW w:w="0" w:type="auto"/>
          </w:tcPr>
          <w:p>
            <w:pPr>
              <w:spacing w:line="240" w:lineRule="auto" w:before="0" w:after="0"/>
              <w:pStyle w:val="Compact"/>
            </w:pPr>
            <w:r>
              <w:rPr>
                <w:sz w:val="20"/>
                <w:szCs w:val="20"/>
              </w:rPr>
              <w:t xml:space="preserve">Iridium Block 1 constellation</w:t>
            </w:r>
          </w:p>
        </w:tc>
        <w:tc>
          <w:tcPr>
            <w:tcW w:w="0" w:type="auto"/>
          </w:tcPr>
          <w:p>
            <w:pPr>
              <w:spacing w:line="240" w:lineRule="auto" w:before="0" w:after="0"/>
              <w:pStyle w:val="Compact"/>
            </w:pPr>
            <w:r>
              <w:rPr>
                <w:sz w:val="20"/>
                <w:szCs w:val="20"/>
              </w:rPr>
              <w:t xml:space="preserve">Iridium Communications</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780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Iridium Deorbit Strategy, Execution, and Results, 1st International Orbital Debris Conference 2019, paper 6190, and UNOOSA case study report Iridium Deorbit of Block 1 Constellation: 64 of 65 Block 1 spacecraft actively de-boosted, campaign concluded December 2019. FCC IB Docket 02-54 Second Report and Order (2004)</w:t>
            </w:r>
          </w:p>
        </w:tc>
      </w:tr>
      <w:tr>
        <w:tc>
          <w:tcPr>
            <w:tcW w:w="0" w:type="auto"/>
          </w:tcPr>
          <w:p>
            <w:pPr>
              <w:spacing w:line="240" w:lineRule="auto" w:before="0" w:after="0"/>
              <w:pStyle w:val="Compact"/>
            </w:pPr>
            <w:r>
              <w:rPr>
                <w:sz w:val="20"/>
                <w:szCs w:val="20"/>
              </w:rPr>
              <w:t xml:space="preserve">Tiangong-2</w:t>
            </w:r>
          </w:p>
        </w:tc>
        <w:tc>
          <w:tcPr>
            <w:tcW w:w="0" w:type="auto"/>
          </w:tcPr>
          <w:p>
            <w:pPr>
              <w:spacing w:line="240" w:lineRule="auto" w:before="0" w:after="0"/>
              <w:pStyle w:val="Compact"/>
            </w:pPr>
            <w:r>
              <w:rPr>
                <w:sz w:val="20"/>
                <w:szCs w:val="20"/>
              </w:rPr>
              <w:t xml:space="preserve">China Manned Space Agency</w:t>
            </w:r>
          </w:p>
        </w:tc>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380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China Manned Space Agency mission record and SpaceNews, China’s Tiangong-2 space lab reenters over South Pacific (2019): controlled de-orbit and destructive re-entry 19 July 2019</w:t>
            </w:r>
          </w:p>
        </w:tc>
      </w:tr>
      <w:tr>
        <w:tc>
          <w:tcPr>
            <w:tcW w:w="0" w:type="auto"/>
          </w:tcPr>
          <w:p>
            <w:pPr>
              <w:spacing w:line="240" w:lineRule="auto" w:before="0" w:after="0"/>
              <w:pStyle w:val="Compact"/>
            </w:pPr>
            <w:r>
              <w:rPr>
                <w:sz w:val="20"/>
                <w:szCs w:val="20"/>
              </w:rPr>
              <w:t xml:space="preserve">TechDemoSat-1</w:t>
            </w:r>
          </w:p>
        </w:tc>
        <w:tc>
          <w:tcPr>
            <w:tcW w:w="0" w:type="auto"/>
          </w:tcPr>
          <w:p>
            <w:pPr>
              <w:spacing w:line="240" w:lineRule="auto" w:before="0" w:after="0"/>
              <w:pStyle w:val="Compact"/>
            </w:pPr>
            <w:r>
              <w:rPr>
                <w:sz w:val="20"/>
                <w:szCs w:val="20"/>
              </w:rPr>
              <w:t xml:space="preserve">SSTL</w:t>
            </w:r>
          </w:p>
        </w:tc>
        <w:tc>
          <w:tcPr>
            <w:tcW w:w="0" w:type="auto"/>
          </w:tcPr>
          <w:p>
            <w:pPr>
              <w:spacing w:line="240" w:lineRule="auto" w:before="0" w:after="0"/>
              <w:pStyle w:val="Compact"/>
            </w:pPr>
            <w:r>
              <w:rPr>
                <w:sz w:val="20"/>
                <w:szCs w:val="20"/>
              </w:rPr>
              <w:t xml:space="preserve">United Kingdom</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635</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SSTL and UKspace, TechDemoSat-1 on-board camera captures drag sail deployment (2019): Icarus-1 de-orbit drag sail deployed May 2019 at end of mission from a 635 km orbit. UK Outer Space Act 1986 licensing and indemnity regime</w:t>
            </w:r>
          </w:p>
        </w:tc>
      </w:tr>
      <w:tr>
        <w:tc>
          <w:tcPr>
            <w:tcW w:w="0" w:type="auto"/>
          </w:tcPr>
          <w:p>
            <w:pPr>
              <w:spacing w:line="240" w:lineRule="auto" w:before="0" w:after="0"/>
              <w:pStyle w:val="Compact"/>
            </w:pPr>
            <w:r>
              <w:rPr>
                <w:sz w:val="20"/>
                <w:szCs w:val="20"/>
              </w:rPr>
              <w:t xml:space="preserve">Cartosat-2</w:t>
            </w:r>
          </w:p>
        </w:tc>
        <w:tc>
          <w:tcPr>
            <w:tcW w:w="0" w:type="auto"/>
          </w:tcPr>
          <w:p>
            <w:pPr>
              <w:spacing w:line="240" w:lineRule="auto" w:before="0" w:after="0"/>
              <w:pStyle w:val="Compact"/>
            </w:pPr>
            <w:r>
              <w:rPr>
                <w:sz w:val="20"/>
                <w:szCs w:val="20"/>
              </w:rPr>
              <w:t xml:space="preserve">ISRO</w:t>
            </w:r>
          </w:p>
        </w:tc>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635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ISRO, Atmospheric Re-entry of Cartosat-2 (isro.gov.in): 26 perigee-reduction burns between 6 March and 3 September 2020 placed the spacecraft in a 630 x 390 km orbit, re-entry 14 February 2024. No binding Indian national disposal instrument in force at end of life</w:t>
            </w:r>
          </w:p>
        </w:tc>
      </w:tr>
      <w:tr>
        <w:tc>
          <w:tcPr>
            <w:tcW w:w="0" w:type="auto"/>
          </w:tcPr>
          <w:p>
            <w:pPr>
              <w:spacing w:line="240" w:lineRule="auto" w:before="0" w:after="0"/>
              <w:pStyle w:val="Compact"/>
            </w:pPr>
            <w:r>
              <w:rPr>
                <w:sz w:val="20"/>
                <w:szCs w:val="20"/>
              </w:rPr>
              <w:t xml:space="preserve">Starlink v0.9 batch</w:t>
            </w:r>
          </w:p>
        </w:tc>
        <w:tc>
          <w:tcPr>
            <w:tcW w:w="0" w:type="auto"/>
          </w:tcPr>
          <w:p>
            <w:pPr>
              <w:spacing w:line="240" w:lineRule="auto" w:before="0" w:after="0"/>
              <w:pStyle w:val="Compact"/>
            </w:pPr>
            <w:r>
              <w:rPr>
                <w:sz w:val="20"/>
                <w:szCs w:val="20"/>
              </w:rPr>
              <w:t xml:space="preserve">SpaceX</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550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SpaceNews, SpaceX launches Starlink satellites as it deorbits original ones (2020): active de-orbit of the May 2019 v0.9 batch from the 550 km shell. FCC IB Docket 02-54 Second Report and Order (2004); FCC 22-74 five-year rule not yet adopted</w:t>
            </w:r>
          </w:p>
        </w:tc>
      </w:tr>
      <w:tr>
        <w:tc>
          <w:tcPr>
            <w:tcW w:w="0" w:type="auto"/>
          </w:tcPr>
          <w:p>
            <w:pPr>
              <w:spacing w:line="240" w:lineRule="auto" w:before="0" w:after="0"/>
              <w:pStyle w:val="Compact"/>
            </w:pPr>
            <w:r>
              <w:rPr>
                <w:sz w:val="20"/>
                <w:szCs w:val="20"/>
              </w:rPr>
              <w:t xml:space="preserve">RemoveDEBRIS</w:t>
            </w:r>
          </w:p>
        </w:tc>
        <w:tc>
          <w:tcPr>
            <w:tcW w:w="0" w:type="auto"/>
          </w:tcPr>
          <w:p>
            <w:pPr>
              <w:spacing w:line="240" w:lineRule="auto" w:before="0" w:after="0"/>
              <w:pStyle w:val="Compact"/>
            </w:pPr>
            <w:r>
              <w:rPr>
                <w:sz w:val="20"/>
                <w:szCs w:val="20"/>
              </w:rPr>
              <w:t xml:space="preserve">Surrey Space Centre</w:t>
            </w:r>
          </w:p>
        </w:tc>
        <w:tc>
          <w:tcPr>
            <w:tcW w:w="0" w:type="auto"/>
          </w:tcPr>
          <w:p>
            <w:pPr>
              <w:spacing w:line="240" w:lineRule="auto" w:before="0" w:after="0"/>
              <w:pStyle w:val="Compact"/>
            </w:pPr>
            <w:r>
              <w:rPr>
                <w:sz w:val="20"/>
                <w:szCs w:val="20"/>
              </w:rPr>
              <w:t xml:space="preserve">United Kingdom</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405</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University of Surrey RemoveDEBRIS mission record (surrey.ac.uk/surrey-space-centre/missions/removedebris): drag sail deployed at end of mission, re-entry 4 December 2021. UK Outer Space Act 1986 licensing and indemnity regime</w:t>
            </w:r>
          </w:p>
        </w:tc>
      </w:tr>
      <w:tr>
        <w:tc>
          <w:tcPr>
            <w:tcW w:w="0" w:type="auto"/>
          </w:tcPr>
          <w:p>
            <w:pPr>
              <w:spacing w:line="240" w:lineRule="auto" w:before="0" w:after="0"/>
              <w:pStyle w:val="Compact"/>
            </w:pPr>
            <w:r>
              <w:rPr>
                <w:sz w:val="20"/>
                <w:szCs w:val="20"/>
              </w:rPr>
              <w:t xml:space="preserve">RISAT-2</w:t>
            </w:r>
          </w:p>
        </w:tc>
        <w:tc>
          <w:tcPr>
            <w:tcW w:w="0" w:type="auto"/>
          </w:tcPr>
          <w:p>
            <w:pPr>
              <w:spacing w:line="240" w:lineRule="auto" w:before="0" w:after="0"/>
              <w:pStyle w:val="Compact"/>
            </w:pPr>
            <w:r>
              <w:rPr>
                <w:sz w:val="20"/>
                <w:szCs w:val="20"/>
              </w:rPr>
              <w:t xml:space="preserve">ISRO</w:t>
            </w:r>
          </w:p>
        </w:tc>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550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ISRO and eoPortal RISAT-2 mission record: re-entry 30 October 2022 over the Indian Ocean after 13 years of service, with propellant depleted. No binding Indian national disposal instrument in force at end of life</w:t>
            </w:r>
          </w:p>
        </w:tc>
      </w:tr>
      <w:tr>
        <w:tc>
          <w:tcPr>
            <w:tcW w:w="0" w:type="auto"/>
          </w:tcPr>
          <w:p>
            <w:pPr>
              <w:spacing w:line="240" w:lineRule="auto" w:before="0" w:after="0"/>
              <w:pStyle w:val="Compact"/>
            </w:pPr>
            <w:r>
              <w:rPr>
                <w:sz w:val="20"/>
                <w:szCs w:val="20"/>
              </w:rPr>
              <w:t xml:space="preserve">Sentinel-1B</w:t>
            </w:r>
          </w:p>
        </w:tc>
        <w:tc>
          <w:tcPr>
            <w:tcW w:w="0" w:type="auto"/>
          </w:tcPr>
          <w:p>
            <w:pPr>
              <w:spacing w:line="240" w:lineRule="auto" w:before="0" w:after="0"/>
              <w:pStyle w:val="Compact"/>
            </w:pPr>
            <w:r>
              <w:rPr>
                <w:sz w:val="20"/>
                <w:szCs w:val="20"/>
              </w:rPr>
              <w:t xml:space="preserve">ESA and European Commission</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693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Mission ends for Copernicus Sentinel-1B satellite and Sentinel-1B journeys back to Earth: disposal operations February 2023 to April 2024 reached a final orbit permitting re-entry within 25 years, electrical passivation 12 September 2024. ESA/ADMIN/IPOL(2014)2 in force</w:t>
            </w:r>
          </w:p>
        </w:tc>
      </w:tr>
      <w:tr>
        <w:tc>
          <w:tcPr>
            <w:tcW w:w="0" w:type="auto"/>
          </w:tcPr>
          <w:p>
            <w:pPr>
              <w:spacing w:line="240" w:lineRule="auto" w:before="0" w:after="0"/>
              <w:pStyle w:val="Compact"/>
            </w:pPr>
            <w:r>
              <w:rPr>
                <w:sz w:val="20"/>
                <w:szCs w:val="20"/>
              </w:rPr>
              <w:t xml:space="preserve">Megha-Tropiques-1</w:t>
            </w:r>
          </w:p>
        </w:tc>
        <w:tc>
          <w:tcPr>
            <w:tcW w:w="0" w:type="auto"/>
          </w:tcPr>
          <w:p>
            <w:pPr>
              <w:spacing w:line="240" w:lineRule="auto" w:before="0" w:after="0"/>
              <w:pStyle w:val="Compact"/>
            </w:pPr>
            <w:r>
              <w:rPr>
                <w:sz w:val="20"/>
                <w:szCs w:val="20"/>
              </w:rPr>
              <w:t xml:space="preserve">ISRO</w:t>
            </w:r>
          </w:p>
        </w:tc>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867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ISRO, MT1 Controlled Re-entry Successful and impacted on the Pacific Ocean, and ISRO Controlled Re-entry Experiment of Megha-Tropiques-1: controlled re-entry 7 March 2023. Indian Space Policy 2023 approved after the disposal, no binding national instrument in force at end of life</w:t>
            </w:r>
          </w:p>
        </w:tc>
      </w:tr>
      <w:tr>
        <w:tc>
          <w:tcPr>
            <w:tcW w:w="0" w:type="auto"/>
          </w:tcPr>
          <w:p>
            <w:pPr>
              <w:spacing w:line="240" w:lineRule="auto" w:before="0" w:after="0"/>
              <w:pStyle w:val="Compact"/>
            </w:pPr>
            <w:r>
              <w:rPr>
                <w:sz w:val="20"/>
                <w:szCs w:val="20"/>
              </w:rPr>
              <w:t xml:space="preserve">Aeolus</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320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Guiding Aeolus’ safe reentry and Preparing Aeolus’s assisted reentry: assisted re-entry manoeuvres 24-28 July 2023 lowered the orbit from 320 km to 120 km, re-entry 28 July 2023. ESA/ADMIN/IPOL(2023)1 and ESSB-ST-U-007 Issue 1 (2023), which introduce a five-year disposal limit</w:t>
            </w:r>
          </w:p>
        </w:tc>
      </w:tr>
    </w:tbl>
    <w:bookmarkEnd w:id="89"/>
    <w:bookmarkStart w:id="90" w:name="variable-construction"/>
    <w:p>
      <w:pPr>
        <w:pStyle w:val="Heading3"/>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pmd_success</w:t>
            </w:r>
          </w:p>
        </w:tc>
        <w:tc>
          <w:tcPr>
            <w:tcW w:w="0" w:type="auto"/>
          </w:tcPr>
          <w:p>
            <w:pPr>
              <w:spacing w:line="240" w:lineRule="auto" w:before="0" w:after="0"/>
              <w:pStyle w:val="Compact"/>
            </w:pPr>
            <w:r>
              <w:rPr>
                <w:sz w:val="20"/>
                <w:szCs w:val="20"/>
              </w:rPr>
              <w:t xml:space="preserve">Documented post-mission disposal outcome for a named spacecraft or constellation whose end-of-life disposition is individually reported in the public record. Coded 1 where the record documents either an atmospheric re-entry at or after end of mission or an executed end-of-life disposal manoeuvre that the operating agency states was performed to clear the protected region, and 0 where the record documents that the spacecraft reached end of mission with no disposal executed and remained inside the LEO protected region. No value is inferred from the analyst’s judgement about the case: every row cites the specific agency record, press release, or peer-reviewed paper that reports the disposition. Rows whose disposition could not be traced to such a record were excluded rather than estimated.</w:t>
            </w:r>
          </w:p>
        </w:tc>
        <w:tc>
          <w:tcPr>
            <w:tcW w:w="0" w:type="auto"/>
          </w:tcPr>
          <w:p>
            <w:pPr>
              <w:spacing w:line="240" w:lineRule="auto" w:before="0" w:after="0"/>
              <w:pStyle w:val="Compact"/>
            </w:pPr>
            <w:r>
              <w:rPr>
                <w:sz w:val="20"/>
                <w:szCs w:val="20"/>
              </w:rPr>
              <w:t xml:space="preserve">Per-row agency and journal records listed in the source column of data.csv (ESA, NASA, USGS, NOAA, JAXA, ISRO, CNES, China Manned Space Agency, Iridium Communications, SSTL, University of Surrey, SpaceX via SpaceNews reporting); framing definitions from ESA’s Annual Space Environment Report, Issue 10.0, GEN-DB-LOG-00288-OPS-SD, 1 May 2026, Section 6.1</w:t>
            </w:r>
          </w:p>
        </w:tc>
      </w:tr>
      <w:tr>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Nominal mean operational altitude of the spacecraft at end of mission, in kilometres, as published in the mission record. This is the physical boundary variable: atmospheric drag clears the low band without institutional action and does not clear the high band at all.</w:t>
            </w:r>
          </w:p>
        </w:tc>
        <w:tc>
          <w:tcPr>
            <w:tcW w:w="0" w:type="auto"/>
          </w:tcPr>
          <w:p>
            <w:pPr>
              <w:spacing w:line="240" w:lineRule="auto" w:before="0" w:after="0"/>
              <w:pStyle w:val="Compact"/>
            </w:pPr>
            <w:r>
              <w:rPr>
                <w:sz w:val="20"/>
                <w:szCs w:val="20"/>
              </w:rPr>
              <w:t xml:space="preserve">Published mission specifications in the operating agency records cited per row; ESA Annual Space Environment Report, Issue 10.0, Table 1.3, for the definition of the IADC LEO protected region (altitude below 2000 km)</w:t>
            </w:r>
          </w:p>
        </w:tc>
      </w:tr>
      <w:tr>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ANALYST-CONSTRUCTED ordinal index, 0 to 4, of the binding disposal obligation in force over the operator in its end-of-life year. One point each for: a published binding post-mission-disposal requirement (national regulation or agency technical standard) in force; a national space-activities authorisation statute in force that conditions authorisation on end-of-life disposal; a disposal-timeline requirement stricter than the IADC 25-year default in force; and a published enforcement, licence-revocation, or financial-guarantee mechanism attached to that authorisation. The index is scored from dated published instruments, but the aggregation into a 0-4 scale is the analyst’s construction and not a reported statistic. The indicator column licensing_strength_analyst_coded is 1 on every row for that reason.</w:t>
            </w:r>
          </w:p>
        </w:tc>
        <w:tc>
          <w:tcPr>
            <w:tcW w:w="0" w:type="auto"/>
          </w:tcPr>
          <w:p>
            <w:pPr>
              <w:spacing w:line="240" w:lineRule="auto" w:before="0" w:after="0"/>
              <w:pStyle w:val="Compact"/>
            </w:pPr>
            <w:r>
              <w:rPr>
                <w:sz w:val="20"/>
                <w:szCs w:val="20"/>
              </w:rPr>
              <w:t xml:space="preserve">US Government Orbital Debris Mitigation Standard Practices (1997, revised 2019); NASA-STD-8719.14 (2007); FCC Second Report and Order, IB Docket 02-54 (2004); FCC 22-74 (2022); French Space Operations Act, Law 2008-518 (in force 2010); UK Outer Space Act 1986; UK Space Industry Act 2018; Japan Space Activities Act, Act No. 76 of 2016 (in force 2018); JAXA JMR-003; ESA/ADMIN/IPOL(2008)2, ESA/ADMIN/IPOL(2014)2, and ESA/ADMIN/IPOL(2023)1 with ESSB-ST-U-007 Issue 1 (2023); SASTIND Interim Measures on Space Debris Mitigation and Protection (2010); Indian Space Policy 2023</w:t>
            </w:r>
          </w:p>
        </w:tc>
      </w:tr>
      <w:tr>
        <w:tc>
          <w:tcPr>
            <w:tcW w:w="0" w:type="auto"/>
          </w:tcPr>
          <w:p>
            <w:pPr>
              <w:spacing w:line="240" w:lineRule="auto" w:before="0" w:after="0"/>
              <w:pStyle w:val="Compact"/>
            </w:pPr>
            <w:r>
              <w:rPr>
                <w:sz w:val="20"/>
                <w:szCs w:val="20"/>
              </w:rPr>
              <w:t xml:space="preserve">licensing_strength_analyst_coded</w:t>
            </w:r>
          </w:p>
        </w:tc>
        <w:tc>
          <w:tcPr>
            <w:tcW w:w="0" w:type="auto"/>
          </w:tcPr>
          <w:p>
            <w:pPr>
              <w:spacing w:line="240" w:lineRule="auto" w:before="0" w:after="0"/>
              <w:pStyle w:val="Compact"/>
            </w:pPr>
            <w:r>
              <w:rPr>
                <w:sz w:val="20"/>
                <w:szCs w:val="20"/>
              </w:rPr>
              <w:t xml:space="preserve">Indicator set to 1 on every row to record that licensing_strength is an analyst-constructed index rather than a reported number. No outcome value in this dataset carries such an indicator, because no outcome value is analyst-coded.</w:t>
            </w:r>
          </w:p>
        </w:tc>
        <w:tc>
          <w:tcPr>
            <w:tcW w:w="0" w:type="auto"/>
          </w:tcPr>
          <w:p>
            <w:pPr>
              <w:spacing w:line="240" w:lineRule="auto" w:before="0" w:after="0"/>
              <w:pStyle w:val="Compact"/>
            </w:pPr>
            <w:r>
              <w:rPr>
                <w:sz w:val="20"/>
                <w:szCs w:val="20"/>
              </w:rPr>
              <w:t xml:space="preserve">Construction note</w:t>
            </w:r>
          </w:p>
        </w:tc>
      </w:tr>
      <w:tr>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Calendar year of end of mission, centred on 2013. Included to absorb the secular tightening of the mitigation regime and the improvement in disposal practice across the sample window.</w:t>
            </w:r>
          </w:p>
        </w:tc>
        <w:tc>
          <w:tcPr>
            <w:tcW w:w="0" w:type="auto"/>
          </w:tcPr>
          <w:p>
            <w:pPr>
              <w:spacing w:line="240" w:lineRule="auto" w:before="0" w:after="0"/>
              <w:pStyle w:val="Compact"/>
            </w:pPr>
            <w:r>
              <w:rPr>
                <w:sz w:val="20"/>
                <w:szCs w:val="20"/>
              </w:rPr>
              <w:t xml:space="preserve">Derived from eol_year, which is taken from the agency record cited per row</w:t>
            </w:r>
          </w:p>
        </w:tc>
      </w:tr>
      <w:tr>
        <w:tc>
          <w:tcPr>
            <w:tcW w:w="0" w:type="auto"/>
          </w:tcPr>
          <w:p>
            <w:pPr>
              <w:spacing w:line="240" w:lineRule="auto" w:before="0" w:after="0"/>
              <w:pStyle w:val="Compact"/>
            </w:pPr>
            <w:r>
              <w:rPr>
                <w:sz w:val="20"/>
                <w:szCs w:val="20"/>
              </w:rPr>
              <w:t xml:space="preserve">eol_year</w:t>
            </w:r>
          </w:p>
        </w:tc>
        <w:tc>
          <w:tcPr>
            <w:tcW w:w="0" w:type="auto"/>
          </w:tcPr>
          <w:p>
            <w:pPr>
              <w:spacing w:line="240" w:lineRule="auto" w:before="0" w:after="0"/>
              <w:pStyle w:val="Compact"/>
            </w:pPr>
            <w:r>
              <w:rPr>
                <w:sz w:val="20"/>
                <w:szCs w:val="20"/>
              </w:rPr>
              <w:t xml:space="preserve">Calendar year in which the spacecraft reached end of mission, as reported in the cited record.</w:t>
            </w:r>
          </w:p>
        </w:tc>
        <w:tc>
          <w:tcPr>
            <w:tcW w:w="0" w:type="auto"/>
          </w:tcPr>
          <w:p>
            <w:pPr>
              <w:spacing w:line="240" w:lineRule="auto" w:before="0" w:after="0"/>
              <w:pStyle w:val="Compact"/>
            </w:pPr>
            <w:r>
              <w:rPr>
                <w:sz w:val="20"/>
                <w:szCs w:val="20"/>
              </w:rPr>
              <w:t xml:space="preserve">Per-row agency records listed in the source column of data.csv</w:t>
            </w:r>
          </w:p>
        </w:tc>
      </w:tr>
      <w:tr>
        <w:tc>
          <w:tcPr>
            <w:tcW w:w="0" w:type="auto"/>
          </w:tcPr>
          <w:p>
            <w:pPr>
              <w:spacing w:line="240" w:lineRule="auto" w:before="0" w:after="0"/>
              <w:pStyle w:val="Compact"/>
            </w:pPr>
            <w:r>
              <w:rPr>
                <w:sz w:val="20"/>
                <w:szCs w:val="20"/>
              </w:rPr>
              <w:t xml:space="preserve">gov_operator</w:t>
            </w:r>
          </w:p>
        </w:tc>
        <w:tc>
          <w:tcPr>
            <w:tcW w:w="0" w:type="auto"/>
          </w:tcPr>
          <w:p>
            <w:pPr>
              <w:spacing w:line="240" w:lineRule="auto" w:before="0" w:after="0"/>
              <w:pStyle w:val="Compact"/>
            </w:pPr>
            <w:r>
              <w:rPr>
                <w:sz w:val="20"/>
                <w:szCs w:val="20"/>
              </w:rPr>
              <w:t xml:space="preserve">1 if the operator is a government agency or intergovernmental body, 0 if commercial or academic. Reported in the dataset for audit but excluded from the estimating equation: all four non-governmental cases in the documented sample are successes, so the variable perfectly separates the outcome and cannot be estimated.</w:t>
            </w:r>
          </w:p>
        </w:tc>
        <w:tc>
          <w:tcPr>
            <w:tcW w:w="0" w:type="auto"/>
          </w:tcPr>
          <w:p>
            <w:pPr>
              <w:spacing w:line="240" w:lineRule="auto" w:before="0" w:after="0"/>
              <w:pStyle w:val="Compact"/>
            </w:pPr>
            <w:r>
              <w:rPr>
                <w:sz w:val="20"/>
                <w:szCs w:val="20"/>
              </w:rPr>
              <w:t xml:space="preserve">Operator identity from the agency and corporate records cited per row</w:t>
            </w:r>
          </w:p>
        </w:tc>
      </w:tr>
    </w:tbl>
    <w:bookmarkEnd w:id="90"/>
    <w:bookmarkStart w:id="91" w:name="estimator-output"/>
    <w:p>
      <w:pPr>
        <w:pStyle w:val="Heading3"/>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z</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6.1302</w:t>
            </w:r>
          </w:p>
        </w:tc>
        <w:tc>
          <w:tcPr>
            <w:tcW w:w="0" w:type="auto"/>
          </w:tcPr>
          <w:p>
            <w:pPr>
              <w:spacing w:line="240" w:lineRule="auto" w:before="0" w:after="0"/>
              <w:pStyle w:val="Compact"/>
            </w:pPr>
            <w:r>
              <w:rPr>
                <w:sz w:val="20"/>
                <w:szCs w:val="20"/>
              </w:rPr>
              <w:t xml:space="preserve">3.1863</w:t>
            </w:r>
          </w:p>
        </w:tc>
        <w:tc>
          <w:tcPr>
            <w:tcW w:w="0" w:type="auto"/>
          </w:tcPr>
          <w:p>
            <w:pPr>
              <w:spacing w:line="240" w:lineRule="auto" w:before="0" w:after="0"/>
              <w:pStyle w:val="Compact"/>
            </w:pPr>
            <w:r>
              <w:rPr>
                <w:sz w:val="20"/>
                <w:szCs w:val="20"/>
              </w:rPr>
              <w:t xml:space="preserve">1.9239</w:t>
            </w:r>
          </w:p>
        </w:tc>
        <w:tc>
          <w:tcPr>
            <w:tcW w:w="0" w:type="auto"/>
          </w:tcPr>
          <w:p>
            <w:pPr>
              <w:spacing w:line="240" w:lineRule="auto" w:before="0" w:after="0"/>
              <w:pStyle w:val="Compact"/>
            </w:pPr>
            <w:r>
              <w:rPr>
                <w:sz w:val="20"/>
                <w:szCs w:val="20"/>
              </w:rPr>
              <w:t xml:space="preserve">0.0544</w:t>
            </w:r>
          </w:p>
        </w:tc>
        <w:tc>
          <w:tcPr>
            <w:tcW w:w="0" w:type="auto"/>
          </w:tcPr>
          <w:p>
            <w:pPr>
              <w:spacing w:line="240" w:lineRule="auto" w:before="0" w:after="0"/>
              <w:pStyle w:val="Compact"/>
            </w:pPr>
            <w:r>
              <w:rPr>
                <w:sz w:val="20"/>
                <w:szCs w:val="20"/>
              </w:rPr>
              <w:t xml:space="preserve">[-0.1148, 12.3751]</w:t>
            </w:r>
          </w:p>
        </w:tc>
      </w:tr>
      <w:tr>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-0.0073</w:t>
            </w:r>
          </w:p>
        </w:tc>
        <w:tc>
          <w:tcPr>
            <w:tcW w:w="0" w:type="auto"/>
          </w:tcPr>
          <w:p>
            <w:pPr>
              <w:spacing w:line="240" w:lineRule="auto" w:before="0" w:after="0"/>
              <w:pStyle w:val="Compact"/>
            </w:pPr>
            <w:r>
              <w:rPr>
                <w:sz w:val="20"/>
                <w:szCs w:val="20"/>
              </w:rPr>
              <w:t xml:space="preserve">0.0041</w:t>
            </w:r>
          </w:p>
        </w:tc>
        <w:tc>
          <w:tcPr>
            <w:tcW w:w="0" w:type="auto"/>
          </w:tcPr>
          <w:p>
            <w:pPr>
              <w:spacing w:line="240" w:lineRule="auto" w:before="0" w:after="0"/>
              <w:pStyle w:val="Compact"/>
            </w:pPr>
            <w:r>
              <w:rPr>
                <w:sz w:val="20"/>
                <w:szCs w:val="20"/>
              </w:rPr>
              <w:t xml:space="preserve">-1.769</w:t>
            </w:r>
          </w:p>
        </w:tc>
        <w:tc>
          <w:tcPr>
            <w:tcW w:w="0" w:type="auto"/>
          </w:tcPr>
          <w:p>
            <w:pPr>
              <w:spacing w:line="240" w:lineRule="auto" w:before="0" w:after="0"/>
              <w:pStyle w:val="Compact"/>
            </w:pPr>
            <w:r>
              <w:rPr>
                <w:sz w:val="20"/>
                <w:szCs w:val="20"/>
              </w:rPr>
              <w:t xml:space="preserve">0.0769</w:t>
            </w:r>
          </w:p>
        </w:tc>
        <w:tc>
          <w:tcPr>
            <w:tcW w:w="0" w:type="auto"/>
          </w:tcPr>
          <w:p>
            <w:pPr>
              <w:spacing w:line="240" w:lineRule="auto" w:before="0" w:after="0"/>
              <w:pStyle w:val="Compact"/>
            </w:pPr>
            <w:r>
              <w:rPr>
                <w:sz w:val="20"/>
                <w:szCs w:val="20"/>
              </w:rPr>
              <w:t xml:space="preserve">[-0.0154, 0.0007868]</w:t>
            </w:r>
          </w:p>
        </w:tc>
      </w:tr>
      <w:tr>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0.0236</w:t>
            </w:r>
          </w:p>
        </w:tc>
        <w:tc>
          <w:tcPr>
            <w:tcW w:w="0" w:type="auto"/>
          </w:tcPr>
          <w:p>
            <w:pPr>
              <w:spacing w:line="240" w:lineRule="auto" w:before="0" w:after="0"/>
              <w:pStyle w:val="Compact"/>
            </w:pPr>
            <w:r>
              <w:rPr>
                <w:sz w:val="20"/>
                <w:szCs w:val="20"/>
              </w:rPr>
              <w:t xml:space="preserve">0.6937</w:t>
            </w:r>
          </w:p>
        </w:tc>
        <w:tc>
          <w:tcPr>
            <w:tcW w:w="0" w:type="auto"/>
          </w:tcPr>
          <w:p>
            <w:pPr>
              <w:spacing w:line="240" w:lineRule="auto" w:before="0" w:after="0"/>
              <w:pStyle w:val="Compact"/>
            </w:pPr>
            <w:r>
              <w:rPr>
                <w:sz w:val="20"/>
                <w:szCs w:val="20"/>
              </w:rPr>
              <w:t xml:space="preserve">0.034</w:t>
            </w:r>
          </w:p>
        </w:tc>
        <w:tc>
          <w:tcPr>
            <w:tcW w:w="0" w:type="auto"/>
          </w:tcPr>
          <w:p>
            <w:pPr>
              <w:spacing w:line="240" w:lineRule="auto" w:before="0" w:after="0"/>
              <w:pStyle w:val="Compact"/>
            </w:pPr>
            <w:r>
              <w:rPr>
                <w:sz w:val="20"/>
                <w:szCs w:val="20"/>
              </w:rPr>
              <w:t xml:space="preserve">0.9728</w:t>
            </w:r>
          </w:p>
        </w:tc>
        <w:tc>
          <w:tcPr>
            <w:tcW w:w="0" w:type="auto"/>
          </w:tcPr>
          <w:p>
            <w:pPr>
              <w:spacing w:line="240" w:lineRule="auto" w:before="0" w:after="0"/>
              <w:pStyle w:val="Compact"/>
            </w:pPr>
            <w:r>
              <w:rPr>
                <w:sz w:val="20"/>
                <w:szCs w:val="20"/>
              </w:rPr>
              <w:t xml:space="preserve">[-1.336, 1.3832]</w:t>
            </w:r>
          </w:p>
        </w:tc>
      </w:tr>
      <w:tr>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0.0874</w:t>
            </w:r>
          </w:p>
        </w:tc>
        <w:tc>
          <w:tcPr>
            <w:tcW w:w="0" w:type="auto"/>
          </w:tcPr>
          <w:p>
            <w:pPr>
              <w:spacing w:line="240" w:lineRule="auto" w:before="0" w:after="0"/>
              <w:pStyle w:val="Compact"/>
            </w:pPr>
            <w:r>
              <w:rPr>
                <w:sz w:val="20"/>
                <w:szCs w:val="20"/>
              </w:rPr>
              <w:t xml:space="preserve">0.0867</w:t>
            </w:r>
          </w:p>
        </w:tc>
        <w:tc>
          <w:tcPr>
            <w:tcW w:w="0" w:type="auto"/>
          </w:tcPr>
          <w:p>
            <w:pPr>
              <w:spacing w:line="240" w:lineRule="auto" w:before="0" w:after="0"/>
              <w:pStyle w:val="Compact"/>
            </w:pPr>
            <w:r>
              <w:rPr>
                <w:sz w:val="20"/>
                <w:szCs w:val="20"/>
              </w:rPr>
              <w:t xml:space="preserve">1.0078</w:t>
            </w:r>
          </w:p>
        </w:tc>
        <w:tc>
          <w:tcPr>
            <w:tcW w:w="0" w:type="auto"/>
          </w:tcPr>
          <w:p>
            <w:pPr>
              <w:spacing w:line="240" w:lineRule="auto" w:before="0" w:after="0"/>
              <w:pStyle w:val="Compact"/>
            </w:pPr>
            <w:r>
              <w:rPr>
                <w:sz w:val="20"/>
                <w:szCs w:val="20"/>
              </w:rPr>
              <w:t xml:space="preserve">0.3136</w:t>
            </w:r>
          </w:p>
        </w:tc>
        <w:tc>
          <w:tcPr>
            <w:tcW w:w="0" w:type="auto"/>
          </w:tcPr>
          <w:p>
            <w:pPr>
              <w:spacing w:line="240" w:lineRule="auto" w:before="0" w:after="0"/>
              <w:pStyle w:val="Compact"/>
            </w:pPr>
            <w:r>
              <w:rPr>
                <w:sz w:val="20"/>
                <w:szCs w:val="20"/>
              </w:rPr>
              <w:t xml:space="preserve">[-0.0826, 0.2574]</w:t>
            </w:r>
          </w:p>
        </w:tc>
      </w:tr>
    </w:tbl>
    <w:p>
      <w:pPr>
        <w:pStyle w:val="BodyText"/>
      </w:pPr>
      <w:r>
        <w:t xml:space="preserve">Fit: N = 25 pseudo_R2 = 0.3008 LL = -9.6323</w:t>
      </w:r>
    </w:p>
    <w:bookmarkEnd w:id="91"/>
    <w:bookmarkEnd w:id="92"/>
    <w:bookmarkEnd w:id="93"/>
    <w:sectPr w:rsidR="009F3179">
      <w:type w:val="continuous"/>
      <w:pgSz w:h="15840" w:w="12240"/>
      <w:pgMar w:bottom="280" w:footer="720" w:gutter="0" w:header="720" w:left="1060" w:right="1240" w:top="150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B9303" w14:textId="77777777" w:rsidR="009F3179" w:rsidRDefault="00C10B24">
    <w:pPr>
      <w:pStyle w:val="BodyText"/>
      <w:spacing w:line="14" w:lineRule="auto"/>
      <w:ind w:left="0"/>
      <w:rPr>
        <w:sz w:val="20"/>
      </w:rPr>
    </w:pPr>
    <w:r>
      <w:rPr>
        <w:noProof/>
      </w:rPr>
      <mc:AlternateContent>
        <mc:Choice Requires="wps">
          <w:drawing>
            <wp:anchor distT="0" distB="0" distL="114300" distR="114300" simplePos="0" relativeHeight="485509120" behindDoc="1" locked="0" layoutInCell="1" allowOverlap="1" wp14:anchorId="1173D16B" wp14:editId="2335BC15">
              <wp:simplePos x="0" y="0"/>
              <wp:positionH relativeFrom="page">
                <wp:posOffset>3763010</wp:posOffset>
              </wp:positionH>
              <wp:positionV relativeFrom="page">
                <wp:posOffset>9495790</wp:posOffset>
              </wp:positionV>
              <wp:extent cx="246380" cy="16764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3D16B" id="_x0000_t202" coordsize="21600,21600" o:spt="202" path="m,l,21600r21600,l21600,xe">
              <v:stroke joinstyle="miter"/>
              <v:path gradientshapeok="t" o:connecttype="rect"/>
            </v:shapetype>
            <v:shape id="Text Box 2" o:spid="_x0000_s1098" type="#_x0000_t202" style="position:absolute;margin-left:296.3pt;margin-top:747.7pt;width:19.4pt;height:13.2pt;z-index:-178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" filled="f" stroked="f">
              <v:path arrowok="t"/>
              <v:textbox inset="0,0,0,0">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D622" w14:textId="77777777" w:rsidR="009F3179" w:rsidRDefault="00C10B24">
    <w:pPr>
      <w:pStyle w:val="BodyText"/>
      <w:spacing w:line="14" w:lineRule="auto"/>
      <w:ind w:left="0"/>
      <w:rPr>
        <w:sz w:val="14"/>
      </w:rPr>
    </w:pPr>
    <w:r>
      <w:rPr>
        <w:noProof/>
      </w:rPr>
      <mc:AlternateContent>
        <mc:Choice Requires="wps">
          <w:drawing>
            <wp:anchor distT="0" distB="0" distL="114300" distR="114300" simplePos="0" relativeHeight="485509632" behindDoc="1" locked="0" layoutInCell="1" allowOverlap="1" wp14:anchorId="5F7D2CAC" wp14:editId="6027A16B">
              <wp:simplePos x="0" y="0"/>
              <wp:positionH relativeFrom="page">
                <wp:posOffset>3753485</wp:posOffset>
              </wp:positionH>
              <wp:positionV relativeFrom="page">
                <wp:posOffset>9495790</wp:posOffset>
              </wp:positionV>
              <wp:extent cx="266700" cy="167640"/>
              <wp:effectExtent l="0" t="0" r="0" b="0"/>
              <wp:wrapNone/>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2CAC" id="_x0000_t202" coordsize="21600,21600" o:spt="202" path="m,l,21600r21600,l21600,xe">
              <v:stroke joinstyle="miter"/>
              <v:path gradientshapeok="t" o:connecttype="rect"/>
            </v:shapetype>
            <v:shape id="Text Box 1" o:spid="_x0000_s1099" type="#_x0000_t202" style="position:absolute;margin-left:295.55pt;margin-top:747.7pt;width:21pt;height:13.2pt;z-index:-178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" filled="f" stroked="f">
              <v:path arrowok="t"/>
              <v:textbox inset="0,0,0,0">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755065F"/>
    <w:multiLevelType w:val="hybridMultilevel"/>
    <w:tmpl w:val="437073C0"/>
    <w:lvl w:ilvl="0" w:tplc="F014BDD8">
      <w:start w:val="1"/>
      <w:numFmt w:val="decimal"/>
      <w:lvlText w:val="%1."/>
      <w:lvlJc w:val="left"/>
      <w:pPr>
        <w:ind w:hanging="289" w:left="1100"/>
        <w:jc w:val="left"/>
      </w:pPr>
      <w:rPr>
        <w:rFonts w:ascii="Times New Roman" w:cs="Times New Roman" w:eastAsia="Times New Roman" w:hAnsi="Times New Roman" w:hint="default"/>
        <w:w w:val="100"/>
        <w:sz w:val="24"/>
        <w:szCs w:val="24"/>
      </w:rPr>
    </w:lvl>
    <w:lvl w:ilvl="1" w:tplc="9A704740">
      <w:numFmt w:val="bullet"/>
      <w:lvlText w:val="•"/>
      <w:lvlJc w:val="left"/>
      <w:pPr>
        <w:ind w:hanging="289" w:left="1984"/>
      </w:pPr>
      <w:rPr>
        <w:rFonts w:hint="default"/>
      </w:rPr>
    </w:lvl>
    <w:lvl w:ilvl="2" w:tplc="D2C4459C">
      <w:numFmt w:val="bullet"/>
      <w:lvlText w:val="•"/>
      <w:lvlJc w:val="left"/>
      <w:pPr>
        <w:ind w:hanging="289" w:left="2868"/>
      </w:pPr>
      <w:rPr>
        <w:rFonts w:hint="default"/>
      </w:rPr>
    </w:lvl>
    <w:lvl w:ilvl="3" w:tplc="E4B6D344">
      <w:numFmt w:val="bullet"/>
      <w:lvlText w:val="•"/>
      <w:lvlJc w:val="left"/>
      <w:pPr>
        <w:ind w:hanging="289" w:left="3752"/>
      </w:pPr>
      <w:rPr>
        <w:rFonts w:hint="default"/>
      </w:rPr>
    </w:lvl>
    <w:lvl w:ilvl="4" w:tplc="79504C92">
      <w:numFmt w:val="bullet"/>
      <w:lvlText w:val="•"/>
      <w:lvlJc w:val="left"/>
      <w:pPr>
        <w:ind w:hanging="289" w:left="4636"/>
      </w:pPr>
      <w:rPr>
        <w:rFonts w:hint="default"/>
      </w:rPr>
    </w:lvl>
    <w:lvl w:ilvl="5" w:tplc="CFB2858E">
      <w:numFmt w:val="bullet"/>
      <w:lvlText w:val="•"/>
      <w:lvlJc w:val="left"/>
      <w:pPr>
        <w:ind w:hanging="289" w:left="5520"/>
      </w:pPr>
      <w:rPr>
        <w:rFonts w:hint="default"/>
      </w:rPr>
    </w:lvl>
    <w:lvl w:ilvl="6" w:tplc="351E15F6">
      <w:numFmt w:val="bullet"/>
      <w:lvlText w:val="•"/>
      <w:lvlJc w:val="left"/>
      <w:pPr>
        <w:ind w:hanging="289" w:left="6404"/>
      </w:pPr>
      <w:rPr>
        <w:rFonts w:hint="default"/>
      </w:rPr>
    </w:lvl>
    <w:lvl w:ilvl="7" w:tplc="F726FE44">
      <w:numFmt w:val="bullet"/>
      <w:lvlText w:val="•"/>
      <w:lvlJc w:val="left"/>
      <w:pPr>
        <w:ind w:hanging="289" w:left="7288"/>
      </w:pPr>
      <w:rPr>
        <w:rFonts w:hint="default"/>
      </w:rPr>
    </w:lvl>
    <w:lvl w:ilvl="8" w:tplc="1B18AE82">
      <w:numFmt w:val="bullet"/>
      <w:lvlText w:val="•"/>
      <w:lvlJc w:val="left"/>
      <w:pPr>
        <w:ind w:hanging="289" w:left="8172"/>
      </w:pPr>
      <w:rPr>
        <w:rFonts w:hint="default"/>
      </w:rPr>
    </w:lvl>
  </w:abstractNum>
  <w:abstractNum w15:restartNumberingAfterBreak="0" w:abstractNumId="1">
    <w:nsid w:val="20ED600A"/>
    <w:multiLevelType w:val="hybridMultilevel"/>
    <w:tmpl w:val="3DF660D8"/>
    <w:lvl w:ilvl="0" w:tplc="DBD4E4B2">
      <w:start w:val="1"/>
      <w:numFmt w:val="decimal"/>
      <w:lvlText w:val="%1."/>
      <w:lvlJc w:val="left"/>
      <w:pPr>
        <w:ind w:hanging="116" w:left="0"/>
        <w:jc w:val="left"/>
      </w:pPr>
      <w:rPr>
        <w:rFonts w:ascii="Arial" w:cs="Arial" w:eastAsia="Arial" w:hAnsi="Arial" w:hint="default"/>
        <w:color w:val="0B2338"/>
        <w:spacing w:val="-1"/>
        <w:w w:val="94"/>
        <w:sz w:val="11"/>
        <w:szCs w:val="11"/>
      </w:rPr>
    </w:lvl>
    <w:lvl w:ilvl="1" w:tplc="1DF49AAE">
      <w:numFmt w:val="bullet"/>
      <w:lvlText w:val="•"/>
      <w:lvlJc w:val="left"/>
      <w:pPr>
        <w:ind w:hanging="116" w:left="118"/>
      </w:pPr>
      <w:rPr>
        <w:rFonts w:hint="default"/>
      </w:rPr>
    </w:lvl>
    <w:lvl w:ilvl="2" w:tplc="8696922E">
      <w:numFmt w:val="bullet"/>
      <w:lvlText w:val="•"/>
      <w:lvlJc w:val="left"/>
      <w:pPr>
        <w:ind w:hanging="116" w:left="237"/>
      </w:pPr>
      <w:rPr>
        <w:rFonts w:hint="default"/>
      </w:rPr>
    </w:lvl>
    <w:lvl w:ilvl="3" w:tplc="53CC4070">
      <w:numFmt w:val="bullet"/>
      <w:lvlText w:val="•"/>
      <w:lvlJc w:val="left"/>
      <w:pPr>
        <w:ind w:hanging="116" w:left="356"/>
      </w:pPr>
      <w:rPr>
        <w:rFonts w:hint="default"/>
      </w:rPr>
    </w:lvl>
    <w:lvl w:ilvl="4" w:tplc="670C966A">
      <w:numFmt w:val="bullet"/>
      <w:lvlText w:val="•"/>
      <w:lvlJc w:val="left"/>
      <w:pPr>
        <w:ind w:hanging="116" w:left="475"/>
      </w:pPr>
      <w:rPr>
        <w:rFonts w:hint="default"/>
      </w:rPr>
    </w:lvl>
    <w:lvl w:ilvl="5" w:tplc="F7786108">
      <w:numFmt w:val="bullet"/>
      <w:lvlText w:val="•"/>
      <w:lvlJc w:val="left"/>
      <w:pPr>
        <w:ind w:hanging="116" w:left="593"/>
      </w:pPr>
      <w:rPr>
        <w:rFonts w:hint="default"/>
      </w:rPr>
    </w:lvl>
    <w:lvl w:ilvl="6" w:tplc="CAE43504">
      <w:numFmt w:val="bullet"/>
      <w:lvlText w:val="•"/>
      <w:lvlJc w:val="left"/>
      <w:pPr>
        <w:ind w:hanging="116" w:left="712"/>
      </w:pPr>
      <w:rPr>
        <w:rFonts w:hint="default"/>
      </w:rPr>
    </w:lvl>
    <w:lvl w:ilvl="7" w:tplc="405095FA">
      <w:numFmt w:val="bullet"/>
      <w:lvlText w:val="•"/>
      <w:lvlJc w:val="left"/>
      <w:pPr>
        <w:ind w:hanging="116" w:left="831"/>
      </w:pPr>
      <w:rPr>
        <w:rFonts w:hint="default"/>
      </w:rPr>
    </w:lvl>
    <w:lvl w:ilvl="8" w:tplc="4662B30C">
      <w:numFmt w:val="bullet"/>
      <w:lvlText w:val="•"/>
      <w:lvlJc w:val="left"/>
      <w:pPr>
        <w:ind w:hanging="116" w:left="950"/>
      </w:pPr>
      <w:rPr>
        <w:rFonts w:hint="default"/>
      </w:rPr>
    </w:lvl>
  </w:abstractNum>
  <w:abstractNum w15:restartNumberingAfterBreak="0" w:abstractNumId="2">
    <w:nsid w:val="2364631C"/>
    <w:multiLevelType w:val="hybridMultilevel"/>
    <w:tmpl w:val="EF7CE616"/>
    <w:lvl w:ilvl="0" w:tplc="5A4CA9FE">
      <w:start w:val="1"/>
      <w:numFmt w:val="decimal"/>
      <w:lvlText w:val="%1."/>
      <w:lvlJc w:val="left"/>
      <w:pPr>
        <w:ind w:hanging="240" w:left="2150"/>
        <w:jc w:val="left"/>
      </w:pPr>
      <w:rPr>
        <w:rFonts w:ascii="Times New Roman" w:cs="Times New Roman" w:eastAsia="Times New Roman" w:hAnsi="Times New Roman" w:hint="default"/>
        <w:w w:val="100"/>
        <w:sz w:val="24"/>
        <w:szCs w:val="24"/>
      </w:rPr>
    </w:lvl>
    <w:lvl w:ilvl="1" w:tplc="E40AEBAA">
      <w:numFmt w:val="bullet"/>
      <w:lvlText w:val="•"/>
      <w:lvlJc w:val="left"/>
      <w:pPr>
        <w:ind w:hanging="240" w:left="2938"/>
      </w:pPr>
      <w:rPr>
        <w:rFonts w:hint="default"/>
      </w:rPr>
    </w:lvl>
    <w:lvl w:ilvl="2" w:tplc="8CBA5F66">
      <w:numFmt w:val="bullet"/>
      <w:lvlText w:val="•"/>
      <w:lvlJc w:val="left"/>
      <w:pPr>
        <w:ind w:hanging="240" w:left="3716"/>
      </w:pPr>
      <w:rPr>
        <w:rFonts w:hint="default"/>
      </w:rPr>
    </w:lvl>
    <w:lvl w:ilvl="3" w:tplc="592A2702">
      <w:numFmt w:val="bullet"/>
      <w:lvlText w:val="•"/>
      <w:lvlJc w:val="left"/>
      <w:pPr>
        <w:ind w:hanging="240" w:left="4494"/>
      </w:pPr>
      <w:rPr>
        <w:rFonts w:hint="default"/>
      </w:rPr>
    </w:lvl>
    <w:lvl w:ilvl="4" w:tplc="FB988598">
      <w:numFmt w:val="bullet"/>
      <w:lvlText w:val="•"/>
      <w:lvlJc w:val="left"/>
      <w:pPr>
        <w:ind w:hanging="240" w:left="5272"/>
      </w:pPr>
      <w:rPr>
        <w:rFonts w:hint="default"/>
      </w:rPr>
    </w:lvl>
    <w:lvl w:ilvl="5" w:tplc="BB6A8AD4">
      <w:numFmt w:val="bullet"/>
      <w:lvlText w:val="•"/>
      <w:lvlJc w:val="left"/>
      <w:pPr>
        <w:ind w:hanging="240" w:left="6050"/>
      </w:pPr>
      <w:rPr>
        <w:rFonts w:hint="default"/>
      </w:rPr>
    </w:lvl>
    <w:lvl w:ilvl="6" w:tplc="5F467E0C">
      <w:numFmt w:val="bullet"/>
      <w:lvlText w:val="•"/>
      <w:lvlJc w:val="left"/>
      <w:pPr>
        <w:ind w:hanging="240" w:left="6828"/>
      </w:pPr>
      <w:rPr>
        <w:rFonts w:hint="default"/>
      </w:rPr>
    </w:lvl>
    <w:lvl w:ilvl="7" w:tplc="172665EE">
      <w:numFmt w:val="bullet"/>
      <w:lvlText w:val="•"/>
      <w:lvlJc w:val="left"/>
      <w:pPr>
        <w:ind w:hanging="240" w:left="7606"/>
      </w:pPr>
      <w:rPr>
        <w:rFonts w:hint="default"/>
      </w:rPr>
    </w:lvl>
    <w:lvl w:ilvl="8" w:tplc="E5F453FC">
      <w:numFmt w:val="bullet"/>
      <w:lvlText w:val="•"/>
      <w:lvlJc w:val="left"/>
      <w:pPr>
        <w:ind w:hanging="240" w:left="8384"/>
      </w:pPr>
      <w:rPr>
        <w:rFonts w:hint="default"/>
      </w:rPr>
    </w:lvl>
  </w:abstractNum>
  <w:abstractNum w15:restartNumberingAfterBreak="0" w:abstractNumId="3">
    <w:nsid w:val="25306CB1"/>
    <w:multiLevelType w:val="hybridMultilevel"/>
    <w:tmpl w:val="297AB564"/>
    <w:lvl w:ilvl="0" w:tplc="3710B952">
      <w:start w:val="3"/>
      <w:numFmt w:val="decimal"/>
      <w:lvlText w:val="%1"/>
      <w:lvlJc w:val="left"/>
      <w:pPr>
        <w:ind w:hanging="130" w:left="0"/>
        <w:jc w:val="left"/>
      </w:pPr>
      <w:rPr>
        <w:rFonts w:hint="default"/>
      </w:rPr>
    </w:lvl>
    <w:lvl w:ilvl="1" w:tplc="0352D56A">
      <w:start w:val="1"/>
      <w:numFmt w:val="upperLetter"/>
      <w:lvlText w:val="%1.%2"/>
      <w:lvlJc w:val="left"/>
      <w:pPr>
        <w:ind w:hanging="130" w:left="0"/>
        <w:jc w:val="left"/>
      </w:pPr>
      <w:rPr>
        <w:rFonts w:ascii="Arial" w:cs="Arial" w:eastAsia="Arial" w:hAnsi="Arial" w:hint="default"/>
        <w:color w:val="0B2338"/>
        <w:w w:val="90"/>
        <w:sz w:val="8"/>
        <w:szCs w:val="8"/>
      </w:rPr>
    </w:lvl>
    <w:lvl w:ilvl="2" w:tplc="04CC5664">
      <w:numFmt w:val="bullet"/>
      <w:lvlText w:val="•"/>
      <w:lvlJc w:val="left"/>
      <w:pPr>
        <w:ind w:hanging="130" w:left="243"/>
      </w:pPr>
      <w:rPr>
        <w:rFonts w:hint="default"/>
      </w:rPr>
    </w:lvl>
    <w:lvl w:ilvl="3" w:tplc="8C226828">
      <w:numFmt w:val="bullet"/>
      <w:lvlText w:val="•"/>
      <w:lvlJc w:val="left"/>
      <w:pPr>
        <w:ind w:hanging="130" w:left="365"/>
      </w:pPr>
      <w:rPr>
        <w:rFonts w:hint="default"/>
      </w:rPr>
    </w:lvl>
    <w:lvl w:ilvl="4" w:tplc="3134F5D2">
      <w:numFmt w:val="bullet"/>
      <w:lvlText w:val="•"/>
      <w:lvlJc w:val="left"/>
      <w:pPr>
        <w:ind w:hanging="130" w:left="487"/>
      </w:pPr>
      <w:rPr>
        <w:rFonts w:hint="default"/>
      </w:rPr>
    </w:lvl>
    <w:lvl w:ilvl="5" w:tplc="05444F5A">
      <w:numFmt w:val="bullet"/>
      <w:lvlText w:val="•"/>
      <w:lvlJc w:val="left"/>
      <w:pPr>
        <w:ind w:hanging="130" w:left="609"/>
      </w:pPr>
      <w:rPr>
        <w:rFonts w:hint="default"/>
      </w:rPr>
    </w:lvl>
    <w:lvl w:ilvl="6" w:tplc="7E28672E">
      <w:numFmt w:val="bullet"/>
      <w:lvlText w:val="•"/>
      <w:lvlJc w:val="left"/>
      <w:pPr>
        <w:ind w:hanging="130" w:left="730"/>
      </w:pPr>
      <w:rPr>
        <w:rFonts w:hint="default"/>
      </w:rPr>
    </w:lvl>
    <w:lvl w:ilvl="7" w:tplc="BE009B9A">
      <w:numFmt w:val="bullet"/>
      <w:lvlText w:val="•"/>
      <w:lvlJc w:val="left"/>
      <w:pPr>
        <w:ind w:hanging="130" w:left="852"/>
      </w:pPr>
      <w:rPr>
        <w:rFonts w:hint="default"/>
      </w:rPr>
    </w:lvl>
    <w:lvl w:ilvl="8" w:tplc="EDE64DD8">
      <w:numFmt w:val="bullet"/>
      <w:lvlText w:val="•"/>
      <w:lvlJc w:val="left"/>
      <w:pPr>
        <w:ind w:hanging="130" w:left="974"/>
      </w:pPr>
      <w:rPr>
        <w:rFonts w:hint="default"/>
      </w:rPr>
    </w:lvl>
  </w:abstractNum>
  <w:abstractNum w15:restartNumberingAfterBreak="0" w:abstractNumId="4">
    <w:nsid w:val="26D153E0"/>
    <w:multiLevelType w:val="hybridMultilevel"/>
    <w:tmpl w:val="03CC114C"/>
    <w:lvl w:ilvl="0" w:tplc="CC102BDE">
      <w:start w:val="1"/>
      <w:numFmt w:val="decimal"/>
      <w:lvlText w:val="%1."/>
      <w:lvlJc w:val="left"/>
      <w:pPr>
        <w:ind w:hanging="240" w:left="1910"/>
        <w:jc w:val="left"/>
      </w:pPr>
      <w:rPr>
        <w:rFonts w:ascii="Times New Roman" w:cs="Times New Roman" w:eastAsia="Times New Roman" w:hAnsi="Times New Roman" w:hint="default"/>
        <w:w w:val="100"/>
        <w:sz w:val="24"/>
        <w:szCs w:val="24"/>
      </w:rPr>
    </w:lvl>
    <w:lvl w:ilvl="1" w:tplc="2FCE3DC8">
      <w:numFmt w:val="bullet"/>
      <w:lvlText w:val="•"/>
      <w:lvlJc w:val="left"/>
      <w:pPr>
        <w:ind w:hanging="240" w:left="2722"/>
      </w:pPr>
      <w:rPr>
        <w:rFonts w:hint="default"/>
      </w:rPr>
    </w:lvl>
    <w:lvl w:ilvl="2" w:tplc="7F02E6CC">
      <w:numFmt w:val="bullet"/>
      <w:lvlText w:val="•"/>
      <w:lvlJc w:val="left"/>
      <w:pPr>
        <w:ind w:hanging="240" w:left="3524"/>
      </w:pPr>
      <w:rPr>
        <w:rFonts w:hint="default"/>
      </w:rPr>
    </w:lvl>
    <w:lvl w:ilvl="3" w:tplc="BFC0DA7A">
      <w:numFmt w:val="bullet"/>
      <w:lvlText w:val="•"/>
      <w:lvlJc w:val="left"/>
      <w:pPr>
        <w:ind w:hanging="240" w:left="4326"/>
      </w:pPr>
      <w:rPr>
        <w:rFonts w:hint="default"/>
      </w:rPr>
    </w:lvl>
    <w:lvl w:ilvl="4" w:tplc="359AD53A">
      <w:numFmt w:val="bullet"/>
      <w:lvlText w:val="•"/>
      <w:lvlJc w:val="left"/>
      <w:pPr>
        <w:ind w:hanging="240" w:left="5128"/>
      </w:pPr>
      <w:rPr>
        <w:rFonts w:hint="default"/>
      </w:rPr>
    </w:lvl>
    <w:lvl w:ilvl="5" w:tplc="96FE3888">
      <w:numFmt w:val="bullet"/>
      <w:lvlText w:val="•"/>
      <w:lvlJc w:val="left"/>
      <w:pPr>
        <w:ind w:hanging="240" w:left="5930"/>
      </w:pPr>
      <w:rPr>
        <w:rFonts w:hint="default"/>
      </w:rPr>
    </w:lvl>
    <w:lvl w:ilvl="6" w:tplc="40AEAAF2">
      <w:numFmt w:val="bullet"/>
      <w:lvlText w:val="•"/>
      <w:lvlJc w:val="left"/>
      <w:pPr>
        <w:ind w:hanging="240" w:left="6732"/>
      </w:pPr>
      <w:rPr>
        <w:rFonts w:hint="default"/>
      </w:rPr>
    </w:lvl>
    <w:lvl w:ilvl="7" w:tplc="9376846A">
      <w:numFmt w:val="bullet"/>
      <w:lvlText w:val="•"/>
      <w:lvlJc w:val="left"/>
      <w:pPr>
        <w:ind w:hanging="240" w:left="7534"/>
      </w:pPr>
      <w:rPr>
        <w:rFonts w:hint="default"/>
      </w:rPr>
    </w:lvl>
    <w:lvl w:ilvl="8" w:tplc="7832A2AE">
      <w:numFmt w:val="bullet"/>
      <w:lvlText w:val="•"/>
      <w:lvlJc w:val="left"/>
      <w:pPr>
        <w:ind w:hanging="240" w:left="8336"/>
      </w:pPr>
      <w:rPr>
        <w:rFonts w:hint="default"/>
      </w:rPr>
    </w:lvl>
  </w:abstractNum>
  <w:abstractNum w15:restartNumberingAfterBreak="0" w:abstractNumId="5">
    <w:nsid w:val="27C57A4E"/>
    <w:multiLevelType w:val="hybridMultilevel"/>
    <w:tmpl w:val="CA280CE0"/>
    <w:lvl w:ilvl="0" w:tplc="5442CA4A">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058E9C00">
      <w:numFmt w:val="bullet"/>
      <w:lvlText w:val="•"/>
      <w:lvlJc w:val="left"/>
      <w:pPr>
        <w:ind w:hanging="240" w:left="1336"/>
      </w:pPr>
      <w:rPr>
        <w:rFonts w:hint="default"/>
      </w:rPr>
    </w:lvl>
    <w:lvl w:ilvl="2" w:tplc="54C0D304">
      <w:numFmt w:val="bullet"/>
      <w:lvlText w:val="•"/>
      <w:lvlJc w:val="left"/>
      <w:pPr>
        <w:ind w:hanging="240" w:left="2292"/>
      </w:pPr>
      <w:rPr>
        <w:rFonts w:hint="default"/>
      </w:rPr>
    </w:lvl>
    <w:lvl w:ilvl="3" w:tplc="C164C8F4">
      <w:numFmt w:val="bullet"/>
      <w:lvlText w:val="•"/>
      <w:lvlJc w:val="left"/>
      <w:pPr>
        <w:ind w:hanging="240" w:left="3248"/>
      </w:pPr>
      <w:rPr>
        <w:rFonts w:hint="default"/>
      </w:rPr>
    </w:lvl>
    <w:lvl w:ilvl="4" w:tplc="E72C3952">
      <w:numFmt w:val="bullet"/>
      <w:lvlText w:val="•"/>
      <w:lvlJc w:val="left"/>
      <w:pPr>
        <w:ind w:hanging="240" w:left="4204"/>
      </w:pPr>
      <w:rPr>
        <w:rFonts w:hint="default"/>
      </w:rPr>
    </w:lvl>
    <w:lvl w:ilvl="5" w:tplc="48DCA6B0">
      <w:numFmt w:val="bullet"/>
      <w:lvlText w:val="•"/>
      <w:lvlJc w:val="left"/>
      <w:pPr>
        <w:ind w:hanging="240" w:left="5160"/>
      </w:pPr>
      <w:rPr>
        <w:rFonts w:hint="default"/>
      </w:rPr>
    </w:lvl>
    <w:lvl w:ilvl="6" w:tplc="163A1B6C">
      <w:numFmt w:val="bullet"/>
      <w:lvlText w:val="•"/>
      <w:lvlJc w:val="left"/>
      <w:pPr>
        <w:ind w:hanging="240" w:left="6116"/>
      </w:pPr>
      <w:rPr>
        <w:rFonts w:hint="default"/>
      </w:rPr>
    </w:lvl>
    <w:lvl w:ilvl="7" w:tplc="756E69AE">
      <w:numFmt w:val="bullet"/>
      <w:lvlText w:val="•"/>
      <w:lvlJc w:val="left"/>
      <w:pPr>
        <w:ind w:hanging="240" w:left="7072"/>
      </w:pPr>
      <w:rPr>
        <w:rFonts w:hint="default"/>
      </w:rPr>
    </w:lvl>
    <w:lvl w:ilvl="8" w:tplc="D908A9B4">
      <w:numFmt w:val="bullet"/>
      <w:lvlText w:val="•"/>
      <w:lvlJc w:val="left"/>
      <w:pPr>
        <w:ind w:hanging="240" w:left="8028"/>
      </w:pPr>
      <w:rPr>
        <w:rFonts w:hint="default"/>
      </w:rPr>
    </w:lvl>
  </w:abstractNum>
  <w:abstractNum w15:restartNumberingAfterBreak="0" w:abstractNumId="6">
    <w:nsid w:val="27E6655F"/>
    <w:multiLevelType w:val="hybridMultilevel"/>
    <w:tmpl w:val="5930EB48"/>
    <w:lvl w:ilvl="0" w:tplc="ED989EF0">
      <w:start w:val="1"/>
      <w:numFmt w:val="decimal"/>
      <w:lvlText w:val="%1."/>
      <w:lvlJc w:val="left"/>
      <w:pPr>
        <w:ind w:hanging="240" w:left="1340"/>
        <w:jc w:val="left"/>
      </w:pPr>
      <w:rPr>
        <w:rFonts w:ascii="Times New Roman" w:cs="Times New Roman" w:eastAsia="Times New Roman" w:hAnsi="Times New Roman" w:hint="default"/>
        <w:w w:val="100"/>
        <w:sz w:val="24"/>
        <w:szCs w:val="24"/>
      </w:rPr>
    </w:lvl>
    <w:lvl w:ilvl="1" w:tplc="F3ACB3F4">
      <w:numFmt w:val="bullet"/>
      <w:lvlText w:val="•"/>
      <w:lvlJc w:val="left"/>
      <w:pPr>
        <w:ind w:hanging="240" w:left="2200"/>
      </w:pPr>
      <w:rPr>
        <w:rFonts w:hint="default"/>
      </w:rPr>
    </w:lvl>
    <w:lvl w:ilvl="2" w:tplc="3F587E2C">
      <w:numFmt w:val="bullet"/>
      <w:lvlText w:val="•"/>
      <w:lvlJc w:val="left"/>
      <w:pPr>
        <w:ind w:hanging="240" w:left="3060"/>
      </w:pPr>
      <w:rPr>
        <w:rFonts w:hint="default"/>
      </w:rPr>
    </w:lvl>
    <w:lvl w:ilvl="3" w:tplc="F1B40C68">
      <w:numFmt w:val="bullet"/>
      <w:lvlText w:val="•"/>
      <w:lvlJc w:val="left"/>
      <w:pPr>
        <w:ind w:hanging="240" w:left="3920"/>
      </w:pPr>
      <w:rPr>
        <w:rFonts w:hint="default"/>
      </w:rPr>
    </w:lvl>
    <w:lvl w:ilvl="4" w:tplc="4B6CC954">
      <w:numFmt w:val="bullet"/>
      <w:lvlText w:val="•"/>
      <w:lvlJc w:val="left"/>
      <w:pPr>
        <w:ind w:hanging="240" w:left="4780"/>
      </w:pPr>
      <w:rPr>
        <w:rFonts w:hint="default"/>
      </w:rPr>
    </w:lvl>
    <w:lvl w:ilvl="5" w:tplc="2FD2EA1C">
      <w:numFmt w:val="bullet"/>
      <w:lvlText w:val="•"/>
      <w:lvlJc w:val="left"/>
      <w:pPr>
        <w:ind w:hanging="240" w:left="5640"/>
      </w:pPr>
      <w:rPr>
        <w:rFonts w:hint="default"/>
      </w:rPr>
    </w:lvl>
    <w:lvl w:ilvl="6" w:tplc="D54EC946">
      <w:numFmt w:val="bullet"/>
      <w:lvlText w:val="•"/>
      <w:lvlJc w:val="left"/>
      <w:pPr>
        <w:ind w:hanging="240" w:left="6500"/>
      </w:pPr>
      <w:rPr>
        <w:rFonts w:hint="default"/>
      </w:rPr>
    </w:lvl>
    <w:lvl w:ilvl="7" w:tplc="099619E8">
      <w:numFmt w:val="bullet"/>
      <w:lvlText w:val="•"/>
      <w:lvlJc w:val="left"/>
      <w:pPr>
        <w:ind w:hanging="240" w:left="7360"/>
      </w:pPr>
      <w:rPr>
        <w:rFonts w:hint="default"/>
      </w:rPr>
    </w:lvl>
    <w:lvl w:ilvl="8" w:tplc="203AB1F4">
      <w:numFmt w:val="bullet"/>
      <w:lvlText w:val="•"/>
      <w:lvlJc w:val="left"/>
      <w:pPr>
        <w:ind w:hanging="240" w:left="8220"/>
      </w:pPr>
      <w:rPr>
        <w:rFonts w:hint="default"/>
      </w:rPr>
    </w:lvl>
  </w:abstractNum>
  <w:abstractNum w15:restartNumberingAfterBreak="0" w:abstractNumId="7">
    <w:nsid w:val="290C7095"/>
    <w:multiLevelType w:val="hybridMultilevel"/>
    <w:tmpl w:val="9A02C806"/>
    <w:lvl w:ilvl="0" w:tplc="0E5421C0">
      <w:numFmt w:val="bullet"/>
      <w:lvlText w:val="•"/>
      <w:lvlJc w:val="left"/>
      <w:pPr>
        <w:ind w:hanging="145" w:left="1100"/>
      </w:pPr>
      <w:rPr>
        <w:rFonts w:ascii="Times New Roman" w:cs="Times New Roman" w:eastAsia="Times New Roman" w:hAnsi="Times New Roman" w:hint="default"/>
        <w:w w:val="100"/>
        <w:sz w:val="24"/>
        <w:szCs w:val="24"/>
      </w:rPr>
    </w:lvl>
    <w:lvl w:ilvl="1" w:tplc="38D4ABC2">
      <w:numFmt w:val="bullet"/>
      <w:lvlText w:val="o"/>
      <w:lvlJc w:val="left"/>
      <w:pPr>
        <w:ind w:hanging="180" w:left="1820"/>
      </w:pPr>
      <w:rPr>
        <w:rFonts w:ascii="Times New Roman" w:cs="Times New Roman" w:eastAsia="Times New Roman" w:hAnsi="Times New Roman" w:hint="default"/>
        <w:w w:val="100"/>
        <w:sz w:val="24"/>
        <w:szCs w:val="24"/>
      </w:rPr>
    </w:lvl>
    <w:lvl w:ilvl="2" w:tplc="A656DEE0">
      <w:numFmt w:val="bullet"/>
      <w:lvlText w:val="•"/>
      <w:lvlJc w:val="left"/>
      <w:pPr>
        <w:ind w:hanging="180" w:left="2722"/>
      </w:pPr>
      <w:rPr>
        <w:rFonts w:hint="default"/>
      </w:rPr>
    </w:lvl>
    <w:lvl w:ilvl="3" w:tplc="C40C9186">
      <w:numFmt w:val="bullet"/>
      <w:lvlText w:val="•"/>
      <w:lvlJc w:val="left"/>
      <w:pPr>
        <w:ind w:hanging="180" w:left="3624"/>
      </w:pPr>
      <w:rPr>
        <w:rFonts w:hint="default"/>
      </w:rPr>
    </w:lvl>
    <w:lvl w:ilvl="4" w:tplc="2C5AC058">
      <w:numFmt w:val="bullet"/>
      <w:lvlText w:val="•"/>
      <w:lvlJc w:val="left"/>
      <w:pPr>
        <w:ind w:hanging="180" w:left="4526"/>
      </w:pPr>
      <w:rPr>
        <w:rFonts w:hint="default"/>
      </w:rPr>
    </w:lvl>
    <w:lvl w:ilvl="5" w:tplc="A26457AA">
      <w:numFmt w:val="bullet"/>
      <w:lvlText w:val="•"/>
      <w:lvlJc w:val="left"/>
      <w:pPr>
        <w:ind w:hanging="180" w:left="5428"/>
      </w:pPr>
      <w:rPr>
        <w:rFonts w:hint="default"/>
      </w:rPr>
    </w:lvl>
    <w:lvl w:ilvl="6" w:tplc="73AAB8D4">
      <w:numFmt w:val="bullet"/>
      <w:lvlText w:val="•"/>
      <w:lvlJc w:val="left"/>
      <w:pPr>
        <w:ind w:hanging="180" w:left="6331"/>
      </w:pPr>
      <w:rPr>
        <w:rFonts w:hint="default"/>
      </w:rPr>
    </w:lvl>
    <w:lvl w:ilvl="7" w:tplc="3D00B95A">
      <w:numFmt w:val="bullet"/>
      <w:lvlText w:val="•"/>
      <w:lvlJc w:val="left"/>
      <w:pPr>
        <w:ind w:hanging="180" w:left="7233"/>
      </w:pPr>
      <w:rPr>
        <w:rFonts w:hint="default"/>
      </w:rPr>
    </w:lvl>
    <w:lvl w:ilvl="8" w:tplc="37D0B230">
      <w:numFmt w:val="bullet"/>
      <w:lvlText w:val="•"/>
      <w:lvlJc w:val="left"/>
      <w:pPr>
        <w:ind w:hanging="180" w:left="8135"/>
      </w:pPr>
      <w:rPr>
        <w:rFonts w:hint="default"/>
      </w:rPr>
    </w:lvl>
  </w:abstractNum>
  <w:abstractNum w15:restartNumberingAfterBreak="0" w:abstractNumId="8">
    <w:nsid w:val="2DAC4F25"/>
    <w:multiLevelType w:val="hybridMultilevel"/>
    <w:tmpl w:val="05DADA5E"/>
    <w:lvl w:ilvl="0" w:tplc="E4344D00">
      <w:numFmt w:val="bullet"/>
      <w:lvlText w:val="–"/>
      <w:lvlJc w:val="left"/>
      <w:pPr>
        <w:ind w:hanging="180" w:left="380"/>
      </w:pPr>
      <w:rPr>
        <w:rFonts w:ascii="Times New Roman" w:cs="Times New Roman" w:eastAsia="Times New Roman" w:hAnsi="Times New Roman" w:hint="default"/>
        <w:w w:val="100"/>
        <w:sz w:val="24"/>
        <w:szCs w:val="24"/>
      </w:rPr>
    </w:lvl>
    <w:lvl w:ilvl="1" w:tplc="69BA635A">
      <w:numFmt w:val="bullet"/>
      <w:lvlText w:val="•"/>
      <w:lvlJc w:val="left"/>
      <w:pPr>
        <w:ind w:hanging="145" w:left="1100"/>
      </w:pPr>
      <w:rPr>
        <w:rFonts w:ascii="Times New Roman" w:cs="Times New Roman" w:eastAsia="Times New Roman" w:hAnsi="Times New Roman" w:hint="default"/>
        <w:w w:val="100"/>
        <w:sz w:val="24"/>
        <w:szCs w:val="24"/>
      </w:rPr>
    </w:lvl>
    <w:lvl w:ilvl="2" w:tplc="D632F716">
      <w:numFmt w:val="bullet"/>
      <w:lvlText w:val="•"/>
      <w:lvlJc w:val="left"/>
      <w:pPr>
        <w:ind w:hanging="145" w:left="1100"/>
      </w:pPr>
      <w:rPr>
        <w:rFonts w:ascii="Times New Roman" w:cs="Times New Roman" w:eastAsia="Times New Roman" w:hAnsi="Times New Roman" w:hint="default"/>
        <w:w w:val="100"/>
        <w:sz w:val="24"/>
        <w:szCs w:val="24"/>
      </w:rPr>
    </w:lvl>
    <w:lvl w:ilvl="3" w:tplc="A0542E92">
      <w:numFmt w:val="bullet"/>
      <w:lvlText w:val="•"/>
      <w:lvlJc w:val="left"/>
      <w:pPr>
        <w:ind w:hanging="145" w:left="3064"/>
      </w:pPr>
      <w:rPr>
        <w:rFonts w:hint="default"/>
      </w:rPr>
    </w:lvl>
    <w:lvl w:ilvl="4" w:tplc="F65490F0">
      <w:numFmt w:val="bullet"/>
      <w:lvlText w:val="•"/>
      <w:lvlJc w:val="left"/>
      <w:pPr>
        <w:ind w:hanging="145" w:left="4046"/>
      </w:pPr>
      <w:rPr>
        <w:rFonts w:hint="default"/>
      </w:rPr>
    </w:lvl>
    <w:lvl w:ilvl="5" w:tplc="C924DD40">
      <w:numFmt w:val="bullet"/>
      <w:lvlText w:val="•"/>
      <w:lvlJc w:val="left"/>
      <w:pPr>
        <w:ind w:hanging="145" w:left="5028"/>
      </w:pPr>
      <w:rPr>
        <w:rFonts w:hint="default"/>
      </w:rPr>
    </w:lvl>
    <w:lvl w:ilvl="6" w:tplc="7A1E37F4">
      <w:numFmt w:val="bullet"/>
      <w:lvlText w:val="•"/>
      <w:lvlJc w:val="left"/>
      <w:pPr>
        <w:ind w:hanging="145" w:left="6011"/>
      </w:pPr>
      <w:rPr>
        <w:rFonts w:hint="default"/>
      </w:rPr>
    </w:lvl>
    <w:lvl w:ilvl="7" w:tplc="126C25E6">
      <w:numFmt w:val="bullet"/>
      <w:lvlText w:val="•"/>
      <w:lvlJc w:val="left"/>
      <w:pPr>
        <w:ind w:hanging="145" w:left="6993"/>
      </w:pPr>
      <w:rPr>
        <w:rFonts w:hint="default"/>
      </w:rPr>
    </w:lvl>
    <w:lvl w:ilvl="8" w:tplc="510A661A">
      <w:numFmt w:val="bullet"/>
      <w:lvlText w:val="•"/>
      <w:lvlJc w:val="left"/>
      <w:pPr>
        <w:ind w:hanging="145" w:left="7975"/>
      </w:pPr>
      <w:rPr>
        <w:rFonts w:hint="default"/>
      </w:rPr>
    </w:lvl>
  </w:abstractNum>
  <w:abstractNum w15:restartNumberingAfterBreak="0" w:abstractNumId="9">
    <w:nsid w:val="2EBC18B3"/>
    <w:multiLevelType w:val="hybridMultilevel"/>
    <w:tmpl w:val="749870A4"/>
    <w:lvl w:ilvl="0" w:tplc="9C54DC90">
      <w:start w:val="2"/>
      <w:numFmt w:val="upperRoman"/>
      <w:lvlText w:val="%1."/>
      <w:lvlJc w:val="left"/>
      <w:pPr>
        <w:ind w:hanging="307" w:left="1406"/>
        <w:jc w:val="left"/>
      </w:pPr>
      <w:rPr>
        <w:rFonts w:ascii="Times New Roman" w:cs="Times New Roman" w:eastAsia="Times New Roman" w:hAnsi="Times New Roman" w:hint="default"/>
        <w:b/>
        <w:bCs/>
        <w:w w:val="100"/>
        <w:sz w:val="24"/>
        <w:szCs w:val="24"/>
      </w:rPr>
    </w:lvl>
    <w:lvl w:ilvl="1" w:tplc="38DA4E0C">
      <w:numFmt w:val="bullet"/>
      <w:lvlText w:val="•"/>
      <w:lvlJc w:val="left"/>
      <w:pPr>
        <w:ind w:hanging="307" w:left="2254"/>
      </w:pPr>
      <w:rPr>
        <w:rFonts w:hint="default"/>
      </w:rPr>
    </w:lvl>
    <w:lvl w:ilvl="2" w:tplc="9614FEC8">
      <w:numFmt w:val="bullet"/>
      <w:lvlText w:val="•"/>
      <w:lvlJc w:val="left"/>
      <w:pPr>
        <w:ind w:hanging="307" w:left="3108"/>
      </w:pPr>
      <w:rPr>
        <w:rFonts w:hint="default"/>
      </w:rPr>
    </w:lvl>
    <w:lvl w:ilvl="3" w:tplc="F0BE5556">
      <w:numFmt w:val="bullet"/>
      <w:lvlText w:val="•"/>
      <w:lvlJc w:val="left"/>
      <w:pPr>
        <w:ind w:hanging="307" w:left="3962"/>
      </w:pPr>
      <w:rPr>
        <w:rFonts w:hint="default"/>
      </w:rPr>
    </w:lvl>
    <w:lvl w:ilvl="4" w:tplc="3668A1A4">
      <w:numFmt w:val="bullet"/>
      <w:lvlText w:val="•"/>
      <w:lvlJc w:val="left"/>
      <w:pPr>
        <w:ind w:hanging="307" w:left="4816"/>
      </w:pPr>
      <w:rPr>
        <w:rFonts w:hint="default"/>
      </w:rPr>
    </w:lvl>
    <w:lvl w:ilvl="5" w:tplc="8C38D5F2">
      <w:numFmt w:val="bullet"/>
      <w:lvlText w:val="•"/>
      <w:lvlJc w:val="left"/>
      <w:pPr>
        <w:ind w:hanging="307" w:left="5670"/>
      </w:pPr>
      <w:rPr>
        <w:rFonts w:hint="default"/>
      </w:rPr>
    </w:lvl>
    <w:lvl w:ilvl="6" w:tplc="31B8BA0C">
      <w:numFmt w:val="bullet"/>
      <w:lvlText w:val="•"/>
      <w:lvlJc w:val="left"/>
      <w:pPr>
        <w:ind w:hanging="307" w:left="6524"/>
      </w:pPr>
      <w:rPr>
        <w:rFonts w:hint="default"/>
      </w:rPr>
    </w:lvl>
    <w:lvl w:ilvl="7" w:tplc="F0E4140C">
      <w:numFmt w:val="bullet"/>
      <w:lvlText w:val="•"/>
      <w:lvlJc w:val="left"/>
      <w:pPr>
        <w:ind w:hanging="307" w:left="7378"/>
      </w:pPr>
      <w:rPr>
        <w:rFonts w:hint="default"/>
      </w:rPr>
    </w:lvl>
    <w:lvl w:ilvl="8" w:tplc="96107570">
      <w:numFmt w:val="bullet"/>
      <w:lvlText w:val="•"/>
      <w:lvlJc w:val="left"/>
      <w:pPr>
        <w:ind w:hanging="307" w:left="8232"/>
      </w:pPr>
      <w:rPr>
        <w:rFonts w:hint="default"/>
      </w:rPr>
    </w:lvl>
  </w:abstractNum>
  <w:abstractNum w15:restartNumberingAfterBreak="0" w:abstractNumId="10">
    <w:nsid w:val="32BC1380"/>
    <w:multiLevelType w:val="hybridMultilevel"/>
    <w:tmpl w:val="ABBCE5A6"/>
    <w:lvl w:ilvl="0" w:tplc="AB16E606">
      <w:numFmt w:val="bullet"/>
      <w:lvlText w:val="•"/>
      <w:lvlJc w:val="left"/>
      <w:pPr>
        <w:ind w:hanging="145" w:left="380"/>
      </w:pPr>
      <w:rPr>
        <w:rFonts w:ascii="Times New Roman" w:cs="Times New Roman" w:eastAsia="Times New Roman" w:hAnsi="Times New Roman" w:hint="default"/>
        <w:w w:val="100"/>
        <w:sz w:val="24"/>
        <w:szCs w:val="24"/>
      </w:rPr>
    </w:lvl>
    <w:lvl w:ilvl="1" w:tplc="07627570">
      <w:numFmt w:val="bullet"/>
      <w:lvlText w:val="•"/>
      <w:lvlJc w:val="left"/>
      <w:pPr>
        <w:ind w:hanging="145" w:left="1820"/>
      </w:pPr>
      <w:rPr>
        <w:rFonts w:ascii="Times New Roman" w:cs="Times New Roman" w:eastAsia="Times New Roman" w:hAnsi="Times New Roman" w:hint="default"/>
        <w:w w:val="100"/>
        <w:sz w:val="24"/>
        <w:szCs w:val="24"/>
      </w:rPr>
    </w:lvl>
    <w:lvl w:ilvl="2" w:tplc="EEB08BC2">
      <w:numFmt w:val="bullet"/>
      <w:lvlText w:val="•"/>
      <w:lvlJc w:val="left"/>
      <w:pPr>
        <w:ind w:hanging="145" w:left="2722"/>
      </w:pPr>
      <w:rPr>
        <w:rFonts w:hint="default"/>
      </w:rPr>
    </w:lvl>
    <w:lvl w:ilvl="3" w:tplc="3000EE6A">
      <w:numFmt w:val="bullet"/>
      <w:lvlText w:val="•"/>
      <w:lvlJc w:val="left"/>
      <w:pPr>
        <w:ind w:hanging="145" w:left="3624"/>
      </w:pPr>
      <w:rPr>
        <w:rFonts w:hint="default"/>
      </w:rPr>
    </w:lvl>
    <w:lvl w:ilvl="4" w:tplc="E1AAD11A">
      <w:numFmt w:val="bullet"/>
      <w:lvlText w:val="•"/>
      <w:lvlJc w:val="left"/>
      <w:pPr>
        <w:ind w:hanging="145" w:left="4526"/>
      </w:pPr>
      <w:rPr>
        <w:rFonts w:hint="default"/>
      </w:rPr>
    </w:lvl>
    <w:lvl w:ilvl="5" w:tplc="92C64C84">
      <w:numFmt w:val="bullet"/>
      <w:lvlText w:val="•"/>
      <w:lvlJc w:val="left"/>
      <w:pPr>
        <w:ind w:hanging="145" w:left="5428"/>
      </w:pPr>
      <w:rPr>
        <w:rFonts w:hint="default"/>
      </w:rPr>
    </w:lvl>
    <w:lvl w:ilvl="6" w:tplc="DFA6701A">
      <w:numFmt w:val="bullet"/>
      <w:lvlText w:val="•"/>
      <w:lvlJc w:val="left"/>
      <w:pPr>
        <w:ind w:hanging="145" w:left="6331"/>
      </w:pPr>
      <w:rPr>
        <w:rFonts w:hint="default"/>
      </w:rPr>
    </w:lvl>
    <w:lvl w:ilvl="7" w:tplc="04CC7BE0">
      <w:numFmt w:val="bullet"/>
      <w:lvlText w:val="•"/>
      <w:lvlJc w:val="left"/>
      <w:pPr>
        <w:ind w:hanging="145" w:left="7233"/>
      </w:pPr>
      <w:rPr>
        <w:rFonts w:hint="default"/>
      </w:rPr>
    </w:lvl>
    <w:lvl w:ilvl="8" w:tplc="C9DC9118">
      <w:numFmt w:val="bullet"/>
      <w:lvlText w:val="•"/>
      <w:lvlJc w:val="left"/>
      <w:pPr>
        <w:ind w:hanging="145" w:left="8135"/>
      </w:pPr>
      <w:rPr>
        <w:rFonts w:hint="default"/>
      </w:rPr>
    </w:lvl>
  </w:abstractNum>
  <w:abstractNum w15:restartNumberingAfterBreak="0" w:abstractNumId="11">
    <w:nsid w:val="3B1847E9"/>
    <w:multiLevelType w:val="hybridMultilevel"/>
    <w:tmpl w:val="EEC21D3E"/>
    <w:lvl w:ilvl="0" w:tplc="191A4410">
      <w:numFmt w:val="bullet"/>
      <w:lvlText w:val="•"/>
      <w:lvlJc w:val="left"/>
      <w:pPr>
        <w:ind w:hanging="125" w:left="380"/>
      </w:pPr>
      <w:rPr>
        <w:rFonts w:ascii="Times New Roman" w:cs="Times New Roman" w:eastAsia="Times New Roman" w:hAnsi="Times New Roman" w:hint="default"/>
        <w:w w:val="100"/>
        <w:sz w:val="24"/>
        <w:szCs w:val="24"/>
      </w:rPr>
    </w:lvl>
    <w:lvl w:ilvl="1" w:tplc="9ADEBAA4">
      <w:numFmt w:val="bullet"/>
      <w:lvlText w:val="•"/>
      <w:lvlJc w:val="left"/>
      <w:pPr>
        <w:ind w:hanging="125" w:left="1336"/>
      </w:pPr>
      <w:rPr>
        <w:rFonts w:hint="default"/>
      </w:rPr>
    </w:lvl>
    <w:lvl w:ilvl="2" w:tplc="C7F6C83A">
      <w:numFmt w:val="bullet"/>
      <w:lvlText w:val="•"/>
      <w:lvlJc w:val="left"/>
      <w:pPr>
        <w:ind w:hanging="125" w:left="2292"/>
      </w:pPr>
      <w:rPr>
        <w:rFonts w:hint="default"/>
      </w:rPr>
    </w:lvl>
    <w:lvl w:ilvl="3" w:tplc="FD88F040">
      <w:numFmt w:val="bullet"/>
      <w:lvlText w:val="•"/>
      <w:lvlJc w:val="left"/>
      <w:pPr>
        <w:ind w:hanging="125" w:left="3248"/>
      </w:pPr>
      <w:rPr>
        <w:rFonts w:hint="default"/>
      </w:rPr>
    </w:lvl>
    <w:lvl w:ilvl="4" w:tplc="45682636">
      <w:numFmt w:val="bullet"/>
      <w:lvlText w:val="•"/>
      <w:lvlJc w:val="left"/>
      <w:pPr>
        <w:ind w:hanging="125" w:left="4204"/>
      </w:pPr>
      <w:rPr>
        <w:rFonts w:hint="default"/>
      </w:rPr>
    </w:lvl>
    <w:lvl w:ilvl="5" w:tplc="70C6DF50">
      <w:numFmt w:val="bullet"/>
      <w:lvlText w:val="•"/>
      <w:lvlJc w:val="left"/>
      <w:pPr>
        <w:ind w:hanging="125" w:left="5160"/>
      </w:pPr>
      <w:rPr>
        <w:rFonts w:hint="default"/>
      </w:rPr>
    </w:lvl>
    <w:lvl w:ilvl="6" w:tplc="89A649CE">
      <w:numFmt w:val="bullet"/>
      <w:lvlText w:val="•"/>
      <w:lvlJc w:val="left"/>
      <w:pPr>
        <w:ind w:hanging="125" w:left="6116"/>
      </w:pPr>
      <w:rPr>
        <w:rFonts w:hint="default"/>
      </w:rPr>
    </w:lvl>
    <w:lvl w:ilvl="7" w:tplc="E80E227A">
      <w:numFmt w:val="bullet"/>
      <w:lvlText w:val="•"/>
      <w:lvlJc w:val="left"/>
      <w:pPr>
        <w:ind w:hanging="125" w:left="7072"/>
      </w:pPr>
      <w:rPr>
        <w:rFonts w:hint="default"/>
      </w:rPr>
    </w:lvl>
    <w:lvl w:ilvl="8" w:tplc="1BB8EAB2">
      <w:numFmt w:val="bullet"/>
      <w:lvlText w:val="•"/>
      <w:lvlJc w:val="left"/>
      <w:pPr>
        <w:ind w:hanging="125" w:left="8028"/>
      </w:pPr>
      <w:rPr>
        <w:rFonts w:hint="default"/>
      </w:rPr>
    </w:lvl>
  </w:abstractNum>
  <w:abstractNum w15:restartNumberingAfterBreak="0" w:abstractNumId="12">
    <w:nsid w:val="3DE9534E"/>
    <w:multiLevelType w:val="hybridMultilevel"/>
    <w:tmpl w:val="2F8209A4"/>
    <w:lvl w:ilvl="0" w:tplc="4C9EC788">
      <w:start w:val="2"/>
      <w:numFmt w:val="lowerLetter"/>
      <w:lvlText w:val="%1)"/>
      <w:lvlJc w:val="left"/>
      <w:pPr>
        <w:ind w:hanging="139" w:left="368"/>
        <w:jc w:val="left"/>
      </w:pPr>
      <w:rPr>
        <w:rFonts w:ascii="Arial" w:cs="Arial" w:eastAsia="Arial" w:hAnsi="Arial" w:hint="default"/>
        <w:color w:val="FFFFFF"/>
        <w:spacing w:val="-1"/>
        <w:w w:val="95"/>
        <w:sz w:val="12"/>
        <w:szCs w:val="12"/>
      </w:rPr>
    </w:lvl>
    <w:lvl w:ilvl="1" w:tplc="6320225C">
      <w:numFmt w:val="bullet"/>
      <w:lvlText w:val="•"/>
      <w:lvlJc w:val="left"/>
      <w:pPr>
        <w:ind w:hanging="139" w:left="907"/>
      </w:pPr>
      <w:rPr>
        <w:rFonts w:hint="default"/>
      </w:rPr>
    </w:lvl>
    <w:lvl w:ilvl="2" w:tplc="9252C3E4">
      <w:numFmt w:val="bullet"/>
      <w:lvlText w:val="•"/>
      <w:lvlJc w:val="left"/>
      <w:pPr>
        <w:ind w:hanging="139" w:left="1454"/>
      </w:pPr>
      <w:rPr>
        <w:rFonts w:hint="default"/>
      </w:rPr>
    </w:lvl>
    <w:lvl w:ilvl="3" w:tplc="93C4366E">
      <w:numFmt w:val="bullet"/>
      <w:lvlText w:val="•"/>
      <w:lvlJc w:val="left"/>
      <w:pPr>
        <w:ind w:hanging="139" w:left="2002"/>
      </w:pPr>
      <w:rPr>
        <w:rFonts w:hint="default"/>
      </w:rPr>
    </w:lvl>
    <w:lvl w:ilvl="4" w:tplc="91AC1B42">
      <w:numFmt w:val="bullet"/>
      <w:lvlText w:val="•"/>
      <w:lvlJc w:val="left"/>
      <w:pPr>
        <w:ind w:hanging="139" w:left="2549"/>
      </w:pPr>
      <w:rPr>
        <w:rFonts w:hint="default"/>
      </w:rPr>
    </w:lvl>
    <w:lvl w:ilvl="5" w:tplc="112079EA">
      <w:numFmt w:val="bullet"/>
      <w:lvlText w:val="•"/>
      <w:lvlJc w:val="left"/>
      <w:pPr>
        <w:ind w:hanging="139" w:left="3096"/>
      </w:pPr>
      <w:rPr>
        <w:rFonts w:hint="default"/>
      </w:rPr>
    </w:lvl>
    <w:lvl w:ilvl="6" w:tplc="69B6E30A">
      <w:numFmt w:val="bullet"/>
      <w:lvlText w:val="•"/>
      <w:lvlJc w:val="left"/>
      <w:pPr>
        <w:ind w:hanging="139" w:left="3644"/>
      </w:pPr>
      <w:rPr>
        <w:rFonts w:hint="default"/>
      </w:rPr>
    </w:lvl>
    <w:lvl w:ilvl="7" w:tplc="9606D290">
      <w:numFmt w:val="bullet"/>
      <w:lvlText w:val="•"/>
      <w:lvlJc w:val="left"/>
      <w:pPr>
        <w:ind w:hanging="139" w:left="4191"/>
      </w:pPr>
      <w:rPr>
        <w:rFonts w:hint="default"/>
      </w:rPr>
    </w:lvl>
    <w:lvl w:ilvl="8" w:tplc="99641812">
      <w:numFmt w:val="bullet"/>
      <w:lvlText w:val="•"/>
      <w:lvlJc w:val="left"/>
      <w:pPr>
        <w:ind w:hanging="139" w:left="4738"/>
      </w:pPr>
      <w:rPr>
        <w:rFonts w:hint="default"/>
      </w:rPr>
    </w:lvl>
  </w:abstractNum>
  <w:abstractNum w15:restartNumberingAfterBreak="0" w:abstractNumId="13">
    <w:nsid w:val="3ECE26D1"/>
    <w:multiLevelType w:val="hybridMultilevel"/>
    <w:tmpl w:val="B0BA6734"/>
    <w:lvl w:ilvl="0" w:tplc="9C668716">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D25A4AE2">
      <w:numFmt w:val="bullet"/>
      <w:lvlText w:val="•"/>
      <w:lvlJc w:val="left"/>
      <w:pPr>
        <w:ind w:hanging="240" w:left="1336"/>
      </w:pPr>
      <w:rPr>
        <w:rFonts w:hint="default"/>
      </w:rPr>
    </w:lvl>
    <w:lvl w:ilvl="2" w:tplc="589CBAF4">
      <w:numFmt w:val="bullet"/>
      <w:lvlText w:val="•"/>
      <w:lvlJc w:val="left"/>
      <w:pPr>
        <w:ind w:hanging="240" w:left="2292"/>
      </w:pPr>
      <w:rPr>
        <w:rFonts w:hint="default"/>
      </w:rPr>
    </w:lvl>
    <w:lvl w:ilvl="3" w:tplc="ADA8AB4C">
      <w:numFmt w:val="bullet"/>
      <w:lvlText w:val="•"/>
      <w:lvlJc w:val="left"/>
      <w:pPr>
        <w:ind w:hanging="240" w:left="3248"/>
      </w:pPr>
      <w:rPr>
        <w:rFonts w:hint="default"/>
      </w:rPr>
    </w:lvl>
    <w:lvl w:ilvl="4" w:tplc="107A7108">
      <w:numFmt w:val="bullet"/>
      <w:lvlText w:val="•"/>
      <w:lvlJc w:val="left"/>
      <w:pPr>
        <w:ind w:hanging="240" w:left="4204"/>
      </w:pPr>
      <w:rPr>
        <w:rFonts w:hint="default"/>
      </w:rPr>
    </w:lvl>
    <w:lvl w:ilvl="5" w:tplc="A62C7202">
      <w:numFmt w:val="bullet"/>
      <w:lvlText w:val="•"/>
      <w:lvlJc w:val="left"/>
      <w:pPr>
        <w:ind w:hanging="240" w:left="5160"/>
      </w:pPr>
      <w:rPr>
        <w:rFonts w:hint="default"/>
      </w:rPr>
    </w:lvl>
    <w:lvl w:ilvl="6" w:tplc="5016AF82">
      <w:numFmt w:val="bullet"/>
      <w:lvlText w:val="•"/>
      <w:lvlJc w:val="left"/>
      <w:pPr>
        <w:ind w:hanging="240" w:left="6116"/>
      </w:pPr>
      <w:rPr>
        <w:rFonts w:hint="default"/>
      </w:rPr>
    </w:lvl>
    <w:lvl w:ilvl="7" w:tplc="A87C3212">
      <w:numFmt w:val="bullet"/>
      <w:lvlText w:val="•"/>
      <w:lvlJc w:val="left"/>
      <w:pPr>
        <w:ind w:hanging="240" w:left="7072"/>
      </w:pPr>
      <w:rPr>
        <w:rFonts w:hint="default"/>
      </w:rPr>
    </w:lvl>
    <w:lvl w:ilvl="8" w:tplc="6674EA14">
      <w:numFmt w:val="bullet"/>
      <w:lvlText w:val="•"/>
      <w:lvlJc w:val="left"/>
      <w:pPr>
        <w:ind w:hanging="240" w:left="8028"/>
      </w:pPr>
      <w:rPr>
        <w:rFonts w:hint="default"/>
      </w:rPr>
    </w:lvl>
  </w:abstractNum>
  <w:abstractNum w15:restartNumberingAfterBreak="0" w:abstractNumId="14">
    <w:nsid w:val="41632895"/>
    <w:multiLevelType w:val="hybridMultilevel"/>
    <w:tmpl w:val="2A5A2FCC"/>
    <w:lvl w:ilvl="0" w:tplc="275A2566">
      <w:numFmt w:val="bullet"/>
      <w:lvlText w:val="•"/>
      <w:lvlJc w:val="left"/>
      <w:pPr>
        <w:ind w:hanging="145" w:left="1190"/>
      </w:pPr>
      <w:rPr>
        <w:rFonts w:ascii="Times New Roman" w:cs="Times New Roman" w:eastAsia="Times New Roman" w:hAnsi="Times New Roman" w:hint="default"/>
        <w:w w:val="100"/>
        <w:sz w:val="24"/>
        <w:szCs w:val="24"/>
      </w:rPr>
    </w:lvl>
    <w:lvl w:ilvl="1" w:tplc="2F94BEE6">
      <w:numFmt w:val="bullet"/>
      <w:lvlText w:val="-"/>
      <w:lvlJc w:val="left"/>
      <w:pPr>
        <w:ind w:hanging="139" w:left="1100"/>
      </w:pPr>
      <w:rPr>
        <w:rFonts w:ascii="Lucida Grande" w:cs="Lucida Grande" w:eastAsia="Lucida Grande" w:hAnsi="Lucida Grande" w:hint="default"/>
        <w:w w:val="56"/>
        <w:sz w:val="24"/>
        <w:szCs w:val="24"/>
      </w:rPr>
    </w:lvl>
    <w:lvl w:ilvl="2" w:tplc="25C435CC">
      <w:numFmt w:val="bullet"/>
      <w:lvlText w:val="•"/>
      <w:lvlJc w:val="left"/>
      <w:pPr>
        <w:ind w:hanging="139" w:left="2171"/>
      </w:pPr>
      <w:rPr>
        <w:rFonts w:hint="default"/>
      </w:rPr>
    </w:lvl>
    <w:lvl w:ilvl="3" w:tplc="320415E4">
      <w:numFmt w:val="bullet"/>
      <w:lvlText w:val="•"/>
      <w:lvlJc w:val="left"/>
      <w:pPr>
        <w:ind w:hanging="139" w:left="3142"/>
      </w:pPr>
      <w:rPr>
        <w:rFonts w:hint="default"/>
      </w:rPr>
    </w:lvl>
    <w:lvl w:ilvl="4" w:tplc="39B091E2">
      <w:numFmt w:val="bullet"/>
      <w:lvlText w:val="•"/>
      <w:lvlJc w:val="left"/>
      <w:pPr>
        <w:ind w:hanging="139" w:left="4113"/>
      </w:pPr>
      <w:rPr>
        <w:rFonts w:hint="default"/>
      </w:rPr>
    </w:lvl>
    <w:lvl w:ilvl="5" w:tplc="0B480888">
      <w:numFmt w:val="bullet"/>
      <w:lvlText w:val="•"/>
      <w:lvlJc w:val="left"/>
      <w:pPr>
        <w:ind w:hanging="139" w:left="5084"/>
      </w:pPr>
      <w:rPr>
        <w:rFonts w:hint="default"/>
      </w:rPr>
    </w:lvl>
    <w:lvl w:ilvl="6" w:tplc="B0BA5252">
      <w:numFmt w:val="bullet"/>
      <w:lvlText w:val="•"/>
      <w:lvlJc w:val="left"/>
      <w:pPr>
        <w:ind w:hanging="139" w:left="6055"/>
      </w:pPr>
      <w:rPr>
        <w:rFonts w:hint="default"/>
      </w:rPr>
    </w:lvl>
    <w:lvl w:ilvl="7" w:tplc="9612BF8E">
      <w:numFmt w:val="bullet"/>
      <w:lvlText w:val="•"/>
      <w:lvlJc w:val="left"/>
      <w:pPr>
        <w:ind w:hanging="139" w:left="7026"/>
      </w:pPr>
      <w:rPr>
        <w:rFonts w:hint="default"/>
      </w:rPr>
    </w:lvl>
    <w:lvl w:ilvl="8" w:tplc="31CCE0D0">
      <w:numFmt w:val="bullet"/>
      <w:lvlText w:val="•"/>
      <w:lvlJc w:val="left"/>
      <w:pPr>
        <w:ind w:hanging="139" w:left="7997"/>
      </w:pPr>
      <w:rPr>
        <w:rFonts w:hint="default"/>
      </w:rPr>
    </w:lvl>
  </w:abstractNum>
  <w:abstractNum w15:restartNumberingAfterBreak="0" w:abstractNumId="15">
    <w:nsid w:val="48D26218"/>
    <w:multiLevelType w:val="hybridMultilevel"/>
    <w:tmpl w:val="EFD8E398"/>
    <w:lvl w:ilvl="0" w:tplc="F93644FA">
      <w:start w:val="2"/>
      <w:numFmt w:val="lowerLetter"/>
      <w:lvlText w:val="%1)"/>
      <w:lvlJc w:val="left"/>
      <w:pPr>
        <w:ind w:hanging="139" w:left="138"/>
        <w:jc w:val="left"/>
      </w:pPr>
      <w:rPr>
        <w:rFonts w:ascii="Arial" w:cs="Arial" w:eastAsia="Arial" w:hAnsi="Arial" w:hint="default"/>
        <w:b/>
        <w:bCs/>
        <w:color w:val="FFFFFF"/>
        <w:w w:val="95"/>
        <w:sz w:val="12"/>
        <w:szCs w:val="12"/>
      </w:rPr>
    </w:lvl>
    <w:lvl w:ilvl="1" w:tplc="C102FA7A">
      <w:numFmt w:val="bullet"/>
      <w:lvlText w:val="•"/>
      <w:lvlJc w:val="left"/>
      <w:pPr>
        <w:ind w:hanging="139" w:left="466"/>
      </w:pPr>
      <w:rPr>
        <w:rFonts w:hint="default"/>
      </w:rPr>
    </w:lvl>
    <w:lvl w:ilvl="2" w:tplc="B4B4E0D6">
      <w:numFmt w:val="bullet"/>
      <w:lvlText w:val="•"/>
      <w:lvlJc w:val="left"/>
      <w:pPr>
        <w:ind w:hanging="139" w:left="793"/>
      </w:pPr>
      <w:rPr>
        <w:rFonts w:hint="default"/>
      </w:rPr>
    </w:lvl>
    <w:lvl w:ilvl="3" w:tplc="1AB62204">
      <w:numFmt w:val="bullet"/>
      <w:lvlText w:val="•"/>
      <w:lvlJc w:val="left"/>
      <w:pPr>
        <w:ind w:hanging="139" w:left="1120"/>
      </w:pPr>
      <w:rPr>
        <w:rFonts w:hint="default"/>
      </w:rPr>
    </w:lvl>
    <w:lvl w:ilvl="4" w:tplc="642C443E">
      <w:numFmt w:val="bullet"/>
      <w:lvlText w:val="•"/>
      <w:lvlJc w:val="left"/>
      <w:pPr>
        <w:ind w:hanging="139" w:left="1447"/>
      </w:pPr>
      <w:rPr>
        <w:rFonts w:hint="default"/>
      </w:rPr>
    </w:lvl>
    <w:lvl w:ilvl="5" w:tplc="7408F73E">
      <w:numFmt w:val="bullet"/>
      <w:lvlText w:val="•"/>
      <w:lvlJc w:val="left"/>
      <w:pPr>
        <w:ind w:hanging="139" w:left="1774"/>
      </w:pPr>
      <w:rPr>
        <w:rFonts w:hint="default"/>
      </w:rPr>
    </w:lvl>
    <w:lvl w:ilvl="6" w:tplc="CEEA7A54">
      <w:numFmt w:val="bullet"/>
      <w:lvlText w:val="•"/>
      <w:lvlJc w:val="left"/>
      <w:pPr>
        <w:ind w:hanging="139" w:left="2101"/>
      </w:pPr>
      <w:rPr>
        <w:rFonts w:hint="default"/>
      </w:rPr>
    </w:lvl>
    <w:lvl w:ilvl="7" w:tplc="67A0DFD4">
      <w:numFmt w:val="bullet"/>
      <w:lvlText w:val="•"/>
      <w:lvlJc w:val="left"/>
      <w:pPr>
        <w:ind w:hanging="139" w:left="2428"/>
      </w:pPr>
      <w:rPr>
        <w:rFonts w:hint="default"/>
      </w:rPr>
    </w:lvl>
    <w:lvl w:ilvl="8" w:tplc="85C673F4">
      <w:numFmt w:val="bullet"/>
      <w:lvlText w:val="•"/>
      <w:lvlJc w:val="left"/>
      <w:pPr>
        <w:ind w:hanging="139" w:left="2755"/>
      </w:pPr>
      <w:rPr>
        <w:rFonts w:hint="default"/>
      </w:rPr>
    </w:lvl>
  </w:abstractNum>
  <w:abstractNum w15:restartNumberingAfterBreak="0" w:abstractNumId="16">
    <w:nsid w:val="4B0429D1"/>
    <w:multiLevelType w:val="hybridMultilevel"/>
    <w:tmpl w:val="D680A7D6"/>
    <w:lvl w:ilvl="0" w:tplc="69D224E8">
      <w:start w:val="1"/>
      <w:numFmt w:val="upperLetter"/>
      <w:lvlText w:val="%1."/>
      <w:lvlJc w:val="left"/>
      <w:pPr>
        <w:ind w:hanging="294" w:left="380"/>
        <w:jc w:val="left"/>
      </w:pPr>
      <w:rPr>
        <w:rFonts w:ascii="Times New Roman" w:cs="Times New Roman" w:eastAsia="Times New Roman" w:hAnsi="Times New Roman" w:hint="default"/>
        <w:b/>
        <w:bCs/>
        <w:w w:val="100"/>
        <w:sz w:val="24"/>
        <w:szCs w:val="24"/>
      </w:rPr>
    </w:lvl>
    <w:lvl w:ilvl="1" w:tplc="28F6B6AE">
      <w:numFmt w:val="bullet"/>
      <w:lvlText w:val="•"/>
      <w:lvlJc w:val="left"/>
      <w:pPr>
        <w:ind w:hanging="294" w:left="1336"/>
      </w:pPr>
      <w:rPr>
        <w:rFonts w:hint="default"/>
      </w:rPr>
    </w:lvl>
    <w:lvl w:ilvl="2" w:tplc="E702CBB0">
      <w:numFmt w:val="bullet"/>
      <w:lvlText w:val="•"/>
      <w:lvlJc w:val="left"/>
      <w:pPr>
        <w:ind w:hanging="294" w:left="2292"/>
      </w:pPr>
      <w:rPr>
        <w:rFonts w:hint="default"/>
      </w:rPr>
    </w:lvl>
    <w:lvl w:ilvl="3" w:tplc="BD364640">
      <w:numFmt w:val="bullet"/>
      <w:lvlText w:val="•"/>
      <w:lvlJc w:val="left"/>
      <w:pPr>
        <w:ind w:hanging="294" w:left="3248"/>
      </w:pPr>
      <w:rPr>
        <w:rFonts w:hint="default"/>
      </w:rPr>
    </w:lvl>
    <w:lvl w:ilvl="4" w:tplc="5A34F8E8">
      <w:numFmt w:val="bullet"/>
      <w:lvlText w:val="•"/>
      <w:lvlJc w:val="left"/>
      <w:pPr>
        <w:ind w:hanging="294" w:left="4204"/>
      </w:pPr>
      <w:rPr>
        <w:rFonts w:hint="default"/>
      </w:rPr>
    </w:lvl>
    <w:lvl w:ilvl="5" w:tplc="9F1EBC42">
      <w:numFmt w:val="bullet"/>
      <w:lvlText w:val="•"/>
      <w:lvlJc w:val="left"/>
      <w:pPr>
        <w:ind w:hanging="294" w:left="5160"/>
      </w:pPr>
      <w:rPr>
        <w:rFonts w:hint="default"/>
      </w:rPr>
    </w:lvl>
    <w:lvl w:ilvl="6" w:tplc="D8FE0B9A">
      <w:numFmt w:val="bullet"/>
      <w:lvlText w:val="•"/>
      <w:lvlJc w:val="left"/>
      <w:pPr>
        <w:ind w:hanging="294" w:left="6116"/>
      </w:pPr>
      <w:rPr>
        <w:rFonts w:hint="default"/>
      </w:rPr>
    </w:lvl>
    <w:lvl w:ilvl="7" w:tplc="89228348">
      <w:numFmt w:val="bullet"/>
      <w:lvlText w:val="•"/>
      <w:lvlJc w:val="left"/>
      <w:pPr>
        <w:ind w:hanging="294" w:left="7072"/>
      </w:pPr>
      <w:rPr>
        <w:rFonts w:hint="default"/>
      </w:rPr>
    </w:lvl>
    <w:lvl w:ilvl="8" w:tplc="E48C930C">
      <w:numFmt w:val="bullet"/>
      <w:lvlText w:val="•"/>
      <w:lvlJc w:val="left"/>
      <w:pPr>
        <w:ind w:hanging="294" w:left="8028"/>
      </w:pPr>
      <w:rPr>
        <w:rFonts w:hint="default"/>
      </w:rPr>
    </w:lvl>
  </w:abstractNum>
  <w:abstractNum w15:restartNumberingAfterBreak="0" w:abstractNumId="17">
    <w:nsid w:val="4B19352C"/>
    <w:multiLevelType w:val="hybridMultilevel"/>
    <w:tmpl w:val="42C05604"/>
    <w:lvl w:ilvl="0" w:tplc="4C9C5C6E">
      <w:start w:val="48"/>
      <w:numFmt w:val="decimal"/>
      <w:lvlText w:val="%1."/>
      <w:lvlJc w:val="left"/>
      <w:pPr>
        <w:ind w:hanging="360" w:left="380"/>
        <w:jc w:val="left"/>
      </w:pPr>
      <w:rPr>
        <w:rFonts w:ascii="Times New Roman" w:cs="Times New Roman" w:eastAsia="Times New Roman" w:hAnsi="Times New Roman" w:hint="default"/>
        <w:w w:val="100"/>
        <w:sz w:val="24"/>
        <w:szCs w:val="24"/>
      </w:rPr>
    </w:lvl>
    <w:lvl w:ilvl="1" w:tplc="64740ABA">
      <w:numFmt w:val="bullet"/>
      <w:lvlText w:val="•"/>
      <w:lvlJc w:val="left"/>
      <w:pPr>
        <w:ind w:hanging="360" w:left="1336"/>
      </w:pPr>
      <w:rPr>
        <w:rFonts w:hint="default"/>
      </w:rPr>
    </w:lvl>
    <w:lvl w:ilvl="2" w:tplc="C7B88A52">
      <w:numFmt w:val="bullet"/>
      <w:lvlText w:val="•"/>
      <w:lvlJc w:val="left"/>
      <w:pPr>
        <w:ind w:hanging="360" w:left="2292"/>
      </w:pPr>
      <w:rPr>
        <w:rFonts w:hint="default"/>
      </w:rPr>
    </w:lvl>
    <w:lvl w:ilvl="3" w:tplc="EF06602C">
      <w:numFmt w:val="bullet"/>
      <w:lvlText w:val="•"/>
      <w:lvlJc w:val="left"/>
      <w:pPr>
        <w:ind w:hanging="360" w:left="3248"/>
      </w:pPr>
      <w:rPr>
        <w:rFonts w:hint="default"/>
      </w:rPr>
    </w:lvl>
    <w:lvl w:ilvl="4" w:tplc="137831AA">
      <w:numFmt w:val="bullet"/>
      <w:lvlText w:val="•"/>
      <w:lvlJc w:val="left"/>
      <w:pPr>
        <w:ind w:hanging="360" w:left="4204"/>
      </w:pPr>
      <w:rPr>
        <w:rFonts w:hint="default"/>
      </w:rPr>
    </w:lvl>
    <w:lvl w:ilvl="5" w:tplc="94A287AE">
      <w:numFmt w:val="bullet"/>
      <w:lvlText w:val="•"/>
      <w:lvlJc w:val="left"/>
      <w:pPr>
        <w:ind w:hanging="360" w:left="5160"/>
      </w:pPr>
      <w:rPr>
        <w:rFonts w:hint="default"/>
      </w:rPr>
    </w:lvl>
    <w:lvl w:ilvl="6" w:tplc="A63E2B62">
      <w:numFmt w:val="bullet"/>
      <w:lvlText w:val="•"/>
      <w:lvlJc w:val="left"/>
      <w:pPr>
        <w:ind w:hanging="360" w:left="6116"/>
      </w:pPr>
      <w:rPr>
        <w:rFonts w:hint="default"/>
      </w:rPr>
    </w:lvl>
    <w:lvl w:ilvl="7" w:tplc="D26E8212">
      <w:numFmt w:val="bullet"/>
      <w:lvlText w:val="•"/>
      <w:lvlJc w:val="left"/>
      <w:pPr>
        <w:ind w:hanging="360" w:left="7072"/>
      </w:pPr>
      <w:rPr>
        <w:rFonts w:hint="default"/>
      </w:rPr>
    </w:lvl>
    <w:lvl w:ilvl="8" w:tplc="8FA2E5F6">
      <w:numFmt w:val="bullet"/>
      <w:lvlText w:val="•"/>
      <w:lvlJc w:val="left"/>
      <w:pPr>
        <w:ind w:hanging="360" w:left="8028"/>
      </w:pPr>
      <w:rPr>
        <w:rFonts w:hint="default"/>
      </w:rPr>
    </w:lvl>
  </w:abstractNum>
  <w:abstractNum w15:restartNumberingAfterBreak="0" w:abstractNumId="18">
    <w:nsid w:val="4C550E30"/>
    <w:multiLevelType w:val="hybridMultilevel"/>
    <w:tmpl w:val="F552D7F0"/>
    <w:lvl w:ilvl="0" w:tplc="C0C60A96">
      <w:start w:val="37"/>
      <w:numFmt w:val="decimal"/>
      <w:lvlText w:val="%1."/>
      <w:lvlJc w:val="left"/>
      <w:pPr>
        <w:ind w:hanging="360" w:left="380"/>
        <w:jc w:val="left"/>
      </w:pPr>
      <w:rPr>
        <w:rFonts w:ascii="Times New Roman" w:cs="Times New Roman" w:eastAsia="Times New Roman" w:hAnsi="Times New Roman" w:hint="default"/>
        <w:w w:val="100"/>
        <w:sz w:val="24"/>
        <w:szCs w:val="24"/>
      </w:rPr>
    </w:lvl>
    <w:lvl w:ilvl="1" w:tplc="9C56353E">
      <w:numFmt w:val="bullet"/>
      <w:lvlText w:val="•"/>
      <w:lvlJc w:val="left"/>
      <w:pPr>
        <w:ind w:hanging="360" w:left="1336"/>
      </w:pPr>
      <w:rPr>
        <w:rFonts w:hint="default"/>
      </w:rPr>
    </w:lvl>
    <w:lvl w:ilvl="2" w:tplc="EBE09820">
      <w:numFmt w:val="bullet"/>
      <w:lvlText w:val="•"/>
      <w:lvlJc w:val="left"/>
      <w:pPr>
        <w:ind w:hanging="360" w:left="2292"/>
      </w:pPr>
      <w:rPr>
        <w:rFonts w:hint="default"/>
      </w:rPr>
    </w:lvl>
    <w:lvl w:ilvl="3" w:tplc="73261024">
      <w:numFmt w:val="bullet"/>
      <w:lvlText w:val="•"/>
      <w:lvlJc w:val="left"/>
      <w:pPr>
        <w:ind w:hanging="360" w:left="3248"/>
      </w:pPr>
      <w:rPr>
        <w:rFonts w:hint="default"/>
      </w:rPr>
    </w:lvl>
    <w:lvl w:ilvl="4" w:tplc="AD24E87E">
      <w:numFmt w:val="bullet"/>
      <w:lvlText w:val="•"/>
      <w:lvlJc w:val="left"/>
      <w:pPr>
        <w:ind w:hanging="360" w:left="4204"/>
      </w:pPr>
      <w:rPr>
        <w:rFonts w:hint="default"/>
      </w:rPr>
    </w:lvl>
    <w:lvl w:ilvl="5" w:tplc="DFD2FD70">
      <w:numFmt w:val="bullet"/>
      <w:lvlText w:val="•"/>
      <w:lvlJc w:val="left"/>
      <w:pPr>
        <w:ind w:hanging="360" w:left="5160"/>
      </w:pPr>
      <w:rPr>
        <w:rFonts w:hint="default"/>
      </w:rPr>
    </w:lvl>
    <w:lvl w:ilvl="6" w:tplc="49C21FBA">
      <w:numFmt w:val="bullet"/>
      <w:lvlText w:val="•"/>
      <w:lvlJc w:val="left"/>
      <w:pPr>
        <w:ind w:hanging="360" w:left="6116"/>
      </w:pPr>
      <w:rPr>
        <w:rFonts w:hint="default"/>
      </w:rPr>
    </w:lvl>
    <w:lvl w:ilvl="7" w:tplc="94CE1F78">
      <w:numFmt w:val="bullet"/>
      <w:lvlText w:val="•"/>
      <w:lvlJc w:val="left"/>
      <w:pPr>
        <w:ind w:hanging="360" w:left="7072"/>
      </w:pPr>
      <w:rPr>
        <w:rFonts w:hint="default"/>
      </w:rPr>
    </w:lvl>
    <w:lvl w:ilvl="8" w:tplc="815E8C5E">
      <w:numFmt w:val="bullet"/>
      <w:lvlText w:val="•"/>
      <w:lvlJc w:val="left"/>
      <w:pPr>
        <w:ind w:hanging="360" w:left="8028"/>
      </w:pPr>
      <w:rPr>
        <w:rFonts w:hint="default"/>
      </w:rPr>
    </w:lvl>
  </w:abstractNum>
  <w:abstractNum w15:restartNumberingAfterBreak="0" w:abstractNumId="19">
    <w:nsid w:val="585A439E"/>
    <w:multiLevelType w:val="hybridMultilevel"/>
    <w:tmpl w:val="7DFCC86E"/>
    <w:lvl w:ilvl="0" w:tplc="D97CE1B0">
      <w:start w:val="1"/>
      <w:numFmt w:val="decimal"/>
      <w:lvlText w:val="%1."/>
      <w:lvlJc w:val="left"/>
      <w:pPr>
        <w:ind w:hanging="249" w:left="380"/>
        <w:jc w:val="left"/>
      </w:pPr>
      <w:rPr>
        <w:rFonts w:ascii="Times New Roman" w:cs="Times New Roman" w:eastAsia="Times New Roman" w:hAnsi="Times New Roman" w:hint="default"/>
        <w:w w:val="100"/>
        <w:sz w:val="24"/>
        <w:szCs w:val="24"/>
      </w:rPr>
    </w:lvl>
    <w:lvl w:ilvl="1" w:tplc="D1FC5A54">
      <w:numFmt w:val="bullet"/>
      <w:lvlText w:val="•"/>
      <w:lvlJc w:val="left"/>
      <w:pPr>
        <w:ind w:hanging="249" w:left="1336"/>
      </w:pPr>
      <w:rPr>
        <w:rFonts w:hint="default"/>
      </w:rPr>
    </w:lvl>
    <w:lvl w:ilvl="2" w:tplc="E356DFB2">
      <w:numFmt w:val="bullet"/>
      <w:lvlText w:val="•"/>
      <w:lvlJc w:val="left"/>
      <w:pPr>
        <w:ind w:hanging="249" w:left="2292"/>
      </w:pPr>
      <w:rPr>
        <w:rFonts w:hint="default"/>
      </w:rPr>
    </w:lvl>
    <w:lvl w:ilvl="3" w:tplc="52CA6A02">
      <w:numFmt w:val="bullet"/>
      <w:lvlText w:val="•"/>
      <w:lvlJc w:val="left"/>
      <w:pPr>
        <w:ind w:hanging="249" w:left="3248"/>
      </w:pPr>
      <w:rPr>
        <w:rFonts w:hint="default"/>
      </w:rPr>
    </w:lvl>
    <w:lvl w:ilvl="4" w:tplc="66C86D2E">
      <w:numFmt w:val="bullet"/>
      <w:lvlText w:val="•"/>
      <w:lvlJc w:val="left"/>
      <w:pPr>
        <w:ind w:hanging="249" w:left="4204"/>
      </w:pPr>
      <w:rPr>
        <w:rFonts w:hint="default"/>
      </w:rPr>
    </w:lvl>
    <w:lvl w:ilvl="5" w:tplc="F67EE0CC">
      <w:numFmt w:val="bullet"/>
      <w:lvlText w:val="•"/>
      <w:lvlJc w:val="left"/>
      <w:pPr>
        <w:ind w:hanging="249" w:left="5160"/>
      </w:pPr>
      <w:rPr>
        <w:rFonts w:hint="default"/>
      </w:rPr>
    </w:lvl>
    <w:lvl w:ilvl="6" w:tplc="9868466C">
      <w:numFmt w:val="bullet"/>
      <w:lvlText w:val="•"/>
      <w:lvlJc w:val="left"/>
      <w:pPr>
        <w:ind w:hanging="249" w:left="6116"/>
      </w:pPr>
      <w:rPr>
        <w:rFonts w:hint="default"/>
      </w:rPr>
    </w:lvl>
    <w:lvl w:ilvl="7" w:tplc="EDFECF74">
      <w:numFmt w:val="bullet"/>
      <w:lvlText w:val="•"/>
      <w:lvlJc w:val="left"/>
      <w:pPr>
        <w:ind w:hanging="249" w:left="7072"/>
      </w:pPr>
      <w:rPr>
        <w:rFonts w:hint="default"/>
      </w:rPr>
    </w:lvl>
    <w:lvl w:ilvl="8" w:tplc="3462F932">
      <w:numFmt w:val="bullet"/>
      <w:lvlText w:val="•"/>
      <w:lvlJc w:val="left"/>
      <w:pPr>
        <w:ind w:hanging="249" w:left="8028"/>
      </w:pPr>
      <w:rPr>
        <w:rFonts w:hint="default"/>
      </w:rPr>
    </w:lvl>
  </w:abstractNum>
  <w:abstractNum w15:restartNumberingAfterBreak="0" w:abstractNumId="20">
    <w:nsid w:val="5C271A63"/>
    <w:multiLevelType w:val="hybridMultilevel"/>
    <w:tmpl w:val="0C9E4902"/>
    <w:lvl w:ilvl="0" w:tplc="26FE5788">
      <w:numFmt w:val="bullet"/>
      <w:lvlText w:val="•"/>
      <w:lvlJc w:val="left"/>
      <w:pPr>
        <w:ind w:hanging="145" w:left="1100"/>
      </w:pPr>
      <w:rPr>
        <w:rFonts w:ascii="Times New Roman" w:cs="Times New Roman" w:eastAsia="Times New Roman" w:hAnsi="Times New Roman" w:hint="default"/>
        <w:w w:val="100"/>
        <w:sz w:val="24"/>
        <w:szCs w:val="24"/>
      </w:rPr>
    </w:lvl>
    <w:lvl w:ilvl="1" w:tplc="91003610">
      <w:numFmt w:val="bullet"/>
      <w:lvlText w:val="•"/>
      <w:lvlJc w:val="left"/>
      <w:pPr>
        <w:ind w:hanging="145" w:left="1984"/>
      </w:pPr>
      <w:rPr>
        <w:rFonts w:hint="default"/>
      </w:rPr>
    </w:lvl>
    <w:lvl w:ilvl="2" w:tplc="703E80E6">
      <w:numFmt w:val="bullet"/>
      <w:lvlText w:val="•"/>
      <w:lvlJc w:val="left"/>
      <w:pPr>
        <w:ind w:hanging="145" w:left="2868"/>
      </w:pPr>
      <w:rPr>
        <w:rFonts w:hint="default"/>
      </w:rPr>
    </w:lvl>
    <w:lvl w:ilvl="3" w:tplc="6FACB176">
      <w:numFmt w:val="bullet"/>
      <w:lvlText w:val="•"/>
      <w:lvlJc w:val="left"/>
      <w:pPr>
        <w:ind w:hanging="145" w:left="3752"/>
      </w:pPr>
      <w:rPr>
        <w:rFonts w:hint="default"/>
      </w:rPr>
    </w:lvl>
    <w:lvl w:ilvl="4" w:tplc="88522D02">
      <w:numFmt w:val="bullet"/>
      <w:lvlText w:val="•"/>
      <w:lvlJc w:val="left"/>
      <w:pPr>
        <w:ind w:hanging="145" w:left="4636"/>
      </w:pPr>
      <w:rPr>
        <w:rFonts w:hint="default"/>
      </w:rPr>
    </w:lvl>
    <w:lvl w:ilvl="5" w:tplc="15E2E914">
      <w:numFmt w:val="bullet"/>
      <w:lvlText w:val="•"/>
      <w:lvlJc w:val="left"/>
      <w:pPr>
        <w:ind w:hanging="145" w:left="5520"/>
      </w:pPr>
      <w:rPr>
        <w:rFonts w:hint="default"/>
      </w:rPr>
    </w:lvl>
    <w:lvl w:ilvl="6" w:tplc="49940F64">
      <w:numFmt w:val="bullet"/>
      <w:lvlText w:val="•"/>
      <w:lvlJc w:val="left"/>
      <w:pPr>
        <w:ind w:hanging="145" w:left="6404"/>
      </w:pPr>
      <w:rPr>
        <w:rFonts w:hint="default"/>
      </w:rPr>
    </w:lvl>
    <w:lvl w:ilvl="7" w:tplc="E4FA0B0A">
      <w:numFmt w:val="bullet"/>
      <w:lvlText w:val="•"/>
      <w:lvlJc w:val="left"/>
      <w:pPr>
        <w:ind w:hanging="145" w:left="7288"/>
      </w:pPr>
      <w:rPr>
        <w:rFonts w:hint="default"/>
      </w:rPr>
    </w:lvl>
    <w:lvl w:ilvl="8" w:tplc="D242C9EE">
      <w:numFmt w:val="bullet"/>
      <w:lvlText w:val="•"/>
      <w:lvlJc w:val="left"/>
      <w:pPr>
        <w:ind w:hanging="145" w:left="8172"/>
      </w:pPr>
      <w:rPr>
        <w:rFonts w:hint="default"/>
      </w:rPr>
    </w:lvl>
  </w:abstractNum>
  <w:abstractNum w15:restartNumberingAfterBreak="0" w:abstractNumId="21">
    <w:nsid w:val="5F2B4CE8"/>
    <w:multiLevelType w:val="hybridMultilevel"/>
    <w:tmpl w:val="6DF600FA"/>
    <w:lvl w:ilvl="0" w:tplc="E778A908">
      <w:start w:val="79"/>
      <w:numFmt w:val="decimal"/>
      <w:lvlText w:val="%1."/>
      <w:lvlJc w:val="left"/>
      <w:pPr>
        <w:ind w:hanging="360" w:left="380"/>
        <w:jc w:val="left"/>
      </w:pPr>
      <w:rPr>
        <w:rFonts w:ascii="Times New Roman" w:cs="Times New Roman" w:eastAsia="Times New Roman" w:hAnsi="Times New Roman" w:hint="default"/>
        <w:w w:val="100"/>
        <w:sz w:val="24"/>
        <w:szCs w:val="24"/>
      </w:rPr>
    </w:lvl>
    <w:lvl w:ilvl="1" w:tplc="488483E2">
      <w:numFmt w:val="bullet"/>
      <w:lvlText w:val="•"/>
      <w:lvlJc w:val="left"/>
      <w:pPr>
        <w:ind w:hanging="360" w:left="1336"/>
      </w:pPr>
      <w:rPr>
        <w:rFonts w:hint="default"/>
      </w:rPr>
    </w:lvl>
    <w:lvl w:ilvl="2" w:tplc="181A138E">
      <w:numFmt w:val="bullet"/>
      <w:lvlText w:val="•"/>
      <w:lvlJc w:val="left"/>
      <w:pPr>
        <w:ind w:hanging="360" w:left="2292"/>
      </w:pPr>
      <w:rPr>
        <w:rFonts w:hint="default"/>
      </w:rPr>
    </w:lvl>
    <w:lvl w:ilvl="3" w:tplc="8CE6E9D2">
      <w:numFmt w:val="bullet"/>
      <w:lvlText w:val="•"/>
      <w:lvlJc w:val="left"/>
      <w:pPr>
        <w:ind w:hanging="360" w:left="3248"/>
      </w:pPr>
      <w:rPr>
        <w:rFonts w:hint="default"/>
      </w:rPr>
    </w:lvl>
    <w:lvl w:ilvl="4" w:tplc="C696F484">
      <w:numFmt w:val="bullet"/>
      <w:lvlText w:val="•"/>
      <w:lvlJc w:val="left"/>
      <w:pPr>
        <w:ind w:hanging="360" w:left="4204"/>
      </w:pPr>
      <w:rPr>
        <w:rFonts w:hint="default"/>
      </w:rPr>
    </w:lvl>
    <w:lvl w:ilvl="5" w:tplc="0BDEB236">
      <w:numFmt w:val="bullet"/>
      <w:lvlText w:val="•"/>
      <w:lvlJc w:val="left"/>
      <w:pPr>
        <w:ind w:hanging="360" w:left="5160"/>
      </w:pPr>
      <w:rPr>
        <w:rFonts w:hint="default"/>
      </w:rPr>
    </w:lvl>
    <w:lvl w:ilvl="6" w:tplc="4B2AE438">
      <w:numFmt w:val="bullet"/>
      <w:lvlText w:val="•"/>
      <w:lvlJc w:val="left"/>
      <w:pPr>
        <w:ind w:hanging="360" w:left="6116"/>
      </w:pPr>
      <w:rPr>
        <w:rFonts w:hint="default"/>
      </w:rPr>
    </w:lvl>
    <w:lvl w:ilvl="7" w:tplc="E7462AA0">
      <w:numFmt w:val="bullet"/>
      <w:lvlText w:val="•"/>
      <w:lvlJc w:val="left"/>
      <w:pPr>
        <w:ind w:hanging="360" w:left="7072"/>
      </w:pPr>
      <w:rPr>
        <w:rFonts w:hint="default"/>
      </w:rPr>
    </w:lvl>
    <w:lvl w:ilvl="8" w:tplc="C60E97A8">
      <w:numFmt w:val="bullet"/>
      <w:lvlText w:val="•"/>
      <w:lvlJc w:val="left"/>
      <w:pPr>
        <w:ind w:hanging="360" w:left="8028"/>
      </w:pPr>
      <w:rPr>
        <w:rFonts w:hint="default"/>
      </w:rPr>
    </w:lvl>
  </w:abstractNum>
  <w:abstractNum w15:restartNumberingAfterBreak="0" w:abstractNumId="22">
    <w:nsid w:val="60240682"/>
    <w:multiLevelType w:val="hybridMultilevel"/>
    <w:tmpl w:val="A28207FE"/>
    <w:lvl w:ilvl="0" w:tplc="DEF2ADF4">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FEF0ED2A">
      <w:numFmt w:val="bullet"/>
      <w:lvlText w:val="•"/>
      <w:lvlJc w:val="left"/>
      <w:pPr>
        <w:ind w:hanging="139" w:left="707"/>
      </w:pPr>
      <w:rPr>
        <w:rFonts w:hint="default"/>
      </w:rPr>
    </w:lvl>
    <w:lvl w:ilvl="2" w:tplc="F0242D82">
      <w:numFmt w:val="bullet"/>
      <w:lvlText w:val="•"/>
      <w:lvlJc w:val="left"/>
      <w:pPr>
        <w:ind w:hanging="139" w:left="1055"/>
      </w:pPr>
      <w:rPr>
        <w:rFonts w:hint="default"/>
      </w:rPr>
    </w:lvl>
    <w:lvl w:ilvl="3" w:tplc="54F0026E">
      <w:numFmt w:val="bullet"/>
      <w:lvlText w:val="•"/>
      <w:lvlJc w:val="left"/>
      <w:pPr>
        <w:ind w:hanging="139" w:left="1403"/>
      </w:pPr>
      <w:rPr>
        <w:rFonts w:hint="default"/>
      </w:rPr>
    </w:lvl>
    <w:lvl w:ilvl="4" w:tplc="94E47BC4">
      <w:numFmt w:val="bullet"/>
      <w:lvlText w:val="•"/>
      <w:lvlJc w:val="left"/>
      <w:pPr>
        <w:ind w:hanging="139" w:left="1750"/>
      </w:pPr>
      <w:rPr>
        <w:rFonts w:hint="default"/>
      </w:rPr>
    </w:lvl>
    <w:lvl w:ilvl="5" w:tplc="AC780DB4">
      <w:numFmt w:val="bullet"/>
      <w:lvlText w:val="•"/>
      <w:lvlJc w:val="left"/>
      <w:pPr>
        <w:ind w:hanging="139" w:left="2098"/>
      </w:pPr>
      <w:rPr>
        <w:rFonts w:hint="default"/>
      </w:rPr>
    </w:lvl>
    <w:lvl w:ilvl="6" w:tplc="F2A8A3A4">
      <w:numFmt w:val="bullet"/>
      <w:lvlText w:val="•"/>
      <w:lvlJc w:val="left"/>
      <w:pPr>
        <w:ind w:hanging="139" w:left="2446"/>
      </w:pPr>
      <w:rPr>
        <w:rFonts w:hint="default"/>
      </w:rPr>
    </w:lvl>
    <w:lvl w:ilvl="7" w:tplc="62409EBE">
      <w:numFmt w:val="bullet"/>
      <w:lvlText w:val="•"/>
      <w:lvlJc w:val="left"/>
      <w:pPr>
        <w:ind w:hanging="139" w:left="2794"/>
      </w:pPr>
      <w:rPr>
        <w:rFonts w:hint="default"/>
      </w:rPr>
    </w:lvl>
    <w:lvl w:ilvl="8" w:tplc="6E3677A6">
      <w:numFmt w:val="bullet"/>
      <w:lvlText w:val="•"/>
      <w:lvlJc w:val="left"/>
      <w:pPr>
        <w:ind w:hanging="139" w:left="3141"/>
      </w:pPr>
      <w:rPr>
        <w:rFonts w:hint="default"/>
      </w:rPr>
    </w:lvl>
  </w:abstractNum>
  <w:abstractNum w15:restartNumberingAfterBreak="0" w:abstractNumId="23">
    <w:nsid w:val="60A44B76"/>
    <w:multiLevelType w:val="hybridMultilevel"/>
    <w:tmpl w:val="820805E2"/>
    <w:lvl w:ilvl="0" w:tplc="14C29D8E">
      <w:numFmt w:val="bullet"/>
      <w:lvlText w:val="-"/>
      <w:lvlJc w:val="left"/>
      <w:pPr>
        <w:ind w:hanging="140" w:left="380"/>
      </w:pPr>
      <w:rPr>
        <w:rFonts w:ascii="Times New Roman" w:cs="Times New Roman" w:eastAsia="Times New Roman" w:hAnsi="Times New Roman" w:hint="default"/>
        <w:w w:val="100"/>
        <w:sz w:val="24"/>
        <w:szCs w:val="24"/>
      </w:rPr>
    </w:lvl>
    <w:lvl w:ilvl="1" w:tplc="DADE3A60">
      <w:numFmt w:val="bullet"/>
      <w:lvlText w:val="•"/>
      <w:lvlJc w:val="left"/>
      <w:pPr>
        <w:ind w:hanging="140" w:left="1336"/>
      </w:pPr>
      <w:rPr>
        <w:rFonts w:hint="default"/>
      </w:rPr>
    </w:lvl>
    <w:lvl w:ilvl="2" w:tplc="EBA240E0">
      <w:numFmt w:val="bullet"/>
      <w:lvlText w:val="•"/>
      <w:lvlJc w:val="left"/>
      <w:pPr>
        <w:ind w:hanging="140" w:left="2292"/>
      </w:pPr>
      <w:rPr>
        <w:rFonts w:hint="default"/>
      </w:rPr>
    </w:lvl>
    <w:lvl w:ilvl="3" w:tplc="2E3E59D4">
      <w:numFmt w:val="bullet"/>
      <w:lvlText w:val="•"/>
      <w:lvlJc w:val="left"/>
      <w:pPr>
        <w:ind w:hanging="140" w:left="3248"/>
      </w:pPr>
      <w:rPr>
        <w:rFonts w:hint="default"/>
      </w:rPr>
    </w:lvl>
    <w:lvl w:ilvl="4" w:tplc="7144CC94">
      <w:numFmt w:val="bullet"/>
      <w:lvlText w:val="•"/>
      <w:lvlJc w:val="left"/>
      <w:pPr>
        <w:ind w:hanging="140" w:left="4204"/>
      </w:pPr>
      <w:rPr>
        <w:rFonts w:hint="default"/>
      </w:rPr>
    </w:lvl>
    <w:lvl w:ilvl="5" w:tplc="CA1ABD74">
      <w:numFmt w:val="bullet"/>
      <w:lvlText w:val="•"/>
      <w:lvlJc w:val="left"/>
      <w:pPr>
        <w:ind w:hanging="140" w:left="5160"/>
      </w:pPr>
      <w:rPr>
        <w:rFonts w:hint="default"/>
      </w:rPr>
    </w:lvl>
    <w:lvl w:ilvl="6" w:tplc="A27E3790">
      <w:numFmt w:val="bullet"/>
      <w:lvlText w:val="•"/>
      <w:lvlJc w:val="left"/>
      <w:pPr>
        <w:ind w:hanging="140" w:left="6116"/>
      </w:pPr>
      <w:rPr>
        <w:rFonts w:hint="default"/>
      </w:rPr>
    </w:lvl>
    <w:lvl w:ilvl="7" w:tplc="1A38424A">
      <w:numFmt w:val="bullet"/>
      <w:lvlText w:val="•"/>
      <w:lvlJc w:val="left"/>
      <w:pPr>
        <w:ind w:hanging="140" w:left="7072"/>
      </w:pPr>
      <w:rPr>
        <w:rFonts w:hint="default"/>
      </w:rPr>
    </w:lvl>
    <w:lvl w:ilvl="8" w:tplc="7E66B2F8">
      <w:numFmt w:val="bullet"/>
      <w:lvlText w:val="•"/>
      <w:lvlJc w:val="left"/>
      <w:pPr>
        <w:ind w:hanging="140" w:left="8028"/>
      </w:pPr>
      <w:rPr>
        <w:rFonts w:hint="default"/>
      </w:rPr>
    </w:lvl>
  </w:abstractNum>
  <w:abstractNum w15:restartNumberingAfterBreak="0" w:abstractNumId="24">
    <w:nsid w:val="6745089E"/>
    <w:multiLevelType w:val="hybridMultilevel"/>
    <w:tmpl w:val="A4108986"/>
    <w:lvl w:ilvl="0" w:tplc="3D100C1A">
      <w:numFmt w:val="bullet"/>
      <w:lvlText w:val="•"/>
      <w:lvlJc w:val="left"/>
      <w:pPr>
        <w:ind w:hanging="81" w:left="303"/>
      </w:pPr>
      <w:rPr>
        <w:rFonts w:ascii="Arial" w:cs="Arial" w:eastAsia="Arial" w:hAnsi="Arial" w:hint="default"/>
        <w:color w:val="FFFFFF"/>
        <w:w w:val="98"/>
        <w:sz w:val="11"/>
        <w:szCs w:val="11"/>
      </w:rPr>
    </w:lvl>
    <w:lvl w:ilvl="1" w:tplc="8C121B78">
      <w:numFmt w:val="bullet"/>
      <w:lvlText w:val="•"/>
      <w:lvlJc w:val="left"/>
      <w:pPr>
        <w:ind w:hanging="81" w:left="722"/>
      </w:pPr>
      <w:rPr>
        <w:rFonts w:ascii="Arial" w:cs="Arial" w:eastAsia="Arial" w:hAnsi="Arial" w:hint="default"/>
        <w:color w:val="FFFFFF"/>
        <w:w w:val="98"/>
        <w:sz w:val="11"/>
        <w:szCs w:val="11"/>
      </w:rPr>
    </w:lvl>
    <w:lvl w:ilvl="2" w:tplc="1B281B14">
      <w:numFmt w:val="bullet"/>
      <w:lvlText w:val="•"/>
      <w:lvlJc w:val="left"/>
      <w:pPr>
        <w:ind w:hanging="81" w:left="1656"/>
      </w:pPr>
      <w:rPr>
        <w:rFonts w:ascii="Arial" w:cs="Arial" w:eastAsia="Arial" w:hAnsi="Arial" w:hint="default"/>
        <w:color w:val="FFFFFF"/>
        <w:w w:val="98"/>
        <w:sz w:val="11"/>
        <w:szCs w:val="11"/>
      </w:rPr>
    </w:lvl>
    <w:lvl w:ilvl="3" w:tplc="3F003290">
      <w:numFmt w:val="bullet"/>
      <w:lvlText w:val="•"/>
      <w:lvlJc w:val="left"/>
      <w:pPr>
        <w:ind w:hanging="81" w:left="1992"/>
      </w:pPr>
      <w:rPr>
        <w:rFonts w:hint="default"/>
      </w:rPr>
    </w:lvl>
    <w:lvl w:ilvl="4" w:tplc="3356D466">
      <w:numFmt w:val="bullet"/>
      <w:lvlText w:val="•"/>
      <w:lvlJc w:val="left"/>
      <w:pPr>
        <w:ind w:hanging="81" w:left="2325"/>
      </w:pPr>
      <w:rPr>
        <w:rFonts w:hint="default"/>
      </w:rPr>
    </w:lvl>
    <w:lvl w:ilvl="5" w:tplc="EE98CAB4">
      <w:numFmt w:val="bullet"/>
      <w:lvlText w:val="•"/>
      <w:lvlJc w:val="left"/>
      <w:pPr>
        <w:ind w:hanging="81" w:left="2658"/>
      </w:pPr>
      <w:rPr>
        <w:rFonts w:hint="default"/>
      </w:rPr>
    </w:lvl>
    <w:lvl w:ilvl="6" w:tplc="0EE2533A">
      <w:numFmt w:val="bullet"/>
      <w:lvlText w:val="•"/>
      <w:lvlJc w:val="left"/>
      <w:pPr>
        <w:ind w:hanging="81" w:left="2990"/>
      </w:pPr>
      <w:rPr>
        <w:rFonts w:hint="default"/>
      </w:rPr>
    </w:lvl>
    <w:lvl w:ilvl="7" w:tplc="58368886">
      <w:numFmt w:val="bullet"/>
      <w:lvlText w:val="•"/>
      <w:lvlJc w:val="left"/>
      <w:pPr>
        <w:ind w:hanging="81" w:left="3323"/>
      </w:pPr>
      <w:rPr>
        <w:rFonts w:hint="default"/>
      </w:rPr>
    </w:lvl>
    <w:lvl w:ilvl="8" w:tplc="075A6BC8">
      <w:numFmt w:val="bullet"/>
      <w:lvlText w:val="•"/>
      <w:lvlJc w:val="left"/>
      <w:pPr>
        <w:ind w:hanging="81" w:left="3656"/>
      </w:pPr>
      <w:rPr>
        <w:rFonts w:hint="default"/>
      </w:rPr>
    </w:lvl>
  </w:abstractNum>
  <w:abstractNum w15:restartNumberingAfterBreak="0" w:abstractNumId="25">
    <w:nsid w:val="6D5F36D6"/>
    <w:multiLevelType w:val="hybridMultilevel"/>
    <w:tmpl w:val="E9E45750"/>
    <w:lvl w:ilvl="0" w:tplc="1FFE990E">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3F1A5478">
      <w:numFmt w:val="bullet"/>
      <w:lvlText w:val="•"/>
      <w:lvlJc w:val="left"/>
      <w:pPr>
        <w:ind w:hanging="139" w:left="724"/>
      </w:pPr>
      <w:rPr>
        <w:rFonts w:hint="default"/>
      </w:rPr>
    </w:lvl>
    <w:lvl w:ilvl="2" w:tplc="0422FA34">
      <w:numFmt w:val="bullet"/>
      <w:lvlText w:val="•"/>
      <w:lvlJc w:val="left"/>
      <w:pPr>
        <w:ind w:hanging="139" w:left="1088"/>
      </w:pPr>
      <w:rPr>
        <w:rFonts w:hint="default"/>
      </w:rPr>
    </w:lvl>
    <w:lvl w:ilvl="3" w:tplc="621E8D90">
      <w:numFmt w:val="bullet"/>
      <w:lvlText w:val="•"/>
      <w:lvlJc w:val="left"/>
      <w:pPr>
        <w:ind w:hanging="139" w:left="1452"/>
      </w:pPr>
      <w:rPr>
        <w:rFonts w:hint="default"/>
      </w:rPr>
    </w:lvl>
    <w:lvl w:ilvl="4" w:tplc="67FE0436">
      <w:numFmt w:val="bullet"/>
      <w:lvlText w:val="•"/>
      <w:lvlJc w:val="left"/>
      <w:pPr>
        <w:ind w:hanging="139" w:left="1816"/>
      </w:pPr>
      <w:rPr>
        <w:rFonts w:hint="default"/>
      </w:rPr>
    </w:lvl>
    <w:lvl w:ilvl="5" w:tplc="E138C4D4">
      <w:numFmt w:val="bullet"/>
      <w:lvlText w:val="•"/>
      <w:lvlJc w:val="left"/>
      <w:pPr>
        <w:ind w:hanging="139" w:left="2180"/>
      </w:pPr>
      <w:rPr>
        <w:rFonts w:hint="default"/>
      </w:rPr>
    </w:lvl>
    <w:lvl w:ilvl="6" w:tplc="6D92E108">
      <w:numFmt w:val="bullet"/>
      <w:lvlText w:val="•"/>
      <w:lvlJc w:val="left"/>
      <w:pPr>
        <w:ind w:hanging="139" w:left="2544"/>
      </w:pPr>
      <w:rPr>
        <w:rFonts w:hint="default"/>
      </w:rPr>
    </w:lvl>
    <w:lvl w:ilvl="7" w:tplc="7EB8EC08">
      <w:numFmt w:val="bullet"/>
      <w:lvlText w:val="•"/>
      <w:lvlJc w:val="left"/>
      <w:pPr>
        <w:ind w:hanging="139" w:left="2908"/>
      </w:pPr>
      <w:rPr>
        <w:rFonts w:hint="default"/>
      </w:rPr>
    </w:lvl>
    <w:lvl w:ilvl="8" w:tplc="B256F8FE">
      <w:numFmt w:val="bullet"/>
      <w:lvlText w:val="•"/>
      <w:lvlJc w:val="left"/>
      <w:pPr>
        <w:ind w:hanging="139" w:left="3273"/>
      </w:pPr>
      <w:rPr>
        <w:rFonts w:hint="default"/>
      </w:rPr>
    </w:lvl>
  </w:abstractNum>
  <w:abstractNum w15:restartNumberingAfterBreak="0" w:abstractNumId="26">
    <w:nsid w:val="7822774E"/>
    <w:multiLevelType w:val="hybridMultilevel"/>
    <w:tmpl w:val="8A7C5C50"/>
    <w:lvl w:ilvl="0" w:tplc="F538E75C">
      <w:start w:val="1"/>
      <w:numFmt w:val="decimal"/>
      <w:lvlText w:val="%1"/>
      <w:lvlJc w:val="left"/>
      <w:pPr>
        <w:ind w:hanging="122" w:left="0"/>
        <w:jc w:val="left"/>
      </w:pPr>
      <w:rPr>
        <w:rFonts w:hint="default"/>
      </w:rPr>
    </w:lvl>
    <w:lvl w:ilvl="1" w:tplc="45F2A2CC">
      <w:start w:val="1"/>
      <w:numFmt w:val="lowerLetter"/>
      <w:lvlText w:val="%1.%2"/>
      <w:lvlJc w:val="left"/>
      <w:pPr>
        <w:ind w:hanging="122" w:left="0"/>
        <w:jc w:val="left"/>
      </w:pPr>
      <w:rPr>
        <w:rFonts w:ascii="Arial" w:cs="Arial" w:eastAsia="Arial" w:hAnsi="Arial" w:hint="default"/>
        <w:color w:val="0B2338"/>
        <w:w w:val="90"/>
        <w:sz w:val="8"/>
        <w:szCs w:val="8"/>
      </w:rPr>
    </w:lvl>
    <w:lvl w:ilvl="2" w:tplc="00A407BA">
      <w:numFmt w:val="bullet"/>
      <w:lvlText w:val="•"/>
      <w:lvlJc w:val="left"/>
      <w:pPr>
        <w:ind w:hanging="122" w:left="243"/>
      </w:pPr>
      <w:rPr>
        <w:rFonts w:hint="default"/>
      </w:rPr>
    </w:lvl>
    <w:lvl w:ilvl="3" w:tplc="EC5C0C7C">
      <w:numFmt w:val="bullet"/>
      <w:lvlText w:val="•"/>
      <w:lvlJc w:val="left"/>
      <w:pPr>
        <w:ind w:hanging="122" w:left="365"/>
      </w:pPr>
      <w:rPr>
        <w:rFonts w:hint="default"/>
      </w:rPr>
    </w:lvl>
    <w:lvl w:ilvl="4" w:tplc="762CD6CA">
      <w:numFmt w:val="bullet"/>
      <w:lvlText w:val="•"/>
      <w:lvlJc w:val="left"/>
      <w:pPr>
        <w:ind w:hanging="122" w:left="487"/>
      </w:pPr>
      <w:rPr>
        <w:rFonts w:hint="default"/>
      </w:rPr>
    </w:lvl>
    <w:lvl w:ilvl="5" w:tplc="BCA0EF16">
      <w:numFmt w:val="bullet"/>
      <w:lvlText w:val="•"/>
      <w:lvlJc w:val="left"/>
      <w:pPr>
        <w:ind w:hanging="122" w:left="609"/>
      </w:pPr>
      <w:rPr>
        <w:rFonts w:hint="default"/>
      </w:rPr>
    </w:lvl>
    <w:lvl w:ilvl="6" w:tplc="D92E7A88">
      <w:numFmt w:val="bullet"/>
      <w:lvlText w:val="•"/>
      <w:lvlJc w:val="left"/>
      <w:pPr>
        <w:ind w:hanging="122" w:left="730"/>
      </w:pPr>
      <w:rPr>
        <w:rFonts w:hint="default"/>
      </w:rPr>
    </w:lvl>
    <w:lvl w:ilvl="7" w:tplc="59DA74AA">
      <w:numFmt w:val="bullet"/>
      <w:lvlText w:val="•"/>
      <w:lvlJc w:val="left"/>
      <w:pPr>
        <w:ind w:hanging="122" w:left="852"/>
      </w:pPr>
      <w:rPr>
        <w:rFonts w:hint="default"/>
      </w:rPr>
    </w:lvl>
    <w:lvl w:ilvl="8" w:tplc="3F0AF542">
      <w:numFmt w:val="bullet"/>
      <w:lvlText w:val="•"/>
      <w:lvlJc w:val="left"/>
      <w:pPr>
        <w:ind w:hanging="122" w:left="974"/>
      </w:pPr>
      <w:rPr>
        <w:rFonts w:hint="default"/>
      </w:rPr>
    </w:lvl>
  </w:abstractNum>
  <w:abstractNum w15:restartNumberingAfterBreak="0" w:abstractNumId="27">
    <w:nsid w:val="7EE60259"/>
    <w:multiLevelType w:val="hybridMultilevel"/>
    <w:tmpl w:val="A386D078"/>
    <w:lvl w:ilvl="0" w:tplc="09B6E642">
      <w:start w:val="1"/>
      <w:numFmt w:val="decimal"/>
      <w:lvlText w:val="%1."/>
      <w:lvlJc w:val="left"/>
      <w:pPr>
        <w:ind w:hanging="240" w:left="2780"/>
        <w:jc w:val="left"/>
      </w:pPr>
      <w:rPr>
        <w:rFonts w:ascii="Times New Roman" w:cs="Times New Roman" w:eastAsia="Times New Roman" w:hAnsi="Times New Roman" w:hint="default"/>
        <w:w w:val="100"/>
        <w:sz w:val="24"/>
        <w:szCs w:val="24"/>
      </w:rPr>
    </w:lvl>
    <w:lvl w:ilvl="1" w:tplc="EF66CA2E">
      <w:numFmt w:val="bullet"/>
      <w:lvlText w:val="•"/>
      <w:lvlJc w:val="left"/>
      <w:pPr>
        <w:ind w:hanging="240" w:left="3496"/>
      </w:pPr>
      <w:rPr>
        <w:rFonts w:hint="default"/>
      </w:rPr>
    </w:lvl>
    <w:lvl w:ilvl="2" w:tplc="EA4AD032">
      <w:numFmt w:val="bullet"/>
      <w:lvlText w:val="•"/>
      <w:lvlJc w:val="left"/>
      <w:pPr>
        <w:ind w:hanging="240" w:left="4212"/>
      </w:pPr>
      <w:rPr>
        <w:rFonts w:hint="default"/>
      </w:rPr>
    </w:lvl>
    <w:lvl w:ilvl="3" w:tplc="843A2CB8">
      <w:numFmt w:val="bullet"/>
      <w:lvlText w:val="•"/>
      <w:lvlJc w:val="left"/>
      <w:pPr>
        <w:ind w:hanging="240" w:left="4928"/>
      </w:pPr>
      <w:rPr>
        <w:rFonts w:hint="default"/>
      </w:rPr>
    </w:lvl>
    <w:lvl w:ilvl="4" w:tplc="15DCF3BA">
      <w:numFmt w:val="bullet"/>
      <w:lvlText w:val="•"/>
      <w:lvlJc w:val="left"/>
      <w:pPr>
        <w:ind w:hanging="240" w:left="5644"/>
      </w:pPr>
      <w:rPr>
        <w:rFonts w:hint="default"/>
      </w:rPr>
    </w:lvl>
    <w:lvl w:ilvl="5" w:tplc="C85A9B32">
      <w:numFmt w:val="bullet"/>
      <w:lvlText w:val="•"/>
      <w:lvlJc w:val="left"/>
      <w:pPr>
        <w:ind w:hanging="240" w:left="6360"/>
      </w:pPr>
      <w:rPr>
        <w:rFonts w:hint="default"/>
      </w:rPr>
    </w:lvl>
    <w:lvl w:ilvl="6" w:tplc="64C43918">
      <w:numFmt w:val="bullet"/>
      <w:lvlText w:val="•"/>
      <w:lvlJc w:val="left"/>
      <w:pPr>
        <w:ind w:hanging="240" w:left="7076"/>
      </w:pPr>
      <w:rPr>
        <w:rFonts w:hint="default"/>
      </w:rPr>
    </w:lvl>
    <w:lvl w:ilvl="7" w:tplc="D22C6592">
      <w:numFmt w:val="bullet"/>
      <w:lvlText w:val="•"/>
      <w:lvlJc w:val="left"/>
      <w:pPr>
        <w:ind w:hanging="240" w:left="7792"/>
      </w:pPr>
      <w:rPr>
        <w:rFonts w:hint="default"/>
      </w:rPr>
    </w:lvl>
    <w:lvl w:ilvl="8" w:tplc="2718246A">
      <w:numFmt w:val="bullet"/>
      <w:lvlText w:val="•"/>
      <w:lvlJc w:val="left"/>
      <w:pPr>
        <w:ind w:hanging="240" w:left="8508"/>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27"/>
  </w:num>
  <w:num w:numId="2">
    <w:abstractNumId w:val="12"/>
  </w:num>
  <w:num w:numId="3">
    <w:abstractNumId w:val="25"/>
  </w:num>
  <w:num w:numId="4">
    <w:abstractNumId w:val="22"/>
  </w:num>
  <w:num w:numId="5">
    <w:abstractNumId w:val="21"/>
  </w:num>
  <w:num w:numId="6">
    <w:abstractNumId w:val="17"/>
  </w:num>
  <w:num w:numId="7">
    <w:abstractNumId w:val="18"/>
  </w:num>
  <w:num w:numId="8">
    <w:abstractNumId w:val="9"/>
  </w:num>
  <w:num w:numId="9">
    <w:abstractNumId w:val="19"/>
  </w:num>
  <w:num w:numId="10">
    <w:abstractNumId w:val="13"/>
  </w:num>
  <w:num w:numId="11">
    <w:abstractNumId w:val="16"/>
  </w:num>
  <w:num w:numId="12">
    <w:abstractNumId w:val="23"/>
  </w:num>
  <w:num w:numId="13">
    <w:abstractNumId w:val="11"/>
  </w:num>
  <w:num w:numId="14">
    <w:abstractNumId w:val="2"/>
  </w:num>
  <w:num w:numId="15">
    <w:abstractNumId w:val="4"/>
  </w:num>
  <w:num w:numId="16">
    <w:abstractNumId w:val="10"/>
  </w:num>
  <w:num w:numId="17">
    <w:abstractNumId w:val="20"/>
  </w:num>
  <w:num w:numId="18">
    <w:abstractNumId w:val="8"/>
  </w:num>
  <w:num w:numId="19">
    <w:abstractNumId w:val="7"/>
  </w:num>
  <w:num w:numId="20">
    <w:abstractNumId w:val="15"/>
  </w:num>
  <w:num w:numId="21">
    <w:abstractNumId w:val="24"/>
  </w:num>
  <w:num w:numId="22">
    <w:abstractNumId w:val="1"/>
  </w:num>
  <w:num w:numId="23">
    <w:abstractNumId w:val="3"/>
  </w:num>
  <w:num w:numId="24">
    <w:abstractNumId w:val="26"/>
  </w:num>
  <w:num w:numId="25">
    <w:abstractNumId w:val="14"/>
  </w:num>
  <w:num w:numId="26">
    <w:abstractNumId w:val="0"/>
  </w:num>
  <w:num w:numId="27">
    <w:abstractNumId w:val="6"/>
  </w:num>
  <w:num w:numId="28">
    <w:abstractNumId w:val="5"/>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2"/>
  <w:embedSystemFonts/>
  <w:proofState w:grammar="clean" w:spelling="clean"/>
  <w:stylePaneFormatFilter w:val="0004"/>
  <w:doNotTrackMoves/>
  <w:defaultTabStop w:val="720"/>
  <w:drawingGridHorizontalSpacing w:val="110"/>
  <w:drawingGridVerticalSpacing w:val="360"/>
  <w:displayHorizontalDrawingGridEvery w:val="2"/>
  <w:displayVerticalDrawingGridEvery w:val="0"/>
  <w:characterSpacingControl w:val="doNotCompress"/>
  <w:savePreviewPicture/>
  <w:hdrShapeDefaults>
    <o:shapedefaults spidmax="2049" v:ext="edit"/>
  </w:hdrShapeDefault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79"/>
    <w:rsid w:val="009F3179"/>
    <w:rsid w:val="00C10B24"/>
    <w:rsid w:val="00C54E5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en-US"/>
      </w:rPr>
    </w:rPrDefault>
    <w:pPrDefault>
      <w:pPr>
        <w:widowControl w:val="0"/>
        <w:autoSpaceDE w:val="0"/>
        <w:autoSpaceDN w:val="0"/>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Pr>
      <w:rFonts w:ascii="Times New Roman" w:cs="Times New Roman" w:eastAsia="Times New Roman" w:hAnsi="Times New Roman"/>
    </w:rPr>
  </w:style>
  <w:style w:styleId="Heading1" w:type="paragraph">
    <w:name w:val="heading 1"/>
    <w:basedOn w:val="Normal"/>
    <w:uiPriority w:val="9"/>
    <w:qFormat/>
    <w:pPr>
      <w:ind w:left="380"/>
      <w:outlineLvl w:val="0"/>
    </w:pPr>
    <w:rPr>
      <w:b/>
      <w:bCs/>
      <w:sz w:val="26"/>
      <w:szCs w:val="26"/>
    </w:rPr>
  </w:style>
  <w:style w:styleId="Heading2" w:type="paragraph">
    <w:name w:val="heading 2"/>
    <w:basedOn w:val="Normal"/>
    <w:uiPriority w:val="9"/>
    <w:unhideWhenUsed/>
    <w:qFormat/>
    <w:pPr>
      <w:spacing w:before="63"/>
      <w:ind w:left="667"/>
      <w:outlineLvl w:val="1"/>
    </w:pPr>
    <w:rPr>
      <w:sz w:val="26"/>
      <w:szCs w:val="26"/>
    </w:rPr>
  </w:style>
  <w:style w:styleId="Heading3" w:type="paragraph">
    <w:name w:val="heading 3"/>
    <w:basedOn w:val="Normal"/>
    <w:uiPriority w:val="9"/>
    <w:unhideWhenUsed/>
    <w:qFormat/>
    <w:pPr>
      <w:ind w:left="380"/>
      <w:outlineLvl w:val="2"/>
    </w:pPr>
    <w:rPr>
      <w:b/>
      <w:bCs/>
      <w:sz w:val="24"/>
      <w:szCs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OC1" w:type="paragraph">
    <w:name w:val="toc 1"/>
    <w:basedOn w:val="Normal"/>
    <w:uiPriority w:val="1"/>
    <w:qFormat/>
    <w:pPr>
      <w:spacing w:before="135"/>
      <w:ind w:left="380"/>
    </w:pPr>
    <w:rPr>
      <w:rFonts w:ascii="Arial" w:cs="Arial" w:eastAsia="Arial" w:hAnsi="Arial"/>
      <w:b/>
      <w:bCs/>
      <w:sz w:val="20"/>
      <w:szCs w:val="20"/>
    </w:rPr>
  </w:style>
  <w:style w:styleId="TOC2" w:type="paragraph">
    <w:name w:val="toc 2"/>
    <w:basedOn w:val="Normal"/>
    <w:uiPriority w:val="1"/>
    <w:qFormat/>
    <w:pPr>
      <w:spacing w:before="30"/>
      <w:ind w:left="620"/>
    </w:pPr>
    <w:rPr>
      <w:rFonts w:ascii="Arial" w:cs="Arial" w:eastAsia="Arial" w:hAnsi="Arial"/>
      <w:sz w:val="20"/>
      <w:szCs w:val="20"/>
    </w:rPr>
  </w:style>
  <w:style w:styleId="TOC3" w:type="paragraph">
    <w:name w:val="toc 3"/>
    <w:basedOn w:val="Normal"/>
    <w:uiPriority w:val="1"/>
    <w:qFormat/>
    <w:pPr>
      <w:spacing w:before="15"/>
      <w:ind w:left="620"/>
    </w:pPr>
    <w:rPr>
      <w:rFonts w:ascii="Arial" w:cs="Arial" w:eastAsia="Arial" w:hAnsi="Arial"/>
      <w:sz w:val="16"/>
      <w:szCs w:val="16"/>
    </w:rPr>
  </w:style>
  <w:style w:styleId="TOC4" w:type="paragraph">
    <w:name w:val="toc 4"/>
    <w:basedOn w:val="Normal"/>
    <w:uiPriority w:val="1"/>
    <w:qFormat/>
    <w:pPr>
      <w:spacing w:before="15"/>
      <w:ind w:left="620"/>
    </w:pPr>
    <w:rPr>
      <w:rFonts w:ascii="Arial" w:cs="Arial" w:eastAsia="Arial" w:hAnsi="Arial"/>
      <w:b/>
      <w:bCs/>
      <w:i/>
    </w:rPr>
  </w:style>
  <w:style w:styleId="TOC5" w:type="paragraph">
    <w:name w:val="toc 5"/>
    <w:basedOn w:val="Normal"/>
    <w:uiPriority w:val="1"/>
    <w:qFormat/>
    <w:pPr>
      <w:spacing w:before="15"/>
      <w:ind w:left="860"/>
    </w:pPr>
    <w:rPr>
      <w:rFonts w:ascii="Arial" w:cs="Arial" w:eastAsia="Arial" w:hAnsi="Arial"/>
      <w:i/>
      <w:sz w:val="20"/>
      <w:szCs w:val="20"/>
    </w:rPr>
  </w:style>
  <w:style w:styleId="BodyText" w:type="paragraph">
    <w:name w:val="Body Text"/>
    <w:basedOn w:val="Normal"/>
    <w:uiPriority w:val="1"/>
    <w:qFormat/>
    <w:pPr>
      <w:ind w:left="380"/>
    </w:pPr>
    <w:rPr>
      <w:sz w:val="24"/>
      <w:szCs w:val="24"/>
    </w:rPr>
  </w:style>
  <w:style w:styleId="Title" w:type="paragraph">
    <w:name w:val="Title"/>
    <w:basedOn w:val="Normal"/>
    <w:uiPriority w:val="10"/>
    <w:qFormat/>
    <w:pPr>
      <w:spacing w:before="88"/>
      <w:ind w:left="1007" w:right="826"/>
      <w:jc w:val="center"/>
    </w:pPr>
    <w:rPr>
      <w:b/>
      <w:bCs/>
      <w:sz w:val="32"/>
      <w:szCs w:val="32"/>
    </w:rPr>
  </w:style>
  <w:style w:styleId="ListParagraph" w:type="paragraph">
    <w:name w:val="List Paragraph"/>
    <w:basedOn w:val="Normal"/>
    <w:uiPriority w:val="1"/>
    <w:qFormat/>
    <w:pPr>
      <w:ind w:firstLine="720" w:left="380"/>
    </w:pPr>
  </w:style>
  <w:style w:customStyle="1" w:styleId="TableParagraph" w:type="paragraph">
    <w:name w:val="Table Paragraph"/>
    <w:basedOn w:val="Normal"/>
    <w:uiPriority w:val="1"/>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Type="http://schemas.openxmlformats.org/officeDocument/2006/relationships/numbering" Id="rId60" Target="numbering.xml" /><Relationship Type="http://schemas.openxmlformats.org/officeDocument/2006/relationships/styles" Id="rId59" Target="styles.xml" /><Relationship Type="http://schemas.openxmlformats.org/officeDocument/2006/relationships/settings" Id="rId58" Target="settings.xml" /><Relationship Type="http://schemas.openxmlformats.org/officeDocument/2006/relationships/webSettings" Id="rId57" Target="webSettings.xml" /><Relationship Type="http://schemas.openxmlformats.org/officeDocument/2006/relationships/fontTable" Id="rId56" Target="fontTable.xml" /><Relationship Type="http://schemas.openxmlformats.org/officeDocument/2006/relationships/theme" Id="rId55" Target="theme/theme1.xml" /><Relationship Type="http://schemas.openxmlformats.org/officeDocument/2006/relationships/footnotes" Id="rId54" Target="footnotes.xml" /><Relationship Type="http://schemas.openxmlformats.org/officeDocument/2006/relationships/comments" Id="rId53" Target="comments.xml" /><Relationship Id="rId13" Target="media/image5.png" Type="http://schemas.openxmlformats.org/officeDocument/2006/relationships/image" /><Relationship Id="rId18" Target="media/image10.png" Type="http://schemas.openxmlformats.org/officeDocument/2006/relationships/image" /><Relationship Id="rId26" Target="media/image17.png" Type="http://schemas.openxmlformats.org/officeDocument/2006/relationships/image" /><Relationship Id="rId21" Target="media/image13.png" Type="http://schemas.openxmlformats.org/officeDocument/2006/relationships/image" /><Relationship Id="rId50" Target="media/image23.png" Type="http://schemas.openxmlformats.org/officeDocument/2006/relationships/image" /><Relationship Id="rId7" Target="footer1.xml" Type="http://schemas.openxmlformats.org/officeDocument/2006/relationships/footer" /><Relationship Id="rId16" Target="media/image8.jpeg" Type="http://schemas.openxmlformats.org/officeDocument/2006/relationships/image" /><Relationship Id="rId29" Target="media/image20.png" Type="http://schemas.openxmlformats.org/officeDocument/2006/relationships/image" /><Relationship Id="rId11" Target="media/image3.png" Type="http://schemas.openxmlformats.org/officeDocument/2006/relationships/image" /><Relationship Id="rId24" Target="media/image16.png" Type="http://schemas.openxmlformats.org/officeDocument/2006/relationships/image" /><Relationship Id="rId19" Target="media/image11.png" Type="http://schemas.openxmlformats.org/officeDocument/2006/relationships/image" /><Relationship Id="rId9" Target="media/image1.jpeg" Type="http://schemas.openxmlformats.org/officeDocument/2006/relationships/image" /><Relationship Id="rId14" Target="media/image6.png" Type="http://schemas.openxmlformats.org/officeDocument/2006/relationships/image" /><Relationship Id="rId22" Target="media/image14.jpeg" Type="http://schemas.openxmlformats.org/officeDocument/2006/relationships/image" /><Relationship Id="rId27" Target="media/image18.png" Type="http://schemas.openxmlformats.org/officeDocument/2006/relationships/image" /><Relationship Id="rId30" Target="media/image21.png" Type="http://schemas.openxmlformats.org/officeDocument/2006/relationships/image" /><Relationship Id="rId8" Target="footer2.xml" Type="http://schemas.openxmlformats.org/officeDocument/2006/relationships/footer" /><Relationship Id="rId51" Target="media/image24.jpeg" Type="http://schemas.openxmlformats.org/officeDocument/2006/relationships/image" /><Relationship Id="rId12" Target="media/image4.png" Type="http://schemas.openxmlformats.org/officeDocument/2006/relationships/image" /><Relationship Id="rId17" Target="media/image9.png" Type="http://schemas.openxmlformats.org/officeDocument/2006/relationships/image" /><Relationship Id="rId20" Target="media/image12.png" Type="http://schemas.openxmlformats.org/officeDocument/2006/relationships/image" /><Relationship Id="rId15" Target="media/image7.png" Type="http://schemas.openxmlformats.org/officeDocument/2006/relationships/image" /><Relationship Id="rId23" Target="media/image15.jpeg" Type="http://schemas.openxmlformats.org/officeDocument/2006/relationships/image" /><Relationship Id="rId28" Target="media/image19.jpeg" Type="http://schemas.openxmlformats.org/officeDocument/2006/relationships/image" /><Relationship Id="rId10" Target="media/image2.jpeg" Type="http://schemas.openxmlformats.org/officeDocument/2006/relationships/image" /><Relationship Id="rId31" Target="media/image22.png" Type="http://schemas.openxmlformats.org/officeDocument/2006/relationships/image" /><Relationship Id="rId52" Target="media/image25.jpeg" Type="http://schemas.openxmlformats.org/officeDocument/2006/relationships/image" /><Relationship Type="http://schemas.openxmlformats.org/officeDocument/2006/relationships/image" Id="rId85" Target="media/rId8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61900</Words>
  <Characters>352835</Characters>
  <Application>Microsoft Office Word</Application>
  <DocSecurity>0</DocSecurity>
  <Lines>2940</Lines>
  <Paragraphs>827</Paragraphs>
  <ScaleCrop>false</ScaleCrop>
  <Company/>
  <LinksUpToDate>false</LinksUpToDate>
  <CharactersWithSpaces>413908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2026-07-29T15:07:05Z</dcterms:created>
  <dcterms:modified xsi:type="dcterms:W3CDTF">2026-07-29T15:07:05Z</dcterms:modified>
</cp:coreProperties>
</file>

<file path=docProps/custom.xml><?xml version="1.0" encoding="utf-8"?>
<Properties xmlns="http://schemas.openxmlformats.org/officeDocument/2006/custom-properties" xmlns:vt="http://schemas.openxmlformats.org/officeDocument/2006/docPropsVTypes"/>
</file>