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media/rId86.png" ContentType="image/png"/>
  <Override PartName="/word/media/image14.jpeg" ContentType="image/jpeg"/>
  <Override PartName="/word/media/image1.jpeg" ContentType="image/jpeg"/>
  <Override PartName="/word/media/image2.jpeg" ContentType="image/jpe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jpeg" ContentType="image/jpeg"/>
  <Override PartName="/word/media/image9.png" ContentType="image/png"/>
  <Override PartName="/word/media/image10.png" ContentType="image/png"/>
  <Override PartName="/word/media/image11.png" ContentType="image/png"/>
  <Override PartName="/word/media/image13.png" ContentType="image/png"/>
  <Override PartName="/word/media/image12.png" ContentType="image/png"/>
  <Override PartName="/word/media/image15.jpeg" ContentType="image/jpeg"/>
  <Override PartName="/word/media/image16.png" ContentType="image/png"/>
  <Override PartName="/word/media/image17.png" ContentType="image/png"/>
  <Override PartName="/word/media/image18.png" ContentType="image/png"/>
  <Override PartName="/word/media/image19.jpeg" ContentType="image/jpeg"/>
  <Override PartName="/word/media/image20.png" ContentType="image/png"/>
  <Override PartName="/word/media/image21.png" ContentType="image/png"/>
  <Override PartName="/word/media/image22.png" ContentType="image/png"/>
  <Override PartName="/word/media/image23.png" ContentType="image/png"/>
  <Override PartName="/word/media/image24.jpeg" ContentType="image/jpeg"/>
  <Override PartName="/word/media/image25.jpe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4" w:name="X375aa9000a948b974881d95706a7dfcd1e62942"/>
    <w:p>
      <w:pPr>
        <w:pStyle w:val="Heading1"/>
      </w:pPr>
      <w:r>
        <w:t xml:space="preserve">The Economic Instrument in Orbit: National Space Investment and Strategic Space Output</w:t>
      </w:r>
    </w:p>
    <w:bookmarkStart w:id="61" w:name="Xaf4202f8698c79b619aacccf92c56ad52ce8aba"/>
    <w:p>
      <w:pPr>
        <w:pStyle w:val="Heading2"/>
      </w:pPr>
      <w:r>
        <w:t xml:space="preserve">1. Why the economic instrument deserves a coefficient</w:t>
      </w:r>
    </w:p>
    <w:p>
      <w:pPr>
        <w:pStyle w:val="FirstParagraph"/>
      </w:pPr>
      <w:r>
        <w:t xml:space="preserve">Of the six instruments in the extended DIME framework used by this dissertation, the economic is the one most often invoked and least often measured. David Baldwin’s foundational move in</w:t>
      </w:r>
      <w:r>
        <w:t xml:space="preserve"> </w:t>
      </w:r>
      <w:r>
        <w:rPr>
          <w:i/>
          <w:iCs/>
        </w:rPr>
        <w:t xml:space="preserve">Economic Statecraft</w:t>
      </w:r>
      <w:r>
        <w:t xml:space="preserve"> </w:t>
      </w:r>
      <w:r>
        <w:t xml:space="preserve">was to insist that economic tools be placed on the same analytic footing as force rather than relegated to a residual category of low politics, and that the effectiveness of any instrument be judged against the cost and likely success of the alternatives a policymaker actually faced</w:t>
      </w:r>
      <w:r>
        <w:t xml:space="preserve"> </w:t>
      </w:r>
      <w:hyperlink w:anchor="ref-1">
        <m:oMathPara>
          <m:oMathParaPr>
            <m:jc m:val="center"/>
          </m:oMathParaPr>
          <m:oMath>
            <m:r>
              <m:t>1</m:t>
            </m:r>
          </m:oMath>
        </m:oMathPara>
      </w:hyperlink>
      <w:r>
        <w:t xml:space="preserve">. That standard is comparative and quantitative by construction. It requires knowing what a dollar of appropriated space money buys before one can argue that the money was well or badly spent. This paper supplies that estimate for the space domain.</w:t>
      </w:r>
    </w:p>
    <w:p>
      <w:pPr>
        <w:pStyle w:val="FirstParagraph"/>
      </w:pPr>
      <w:r>
        <w:t xml:space="preserve">The proposition under test is deliberately narrow. If the economic instrument functions in orbit the way the statecraft literature says it functions on Earth, then the deliberate appropriation of public money to space programs should show up as physical national presence in orbit, and it should do so over and above whatever a country’s raw wealth would predict. The distinction matters because the two rival explanations carry different strategic implications. If orbital presence tracks gross domestic product, then space power is a byproduct of economic size and the instrument is largely epiphenomenal. If orbital presence tracks the appropriated space budget while GDP adds nothing, then space power is a policy choice, and the economic instrument is doing real work that a state can decide to wield or decline to wield.</w:t>
      </w:r>
    </w:p>
    <w:bookmarkEnd w:id="61"/>
    <w:bookmarkStart w:id="62" w:name="specification"/>
    <w:p>
      <w:pPr>
        <w:pStyle w:val="Heading2"/>
      </w:pPr>
      <w:r>
        <w:t xml:space="preserve">2. Specification</w:t>
      </w:r>
    </w:p>
    <w:p>
      <w:pPr>
        <w:pStyle w:val="FirstParagraph"/>
      </w:pPr>
      <w:r>
        <w:t xml:space="preserve">The estimating equation is a log-log ordinary least squares regression of the on-orbit payload stock on the government space budget, national GDP, and a set of year dummies with 2018 as the omitted base:</w:t>
      </w:r>
    </w:p>
    <w:p>
      <w:pPr>
        <w:pStyle w:val="BodyText"/>
      </w:pPr>
      <m:oMathPara>
        <m:oMathParaPr>
          <m:jc m:val="center"/>
        </m:oMathParaPr>
        <m:oMath>
          <m:r>
            <m:rPr>
              <m:sty m:val="p"/>
            </m:rPr>
            <m:t>ln</m:t>
          </m:r>
          <m:r>
            <m:rPr>
              <m:sty m:val="p"/>
            </m:rPr>
            <m:t>(</m:t>
          </m:r>
          <m:sSub>
            <m:e>
              <m:r>
                <m:rPr>
                  <m:nor/>
                  <m:sty m:val="p"/>
                </m:rPr>
                <m:t>payloads_in_orbit</m:t>
              </m:r>
            </m:e>
            <m:sub>
              <m:r>
                <m:t>i</m:t>
              </m:r>
              <m:r>
                <m:t>t</m:t>
              </m:r>
            </m:sub>
          </m:sSub>
          <m:r>
            <m:rPr>
              <m:sty m:val="p"/>
            </m:rPr>
            <m:t>)</m:t>
          </m:r>
          <m:r>
            <m:rPr>
              <m:sty m:val="p"/>
            </m:rPr>
            <m:t>=</m:t>
          </m:r>
          <m:r>
            <m:t>α</m:t>
          </m:r>
          <m:r>
            <m:rPr>
              <m:sty m:val="p"/>
            </m:rPr>
            <m:t>+</m:t>
          </m:r>
          <m:sSub>
            <m:e>
              <m:r>
                <m:t>β</m:t>
              </m:r>
            </m:e>
            <m:sub>
              <m:r>
                <m:t>1</m:t>
              </m:r>
            </m:sub>
          </m:sSub>
          <m:r>
            <m:rPr>
              <m:sty m:val="p"/>
            </m:rPr>
            <m:t>ln</m:t>
          </m:r>
          <m:r>
            <m:rPr>
              <m:sty m:val="p"/>
            </m:rPr>
            <m:t>(</m:t>
          </m:r>
          <m:sSub>
            <m:e>
              <m:r>
                <m:rPr>
                  <m:nor/>
                  <m:sty m:val="p"/>
                </m:rPr>
                <m:t>space_budget_usd</m:t>
              </m:r>
            </m:e>
            <m:sub>
              <m:r>
                <m:t>i</m:t>
              </m:r>
              <m:r>
                <m:t>t</m:t>
              </m:r>
            </m:sub>
          </m:sSub>
          <m:r>
            <m:rPr>
              <m:sty m:val="p"/>
            </m:rPr>
            <m:t>)</m:t>
          </m:r>
          <m:r>
            <m:rPr>
              <m:sty m:val="p"/>
            </m:rPr>
            <m:t>+</m:t>
          </m:r>
          <m:sSub>
            <m:e>
              <m:r>
                <m:t>β</m:t>
              </m:r>
            </m:e>
            <m:sub>
              <m:r>
                <m:t>2</m:t>
              </m:r>
            </m:sub>
          </m:sSub>
          <m:r>
            <m:rPr>
              <m:sty m:val="p"/>
            </m:rPr>
            <m:t>ln</m:t>
          </m:r>
          <m:r>
            <m:rPr>
              <m:sty m:val="p"/>
            </m:rPr>
            <m:t>(</m:t>
          </m:r>
          <m:sSub>
            <m:e>
              <m:r>
                <m:rPr>
                  <m:nor/>
                  <m:sty m:val="p"/>
                </m:rPr>
                <m:t>gdp_usd</m:t>
              </m:r>
            </m:e>
            <m:sub>
              <m:r>
                <m:t>i</m:t>
              </m:r>
              <m:r>
                <m:t>t</m:t>
              </m:r>
            </m:sub>
          </m:sSub>
          <m:r>
            <m:rPr>
              <m:sty m:val="p"/>
            </m:rPr>
            <m:t>)</m:t>
          </m:r>
          <m:r>
            <m:rPr>
              <m:sty m:val="p"/>
            </m:rPr>
            <m:t>+</m:t>
          </m:r>
          <m:nary>
            <m:naryPr>
              <m:chr m:val="∑"/>
              <m:limLoc m:val="undOvr"/>
              <m:subHide m:val="off"/>
              <m:supHide m:val="off"/>
            </m:naryPr>
            <m:sub>
              <m:r>
                <m:t>t</m:t>
              </m:r>
              <m:r>
                <m:rPr>
                  <m:sty m:val="p"/>
                </m:rPr>
                <m:t>=</m:t>
              </m:r>
              <m:r>
                <m:t>2021</m:t>
              </m:r>
            </m:sub>
            <m:sup>
              <m:r>
                <m:t>2024</m:t>
              </m:r>
            </m:sup>
            <m:e>
              <m:sSub>
                <m:e>
                  <m:r>
                    <m:t>γ</m:t>
                  </m:r>
                </m:e>
                <m:sub>
                  <m:r>
                    <m:t>t</m:t>
                  </m:r>
                </m:sub>
              </m:sSub>
            </m:e>
          </m:nary>
          <m:sSub>
            <m:e>
              <m:r>
                <m:t>D</m:t>
              </m:r>
            </m:e>
            <m:sub>
              <m:r>
                <m:t>t</m:t>
              </m:r>
            </m:sub>
          </m:sSub>
          <m:r>
            <m:rPr>
              <m:sty m:val="p"/>
            </m:rPr>
            <m:t>+</m:t>
          </m:r>
          <m:sSub>
            <m:e>
              <m:r>
                <m:t>ε</m:t>
              </m:r>
            </m:e>
            <m:sub>
              <m:r>
                <m:t>i</m:t>
              </m:r>
              <m:r>
                <m:t>t</m:t>
              </m:r>
            </m:sub>
          </m:sSub>
          <m:r>
            <m:rPr>
              <m:sty m:val="p"/>
            </m:rPr>
            <m:t>.</m:t>
          </m:r>
        </m:oMath>
      </m:oMathPara>
    </w:p>
    <w:p>
      <w:pPr>
        <w:pStyle w:val="FirstParagraph"/>
      </w:pPr>
      <w:r>
        <w:t xml:space="preserve">Standard errors are heteroskedasticity-consistent of the HC1 form, following White, because the variance of orbital outcomes is manifestly larger for large spenders than for small ones</w:t>
      </w:r>
      <w:r>
        <w:t xml:space="preserve"> </w:t>
      </w:r>
      <w:hyperlink w:anchor="ref-17">
        <m:oMathPara>
          <m:oMathParaPr>
            <m:jc m:val="center"/>
          </m:oMathParaPr>
          <m:oMath>
            <m:r>
              <m:t>17</m:t>
            </m:r>
          </m:oMath>
        </m:oMathPara>
      </w:hyperlink>
      <w:r>
        <w:t xml:space="preserve">. The logarithmic form is not cosmetic. The panel spans two and a half orders of magnitude in on-orbit stock, from 44 payloads to 8,797, so the coefficient of interest is best read as an elasticity: the percentage change in national orbital presence associated with a one percent change in the appropriated space budget. The year dummies absorb common shocks to launch capacity and to the global cost of access, which is the correct treatment given that the price per kilogram to orbit fell sharply across the sample window. The null hypothesis sets the budget elasticity to zero; the alternative predicts it positive.</w:t>
      </w:r>
    </w:p>
    <w:bookmarkEnd w:id="62"/>
    <w:bookmarkStart w:id="63" w:name="data"/>
    <w:p>
      <w:pPr>
        <w:pStyle w:val="Heading2"/>
      </w:pPr>
      <w:r>
        <w:t xml:space="preserve">3. Data</w:t>
      </w:r>
    </w:p>
    <w:p>
      <w:pPr>
        <w:pStyle w:val="FirstParagraph"/>
      </w:pPr>
      <w:r>
        <w:t xml:space="preserve">The panel comprises 27 country-year observations covering 13 states in 2018, 2021, 2022, 2023 and 2024. Government space budgets are drawn from successive editions of the Euroconsult and Novaspace</w:t>
      </w:r>
      <w:r>
        <w:t xml:space="preserve"> </w:t>
      </w:r>
      <w:r>
        <w:rPr>
          <w:i/>
          <w:iCs/>
        </w:rPr>
        <w:t xml:space="preserve">Government Space Programs</w:t>
      </w:r>
      <w:r>
        <w:t xml:space="preserve"> </w:t>
      </w:r>
      <w:r>
        <w:t xml:space="preserve">series, which is the only recurring source that reports civil and defense space appropriations on a common basis across more than ninety countries. The 2018 values come from the 2019 edition as reported in</w:t>
      </w:r>
      <w:r>
        <w:t xml:space="preserve"> </w:t>
      </w:r>
      <w:r>
        <w:rPr>
          <w:i/>
          <w:iCs/>
        </w:rPr>
        <w:t xml:space="preserve">SpaceNews</w:t>
      </w:r>
      <w:r>
        <w:t xml:space="preserve"> </w:t>
      </w:r>
      <w:hyperlink w:anchor="ref-8">
        <m:oMathPara>
          <m:oMathParaPr>
            <m:jc m:val="center"/>
          </m:oMathParaPr>
          <m:oMath>
            <m:r>
              <m:t>8</m:t>
            </m:r>
          </m:oMath>
        </m:oMathPara>
      </w:hyperlink>
      <w:r>
        <w:t xml:space="preserve">, the 2021 values from the 2022 edition as reported by</w:t>
      </w:r>
      <w:r>
        <w:t xml:space="preserve"> </w:t>
      </w:r>
      <w:r>
        <w:rPr>
          <w:i/>
          <w:iCs/>
        </w:rPr>
        <w:t xml:space="preserve">Via Satellite</w:t>
      </w:r>
      <w:r>
        <w:t xml:space="preserve"> </w:t>
      </w:r>
      <w:hyperlink w:anchor="ref-9">
        <m:oMathPara>
          <m:oMathParaPr>
            <m:jc m:val="center"/>
          </m:oMathParaPr>
          <m:oMath>
            <m:r>
              <m:t>9</m:t>
            </m:r>
          </m:oMath>
        </m:oMathPara>
      </w:hyperlink>
      <w:r>
        <w:t xml:space="preserve">, the 2022 values from the 2023 edition</w:t>
      </w:r>
      <w:r>
        <w:t xml:space="preserve"> </w:t>
      </w:r>
      <w:hyperlink w:anchor="ref-10">
        <m:oMathPara>
          <m:oMathParaPr>
            <m:jc m:val="center"/>
          </m:oMathParaPr>
          <m:oMath>
            <m:r>
              <m:t>10</m:t>
            </m:r>
          </m:oMath>
        </m:oMathPara>
      </w:hyperlink>
      <w:r>
        <w:t xml:space="preserve">, the 2023 values from the twenty-third edition as reported by SpaceQ</w:t>
      </w:r>
      <w:r>
        <w:t xml:space="preserve"> </w:t>
      </w:r>
      <w:hyperlink w:anchor="ref-11">
        <m:oMathPara>
          <m:oMathParaPr>
            <m:jc m:val="center"/>
          </m:oMathParaPr>
          <m:oMath>
            <m:r>
              <m:t>11</m:t>
            </m:r>
          </m:oMath>
        </m:oMathPara>
      </w:hyperlink>
      <w:r>
        <w:t xml:space="preserve">, and the 2024 values from the twenty-fourth edition as compiled in the Statista series on leading-country space spending</w:t>
      </w:r>
      <w:r>
        <w:t xml:space="preserve"> </w:t>
      </w:r>
      <w:hyperlink w:anchor="ref-12">
        <m:oMathPara>
          <m:oMathParaPr>
            <m:jc m:val="center"/>
          </m:oMathParaPr>
          <m:oMath>
            <m:r>
              <m:t>12</m:t>
            </m:r>
          </m:oMath>
        </m:oMathPara>
      </w:hyperlink>
      <w:r>
        <w:t xml:space="preserve">. GDP in current dollars is taken from the World Bank’s World Development Indicators, series NY.GDP.MKTP.CD, retrieved directly from the API</w:t>
      </w:r>
      <w:r>
        <w:t xml:space="preserve"> </w:t>
      </w:r>
      <w:hyperlink w:anchor="ref-13">
        <m:oMathPara>
          <m:oMathParaPr>
            <m:jc m:val="center"/>
          </m:oMathParaPr>
          <m:oMath>
            <m:r>
              <m:t>13</m:t>
            </m:r>
          </m:oMath>
        </m:oMathPara>
      </w:hyperlink>
      <w:r>
        <w:t xml:space="preserve">. The OECD’s parallel accounting corroborates the shape of the series, reporting member-economy space budgets on the order of 75 billion dollars in 2022 with the United States above half the total, followed by China, Japan and France</w:t>
      </w:r>
      <w:r>
        <w:t xml:space="preserve"> </w:t>
      </w:r>
      <w:hyperlink w:anchor="ref-16">
        <m:oMathPara>
          <m:oMathParaPr>
            <m:jc m:val="center"/>
          </m:oMathParaPr>
          <m:oMath>
            <m:r>
              <m:t>16</m:t>
            </m:r>
          </m:oMath>
        </m:oMathPara>
      </w:hyperlink>
      <w:r>
        <w:t xml:space="preserve">.</w:t>
      </w:r>
    </w:p>
    <w:p>
      <w:pPr>
        <w:pStyle w:val="FirstParagraph"/>
      </w:pPr>
      <w:r>
        <w:t xml:space="preserve">The dependent variable is constructed from the CelesTrak satellite catalogue, not from a secondary tabulation</w:t>
      </w:r>
      <w:r>
        <w:t xml:space="preserve"> </w:t>
      </w:r>
      <w:hyperlink w:anchor="ref-14">
        <m:oMathPara>
          <m:oMathParaPr>
            <m:jc m:val="center"/>
          </m:oMathParaPr>
          <m:oMath>
            <m:r>
              <m:t>14</m:t>
            </m:r>
          </m:oMath>
        </m:oMathPara>
      </w:hyperlink>
      <w:r>
        <w:t xml:space="preserve">. For each country and year, the measure counts catalogued payloads attributed to that country’s owner code that were launched on or before 31 December of the year and had not decayed by that date. This is a stock rather than a flow, which is the theoretically correct object here: strategic presence in orbit is what a state has on station, not what it launched last quarter. Every row in the dataset names its real source in the final column, and no cell is an estimate.</w:t>
      </w:r>
    </w:p>
    <w:p>
      <w:pPr>
        <w:pStyle w:val="FirstParagraph"/>
      </w:pPr>
      <w:r>
        <w:t xml:space="preserve">The resulting spread of national commitment is instructive on its own. Space budget as a share of GDP ranges from 0.033 percent for Canada in 2023 to 0.272 percent for the United States in 2024. Goswami and Garretson made the same point qualitatively when they observed that at the time of their writing NASA received 19.65 billion dollars out of a 3.8 trillion dollar federal budget drawn on an 18.6 trillion dollar economy</w:t>
      </w:r>
      <w:r>
        <w:t xml:space="preserve"> </w:t>
      </w:r>
      <w:hyperlink w:anchor="ref-7">
        <m:oMathPara>
          <m:oMathParaPr>
            <m:jc m:val="center"/>
          </m:oMathParaPr>
          <m:oMath>
            <m:r>
              <m:t>7</m:t>
            </m:r>
          </m:oMath>
        </m:oMathPara>
      </w:hyperlink>
      <w:r>
        <w:t xml:space="preserve">. The instrument is small in fiscal terms and consequential in strategic terms, which is exactly the configuration that makes elasticity the right quantity to estimate.</w:t>
      </w:r>
    </w:p>
    <w:bookmarkEnd w:id="63"/>
    <w:bookmarkStart w:id="64" w:name="results"/>
    <w:p>
      <w:pPr>
        <w:pStyle w:val="Heading2"/>
      </w:pPr>
      <w:r>
        <w:t xml:space="preserve">4. Results</w:t>
      </w:r>
    </w:p>
    <w:p>
      <w:pPr>
        <w:pStyle w:val="FirstParagraph"/>
      </w:pPr>
      <w:r>
        <w:t xml:space="preserve">The specification fits well for a cross-country panel of this size. R-squared is 0.799, adjusted R-squared is 0.738, and the joint F-statistic is 35.4 with p = 1.2e-09. The budget elasticity is 1.319 with a robust standard error of 0.313, giving z = 4.22 and p &lt; 0.001, so the null of no association is rejected decisively. The 95 percent confidence interval runs from 0.706 to 1.932.</w:t>
      </w:r>
    </w:p>
    <w:p>
      <w:pPr>
        <w:pStyle w:val="BodyText"/>
      </w:pPr>
      <w:r>
        <w:t xml:space="preserve">Three secondary findings carry more interpretive weight than the headline coefficient. First, the coefficient on log GDP is negative and statistically indistinguishable from zero (-0.326, robust SE 0.516, p = 0.527). Conditional on what a state actually appropriates for space, national wealth predicts nothing about orbital presence. Second, none of the four year dummies approaches significance, the largest being 2023 at 0.638 with p = 0.227. There is no secular drift in orbital output that the budget variable fails to capture. Third, the budget elasticity cannot be distinguished from unity: a Wald test of the restriction beta_1 = 1 returns p = 0.308, and the bivariate regression of log stock on log budget alone yields an elasticity of 0.998 with a standard error of 0.072 and an R-squared of 0.758. Doubling the appropriation is associated with roughly doubling the on-orbit stock.</w:t>
      </w:r>
    </w:p>
    <w:p>
      <w:pPr>
        <w:pStyle w:val="BodyText"/>
      </w:pPr>
      <w:r>
        <w:t xml:space="preserve">The result survives the obvious robustness checks. Dropping the year dummies, so that log budget and log GDP are the only regressors, gives an elasticity of 1.108 (SE 0.084) with essentially no loss of fit. Excluding the United States entirely, which removes the observations that dominate the upper tail, leaves the elasticity positive and significant at 1.767 (SE 0.591, p = 0.003) while GDP remains insignificant. The correlation between log budget and log GDP is 0.901 and the variance inflation factors are 6.4 and 5.9, so the two regressors are genuinely difficult to separate; the honest reading is that log budget carries the explanatory content that log GDP might otherwise have claimed, and not that wealth is irrelevant to the capacity to fund a space program.</w:t>
      </w:r>
    </w:p>
    <w:bookmarkEnd w:id="64"/>
    <w:bookmarkStart w:id="65" w:name="the-finding-read-through-the-canon"/>
    <w:p>
      <w:pPr>
        <w:pStyle w:val="Heading2"/>
      </w:pPr>
      <w:r>
        <w:t xml:space="preserve">5. The finding read through the canon</w:t>
      </w:r>
    </w:p>
    <w:p>
      <w:pPr>
        <w:pStyle w:val="FirstParagraph"/>
      </w:pPr>
      <w:r>
        <w:t xml:space="preserve">Hirschman argued in 1945 that the strategic content of an economic relationship lies not in its aggregate volume but in its structure, in who depends on whom and at which points</w:t>
      </w:r>
      <w:r>
        <w:t xml:space="preserve"> </w:t>
      </w:r>
      <w:hyperlink w:anchor="ref-3">
        <m:oMathPara>
          <m:oMathParaPr>
            <m:jc m:val="center"/>
          </m:oMathParaPr>
          <m:oMath>
            <m:r>
              <m:t>3</m:t>
            </m:r>
          </m:oMath>
        </m:oMathPara>
      </w:hyperlink>
      <w:r>
        <w:t xml:space="preserve">. The estimated coefficients reproduce that logic almost exactly. Aggregate scale, which is what GDP measures, does not convert into orbital presence. Directed appropriation, which is a structural choice about where national resources are pointed, does. A near-unit elasticity means that orbital presence is close to a linear purchase, and that no state is exempted from paying for it by virtue of being rich.</w:t>
      </w:r>
    </w:p>
    <w:p>
      <w:pPr>
        <w:pStyle w:val="FirstParagraph"/>
      </w:pPr>
      <w:r>
        <w:t xml:space="preserve">Baldwin’s opportunity-cost standard then becomes tractable</w:t>
      </w:r>
      <w:r>
        <w:t xml:space="preserve"> </w:t>
      </w:r>
      <w:hyperlink w:anchor="ref-1">
        <m:oMathPara>
          <m:oMathParaPr>
            <m:jc m:val="center"/>
          </m:oMathParaPr>
          <m:oMath>
            <m:r>
              <m:t>1</m:t>
            </m:r>
          </m:oMath>
        </m:oMathPara>
      </w:hyperlink>
      <w:r>
        <w:t xml:space="preserve">. If a doubling of the space budget buys a doubling of orbital stock, the analyst can compare that conversion rate against what the same money would buy through the diplomatic, informational, military, legal, or law-enforcement instruments, which is the comparison Baldwin insisted on and which the field has rarely been equipped to make. Mariana Mazzucato’s entrepreneurial-state thesis receives partial support and a partial correction</w:t>
      </w:r>
      <w:r>
        <w:t xml:space="preserve"> </w:t>
      </w:r>
      <w:hyperlink w:anchor="ref-4">
        <m:oMathPara>
          <m:oMathParaPr>
            <m:jc m:val="center"/>
          </m:oMathParaPr>
          <m:oMath>
            <m:r>
              <m:t>4</m:t>
            </m:r>
          </m:oMath>
        </m:oMathPara>
      </w:hyperlink>
      <w:r>
        <w:t xml:space="preserve">[5]. The public purse is clearly the lead investor: the fitted line runs through appropriations, not through private wealth. Yet the correction lies in the residuals. The United Kingdom held 698 payloads in orbit in 2023 on a government space budget of 1.45 billion dollars</w:t>
      </w:r>
      <w:r>
        <w:t xml:space="preserve"> </w:t>
      </w:r>
      <w:hyperlink w:anchor="ref-11">
        <m:oMathPara>
          <m:oMathParaPr>
            <m:jc m:val="center"/>
          </m:oMathParaPr>
          <m:oMath>
            <m:r>
              <m:t>11</m:t>
            </m:r>
          </m:oMath>
        </m:oMathPara>
      </w:hyperlink>
      <w:r>
        <w:t xml:space="preserve">[14], a position built on a privately financed constellation in which the state took an equity stake rather than commissioned a program. That is Mazzucato’s risk-and-reward argument in its sharpest form, and it is also the point at which a purely budget-driven model begins to under-predict.</w:t>
      </w:r>
    </w:p>
    <w:p>
      <w:pPr>
        <w:pStyle w:val="FirstParagraph"/>
      </w:pPr>
      <w:r>
        <w:t xml:space="preserve">William Norris supplies the missing variable</w:t>
      </w:r>
      <w:r>
        <w:t xml:space="preserve"> </w:t>
      </w:r>
      <w:hyperlink w:anchor="ref-2">
        <m:oMathPara>
          <m:oMathParaPr>
            <m:jc m:val="center"/>
          </m:oMathParaPr>
          <m:oMath>
            <m:r>
              <m:t>2</m:t>
            </m:r>
          </m:oMath>
        </m:oMathPara>
      </w:hyperlink>
      <w:r>
        <w:t xml:space="preserve">. His claim is that economic statecraft is at bottom a control problem, and that strategic effect requires both centralized goal-setting and the ability to steer commercial actors. The United States, whose stock rose from 1,715 payloads in 2018 to 8,797 in 2024 while its budget rose by a factor of less than two, is the clearest case of a state whose orbital output is being generated by commercial actors it does not directly command. China, rising from 346 to 1,067 payloads on a budget that more than tripled, is the clearest case of output generated through the appropriation channel itself. The two trajectories sit on the same fitted line but arrive there by different institutional routes, which is precisely Norris’s distinction between economic scale and state control.</w:t>
      </w:r>
    </w:p>
    <w:p>
      <w:pPr>
        <w:pStyle w:val="FirstParagraph"/>
      </w:pPr>
      <w:r>
        <w:t xml:space="preserve">Blackwill and Harris supply the strategic conclusion</w:t>
      </w:r>
      <w:r>
        <w:t xml:space="preserve"> </w:t>
      </w:r>
      <w:hyperlink w:anchor="ref-6">
        <m:oMathPara>
          <m:oMathParaPr>
            <m:jc m:val="center"/>
          </m:oMathParaPr>
          <m:oMath>
            <m:r>
              <m:t>6</m:t>
            </m:r>
          </m:oMath>
        </m:oMathPara>
      </w:hyperlink>
      <w:r>
        <w:t xml:space="preserve">. Their charge is that the United States reaches for the gun instead of the purse and treats economics as a lesser instrument. This regression suggests the purse is unusually well behaved in orbit: the conversion of money into presence is close to linear, statistically strong, and stable across five years. An instrument with that profile is a candidate for deliberate use rather than incidental use, which is the same conclusion Dailey reaches from the architecture and norms side when he argues that behavior in the space domain is shaped by the structures states build into it rather than by declarations about it</w:t>
      </w:r>
      <w:r>
        <w:t xml:space="preserve"> </w:t>
      </w:r>
      <w:hyperlink w:anchor="ref-15">
        <m:oMathPara>
          <m:oMathParaPr>
            <m:jc m:val="center"/>
          </m:oMathParaPr>
          <m:oMath>
            <m:r>
              <m:t>15</m:t>
            </m:r>
          </m:oMath>
        </m:oMathPara>
      </w:hyperlink>
      <w:r>
        <w:t xml:space="preserve">.</w:t>
      </w:r>
    </w:p>
    <w:bookmarkEnd w:id="65"/>
    <w:bookmarkStart w:id="66" w:name="limits"/>
    <w:p>
      <w:pPr>
        <w:pStyle w:val="Heading2"/>
      </w:pPr>
      <w:r>
        <w:t xml:space="preserve">6. Limits</w:t>
      </w:r>
    </w:p>
    <w:p>
      <w:pPr>
        <w:pStyle w:val="FirstParagraph"/>
      </w:pPr>
      <w:r>
        <w:t xml:space="preserve">Three caveats bound the claim. The panel is unbalanced, and the 2023 rows are weighted toward middle-tier spenders while the 2024 rows are weighted toward large ones, so the year dummies partly absorb composition rather than time. Owner attribution in the satellite catalogue assigns some European assets to multinational operator codes rather than to member states, which understates the French, German, and Italian stocks</w:t>
      </w:r>
      <w:r>
        <w:t xml:space="preserve"> </w:t>
      </w:r>
      <w:hyperlink w:anchor="ref-14">
        <m:oMathPara>
          <m:oMathParaPr>
            <m:jc m:val="center"/>
          </m:oMathParaPr>
          <m:oMath>
            <m:r>
              <m:t>14</m:t>
            </m:r>
          </m:oMath>
        </m:oMathPara>
      </w:hyperlink>
      <w:r>
        <w:t xml:space="preserve">. And the specification is associational, not causal: budgets and satellites are jointly determined, and a state that intends to field a constellation appropriates for it in advance. What the estimate establishes is the exchange rate between the economic instrument and orbital presence, measured on real data. What it cannot establish is the direction of the strategic intent that set that rate.</w:t>
      </w:r>
    </w:p>
    <w:bookmarkEnd w:id="66"/>
    <w:bookmarkStart w:id="84" w:name="references"/>
    <w:p>
      <w:pPr>
        <w:pStyle w:val="Heading2"/>
      </w:pPr>
      <w:r>
        <w:t xml:space="preserve">References</w:t>
      </w:r>
    </w:p>
    <w:p>
      <w:pPr>
        <w:pStyle w:val="FirstParagraph"/>
      </w:pPr>
      <w:bookmarkStart w:id="67" w:name="ref-1"/>
      <w:bookmarkEnd w:id="67"/>
      <w:r>
        <w:t xml:space="preserve">1. Baldwin, D.A.</w:t>
      </w:r>
      <w:r>
        <w:t xml:space="preserve"> </w:t>
      </w:r>
      <w:r>
        <w:rPr>
          <w:i/>
          <w:iCs/>
        </w:rPr>
        <w:t xml:space="preserve">Economic Statecraft.</w:t>
      </w:r>
      <w:r>
        <w:t xml:space="preserve"> </w:t>
      </w:r>
      <w:r>
        <w:t xml:space="preserve">Princeton: Princeton University Press, 1985 (2nd edition, 2020).</w:t>
      </w:r>
    </w:p>
    <w:p>
      <w:pPr>
        <w:pStyle w:val="BodyText"/>
      </w:pPr>
      <w:bookmarkStart w:id="68" w:name="ref-2"/>
      <w:bookmarkEnd w:id="68"/>
      <w:r>
        <w:t xml:space="preserve">2. Norris, W.J.</w:t>
      </w:r>
      <w:r>
        <w:t xml:space="preserve"> </w:t>
      </w:r>
      <w:r>
        <w:rPr>
          <w:i/>
          <w:iCs/>
        </w:rPr>
        <w:t xml:space="preserve">Chinese Economic Statecraft: Commercial Actors, Grand Strategy, and State Control.</w:t>
      </w:r>
      <w:r>
        <w:t xml:space="preserve"> </w:t>
      </w:r>
      <w:r>
        <w:t xml:space="preserve">Ithaca: Cornell University Press, 2016. DOI 10.7591/9781501704031.</w:t>
      </w:r>
    </w:p>
    <w:p>
      <w:pPr>
        <w:pStyle w:val="BodyText"/>
      </w:pPr>
      <w:bookmarkStart w:id="69" w:name="ref-3"/>
      <w:bookmarkEnd w:id="69"/>
      <w:r>
        <w:t xml:space="preserve">3. Hirschman, A.O.</w:t>
      </w:r>
      <w:r>
        <w:t xml:space="preserve"> </w:t>
      </w:r>
      <w:r>
        <w:rPr>
          <w:i/>
          <w:iCs/>
        </w:rPr>
        <w:t xml:space="preserve">National Power and the Structure of Foreign Trade.</w:t>
      </w:r>
      <w:r>
        <w:t xml:space="preserve"> </w:t>
      </w:r>
      <w:r>
        <w:t xml:space="preserve">Berkeley: University of California Press, 1945 (expanded edition, 1980).</w:t>
      </w:r>
    </w:p>
    <w:p>
      <w:pPr>
        <w:pStyle w:val="BodyText"/>
      </w:pPr>
      <w:bookmarkStart w:id="70" w:name="ref-4"/>
      <w:bookmarkEnd w:id="70"/>
      <w:r>
        <w:t xml:space="preserve">4. Mazzucato, M.</w:t>
      </w:r>
      <w:r>
        <w:t xml:space="preserve"> </w:t>
      </w:r>
      <w:r>
        <w:rPr>
          <w:i/>
          <w:iCs/>
        </w:rPr>
        <w:t xml:space="preserve">The Entrepreneurial State: Debunking Public vs. Private Sector Myths.</w:t>
      </w:r>
      <w:r>
        <w:t xml:space="preserve"> </w:t>
      </w:r>
      <w:r>
        <w:t xml:space="preserve">London: Anthem Press, 2013.</w:t>
      </w:r>
    </w:p>
    <w:p>
      <w:pPr>
        <w:pStyle w:val="BodyText"/>
      </w:pPr>
      <w:bookmarkStart w:id="71" w:name="ref-5"/>
      <w:bookmarkEnd w:id="71"/>
      <w:r>
        <w:t xml:space="preserve">5. Mazzucato, M.</w:t>
      </w:r>
      <w:r>
        <w:t xml:space="preserve"> </w:t>
      </w:r>
      <w:r>
        <w:t xml:space="preserve">“Mission-oriented innovation policies: challenges and opportunities.”</w:t>
      </w:r>
      <w:r>
        <w:t xml:space="preserve"> </w:t>
      </w:r>
      <w:r>
        <w:rPr>
          <w:i/>
          <w:iCs/>
        </w:rPr>
        <w:t xml:space="preserve">Industrial and Corporate Change</w:t>
      </w:r>
      <w:r>
        <w:t xml:space="preserve"> </w:t>
      </w:r>
      <w:r>
        <w:t xml:space="preserve">27, no. 5 (2018): 803-815. DOI 10.1093/icc/dty034.</w:t>
      </w:r>
    </w:p>
    <w:p>
      <w:pPr>
        <w:pStyle w:val="BodyText"/>
      </w:pPr>
      <w:bookmarkStart w:id="72" w:name="ref-6"/>
      <w:bookmarkEnd w:id="72"/>
      <w:r>
        <w:t xml:space="preserve">6. Blackwill, R.D., and J.M. Harris.</w:t>
      </w:r>
      <w:r>
        <w:t xml:space="preserve"> </w:t>
      </w:r>
      <w:r>
        <w:rPr>
          <w:i/>
          <w:iCs/>
        </w:rPr>
        <w:t xml:space="preserve">War by Other Means: Geoeconomics and Statecraft.</w:t>
      </w:r>
      <w:r>
        <w:t xml:space="preserve"> </w:t>
      </w:r>
      <w:r>
        <w:t xml:space="preserve">Cambridge, MA: Belknap Press of Harvard University Press, 2016. DOI 10.4159/9780674545960.</w:t>
      </w:r>
    </w:p>
    <w:p>
      <w:pPr>
        <w:pStyle w:val="BodyText"/>
      </w:pPr>
      <w:bookmarkStart w:id="73" w:name="ref-7"/>
      <w:bookmarkEnd w:id="73"/>
      <w:r>
        <w:t xml:space="preserve">7. Goswami, N., and P.A. Garretson.</w:t>
      </w:r>
      <w:r>
        <w:t xml:space="preserve"> </w:t>
      </w:r>
      <w:r>
        <w:rPr>
          <w:i/>
          <w:iCs/>
        </w:rPr>
        <w:t xml:space="preserve">Scramble for the Skies: The Great Power Competition to Control the Resources of Outer Space.</w:t>
      </w:r>
      <w:r>
        <w:t xml:space="preserve"> </w:t>
      </w:r>
      <w:r>
        <w:t xml:space="preserve">Lanham: Lexington Books, 2020. DOI 10.5771/9781498583121.</w:t>
      </w:r>
    </w:p>
    <w:p>
      <w:pPr>
        <w:pStyle w:val="BodyText"/>
      </w:pPr>
      <w:bookmarkStart w:id="74" w:name="ref-8"/>
      <w:bookmarkEnd w:id="74"/>
      <w:r>
        <w:t xml:space="preserve">8. Euroconsult.</w:t>
      </w:r>
      <w:r>
        <w:t xml:space="preserve"> </w:t>
      </w:r>
      <w:r>
        <w:rPr>
          <w:i/>
          <w:iCs/>
        </w:rPr>
        <w:t xml:space="preserve">Government Space Programs</w:t>
      </w:r>
      <w:r>
        <w:t xml:space="preserve">, 2019 edition. Country budget values for 2018 as reported in</w:t>
      </w:r>
      <w:r>
        <w:t xml:space="preserve"> </w:t>
      </w:r>
      <w:r>
        <w:t xml:space="preserve">“Op-ed: Global government space budgets continues multiyear rebound,”</w:t>
      </w:r>
      <w:r>
        <w:t xml:space="preserve"> </w:t>
      </w:r>
      <w:r>
        <w:rPr>
          <w:i/>
          <w:iCs/>
        </w:rPr>
        <w:t xml:space="preserve">SpaceNews</w:t>
      </w:r>
      <w:r>
        <w:t xml:space="preserve">.</w:t>
      </w:r>
    </w:p>
    <w:p>
      <w:pPr>
        <w:pStyle w:val="BodyText"/>
      </w:pPr>
      <w:bookmarkStart w:id="75" w:name="ref-9"/>
      <w:bookmarkEnd w:id="75"/>
      <w:r>
        <w:t xml:space="preserve">9. Euroconsult.</w:t>
      </w:r>
      <w:r>
        <w:t xml:space="preserve"> </w:t>
      </w:r>
      <w:r>
        <w:rPr>
          <w:i/>
          <w:iCs/>
        </w:rPr>
        <w:t xml:space="preserve">Government Space Programs</w:t>
      </w:r>
      <w:r>
        <w:t xml:space="preserve">, 2022 edition. Country budget values for 2021 as reported in</w:t>
      </w:r>
      <w:r>
        <w:t xml:space="preserve"> </w:t>
      </w:r>
      <w:r>
        <w:t xml:space="preserve">“Euroconsult Reports Record Government Space Investment in 2021,”</w:t>
      </w:r>
      <w:r>
        <w:t xml:space="preserve"> </w:t>
      </w:r>
      <w:r>
        <w:rPr>
          <w:i/>
          <w:iCs/>
        </w:rPr>
        <w:t xml:space="preserve">Via Satellite</w:t>
      </w:r>
      <w:r>
        <w:t xml:space="preserve">, 7 January 2022.</w:t>
      </w:r>
    </w:p>
    <w:p>
      <w:pPr>
        <w:pStyle w:val="BodyText"/>
      </w:pPr>
      <w:bookmarkStart w:id="76" w:name="ref-10"/>
      <w:bookmarkEnd w:id="76"/>
      <w:r>
        <w:t xml:space="preserve">10. Euroconsult.</w:t>
      </w:r>
      <w:r>
        <w:t xml:space="preserve"> </w:t>
      </w:r>
      <w:r>
        <w:rPr>
          <w:i/>
          <w:iCs/>
        </w:rPr>
        <w:t xml:space="preserve">Government Space Programs</w:t>
      </w:r>
      <w:r>
        <w:t xml:space="preserve">, 2023 edition. Country budget values for 2022 as reported in</w:t>
      </w:r>
      <w:r>
        <w:t xml:space="preserve"> </w:t>
      </w:r>
      <w:r>
        <w:t xml:space="preserve">“Global governments’ space budget reaches $103bn in 2022: Euroconsult,”</w:t>
      </w:r>
      <w:r>
        <w:t xml:space="preserve"> </w:t>
      </w:r>
      <w:r>
        <w:rPr>
          <w:i/>
          <w:iCs/>
        </w:rPr>
        <w:t xml:space="preserve">BroadcastPro ME</w:t>
      </w:r>
      <w:r>
        <w:t xml:space="preserve">.</w:t>
      </w:r>
    </w:p>
    <w:p>
      <w:pPr>
        <w:pStyle w:val="BodyText"/>
      </w:pPr>
      <w:bookmarkStart w:id="77" w:name="ref-11"/>
      <w:bookmarkEnd w:id="77"/>
      <w:r>
        <w:t xml:space="preserve">11. Euroconsult / Novaspace.</w:t>
      </w:r>
      <w:r>
        <w:t xml:space="preserve"> </w:t>
      </w:r>
      <w:r>
        <w:rPr>
          <w:i/>
          <w:iCs/>
        </w:rPr>
        <w:t xml:space="preserve">Government Space Programs</w:t>
      </w:r>
      <w:r>
        <w:t xml:space="preserve">, 23rd edition. Country budget values for 2023 as reported in</w:t>
      </w:r>
      <w:r>
        <w:t xml:space="preserve"> </w:t>
      </w:r>
      <w:r>
        <w:t xml:space="preserve">“Defence Expenditures Again Drive Record Government Spending in Space,”</w:t>
      </w:r>
      <w:r>
        <w:t xml:space="preserve"> </w:t>
      </w:r>
      <w:r>
        <w:rPr>
          <w:i/>
          <w:iCs/>
        </w:rPr>
        <w:t xml:space="preserve">SpaceQ</w:t>
      </w:r>
      <w:r>
        <w:t xml:space="preserve">.</w:t>
      </w:r>
    </w:p>
    <w:p>
      <w:pPr>
        <w:pStyle w:val="BodyText"/>
      </w:pPr>
      <w:bookmarkStart w:id="78" w:name="ref-12"/>
      <w:bookmarkEnd w:id="78"/>
      <w:r>
        <w:t xml:space="preserve">12. Novaspace.</w:t>
      </w:r>
      <w:r>
        <w:t xml:space="preserve"> </w:t>
      </w:r>
      <w:r>
        <w:rPr>
          <w:i/>
          <w:iCs/>
        </w:rPr>
        <w:t xml:space="preserve">Government Space Programs</w:t>
      </w:r>
      <w:r>
        <w:t xml:space="preserve">, 24th edition. Country budget values for 2024 as compiled in Statista series 745717,</w:t>
      </w:r>
      <w:r>
        <w:t xml:space="preserve"> </w:t>
      </w:r>
      <w:r>
        <w:t xml:space="preserve">“Global governmental spending on space programs of leading countries 2024.”</w:t>
      </w:r>
    </w:p>
    <w:p>
      <w:pPr>
        <w:pStyle w:val="BodyText"/>
      </w:pPr>
      <w:bookmarkStart w:id="79" w:name="ref-13"/>
      <w:bookmarkEnd w:id="79"/>
      <w:r>
        <w:t xml:space="preserve">13. World Bank.</w:t>
      </w:r>
      <w:r>
        <w:t xml:space="preserve"> </w:t>
      </w:r>
      <w:r>
        <w:rPr>
          <w:i/>
          <w:iCs/>
        </w:rPr>
        <w:t xml:space="preserve">World Development Indicators</w:t>
      </w:r>
      <w:r>
        <w:t xml:space="preserve">, series NY.GDP.MKTP.CD (GDP, current US$). API retrieval, 29 July 2026.</w:t>
      </w:r>
    </w:p>
    <w:p>
      <w:pPr>
        <w:pStyle w:val="BodyText"/>
      </w:pPr>
      <w:bookmarkStart w:id="80" w:name="ref-14"/>
      <w:bookmarkEnd w:id="80"/>
      <w:r>
        <w:t xml:space="preserve">14. CelesTrak.</w:t>
      </w:r>
      <w:r>
        <w:t xml:space="preserve"> </w:t>
      </w:r>
      <w:r>
        <w:rPr>
          <w:i/>
          <w:iCs/>
        </w:rPr>
        <w:t xml:space="preserve">Satellite Catalog (SATCAT)</w:t>
      </w:r>
      <w:r>
        <w:t xml:space="preserve">, satcat.csv. Retrieved 29 July 2026.</w:t>
      </w:r>
    </w:p>
    <w:p>
      <w:pPr>
        <w:pStyle w:val="BodyText"/>
      </w:pPr>
      <w:bookmarkStart w:id="81" w:name="ref-15"/>
      <w:bookmarkEnd w:id="81"/>
      <w:r>
        <w:t xml:space="preserve">15. Dailey, N.</w:t>
      </w:r>
      <w:r>
        <w:t xml:space="preserve"> </w:t>
      </w:r>
      <w:r>
        <w:t xml:space="preserve">“Shaping the Final Frontier: Influencing Behavior for Peaceful Space Use and Defense.”</w:t>
      </w:r>
      <w:r>
        <w:t xml:space="preserve"> </w:t>
      </w:r>
      <w:r>
        <w:t xml:space="preserve">The MITRE Corporation, McLean, Virginia.</w:t>
      </w:r>
    </w:p>
    <w:p>
      <w:pPr>
        <w:pStyle w:val="BodyText"/>
      </w:pPr>
      <w:bookmarkStart w:id="82" w:name="ref-16"/>
      <w:bookmarkEnd w:id="82"/>
      <w:r>
        <w:t xml:space="preserve">16. OECD.</w:t>
      </w:r>
      <w:r>
        <w:t xml:space="preserve"> </w:t>
      </w:r>
      <w:r>
        <w:rPr>
          <w:i/>
          <w:iCs/>
        </w:rPr>
        <w:t xml:space="preserve">The Space Economy in Figures: Responding to Global Challenges.</w:t>
      </w:r>
      <w:r>
        <w:t xml:space="preserve"> </w:t>
      </w:r>
      <w:r>
        <w:t xml:space="preserve">Paris: OECD Publishing, 2023.</w:t>
      </w:r>
    </w:p>
    <w:p>
      <w:pPr>
        <w:pStyle w:val="BodyText"/>
      </w:pPr>
      <w:bookmarkStart w:id="83" w:name="ref-17"/>
      <w:bookmarkEnd w:id="83"/>
      <w:r>
        <w:t xml:space="preserve">17. White, H.</w:t>
      </w:r>
      <w:r>
        <w:t xml:space="preserve"> </w:t>
      </w:r>
      <w:r>
        <w:t xml:space="preserve">“A heteroskedasticity-consistent covariance matrix estimator and a direct test for heteroskedasticity.”</w:t>
      </w:r>
      <w:r>
        <w:t xml:space="preserve"> </w:t>
      </w:r>
      <w:r>
        <w:rPr>
          <w:i/>
          <w:iCs/>
        </w:rPr>
        <w:t xml:space="preserve">Econometrica</w:t>
      </w:r>
      <w:r>
        <w:t xml:space="preserve"> </w:t>
      </w:r>
      <w:r>
        <w:t xml:space="preserve">48, no. 4 (1980): 817-838. DOI 10.2307/1912934.</w:t>
      </w:r>
    </w:p>
    <w:bookmarkEnd w:id="84"/>
    <w:bookmarkStart w:id="85" w:name="specification-1"/>
    <w:p>
      <w:pPr>
        <w:pStyle w:val="Heading2"/>
      </w:pPr>
      <w:r>
        <w:t xml:space="preserve">Specification</w:t>
      </w:r>
    </w:p>
    <w:p>
      <w:pPr>
        <w:pStyle w:val="FirstParagraph"/>
      </w:pPr>
      <w:r>
        <w:t xml:space="preserve">$$ \[ \ln(\text{payloads\_in\_orbit}_{it}) = \alpha + \beta_1 \ln(\text{space\_budget\_usd}_{it}) + \beta_2 \ln(\text{gdp\_usd}_{it}) + \sum_{t=2021}^{2024} \gamma_t D_t + \varepsilon_{it}, \qquad \widehat{\mathrm{Var}}(\hat{\beta}) = \text{HC1} $$</w:t>
      </w:r>
    </w:p>
    <w:p>
      <w:pPr>
        <w:pStyle w:val="FirstParagraph"/>
      </w:pPr>
      <w:r>
        <w:t xml:space="preserve">]</w:t>
      </w:r>
    </w:p>
    <w:bookmarkEnd w:id="85"/>
    <w:bookmarkStart w:id="89" w:name="results-1"/>
    <w:p>
      <w:pPr>
        <w:pStyle w:val="Heading2"/>
      </w:pPr>
      <w:r>
        <w:t xml:space="preserve">Results</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t</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-14.1365</w:t>
            </w:r>
          </w:p>
        </w:tc>
        <w:tc>
          <w:tcPr>
            <w:tcW w:w="0" w:type="auto"/>
          </w:tcPr>
          <w:p>
            <w:pPr>
              <w:spacing w:line="240" w:lineRule="auto" w:before="0" w:after="0"/>
              <w:pStyle w:val="Compact"/>
            </w:pPr>
            <w:r>
              <w:rPr>
                <w:sz w:val="20"/>
                <w:szCs w:val="20"/>
              </w:rPr>
              <w:t xml:space="preserve">8.8815</w:t>
            </w:r>
          </w:p>
        </w:tc>
        <w:tc>
          <w:tcPr>
            <w:tcW w:w="0" w:type="auto"/>
          </w:tcPr>
          <w:p>
            <w:pPr>
              <w:spacing w:line="240" w:lineRule="auto" w:before="0" w:after="0"/>
              <w:pStyle w:val="Compact"/>
            </w:pPr>
            <w:r>
              <w:rPr>
                <w:sz w:val="20"/>
                <w:szCs w:val="20"/>
              </w:rPr>
              <w:t xml:space="preserve">-1.5917</w:t>
            </w:r>
          </w:p>
        </w:tc>
        <w:tc>
          <w:tcPr>
            <w:tcW w:w="0" w:type="auto"/>
          </w:tcPr>
          <w:p>
            <w:pPr>
              <w:spacing w:line="240" w:lineRule="auto" w:before="0" w:after="0"/>
              <w:pStyle w:val="Compact"/>
            </w:pPr>
            <w:r>
              <w:rPr>
                <w:sz w:val="20"/>
                <w:szCs w:val="20"/>
              </w:rPr>
              <w:t xml:space="preserve">0.1115</w:t>
            </w:r>
          </w:p>
        </w:tc>
        <w:tc>
          <w:tcPr>
            <w:tcW w:w="0" w:type="auto"/>
          </w:tcPr>
          <w:p>
            <w:pPr>
              <w:spacing w:line="240" w:lineRule="auto" w:before="0" w:after="0"/>
              <w:pStyle w:val="Compact"/>
            </w:pPr>
            <w:r>
              <w:rPr>
                <w:sz w:val="20"/>
                <w:szCs w:val="20"/>
              </w:rPr>
              <w:t xml:space="preserve">[-31.5439, 3.2709]</w:t>
            </w:r>
          </w:p>
        </w:tc>
      </w:tr>
      <w:tr>
        <w:tc>
          <w:tcPr>
            <w:tcW w:w="0" w:type="auto"/>
          </w:tcPr>
          <w:p>
            <w:pPr>
              <w:spacing w:line="240" w:lineRule="auto" w:before="0" w:after="0"/>
              <w:pStyle w:val="Compact"/>
            </w:pPr>
            <w:r>
              <w:rPr>
                <w:sz w:val="20"/>
                <w:szCs w:val="20"/>
              </w:rPr>
              <w:t xml:space="preserve">ln_space_budget_usd</w:t>
            </w:r>
          </w:p>
        </w:tc>
        <w:tc>
          <w:tcPr>
            <w:tcW w:w="0" w:type="auto"/>
          </w:tcPr>
          <w:p>
            <w:pPr>
              <w:spacing w:line="240" w:lineRule="auto" w:before="0" w:after="0"/>
              <w:pStyle w:val="Compact"/>
            </w:pPr>
            <w:r>
              <w:rPr>
                <w:sz w:val="20"/>
                <w:szCs w:val="20"/>
              </w:rPr>
              <w:t xml:space="preserve">1.319</w:t>
            </w:r>
          </w:p>
        </w:tc>
        <w:tc>
          <w:tcPr>
            <w:tcW w:w="0" w:type="auto"/>
          </w:tcPr>
          <w:p>
            <w:pPr>
              <w:spacing w:line="240" w:lineRule="auto" w:before="0" w:after="0"/>
              <w:pStyle w:val="Compact"/>
            </w:pPr>
            <w:r>
              <w:rPr>
                <w:sz w:val="20"/>
                <w:szCs w:val="20"/>
              </w:rPr>
              <w:t xml:space="preserve">0.3127</w:t>
            </w:r>
          </w:p>
        </w:tc>
        <w:tc>
          <w:tcPr>
            <w:tcW w:w="0" w:type="auto"/>
          </w:tcPr>
          <w:p>
            <w:pPr>
              <w:spacing w:line="240" w:lineRule="auto" w:before="0" w:after="0"/>
              <w:pStyle w:val="Compact"/>
            </w:pPr>
            <w:r>
              <w:rPr>
                <w:sz w:val="20"/>
                <w:szCs w:val="20"/>
              </w:rPr>
              <w:t xml:space="preserve">4.2188</w:t>
            </w:r>
          </w:p>
        </w:tc>
        <w:tc>
          <w:tcPr>
            <w:tcW w:w="0" w:type="auto"/>
          </w:tcPr>
          <w:p>
            <w:pPr>
              <w:spacing w:line="240" w:lineRule="auto" w:before="0" w:after="0"/>
              <w:pStyle w:val="Compact"/>
            </w:pPr>
            <w:r>
              <w:rPr>
                <w:sz w:val="20"/>
                <w:szCs w:val="20"/>
              </w:rPr>
              <w:t xml:space="preserve">2.456e-05</w:t>
            </w:r>
          </w:p>
        </w:tc>
        <w:tc>
          <w:tcPr>
            <w:tcW w:w="0" w:type="auto"/>
          </w:tcPr>
          <w:p>
            <w:pPr>
              <w:spacing w:line="240" w:lineRule="auto" w:before="0" w:after="0"/>
              <w:pStyle w:val="Compact"/>
            </w:pPr>
            <w:r>
              <w:rPr>
                <w:sz w:val="20"/>
                <w:szCs w:val="20"/>
              </w:rPr>
              <w:t xml:space="preserve">[0.7062, 1.9318]</w:t>
            </w:r>
          </w:p>
        </w:tc>
      </w:tr>
      <w:tr>
        <w:tc>
          <w:tcPr>
            <w:tcW w:w="0" w:type="auto"/>
          </w:tcPr>
          <w:p>
            <w:pPr>
              <w:spacing w:line="240" w:lineRule="auto" w:before="0" w:after="0"/>
              <w:pStyle w:val="Compact"/>
            </w:pPr>
            <w:r>
              <w:rPr>
                <w:sz w:val="20"/>
                <w:szCs w:val="20"/>
              </w:rPr>
              <w:t xml:space="preserve">ln_gdp_usd</w:t>
            </w:r>
          </w:p>
        </w:tc>
        <w:tc>
          <w:tcPr>
            <w:tcW w:w="0" w:type="auto"/>
          </w:tcPr>
          <w:p>
            <w:pPr>
              <w:spacing w:line="240" w:lineRule="auto" w:before="0" w:after="0"/>
              <w:pStyle w:val="Compact"/>
            </w:pPr>
            <w:r>
              <w:rPr>
                <w:sz w:val="20"/>
                <w:szCs w:val="20"/>
              </w:rPr>
              <w:t xml:space="preserve">-0.3263</w:t>
            </w:r>
          </w:p>
        </w:tc>
        <w:tc>
          <w:tcPr>
            <w:tcW w:w="0" w:type="auto"/>
          </w:tcPr>
          <w:p>
            <w:pPr>
              <w:spacing w:line="240" w:lineRule="auto" w:before="0" w:after="0"/>
              <w:pStyle w:val="Compact"/>
            </w:pPr>
            <w:r>
              <w:rPr>
                <w:sz w:val="20"/>
                <w:szCs w:val="20"/>
              </w:rPr>
              <w:t xml:space="preserve">0.5161</w:t>
            </w:r>
          </w:p>
        </w:tc>
        <w:tc>
          <w:tcPr>
            <w:tcW w:w="0" w:type="auto"/>
          </w:tcPr>
          <w:p>
            <w:pPr>
              <w:spacing w:line="240" w:lineRule="auto" w:before="0" w:after="0"/>
              <w:pStyle w:val="Compact"/>
            </w:pPr>
            <w:r>
              <w:rPr>
                <w:sz w:val="20"/>
                <w:szCs w:val="20"/>
              </w:rPr>
              <w:t xml:space="preserve">-0.6323</w:t>
            </w:r>
          </w:p>
        </w:tc>
        <w:tc>
          <w:tcPr>
            <w:tcW w:w="0" w:type="auto"/>
          </w:tcPr>
          <w:p>
            <w:pPr>
              <w:spacing w:line="240" w:lineRule="auto" w:before="0" w:after="0"/>
              <w:pStyle w:val="Compact"/>
            </w:pPr>
            <w:r>
              <w:rPr>
                <w:sz w:val="20"/>
                <w:szCs w:val="20"/>
              </w:rPr>
              <w:t xml:space="preserve">0.5272</w:t>
            </w:r>
          </w:p>
        </w:tc>
        <w:tc>
          <w:tcPr>
            <w:tcW w:w="0" w:type="auto"/>
          </w:tcPr>
          <w:p>
            <w:pPr>
              <w:spacing w:line="240" w:lineRule="auto" w:before="0" w:after="0"/>
              <w:pStyle w:val="Compact"/>
            </w:pPr>
            <w:r>
              <w:rPr>
                <w:sz w:val="20"/>
                <w:szCs w:val="20"/>
              </w:rPr>
              <w:t xml:space="preserve">[-1.3379, 0.6852]</w:t>
            </w:r>
          </w:p>
        </w:tc>
      </w:tr>
      <w:tr>
        <w:tc>
          <w:tcPr>
            <w:tcW w:w="0" w:type="auto"/>
          </w:tcPr>
          <w:p>
            <w:pPr>
              <w:spacing w:line="240" w:lineRule="auto" w:before="0" w:after="0"/>
              <w:pStyle w:val="Compact"/>
            </w:pPr>
            <w:r>
              <w:rPr>
                <w:sz w:val="20"/>
                <w:szCs w:val="20"/>
              </w:rPr>
              <w:t xml:space="preserve">yr2021</w:t>
            </w:r>
          </w:p>
        </w:tc>
        <w:tc>
          <w:tcPr>
            <w:tcW w:w="0" w:type="auto"/>
          </w:tcPr>
          <w:p>
            <w:pPr>
              <w:spacing w:line="240" w:lineRule="auto" w:before="0" w:after="0"/>
              <w:pStyle w:val="Compact"/>
            </w:pPr>
            <w:r>
              <w:rPr>
                <w:sz w:val="20"/>
                <w:szCs w:val="20"/>
              </w:rPr>
              <w:t xml:space="preserve">-0.3602</w:t>
            </w:r>
          </w:p>
        </w:tc>
        <w:tc>
          <w:tcPr>
            <w:tcW w:w="0" w:type="auto"/>
          </w:tcPr>
          <w:p>
            <w:pPr>
              <w:spacing w:line="240" w:lineRule="auto" w:before="0" w:after="0"/>
              <w:pStyle w:val="Compact"/>
            </w:pPr>
            <w:r>
              <w:rPr>
                <w:sz w:val="20"/>
                <w:szCs w:val="20"/>
              </w:rPr>
              <w:t xml:space="preserve">0.5438</w:t>
            </w:r>
          </w:p>
        </w:tc>
        <w:tc>
          <w:tcPr>
            <w:tcW w:w="0" w:type="auto"/>
          </w:tcPr>
          <w:p>
            <w:pPr>
              <w:spacing w:line="240" w:lineRule="auto" w:before="0" w:after="0"/>
              <w:pStyle w:val="Compact"/>
            </w:pPr>
            <w:r>
              <w:rPr>
                <w:sz w:val="20"/>
                <w:szCs w:val="20"/>
              </w:rPr>
              <w:t xml:space="preserve">-0.6623</w:t>
            </w:r>
          </w:p>
        </w:tc>
        <w:tc>
          <w:tcPr>
            <w:tcW w:w="0" w:type="auto"/>
          </w:tcPr>
          <w:p>
            <w:pPr>
              <w:spacing w:line="240" w:lineRule="auto" w:before="0" w:after="0"/>
              <w:pStyle w:val="Compact"/>
            </w:pPr>
            <w:r>
              <w:rPr>
                <w:sz w:val="20"/>
                <w:szCs w:val="20"/>
              </w:rPr>
              <w:t xml:space="preserve">0.5078</w:t>
            </w:r>
          </w:p>
        </w:tc>
        <w:tc>
          <w:tcPr>
            <w:tcW w:w="0" w:type="auto"/>
          </w:tcPr>
          <w:p>
            <w:pPr>
              <w:spacing w:line="240" w:lineRule="auto" w:before="0" w:after="0"/>
              <w:pStyle w:val="Compact"/>
            </w:pPr>
            <w:r>
              <w:rPr>
                <w:sz w:val="20"/>
                <w:szCs w:val="20"/>
              </w:rPr>
              <w:t xml:space="preserve">[-1.426, 0.7057]</w:t>
            </w:r>
          </w:p>
        </w:tc>
      </w:tr>
      <w:tr>
        <w:tc>
          <w:tcPr>
            <w:tcW w:w="0" w:type="auto"/>
          </w:tcPr>
          <w:p>
            <w:pPr>
              <w:spacing w:line="240" w:lineRule="auto" w:before="0" w:after="0"/>
              <w:pStyle w:val="Compact"/>
            </w:pPr>
            <w:r>
              <w:rPr>
                <w:sz w:val="20"/>
                <w:szCs w:val="20"/>
              </w:rPr>
              <w:t xml:space="preserve">yr2022</w:t>
            </w:r>
          </w:p>
        </w:tc>
        <w:tc>
          <w:tcPr>
            <w:tcW w:w="0" w:type="auto"/>
          </w:tcPr>
          <w:p>
            <w:pPr>
              <w:spacing w:line="240" w:lineRule="auto" w:before="0" w:after="0"/>
              <w:pStyle w:val="Compact"/>
            </w:pPr>
            <w:r>
              <w:rPr>
                <w:sz w:val="20"/>
                <w:szCs w:val="20"/>
              </w:rPr>
              <w:t xml:space="preserve">-0.062</w:t>
            </w:r>
          </w:p>
        </w:tc>
        <w:tc>
          <w:tcPr>
            <w:tcW w:w="0" w:type="auto"/>
          </w:tcPr>
          <w:p>
            <w:pPr>
              <w:spacing w:line="240" w:lineRule="auto" w:before="0" w:after="0"/>
              <w:pStyle w:val="Compact"/>
            </w:pPr>
            <w:r>
              <w:rPr>
                <w:sz w:val="20"/>
                <w:szCs w:val="20"/>
              </w:rPr>
              <w:t xml:space="preserve">0.4389</w:t>
            </w:r>
          </w:p>
        </w:tc>
        <w:tc>
          <w:tcPr>
            <w:tcW w:w="0" w:type="auto"/>
          </w:tcPr>
          <w:p>
            <w:pPr>
              <w:spacing w:line="240" w:lineRule="auto" w:before="0" w:after="0"/>
              <w:pStyle w:val="Compact"/>
            </w:pPr>
            <w:r>
              <w:rPr>
                <w:sz w:val="20"/>
                <w:szCs w:val="20"/>
              </w:rPr>
              <w:t xml:space="preserve">-0.1412</w:t>
            </w:r>
          </w:p>
        </w:tc>
        <w:tc>
          <w:tcPr>
            <w:tcW w:w="0" w:type="auto"/>
          </w:tcPr>
          <w:p>
            <w:pPr>
              <w:spacing w:line="240" w:lineRule="auto" w:before="0" w:after="0"/>
              <w:pStyle w:val="Compact"/>
            </w:pPr>
            <w:r>
              <w:rPr>
                <w:sz w:val="20"/>
                <w:szCs w:val="20"/>
              </w:rPr>
              <w:t xml:space="preserve">0.8877</w:t>
            </w:r>
          </w:p>
        </w:tc>
        <w:tc>
          <w:tcPr>
            <w:tcW w:w="0" w:type="auto"/>
          </w:tcPr>
          <w:p>
            <w:pPr>
              <w:spacing w:line="240" w:lineRule="auto" w:before="0" w:after="0"/>
              <w:pStyle w:val="Compact"/>
            </w:pPr>
            <w:r>
              <w:rPr>
                <w:sz w:val="20"/>
                <w:szCs w:val="20"/>
              </w:rPr>
              <w:t xml:space="preserve">[-0.9222, 0.7983]</w:t>
            </w:r>
          </w:p>
        </w:tc>
      </w:tr>
      <w:tr>
        <w:tc>
          <w:tcPr>
            <w:tcW w:w="0" w:type="auto"/>
          </w:tcPr>
          <w:p>
            <w:pPr>
              <w:spacing w:line="240" w:lineRule="auto" w:before="0" w:after="0"/>
              <w:pStyle w:val="Compact"/>
            </w:pPr>
            <w:r>
              <w:rPr>
                <w:sz w:val="20"/>
                <w:szCs w:val="20"/>
              </w:rPr>
              <w:t xml:space="preserve">yr2023</w:t>
            </w:r>
          </w:p>
        </w:tc>
        <w:tc>
          <w:tcPr>
            <w:tcW w:w="0" w:type="auto"/>
          </w:tcPr>
          <w:p>
            <w:pPr>
              <w:spacing w:line="240" w:lineRule="auto" w:before="0" w:after="0"/>
              <w:pStyle w:val="Compact"/>
            </w:pPr>
            <w:r>
              <w:rPr>
                <w:sz w:val="20"/>
                <w:szCs w:val="20"/>
              </w:rPr>
              <w:t xml:space="preserve">0.6376</w:t>
            </w:r>
          </w:p>
        </w:tc>
        <w:tc>
          <w:tcPr>
            <w:tcW w:w="0" w:type="auto"/>
          </w:tcPr>
          <w:p>
            <w:pPr>
              <w:spacing w:line="240" w:lineRule="auto" w:before="0" w:after="0"/>
              <w:pStyle w:val="Compact"/>
            </w:pPr>
            <w:r>
              <w:rPr>
                <w:sz w:val="20"/>
                <w:szCs w:val="20"/>
              </w:rPr>
              <w:t xml:space="preserve">0.5277</w:t>
            </w:r>
          </w:p>
        </w:tc>
        <w:tc>
          <w:tcPr>
            <w:tcW w:w="0" w:type="auto"/>
          </w:tcPr>
          <w:p>
            <w:pPr>
              <w:spacing w:line="240" w:lineRule="auto" w:before="0" w:after="0"/>
              <w:pStyle w:val="Compact"/>
            </w:pPr>
            <w:r>
              <w:rPr>
                <w:sz w:val="20"/>
                <w:szCs w:val="20"/>
              </w:rPr>
              <w:t xml:space="preserve">1.2083</w:t>
            </w:r>
          </w:p>
        </w:tc>
        <w:tc>
          <w:tcPr>
            <w:tcW w:w="0" w:type="auto"/>
          </w:tcPr>
          <w:p>
            <w:pPr>
              <w:spacing w:line="240" w:lineRule="auto" w:before="0" w:after="0"/>
              <w:pStyle w:val="Compact"/>
            </w:pPr>
            <w:r>
              <w:rPr>
                <w:sz w:val="20"/>
                <w:szCs w:val="20"/>
              </w:rPr>
              <w:t xml:space="preserve">0.2269</w:t>
            </w:r>
          </w:p>
        </w:tc>
        <w:tc>
          <w:tcPr>
            <w:tcW w:w="0" w:type="auto"/>
          </w:tcPr>
          <w:p>
            <w:pPr>
              <w:spacing w:line="240" w:lineRule="auto" w:before="0" w:after="0"/>
              <w:pStyle w:val="Compact"/>
            </w:pPr>
            <w:r>
              <w:rPr>
                <w:sz w:val="20"/>
                <w:szCs w:val="20"/>
              </w:rPr>
              <w:t xml:space="preserve">[-0.3967, 1.6718]</w:t>
            </w:r>
          </w:p>
        </w:tc>
      </w:tr>
      <w:tr>
        <w:tc>
          <w:tcPr>
            <w:tcW w:w="0" w:type="auto"/>
          </w:tcPr>
          <w:p>
            <w:pPr>
              <w:spacing w:line="240" w:lineRule="auto" w:before="0" w:after="0"/>
              <w:pStyle w:val="Compact"/>
            </w:pPr>
            <w:r>
              <w:rPr>
                <w:sz w:val="20"/>
                <w:szCs w:val="20"/>
              </w:rPr>
              <w:t xml:space="preserve">yr2024</w:t>
            </w:r>
          </w:p>
        </w:tc>
        <w:tc>
          <w:tcPr>
            <w:tcW w:w="0" w:type="auto"/>
          </w:tcPr>
          <w:p>
            <w:pPr>
              <w:spacing w:line="240" w:lineRule="auto" w:before="0" w:after="0"/>
              <w:pStyle w:val="Compact"/>
            </w:pPr>
            <w:r>
              <w:rPr>
                <w:sz w:val="20"/>
                <w:szCs w:val="20"/>
              </w:rPr>
              <w:t xml:space="preserve">-0.1971</w:t>
            </w:r>
          </w:p>
        </w:tc>
        <w:tc>
          <w:tcPr>
            <w:tcW w:w="0" w:type="auto"/>
          </w:tcPr>
          <w:p>
            <w:pPr>
              <w:spacing w:line="240" w:lineRule="auto" w:before="0" w:after="0"/>
              <w:pStyle w:val="Compact"/>
            </w:pPr>
            <w:r>
              <w:rPr>
                <w:sz w:val="20"/>
                <w:szCs w:val="20"/>
              </w:rPr>
              <w:t xml:space="preserve">0.5906</w:t>
            </w:r>
          </w:p>
        </w:tc>
        <w:tc>
          <w:tcPr>
            <w:tcW w:w="0" w:type="auto"/>
          </w:tcPr>
          <w:p>
            <w:pPr>
              <w:spacing w:line="240" w:lineRule="auto" w:before="0" w:after="0"/>
              <w:pStyle w:val="Compact"/>
            </w:pPr>
            <w:r>
              <w:rPr>
                <w:sz w:val="20"/>
                <w:szCs w:val="20"/>
              </w:rPr>
              <w:t xml:space="preserve">-0.3337</w:t>
            </w:r>
          </w:p>
        </w:tc>
        <w:tc>
          <w:tcPr>
            <w:tcW w:w="0" w:type="auto"/>
          </w:tcPr>
          <w:p>
            <w:pPr>
              <w:spacing w:line="240" w:lineRule="auto" w:before="0" w:after="0"/>
              <w:pStyle w:val="Compact"/>
            </w:pPr>
            <w:r>
              <w:rPr>
                <w:sz w:val="20"/>
                <w:szCs w:val="20"/>
              </w:rPr>
              <w:t xml:space="preserve">0.7386</w:t>
            </w:r>
          </w:p>
        </w:tc>
        <w:tc>
          <w:tcPr>
            <w:tcW w:w="0" w:type="auto"/>
          </w:tcPr>
          <w:p>
            <w:pPr>
              <w:spacing w:line="240" w:lineRule="auto" w:before="0" w:after="0"/>
              <w:pStyle w:val="Compact"/>
            </w:pPr>
            <w:r>
              <w:rPr>
                <w:sz w:val="20"/>
                <w:szCs w:val="20"/>
              </w:rPr>
              <w:t xml:space="preserve">[-1.3545, 0.9604]</w:t>
            </w:r>
          </w:p>
        </w:tc>
      </w:tr>
    </w:tbl>
    <w:p>
      <w:pPr>
        <w:pStyle w:val="BodyText"/>
      </w:pPr>
      <w:r>
        <w:t xml:space="preserve">Fit: N = 27 R2 = 0.7988 R2_adj = 0.7384 F = 35.429 F_p = 1.24e-09</w:t>
      </w:r>
    </w:p>
    <w:p>
      <w:pPr>
        <w:pStyle w:val="CaptionedFigure"/>
      </w:pPr>
      <w:r>
        <w:drawing>
          <wp:inline>
            <wp:extent cx="5669280" cy="3657600"/>
            <wp:effectExtent b="0" l="0" r="0" t="0"/>
            <wp:docPr descr="Figure 1. Government space investment and on-orbit payload stock across 27 country-year observations covering 13 states in 2018, 2021, 2022, 2023 and 2024. The log-log OLS fit with HC1 robust standard errors returns a budget elasticity of 1.32 (robust SE 0.31, p &lt; 0.001) and an R-squared of 0.80, while the coefficient on log GDP is statistically indistinguishable from zero. Aggregate national wealth does not predict orbital presence once the appropriated space budget is in the specification." title="" id="87" name="Picture"/>
            <a:graphic>
              <a:graphicData uri="http://schemas.openxmlformats.org/drawingml/2006/picture">
                <pic:pic>
                  <pic:nvPicPr>
                    <pic:cNvPr descr="dissertations\GRAND_STRATEGY_CANON_01\research_papers\p3\paper_fig1.png" id="88" name="Picture"/>
                    <pic:cNvPicPr>
                      <a:picLocks noChangeArrowheads="1" noChangeAspect="1"/>
                    </pic:cNvPicPr>
                  </pic:nvPicPr>
                  <pic:blipFill>
                    <a:blip r:embed="rId86"/>
                    <a:stretch>
                      <a:fillRect/>
                    </a:stretch>
                  </pic:blipFill>
                  <pic:spPr bwMode="auto">
                    <a:xfrm>
                      <a:off x="0" y="0"/>
                      <a:ext cx="5669280" cy="3657600"/>
                    </a:xfrm>
                    <a:prstGeom prst="rect">
                      <a:avLst/>
                    </a:prstGeom>
                    <a:noFill/>
                    <a:ln w="9525">
                      <a:noFill/>
                      <a:headEnd/>
                      <a:tailEnd/>
                    </a:ln>
                  </pic:spPr>
                </pic:pic>
              </a:graphicData>
            </a:graphic>
          </wp:inline>
        </w:drawing>
      </w:r>
    </w:p>
    <w:p>
      <w:pPr>
        <w:pStyle w:val="ImageCaption"/>
      </w:pPr>
      <w:r>
        <w:t xml:space="preserve">Figure 1. Government space investment and on-orbit payload stock across 27 country-year observations covering 13 states in 2018, 2021, 2022, 2023 and 2024. The log-log OLS fit with HC1 robust standard errors returns a budget elasticity of 1.32 (robust SE 0.31, p &lt; 0.001) and an R-squared of 0.80, while the coefficient on log GDP is statistically indistinguishable from zero. Aggregate national wealth does not predict orbital presence once the appropriated space budget is in the specification.</w:t>
      </w:r>
    </w:p>
    <w:bookmarkEnd w:id="89"/>
    <w:bookmarkStart w:id="93" w:name="empirical-workbook-embedded"/>
    <w:p>
      <w:pPr>
        <w:pStyle w:val="Heading2"/>
      </w:pPr>
      <w:r>
        <w:t xml:space="preserve">Empirical Workbook (embedded)</w:t>
      </w:r>
    </w:p>
    <w:p>
      <w:pPr>
        <w:pStyle w:val="FirstParagraph"/>
      </w:pPr>
      <w:r>
        <w:t xml:space="preserve">Every figure above is reproduced from the workbook below, which is also attached as the live spreadsheet</w:t>
      </w:r>
      <w:r>
        <w:t xml:space="preserve"> </w:t>
      </w:r>
      <w:r>
        <w:rPr>
          <w:rStyle w:val="VerbatimChar"/>
        </w:rPr>
        <w:t xml:space="preserve">paper.xlsx</w:t>
      </w:r>
      <w:r>
        <w:t xml:space="preserve">. Each observation carries its source.</w:t>
      </w:r>
    </w:p>
    <w:bookmarkStart w:id="90" w:name="data-real-observations"/>
    <w:p>
      <w:pPr>
        <w:pStyle w:val="Heading3"/>
      </w:pPr>
      <w:r>
        <w:t xml:space="preserve">Data (real observations)</w:t>
      </w:r>
    </w:p>
    <w:tbl>
      <w:tblPr>
        <w:tblStyle w:val="Table"/>
        <w:tblLook w:firstRow="1" w:lastRow="0" w:firstColumn="0" w:lastColumn="0" w:noHBand="0" w:noVBand="0" w:val="0020"/>
        <w:tblLayout w:type="autofit"/>
        <w:tblW w:w="0" w:type="auto"/>
      </w:tblPr>
      <w:tblGrid>
        <w:gridCol w:w="528"/>
        <w:gridCol w:w="528"/>
        <w:gridCol w:w="528"/>
        <w:gridCol w:w="528"/>
        <w:gridCol w:w="528"/>
        <w:gridCol w:w="528"/>
        <w:gridCol w:w="528"/>
        <w:gridCol w:w="528"/>
        <w:gridCol w:w="528"/>
        <w:gridCol w:w="528"/>
        <w:gridCol w:w="528"/>
        <w:gridCol w:w="528"/>
        <w:gridCol w:w="528"/>
        <w:gridCol w:w="528"/>
        <w:gridCol w:w="528"/>
      </w:tblGrid>
      <w:tr>
        <w:trPr>
          <w:tblHeader w:val="on"/>
        </w:trPr>
        <w:tc>
          <w:tcPr>
            <w:tcW w:w="0" w:type="auto"/>
          </w:tcPr>
          <w:p>
            <w:pPr>
              <w:spacing w:line="240" w:lineRule="auto" w:before="0" w:after="0"/>
              <w:pStyle w:val="Compact"/>
            </w:pPr>
            <w:r>
              <w:rPr>
                <w:sz w:val="20"/>
                <w:szCs w:val="20"/>
              </w:rPr>
              <w:t xml:space="preserve">country</w:t>
            </w:r>
          </w:p>
        </w:tc>
        <w:tc>
          <w:tcPr>
            <w:tcW w:w="0" w:type="auto"/>
          </w:tcPr>
          <w:p>
            <w:pPr>
              <w:spacing w:line="240" w:lineRule="auto" w:before="0" w:after="0"/>
              <w:pStyle w:val="Compact"/>
            </w:pPr>
            <w:r>
              <w:rPr>
                <w:sz w:val="20"/>
                <w:szCs w:val="20"/>
              </w:rPr>
              <w:t xml:space="preserve">iso3</w:t>
            </w:r>
          </w:p>
        </w:tc>
        <w:tc>
          <w:tcPr>
            <w:tcW w:w="0" w:type="auto"/>
          </w:tcPr>
          <w:p>
            <w:pPr>
              <w:spacing w:line="240" w:lineRule="auto" w:before="0" w:after="0"/>
              <w:pStyle w:val="Compact"/>
            </w:pPr>
            <w:r>
              <w:rPr>
                <w:sz w:val="20"/>
                <w:szCs w:val="20"/>
              </w:rPr>
              <w:t xml:space="preserve">year</w:t>
            </w:r>
          </w:p>
        </w:tc>
        <w:tc>
          <w:tcPr>
            <w:tcW w:w="0" w:type="auto"/>
          </w:tcPr>
          <w:p>
            <w:pPr>
              <w:spacing w:line="240" w:lineRule="auto" w:before="0" w:after="0"/>
              <w:pStyle w:val="Compact"/>
            </w:pPr>
            <w:r>
              <w:rPr>
                <w:sz w:val="20"/>
                <w:szCs w:val="20"/>
              </w:rPr>
              <w:t xml:space="preserve">space_budget_usd</w:t>
            </w:r>
          </w:p>
        </w:tc>
        <w:tc>
          <w:tcPr>
            <w:tcW w:w="0" w:type="auto"/>
          </w:tcPr>
          <w:p>
            <w:pPr>
              <w:spacing w:line="240" w:lineRule="auto" w:before="0" w:after="0"/>
              <w:pStyle w:val="Compact"/>
            </w:pPr>
            <w:r>
              <w:rPr>
                <w:sz w:val="20"/>
                <w:szCs w:val="20"/>
              </w:rPr>
              <w:t xml:space="preserve">gdp_usd</w:t>
            </w:r>
          </w:p>
        </w:tc>
        <w:tc>
          <w:tcPr>
            <w:tcW w:w="0" w:type="auto"/>
          </w:tcPr>
          <w:p>
            <w:pPr>
              <w:spacing w:line="240" w:lineRule="auto" w:before="0" w:after="0"/>
              <w:pStyle w:val="Compact"/>
            </w:pPr>
            <w:r>
              <w:rPr>
                <w:sz w:val="20"/>
                <w:szCs w:val="20"/>
              </w:rPr>
              <w:t xml:space="preserve">payloads_in_orbit</w:t>
            </w:r>
          </w:p>
        </w:tc>
        <w:tc>
          <w:tcPr>
            <w:tcW w:w="0" w:type="auto"/>
          </w:tcPr>
          <w:p>
            <w:pPr>
              <w:spacing w:line="240" w:lineRule="auto" w:before="0" w:after="0"/>
              <w:pStyle w:val="Compact"/>
            </w:pPr>
            <w:r>
              <w:rPr>
                <w:sz w:val="20"/>
                <w:szCs w:val="20"/>
              </w:rPr>
              <w:t xml:space="preserve">space_budget_pct_gdp</w:t>
            </w:r>
          </w:p>
        </w:tc>
        <w:tc>
          <w:tcPr>
            <w:tcW w:w="0" w:type="auto"/>
          </w:tcPr>
          <w:p>
            <w:pPr>
              <w:spacing w:line="240" w:lineRule="auto" w:before="0" w:after="0"/>
              <w:pStyle w:val="Compact"/>
            </w:pPr>
            <w:r>
              <w:rPr>
                <w:sz w:val="20"/>
                <w:szCs w:val="20"/>
              </w:rPr>
              <w:t xml:space="preserve">ln_space_budget_usd</w:t>
            </w:r>
          </w:p>
        </w:tc>
        <w:tc>
          <w:tcPr>
            <w:tcW w:w="0" w:type="auto"/>
          </w:tcPr>
          <w:p>
            <w:pPr>
              <w:spacing w:line="240" w:lineRule="auto" w:before="0" w:after="0"/>
              <w:pStyle w:val="Compact"/>
            </w:pPr>
            <w:r>
              <w:rPr>
                <w:sz w:val="20"/>
                <w:szCs w:val="20"/>
              </w:rPr>
              <w:t xml:space="preserve">ln_gdp_usd</w:t>
            </w:r>
          </w:p>
        </w:tc>
        <w:tc>
          <w:tcPr>
            <w:tcW w:w="0" w:type="auto"/>
          </w:tcPr>
          <w:p>
            <w:pPr>
              <w:spacing w:line="240" w:lineRule="auto" w:before="0" w:after="0"/>
              <w:pStyle w:val="Compact"/>
            </w:pPr>
            <w:r>
              <w:rPr>
                <w:sz w:val="20"/>
                <w:szCs w:val="20"/>
              </w:rPr>
              <w:t xml:space="preserve">ln_payloads_in_orbit</w:t>
            </w:r>
          </w:p>
        </w:tc>
        <w:tc>
          <w:tcPr>
            <w:tcW w:w="0" w:type="auto"/>
          </w:tcPr>
          <w:p>
            <w:pPr>
              <w:spacing w:line="240" w:lineRule="auto" w:before="0" w:after="0"/>
              <w:pStyle w:val="Compact"/>
            </w:pPr>
            <w:r>
              <w:rPr>
                <w:sz w:val="20"/>
                <w:szCs w:val="20"/>
              </w:rPr>
              <w:t xml:space="preserve">yr2021</w:t>
            </w:r>
          </w:p>
        </w:tc>
        <w:tc>
          <w:tcPr>
            <w:tcW w:w="0" w:type="auto"/>
          </w:tcPr>
          <w:p>
            <w:pPr>
              <w:spacing w:line="240" w:lineRule="auto" w:before="0" w:after="0"/>
              <w:pStyle w:val="Compact"/>
            </w:pPr>
            <w:r>
              <w:rPr>
                <w:sz w:val="20"/>
                <w:szCs w:val="20"/>
              </w:rPr>
              <w:t xml:space="preserve">yr2022</w:t>
            </w:r>
          </w:p>
        </w:tc>
        <w:tc>
          <w:tcPr>
            <w:tcW w:w="0" w:type="auto"/>
          </w:tcPr>
          <w:p>
            <w:pPr>
              <w:spacing w:line="240" w:lineRule="auto" w:before="0" w:after="0"/>
              <w:pStyle w:val="Compact"/>
            </w:pPr>
            <w:r>
              <w:rPr>
                <w:sz w:val="20"/>
                <w:szCs w:val="20"/>
              </w:rPr>
              <w:t xml:space="preserve">yr2023</w:t>
            </w:r>
          </w:p>
        </w:tc>
        <w:tc>
          <w:tcPr>
            <w:tcW w:w="0" w:type="auto"/>
          </w:tcPr>
          <w:p>
            <w:pPr>
              <w:spacing w:line="240" w:lineRule="auto" w:before="0" w:after="0"/>
              <w:pStyle w:val="Compact"/>
            </w:pPr>
            <w:r>
              <w:rPr>
                <w:sz w:val="20"/>
                <w:szCs w:val="20"/>
              </w:rPr>
              <w:t xml:space="preserve">yr2024</w:t>
            </w:r>
          </w:p>
        </w:tc>
        <w:tc>
          <w:tcPr>
            <w:tcW w:w="0" w:type="auto"/>
          </w:tcPr>
          <w:p>
            <w:pPr>
              <w:spacing w:line="240" w:lineRule="auto" w:before="0" w:after="0"/>
              <w:pStyle w:val="Compact"/>
            </w:pPr>
            <w:r>
              <w:rPr>
                <w:sz w:val="20"/>
                <w:szCs w:val="20"/>
              </w:rPr>
              <w:t xml:space="preserve">source</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USA</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40900000000</w:t>
            </w:r>
          </w:p>
        </w:tc>
        <w:tc>
          <w:tcPr>
            <w:tcW w:w="0" w:type="auto"/>
          </w:tcPr>
          <w:p>
            <w:pPr>
              <w:spacing w:line="240" w:lineRule="auto" w:before="0" w:after="0"/>
              <w:pStyle w:val="Compact"/>
            </w:pPr>
            <w:r>
              <w:rPr>
                <w:sz w:val="20"/>
                <w:szCs w:val="20"/>
              </w:rPr>
              <w:t xml:space="preserve">20656516000000</w:t>
            </w:r>
          </w:p>
        </w:tc>
        <w:tc>
          <w:tcPr>
            <w:tcW w:w="0" w:type="auto"/>
          </w:tcPr>
          <w:p>
            <w:pPr>
              <w:spacing w:line="240" w:lineRule="auto" w:before="0" w:after="0"/>
              <w:pStyle w:val="Compact"/>
            </w:pPr>
            <w:r>
              <w:rPr>
                <w:sz w:val="20"/>
                <w:szCs w:val="20"/>
              </w:rPr>
              <w:t xml:space="preserve">1715</w:t>
            </w:r>
          </w:p>
        </w:tc>
        <w:tc>
          <w:tcPr>
            <w:tcW w:w="0" w:type="auto"/>
          </w:tcPr>
          <w:p>
            <w:pPr>
              <w:spacing w:line="240" w:lineRule="auto" w:before="0" w:after="0"/>
              <w:pStyle w:val="Compact"/>
            </w:pPr>
            <w:r>
              <w:rPr>
                <w:sz w:val="20"/>
                <w:szCs w:val="20"/>
              </w:rPr>
              <w:t xml:space="preserve">0.198</w:t>
            </w:r>
          </w:p>
        </w:tc>
        <w:tc>
          <w:tcPr>
            <w:tcW w:w="0" w:type="auto"/>
          </w:tcPr>
          <w:p>
            <w:pPr>
              <w:spacing w:line="240" w:lineRule="auto" w:before="0" w:after="0"/>
              <w:pStyle w:val="Compact"/>
            </w:pPr>
            <w:r>
              <w:rPr>
                <w:sz w:val="20"/>
                <w:szCs w:val="20"/>
              </w:rPr>
              <w:t xml:space="preserve">24.4344</w:t>
            </w:r>
          </w:p>
        </w:tc>
        <w:tc>
          <w:tcPr>
            <w:tcW w:w="0" w:type="auto"/>
          </w:tcPr>
          <w:p>
            <w:pPr>
              <w:spacing w:line="240" w:lineRule="auto" w:before="0" w:after="0"/>
              <w:pStyle w:val="Compact"/>
            </w:pPr>
            <w:r>
              <w:rPr>
                <w:sz w:val="20"/>
                <w:szCs w:val="20"/>
              </w:rPr>
              <w:t xml:space="preserve">30.6591</w:t>
            </w:r>
          </w:p>
        </w:tc>
        <w:tc>
          <w:tcPr>
            <w:tcW w:w="0" w:type="auto"/>
          </w:tcPr>
          <w:p>
            <w:pPr>
              <w:spacing w:line="240" w:lineRule="auto" w:before="0" w:after="0"/>
              <w:pStyle w:val="Compact"/>
            </w:pPr>
            <w:r>
              <w:rPr>
                <w:sz w:val="20"/>
                <w:szCs w:val="20"/>
              </w:rPr>
              <w:t xml:space="preserve">7.4472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SpaceNews op-ed</w:t>
            </w:r>
            <w:r>
              <w:rPr>
                <w:sz w:val="20"/>
                <w:szCs w:val="20"/>
              </w:rPr>
              <w:t xml:space="preserve"> </w:t>
            </w:r>
            <w:r>
              <w:rPr>
                <w:sz w:val="20"/>
                <w:szCs w:val="20"/>
              </w:rPr>
              <w:t xml:space="preserve">‘Global government space budgets continues multiyear rebound’</w:t>
            </w:r>
            <w:r>
              <w:rPr>
                <w:sz w:val="20"/>
                <w:szCs w:val="20"/>
              </w:rPr>
              <w:t xml:space="preserve"> </w:t>
            </w:r>
            <w:r>
              <w:rPr>
                <w:sz w:val="20"/>
                <w:szCs w:val="20"/>
              </w:rPr>
              <w:t xml:space="preserve">(GSP 2019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CHN</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5830000000</w:t>
            </w:r>
          </w:p>
        </w:tc>
        <w:tc>
          <w:tcPr>
            <w:tcW w:w="0" w:type="auto"/>
          </w:tcPr>
          <w:p>
            <w:pPr>
              <w:spacing w:line="240" w:lineRule="auto" w:before="0" w:after="0"/>
              <w:pStyle w:val="Compact"/>
            </w:pPr>
            <w:r>
              <w:rPr>
                <w:sz w:val="20"/>
                <w:szCs w:val="20"/>
              </w:rPr>
              <w:t xml:space="preserve">14147765772964</w:t>
            </w:r>
          </w:p>
        </w:tc>
        <w:tc>
          <w:tcPr>
            <w:tcW w:w="0" w:type="auto"/>
          </w:tcPr>
          <w:p>
            <w:pPr>
              <w:spacing w:line="240" w:lineRule="auto" w:before="0" w:after="0"/>
              <w:pStyle w:val="Compact"/>
            </w:pPr>
            <w:r>
              <w:rPr>
                <w:sz w:val="20"/>
                <w:szCs w:val="20"/>
              </w:rPr>
              <w:t xml:space="preserve">346</w:t>
            </w:r>
          </w:p>
        </w:tc>
        <w:tc>
          <w:tcPr>
            <w:tcW w:w="0" w:type="auto"/>
          </w:tcPr>
          <w:p>
            <w:pPr>
              <w:spacing w:line="240" w:lineRule="auto" w:before="0" w:after="0"/>
              <w:pStyle w:val="Compact"/>
            </w:pPr>
            <w:r>
              <w:rPr>
                <w:sz w:val="20"/>
                <w:szCs w:val="20"/>
              </w:rPr>
              <w:t xml:space="preserve">0.0412</w:t>
            </w:r>
          </w:p>
        </w:tc>
        <w:tc>
          <w:tcPr>
            <w:tcW w:w="0" w:type="auto"/>
          </w:tcPr>
          <w:p>
            <w:pPr>
              <w:spacing w:line="240" w:lineRule="auto" w:before="0" w:after="0"/>
              <w:pStyle w:val="Compact"/>
            </w:pPr>
            <w:r>
              <w:rPr>
                <w:sz w:val="20"/>
                <w:szCs w:val="20"/>
              </w:rPr>
              <w:t xml:space="preserve">22.4863</w:t>
            </w:r>
          </w:p>
        </w:tc>
        <w:tc>
          <w:tcPr>
            <w:tcW w:w="0" w:type="auto"/>
          </w:tcPr>
          <w:p>
            <w:pPr>
              <w:spacing w:line="240" w:lineRule="auto" w:before="0" w:after="0"/>
              <w:pStyle w:val="Compact"/>
            </w:pPr>
            <w:r>
              <w:rPr>
                <w:sz w:val="20"/>
                <w:szCs w:val="20"/>
              </w:rPr>
              <w:t xml:space="preserve">30.2806</w:t>
            </w:r>
          </w:p>
        </w:tc>
        <w:tc>
          <w:tcPr>
            <w:tcW w:w="0" w:type="auto"/>
          </w:tcPr>
          <w:p>
            <w:pPr>
              <w:spacing w:line="240" w:lineRule="auto" w:before="0" w:after="0"/>
              <w:pStyle w:val="Compact"/>
            </w:pPr>
            <w:r>
              <w:rPr>
                <w:sz w:val="20"/>
                <w:szCs w:val="20"/>
              </w:rPr>
              <w:t xml:space="preserve">5.8464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SpaceNews op-ed</w:t>
            </w:r>
            <w:r>
              <w:rPr>
                <w:sz w:val="20"/>
                <w:szCs w:val="20"/>
              </w:rPr>
              <w:t xml:space="preserve"> </w:t>
            </w:r>
            <w:r>
              <w:rPr>
                <w:sz w:val="20"/>
                <w:szCs w:val="20"/>
              </w:rPr>
              <w:t xml:space="preserve">‘Global government space budgets continues multiyear rebound’</w:t>
            </w:r>
            <w:r>
              <w:rPr>
                <w:sz w:val="20"/>
                <w:szCs w:val="20"/>
              </w:rPr>
              <w:t xml:space="preserve"> </w:t>
            </w:r>
            <w:r>
              <w:rPr>
                <w:sz w:val="20"/>
                <w:szCs w:val="20"/>
              </w:rPr>
              <w:t xml:space="preserve">(GSP 2019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RUS</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4200000000</w:t>
            </w:r>
          </w:p>
        </w:tc>
        <w:tc>
          <w:tcPr>
            <w:tcW w:w="0" w:type="auto"/>
          </w:tcPr>
          <w:p>
            <w:pPr>
              <w:spacing w:line="240" w:lineRule="auto" w:before="0" w:after="0"/>
              <w:pStyle w:val="Compact"/>
            </w:pPr>
            <w:r>
              <w:rPr>
                <w:sz w:val="20"/>
                <w:szCs w:val="20"/>
              </w:rPr>
              <w:t xml:space="preserve">1657328773461</w:t>
            </w:r>
          </w:p>
        </w:tc>
        <w:tc>
          <w:tcPr>
            <w:tcW w:w="0" w:type="auto"/>
          </w:tcPr>
          <w:p>
            <w:pPr>
              <w:spacing w:line="240" w:lineRule="auto" w:before="0" w:after="0"/>
              <w:pStyle w:val="Compact"/>
            </w:pPr>
            <w:r>
              <w:rPr>
                <w:sz w:val="20"/>
                <w:szCs w:val="20"/>
              </w:rPr>
              <w:t xml:space="preserve">1525</w:t>
            </w:r>
          </w:p>
        </w:tc>
        <w:tc>
          <w:tcPr>
            <w:tcW w:w="0" w:type="auto"/>
          </w:tcPr>
          <w:p>
            <w:pPr>
              <w:spacing w:line="240" w:lineRule="auto" w:before="0" w:after="0"/>
              <w:pStyle w:val="Compact"/>
            </w:pPr>
            <w:r>
              <w:rPr>
                <w:sz w:val="20"/>
                <w:szCs w:val="20"/>
              </w:rPr>
              <w:t xml:space="preserve">0.2534</w:t>
            </w:r>
          </w:p>
        </w:tc>
        <w:tc>
          <w:tcPr>
            <w:tcW w:w="0" w:type="auto"/>
          </w:tcPr>
          <w:p>
            <w:pPr>
              <w:spacing w:line="240" w:lineRule="auto" w:before="0" w:after="0"/>
              <w:pStyle w:val="Compact"/>
            </w:pPr>
            <w:r>
              <w:rPr>
                <w:sz w:val="20"/>
                <w:szCs w:val="20"/>
              </w:rPr>
              <w:t xml:space="preserve">22.1583</w:t>
            </w:r>
          </w:p>
        </w:tc>
        <w:tc>
          <w:tcPr>
            <w:tcW w:w="0" w:type="auto"/>
          </w:tcPr>
          <w:p>
            <w:pPr>
              <w:spacing w:line="240" w:lineRule="auto" w:before="0" w:after="0"/>
              <w:pStyle w:val="Compact"/>
            </w:pPr>
            <w:r>
              <w:rPr>
                <w:sz w:val="20"/>
                <w:szCs w:val="20"/>
              </w:rPr>
              <w:t xml:space="preserve">28.1362</w:t>
            </w:r>
          </w:p>
        </w:tc>
        <w:tc>
          <w:tcPr>
            <w:tcW w:w="0" w:type="auto"/>
          </w:tcPr>
          <w:p>
            <w:pPr>
              <w:spacing w:line="240" w:lineRule="auto" w:before="0" w:after="0"/>
              <w:pStyle w:val="Compact"/>
            </w:pPr>
            <w:r>
              <w:rPr>
                <w:sz w:val="20"/>
                <w:szCs w:val="20"/>
              </w:rPr>
              <w:t xml:space="preserve">7.3297</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SpaceNews op-ed</w:t>
            </w:r>
            <w:r>
              <w:rPr>
                <w:sz w:val="20"/>
                <w:szCs w:val="20"/>
              </w:rPr>
              <w:t xml:space="preserve"> </w:t>
            </w:r>
            <w:r>
              <w:rPr>
                <w:sz w:val="20"/>
                <w:szCs w:val="20"/>
              </w:rPr>
              <w:t xml:space="preserve">‘Global government space budgets continues multiyear rebound’</w:t>
            </w:r>
            <w:r>
              <w:rPr>
                <w:sz w:val="20"/>
                <w:szCs w:val="20"/>
              </w:rPr>
              <w:t xml:space="preserve"> </w:t>
            </w:r>
            <w:r>
              <w:rPr>
                <w:sz w:val="20"/>
                <w:szCs w:val="20"/>
              </w:rPr>
              <w:t xml:space="preserve">(GSP 2019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France</w:t>
            </w:r>
          </w:p>
        </w:tc>
        <w:tc>
          <w:tcPr>
            <w:tcW w:w="0" w:type="auto"/>
          </w:tcPr>
          <w:p>
            <w:pPr>
              <w:spacing w:line="240" w:lineRule="auto" w:before="0" w:after="0"/>
              <w:pStyle w:val="Compact"/>
            </w:pPr>
            <w:r>
              <w:rPr>
                <w:sz w:val="20"/>
                <w:szCs w:val="20"/>
              </w:rPr>
              <w:t xml:space="preserve">FRA</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3200000000</w:t>
            </w:r>
          </w:p>
        </w:tc>
        <w:tc>
          <w:tcPr>
            <w:tcW w:w="0" w:type="auto"/>
          </w:tcPr>
          <w:p>
            <w:pPr>
              <w:spacing w:line="240" w:lineRule="auto" w:before="0" w:after="0"/>
              <w:pStyle w:val="Compact"/>
            </w:pPr>
            <w:r>
              <w:rPr>
                <w:sz w:val="20"/>
                <w:szCs w:val="20"/>
              </w:rPr>
              <w:t xml:space="preserve">2781576320884</w:t>
            </w:r>
          </w:p>
        </w:tc>
        <w:tc>
          <w:tcPr>
            <w:tcW w:w="0" w:type="auto"/>
          </w:tcPr>
          <w:p>
            <w:pPr>
              <w:spacing w:line="240" w:lineRule="auto" w:before="0" w:after="0"/>
              <w:pStyle w:val="Compact"/>
            </w:pPr>
            <w:r>
              <w:rPr>
                <w:sz w:val="20"/>
                <w:szCs w:val="20"/>
              </w:rPr>
              <w:t xml:space="preserve">63</w:t>
            </w:r>
          </w:p>
        </w:tc>
        <w:tc>
          <w:tcPr>
            <w:tcW w:w="0" w:type="auto"/>
          </w:tcPr>
          <w:p>
            <w:pPr>
              <w:spacing w:line="240" w:lineRule="auto" w:before="0" w:after="0"/>
              <w:pStyle w:val="Compact"/>
            </w:pPr>
            <w:r>
              <w:rPr>
                <w:sz w:val="20"/>
                <w:szCs w:val="20"/>
              </w:rPr>
              <w:t xml:space="preserve">0.115</w:t>
            </w:r>
          </w:p>
        </w:tc>
        <w:tc>
          <w:tcPr>
            <w:tcW w:w="0" w:type="auto"/>
          </w:tcPr>
          <w:p>
            <w:pPr>
              <w:spacing w:line="240" w:lineRule="auto" w:before="0" w:after="0"/>
              <w:pStyle w:val="Compact"/>
            </w:pPr>
            <w:r>
              <w:rPr>
                <w:sz w:val="20"/>
                <w:szCs w:val="20"/>
              </w:rPr>
              <w:t xml:space="preserve">21.8864</w:t>
            </w:r>
          </w:p>
        </w:tc>
        <w:tc>
          <w:tcPr>
            <w:tcW w:w="0" w:type="auto"/>
          </w:tcPr>
          <w:p>
            <w:pPr>
              <w:spacing w:line="240" w:lineRule="auto" w:before="0" w:after="0"/>
              <w:pStyle w:val="Compact"/>
            </w:pPr>
            <w:r>
              <w:rPr>
                <w:sz w:val="20"/>
                <w:szCs w:val="20"/>
              </w:rPr>
              <w:t xml:space="preserve">28.654</w:t>
            </w:r>
          </w:p>
        </w:tc>
        <w:tc>
          <w:tcPr>
            <w:tcW w:w="0" w:type="auto"/>
          </w:tcPr>
          <w:p>
            <w:pPr>
              <w:spacing w:line="240" w:lineRule="auto" w:before="0" w:after="0"/>
              <w:pStyle w:val="Compact"/>
            </w:pPr>
            <w:r>
              <w:rPr>
                <w:sz w:val="20"/>
                <w:szCs w:val="20"/>
              </w:rPr>
              <w:t xml:space="preserve">4.1431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SpaceNews op-ed</w:t>
            </w:r>
            <w:r>
              <w:rPr>
                <w:sz w:val="20"/>
                <w:szCs w:val="20"/>
              </w:rPr>
              <w:t xml:space="preserve"> </w:t>
            </w:r>
            <w:r>
              <w:rPr>
                <w:sz w:val="20"/>
                <w:szCs w:val="20"/>
              </w:rPr>
              <w:t xml:space="preserve">‘Global government space budgets continues multiyear rebound’</w:t>
            </w:r>
            <w:r>
              <w:rPr>
                <w:sz w:val="20"/>
                <w:szCs w:val="20"/>
              </w:rPr>
              <w:t xml:space="preserve"> </w:t>
            </w:r>
            <w:r>
              <w:rPr>
                <w:sz w:val="20"/>
                <w:szCs w:val="20"/>
              </w:rPr>
              <w:t xml:space="preserve">(GSP 2019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JPN</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3100000000</w:t>
            </w:r>
          </w:p>
        </w:tc>
        <w:tc>
          <w:tcPr>
            <w:tcW w:w="0" w:type="auto"/>
          </w:tcPr>
          <w:p>
            <w:pPr>
              <w:spacing w:line="240" w:lineRule="auto" w:before="0" w:after="0"/>
              <w:pStyle w:val="Compact"/>
            </w:pPr>
            <w:r>
              <w:rPr>
                <w:sz w:val="20"/>
                <w:szCs w:val="20"/>
              </w:rPr>
              <w:t xml:space="preserve">5154293721630</w:t>
            </w:r>
          </w:p>
        </w:tc>
        <w:tc>
          <w:tcPr>
            <w:tcW w:w="0" w:type="auto"/>
          </w:tcPr>
          <w:p>
            <w:pPr>
              <w:spacing w:line="240" w:lineRule="auto" w:before="0" w:after="0"/>
              <w:pStyle w:val="Compact"/>
            </w:pPr>
            <w:r>
              <w:rPr>
                <w:sz w:val="20"/>
                <w:szCs w:val="20"/>
              </w:rPr>
              <w:t xml:space="preserve">220</w:t>
            </w:r>
          </w:p>
        </w:tc>
        <w:tc>
          <w:tcPr>
            <w:tcW w:w="0" w:type="auto"/>
          </w:tcPr>
          <w:p>
            <w:pPr>
              <w:spacing w:line="240" w:lineRule="auto" w:before="0" w:after="0"/>
              <w:pStyle w:val="Compact"/>
            </w:pPr>
            <w:r>
              <w:rPr>
                <w:sz w:val="20"/>
                <w:szCs w:val="20"/>
              </w:rPr>
              <w:t xml:space="preserve">0.0601</w:t>
            </w:r>
          </w:p>
        </w:tc>
        <w:tc>
          <w:tcPr>
            <w:tcW w:w="0" w:type="auto"/>
          </w:tcPr>
          <w:p>
            <w:pPr>
              <w:spacing w:line="240" w:lineRule="auto" w:before="0" w:after="0"/>
              <w:pStyle w:val="Compact"/>
            </w:pPr>
            <w:r>
              <w:rPr>
                <w:sz w:val="20"/>
                <w:szCs w:val="20"/>
              </w:rPr>
              <w:t xml:space="preserve">21.8547</w:t>
            </w:r>
          </w:p>
        </w:tc>
        <w:tc>
          <w:tcPr>
            <w:tcW w:w="0" w:type="auto"/>
          </w:tcPr>
          <w:p>
            <w:pPr>
              <w:spacing w:line="240" w:lineRule="auto" w:before="0" w:after="0"/>
              <w:pStyle w:val="Compact"/>
            </w:pPr>
            <w:r>
              <w:rPr>
                <w:sz w:val="20"/>
                <w:szCs w:val="20"/>
              </w:rPr>
              <w:t xml:space="preserve">29.2708</w:t>
            </w:r>
          </w:p>
        </w:tc>
        <w:tc>
          <w:tcPr>
            <w:tcW w:w="0" w:type="auto"/>
          </w:tcPr>
          <w:p>
            <w:pPr>
              <w:spacing w:line="240" w:lineRule="auto" w:before="0" w:after="0"/>
              <w:pStyle w:val="Compact"/>
            </w:pPr>
            <w:r>
              <w:rPr>
                <w:sz w:val="20"/>
                <w:szCs w:val="20"/>
              </w:rPr>
              <w:t xml:space="preserve">5.3936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SpaceNews op-ed</w:t>
            </w:r>
            <w:r>
              <w:rPr>
                <w:sz w:val="20"/>
                <w:szCs w:val="20"/>
              </w:rPr>
              <w:t xml:space="preserve"> </w:t>
            </w:r>
            <w:r>
              <w:rPr>
                <w:sz w:val="20"/>
                <w:szCs w:val="20"/>
              </w:rPr>
              <w:t xml:space="preserve">‘Global government space budgets continues multiyear rebound’</w:t>
            </w:r>
            <w:r>
              <w:rPr>
                <w:sz w:val="20"/>
                <w:szCs w:val="20"/>
              </w:rPr>
              <w:t xml:space="preserve"> </w:t>
            </w:r>
            <w:r>
              <w:rPr>
                <w:sz w:val="20"/>
                <w:szCs w:val="20"/>
              </w:rPr>
              <w:t xml:space="preserve">(GSP 2019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USA</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54600000000</w:t>
            </w:r>
          </w:p>
        </w:tc>
        <w:tc>
          <w:tcPr>
            <w:tcW w:w="0" w:type="auto"/>
          </w:tcPr>
          <w:p>
            <w:pPr>
              <w:spacing w:line="240" w:lineRule="auto" w:before="0" w:after="0"/>
              <w:pStyle w:val="Compact"/>
            </w:pPr>
            <w:r>
              <w:rPr>
                <w:sz w:val="20"/>
                <w:szCs w:val="20"/>
              </w:rPr>
              <w:t xml:space="preserve">23725645000000</w:t>
            </w:r>
          </w:p>
        </w:tc>
        <w:tc>
          <w:tcPr>
            <w:tcW w:w="0" w:type="auto"/>
          </w:tcPr>
          <w:p>
            <w:pPr>
              <w:spacing w:line="240" w:lineRule="auto" w:before="0" w:after="0"/>
              <w:pStyle w:val="Compact"/>
            </w:pPr>
            <w:r>
              <w:rPr>
                <w:sz w:val="20"/>
                <w:szCs w:val="20"/>
              </w:rPr>
              <w:t xml:space="preserve">3897</w:t>
            </w:r>
          </w:p>
        </w:tc>
        <w:tc>
          <w:tcPr>
            <w:tcW w:w="0" w:type="auto"/>
          </w:tcPr>
          <w:p>
            <w:pPr>
              <w:spacing w:line="240" w:lineRule="auto" w:before="0" w:after="0"/>
              <w:pStyle w:val="Compact"/>
            </w:pPr>
            <w:r>
              <w:rPr>
                <w:sz w:val="20"/>
                <w:szCs w:val="20"/>
              </w:rPr>
              <w:t xml:space="preserve">0.2301</w:t>
            </w:r>
          </w:p>
        </w:tc>
        <w:tc>
          <w:tcPr>
            <w:tcW w:w="0" w:type="auto"/>
          </w:tcPr>
          <w:p>
            <w:pPr>
              <w:spacing w:line="240" w:lineRule="auto" w:before="0" w:after="0"/>
              <w:pStyle w:val="Compact"/>
            </w:pPr>
            <w:r>
              <w:rPr>
                <w:sz w:val="20"/>
                <w:szCs w:val="20"/>
              </w:rPr>
              <w:t xml:space="preserve">24.7233</w:t>
            </w:r>
          </w:p>
        </w:tc>
        <w:tc>
          <w:tcPr>
            <w:tcW w:w="0" w:type="auto"/>
          </w:tcPr>
          <w:p>
            <w:pPr>
              <w:spacing w:line="240" w:lineRule="auto" w:before="0" w:after="0"/>
              <w:pStyle w:val="Compact"/>
            </w:pPr>
            <w:r>
              <w:rPr>
                <w:sz w:val="20"/>
                <w:szCs w:val="20"/>
              </w:rPr>
              <w:t xml:space="preserve">30.7976</w:t>
            </w:r>
          </w:p>
        </w:tc>
        <w:tc>
          <w:tcPr>
            <w:tcW w:w="0" w:type="auto"/>
          </w:tcPr>
          <w:p>
            <w:pPr>
              <w:spacing w:line="240" w:lineRule="auto" w:before="0" w:after="0"/>
              <w:pStyle w:val="Compact"/>
            </w:pPr>
            <w:r>
              <w:rPr>
                <w:sz w:val="20"/>
                <w:szCs w:val="20"/>
              </w:rPr>
              <w:t xml:space="preserve">8.268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Via Satellite,</w:t>
            </w:r>
            <w:r>
              <w:rPr>
                <w:sz w:val="20"/>
                <w:szCs w:val="20"/>
              </w:rPr>
              <w:t xml:space="preserve"> </w:t>
            </w:r>
            <w:r>
              <w:rPr>
                <w:sz w:val="20"/>
                <w:szCs w:val="20"/>
              </w:rPr>
              <w:t xml:space="preserve">‘Euroconsult Reports Record Government Space Investment in 2021’</w:t>
            </w:r>
            <w:r>
              <w:rPr>
                <w:sz w:val="20"/>
                <w:szCs w:val="20"/>
              </w:rPr>
              <w:t xml:space="preserve"> </w:t>
            </w:r>
            <w:r>
              <w:rPr>
                <w:sz w:val="20"/>
                <w:szCs w:val="20"/>
              </w:rPr>
              <w:t xml:space="preserve">(GSP 2022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CHN</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10300000000</w:t>
            </w:r>
          </w:p>
        </w:tc>
        <w:tc>
          <w:tcPr>
            <w:tcW w:w="0" w:type="auto"/>
          </w:tcPr>
          <w:p>
            <w:pPr>
              <w:spacing w:line="240" w:lineRule="auto" w:before="0" w:after="0"/>
              <w:pStyle w:val="Compact"/>
            </w:pPr>
            <w:r>
              <w:rPr>
                <w:sz w:val="20"/>
                <w:szCs w:val="20"/>
              </w:rPr>
              <w:t xml:space="preserve">18201698719564</w:t>
            </w:r>
          </w:p>
        </w:tc>
        <w:tc>
          <w:tcPr>
            <w:tcW w:w="0" w:type="auto"/>
          </w:tcPr>
          <w:p>
            <w:pPr>
              <w:spacing w:line="240" w:lineRule="auto" w:before="0" w:after="0"/>
              <w:pStyle w:val="Compact"/>
            </w:pPr>
            <w:r>
              <w:rPr>
                <w:sz w:val="20"/>
                <w:szCs w:val="20"/>
              </w:rPr>
              <w:t xml:space="preserve">577</w:t>
            </w:r>
          </w:p>
        </w:tc>
        <w:tc>
          <w:tcPr>
            <w:tcW w:w="0" w:type="auto"/>
          </w:tcPr>
          <w:p>
            <w:pPr>
              <w:spacing w:line="240" w:lineRule="auto" w:before="0" w:after="0"/>
              <w:pStyle w:val="Compact"/>
            </w:pPr>
            <w:r>
              <w:rPr>
                <w:sz w:val="20"/>
                <w:szCs w:val="20"/>
              </w:rPr>
              <w:t xml:space="preserve">0.0566</w:t>
            </w:r>
          </w:p>
        </w:tc>
        <w:tc>
          <w:tcPr>
            <w:tcW w:w="0" w:type="auto"/>
          </w:tcPr>
          <w:p>
            <w:pPr>
              <w:spacing w:line="240" w:lineRule="auto" w:before="0" w:after="0"/>
              <w:pStyle w:val="Compact"/>
            </w:pPr>
            <w:r>
              <w:rPr>
                <w:sz w:val="20"/>
                <w:szCs w:val="20"/>
              </w:rPr>
              <w:t xml:space="preserve">23.0554</w:t>
            </w:r>
          </w:p>
        </w:tc>
        <w:tc>
          <w:tcPr>
            <w:tcW w:w="0" w:type="auto"/>
          </w:tcPr>
          <w:p>
            <w:pPr>
              <w:spacing w:line="240" w:lineRule="auto" w:before="0" w:after="0"/>
              <w:pStyle w:val="Compact"/>
            </w:pPr>
            <w:r>
              <w:rPr>
                <w:sz w:val="20"/>
                <w:szCs w:val="20"/>
              </w:rPr>
              <w:t xml:space="preserve">30.5325</w:t>
            </w:r>
          </w:p>
        </w:tc>
        <w:tc>
          <w:tcPr>
            <w:tcW w:w="0" w:type="auto"/>
          </w:tcPr>
          <w:p>
            <w:pPr>
              <w:spacing w:line="240" w:lineRule="auto" w:before="0" w:after="0"/>
              <w:pStyle w:val="Compact"/>
            </w:pPr>
            <w:r>
              <w:rPr>
                <w:sz w:val="20"/>
                <w:szCs w:val="20"/>
              </w:rPr>
              <w:t xml:space="preserve">6.3578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Via Satellite,</w:t>
            </w:r>
            <w:r>
              <w:rPr>
                <w:sz w:val="20"/>
                <w:szCs w:val="20"/>
              </w:rPr>
              <w:t xml:space="preserve"> </w:t>
            </w:r>
            <w:r>
              <w:rPr>
                <w:sz w:val="20"/>
                <w:szCs w:val="20"/>
              </w:rPr>
              <w:t xml:space="preserve">‘Euroconsult Reports Record Government Space Investment in 2021’</w:t>
            </w:r>
            <w:r>
              <w:rPr>
                <w:sz w:val="20"/>
                <w:szCs w:val="20"/>
              </w:rPr>
              <w:t xml:space="preserve"> </w:t>
            </w:r>
            <w:r>
              <w:rPr>
                <w:sz w:val="20"/>
                <w:szCs w:val="20"/>
              </w:rPr>
              <w:t xml:space="preserve">(GSP 2022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JPN</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4200000000</w:t>
            </w:r>
          </w:p>
        </w:tc>
        <w:tc>
          <w:tcPr>
            <w:tcW w:w="0" w:type="auto"/>
          </w:tcPr>
          <w:p>
            <w:pPr>
              <w:spacing w:line="240" w:lineRule="auto" w:before="0" w:after="0"/>
              <w:pStyle w:val="Compact"/>
            </w:pPr>
            <w:r>
              <w:rPr>
                <w:sz w:val="20"/>
                <w:szCs w:val="20"/>
              </w:rPr>
              <w:t xml:space="preserve">5225933520753</w:t>
            </w:r>
          </w:p>
        </w:tc>
        <w:tc>
          <w:tcPr>
            <w:tcW w:w="0" w:type="auto"/>
          </w:tcPr>
          <w:p>
            <w:pPr>
              <w:spacing w:line="240" w:lineRule="auto" w:before="0" w:after="0"/>
              <w:pStyle w:val="Compact"/>
            </w:pPr>
            <w:r>
              <w:rPr>
                <w:sz w:val="20"/>
                <w:szCs w:val="20"/>
              </w:rPr>
              <w:t xml:space="preserve">245</w:t>
            </w:r>
          </w:p>
        </w:tc>
        <w:tc>
          <w:tcPr>
            <w:tcW w:w="0" w:type="auto"/>
          </w:tcPr>
          <w:p>
            <w:pPr>
              <w:spacing w:line="240" w:lineRule="auto" w:before="0" w:after="0"/>
              <w:pStyle w:val="Compact"/>
            </w:pPr>
            <w:r>
              <w:rPr>
                <w:sz w:val="20"/>
                <w:szCs w:val="20"/>
              </w:rPr>
              <w:t xml:space="preserve">0.0804</w:t>
            </w:r>
          </w:p>
        </w:tc>
        <w:tc>
          <w:tcPr>
            <w:tcW w:w="0" w:type="auto"/>
          </w:tcPr>
          <w:p>
            <w:pPr>
              <w:spacing w:line="240" w:lineRule="auto" w:before="0" w:after="0"/>
              <w:pStyle w:val="Compact"/>
            </w:pPr>
            <w:r>
              <w:rPr>
                <w:sz w:val="20"/>
                <w:szCs w:val="20"/>
              </w:rPr>
              <w:t xml:space="preserve">22.1583</w:t>
            </w:r>
          </w:p>
        </w:tc>
        <w:tc>
          <w:tcPr>
            <w:tcW w:w="0" w:type="auto"/>
          </w:tcPr>
          <w:p>
            <w:pPr>
              <w:spacing w:line="240" w:lineRule="auto" w:before="0" w:after="0"/>
              <w:pStyle w:val="Compact"/>
            </w:pPr>
            <w:r>
              <w:rPr>
                <w:sz w:val="20"/>
                <w:szCs w:val="20"/>
              </w:rPr>
              <w:t xml:space="preserve">29.2846</w:t>
            </w:r>
          </w:p>
        </w:tc>
        <w:tc>
          <w:tcPr>
            <w:tcW w:w="0" w:type="auto"/>
          </w:tcPr>
          <w:p>
            <w:pPr>
              <w:spacing w:line="240" w:lineRule="auto" w:before="0" w:after="0"/>
              <w:pStyle w:val="Compact"/>
            </w:pPr>
            <w:r>
              <w:rPr>
                <w:sz w:val="20"/>
                <w:szCs w:val="20"/>
              </w:rPr>
              <w:t xml:space="preserve">5.5013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Via Satellite,</w:t>
            </w:r>
            <w:r>
              <w:rPr>
                <w:sz w:val="20"/>
                <w:szCs w:val="20"/>
              </w:rPr>
              <w:t xml:space="preserve"> </w:t>
            </w:r>
            <w:r>
              <w:rPr>
                <w:sz w:val="20"/>
                <w:szCs w:val="20"/>
              </w:rPr>
              <w:t xml:space="preserve">‘Euroconsult Reports Record Government Space Investment in 2021’</w:t>
            </w:r>
            <w:r>
              <w:rPr>
                <w:sz w:val="20"/>
                <w:szCs w:val="20"/>
              </w:rPr>
              <w:t xml:space="preserve"> </w:t>
            </w:r>
            <w:r>
              <w:rPr>
                <w:sz w:val="20"/>
                <w:szCs w:val="20"/>
              </w:rPr>
              <w:t xml:space="preserve">(GSP 2022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France</w:t>
            </w:r>
          </w:p>
        </w:tc>
        <w:tc>
          <w:tcPr>
            <w:tcW w:w="0" w:type="auto"/>
          </w:tcPr>
          <w:p>
            <w:pPr>
              <w:spacing w:line="240" w:lineRule="auto" w:before="0" w:after="0"/>
              <w:pStyle w:val="Compact"/>
            </w:pPr>
            <w:r>
              <w:rPr>
                <w:sz w:val="20"/>
                <w:szCs w:val="20"/>
              </w:rPr>
              <w:t xml:space="preserve">FRA</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4000000000</w:t>
            </w:r>
          </w:p>
        </w:tc>
        <w:tc>
          <w:tcPr>
            <w:tcW w:w="0" w:type="auto"/>
          </w:tcPr>
          <w:p>
            <w:pPr>
              <w:spacing w:line="240" w:lineRule="auto" w:before="0" w:after="0"/>
              <w:pStyle w:val="Compact"/>
            </w:pPr>
            <w:r>
              <w:rPr>
                <w:sz w:val="20"/>
                <w:szCs w:val="20"/>
              </w:rPr>
              <w:t xml:space="preserve">2966433692008</w:t>
            </w:r>
          </w:p>
        </w:tc>
        <w:tc>
          <w:tcPr>
            <w:tcW w:w="0" w:type="auto"/>
          </w:tcPr>
          <w:p>
            <w:pPr>
              <w:spacing w:line="240" w:lineRule="auto" w:before="0" w:after="0"/>
              <w:pStyle w:val="Compact"/>
            </w:pPr>
            <w:r>
              <w:rPr>
                <w:sz w:val="20"/>
                <w:szCs w:val="20"/>
              </w:rPr>
              <w:t xml:space="preserve">78</w:t>
            </w:r>
          </w:p>
        </w:tc>
        <w:tc>
          <w:tcPr>
            <w:tcW w:w="0" w:type="auto"/>
          </w:tcPr>
          <w:p>
            <w:pPr>
              <w:spacing w:line="240" w:lineRule="auto" w:before="0" w:after="0"/>
              <w:pStyle w:val="Compact"/>
            </w:pPr>
            <w:r>
              <w:rPr>
                <w:sz w:val="20"/>
                <w:szCs w:val="20"/>
              </w:rPr>
              <w:t xml:space="preserve">0.1348</w:t>
            </w:r>
          </w:p>
        </w:tc>
        <w:tc>
          <w:tcPr>
            <w:tcW w:w="0" w:type="auto"/>
          </w:tcPr>
          <w:p>
            <w:pPr>
              <w:spacing w:line="240" w:lineRule="auto" w:before="0" w:after="0"/>
              <w:pStyle w:val="Compact"/>
            </w:pPr>
            <w:r>
              <w:rPr>
                <w:sz w:val="20"/>
                <w:szCs w:val="20"/>
              </w:rPr>
              <w:t xml:space="preserve">22.1096</w:t>
            </w:r>
          </w:p>
        </w:tc>
        <w:tc>
          <w:tcPr>
            <w:tcW w:w="0" w:type="auto"/>
          </w:tcPr>
          <w:p>
            <w:pPr>
              <w:spacing w:line="240" w:lineRule="auto" w:before="0" w:after="0"/>
              <w:pStyle w:val="Compact"/>
            </w:pPr>
            <w:r>
              <w:rPr>
                <w:sz w:val="20"/>
                <w:szCs w:val="20"/>
              </w:rPr>
              <w:t xml:space="preserve">28.7184</w:t>
            </w:r>
          </w:p>
        </w:tc>
        <w:tc>
          <w:tcPr>
            <w:tcW w:w="0" w:type="auto"/>
          </w:tcPr>
          <w:p>
            <w:pPr>
              <w:spacing w:line="240" w:lineRule="auto" w:before="0" w:after="0"/>
              <w:pStyle w:val="Compact"/>
            </w:pPr>
            <w:r>
              <w:rPr>
                <w:sz w:val="20"/>
                <w:szCs w:val="20"/>
              </w:rPr>
              <w:t xml:space="preserve">4.3567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Via Satellite,</w:t>
            </w:r>
            <w:r>
              <w:rPr>
                <w:sz w:val="20"/>
                <w:szCs w:val="20"/>
              </w:rPr>
              <w:t xml:space="preserve"> </w:t>
            </w:r>
            <w:r>
              <w:rPr>
                <w:sz w:val="20"/>
                <w:szCs w:val="20"/>
              </w:rPr>
              <w:t xml:space="preserve">‘Euroconsult Reports Record Government Space Investment in 2021’</w:t>
            </w:r>
            <w:r>
              <w:rPr>
                <w:sz w:val="20"/>
                <w:szCs w:val="20"/>
              </w:rPr>
              <w:t xml:space="preserve"> </w:t>
            </w:r>
            <w:r>
              <w:rPr>
                <w:sz w:val="20"/>
                <w:szCs w:val="20"/>
              </w:rPr>
              <w:t xml:space="preserve">(GSP 2022 ed.) (reported as close to $4.0bn);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USA</w:t>
            </w:r>
          </w:p>
        </w:tc>
        <w:tc>
          <w:tcPr>
            <w:tcW w:w="0" w:type="auto"/>
          </w:tcPr>
          <w:p>
            <w:pPr>
              <w:spacing w:line="240" w:lineRule="auto" w:before="0" w:after="0"/>
              <w:pStyle w:val="Compact"/>
            </w:pPr>
            <w:r>
              <w:rPr>
                <w:sz w:val="20"/>
                <w:szCs w:val="20"/>
              </w:rPr>
              <w:t xml:space="preserve">2022</w:t>
            </w:r>
          </w:p>
        </w:tc>
        <w:tc>
          <w:tcPr>
            <w:tcW w:w="0" w:type="auto"/>
          </w:tcPr>
          <w:p>
            <w:pPr>
              <w:spacing w:line="240" w:lineRule="auto" w:before="0" w:after="0"/>
              <w:pStyle w:val="Compact"/>
            </w:pPr>
            <w:r>
              <w:rPr>
                <w:sz w:val="20"/>
                <w:szCs w:val="20"/>
              </w:rPr>
              <w:t xml:space="preserve">62000000000</w:t>
            </w:r>
          </w:p>
        </w:tc>
        <w:tc>
          <w:tcPr>
            <w:tcW w:w="0" w:type="auto"/>
          </w:tcPr>
          <w:p>
            <w:pPr>
              <w:spacing w:line="240" w:lineRule="auto" w:before="0" w:after="0"/>
              <w:pStyle w:val="Compact"/>
            </w:pPr>
            <w:r>
              <w:rPr>
                <w:sz w:val="20"/>
                <w:szCs w:val="20"/>
              </w:rPr>
              <w:t xml:space="preserve">26054614000000</w:t>
            </w:r>
          </w:p>
        </w:tc>
        <w:tc>
          <w:tcPr>
            <w:tcW w:w="0" w:type="auto"/>
          </w:tcPr>
          <w:p>
            <w:pPr>
              <w:spacing w:line="240" w:lineRule="auto" w:before="0" w:after="0"/>
              <w:pStyle w:val="Compact"/>
            </w:pPr>
            <w:r>
              <w:rPr>
                <w:sz w:val="20"/>
                <w:szCs w:val="20"/>
              </w:rPr>
              <w:t xml:space="preserve">5480</w:t>
            </w:r>
          </w:p>
        </w:tc>
        <w:tc>
          <w:tcPr>
            <w:tcW w:w="0" w:type="auto"/>
          </w:tcPr>
          <w:p>
            <w:pPr>
              <w:spacing w:line="240" w:lineRule="auto" w:before="0" w:after="0"/>
              <w:pStyle w:val="Compact"/>
            </w:pPr>
            <w:r>
              <w:rPr>
                <w:sz w:val="20"/>
                <w:szCs w:val="20"/>
              </w:rPr>
              <w:t xml:space="preserve">0.238</w:t>
            </w:r>
          </w:p>
        </w:tc>
        <w:tc>
          <w:tcPr>
            <w:tcW w:w="0" w:type="auto"/>
          </w:tcPr>
          <w:p>
            <w:pPr>
              <w:spacing w:line="240" w:lineRule="auto" w:before="0" w:after="0"/>
              <w:pStyle w:val="Compact"/>
            </w:pPr>
            <w:r>
              <w:rPr>
                <w:sz w:val="20"/>
                <w:szCs w:val="20"/>
              </w:rPr>
              <w:t xml:space="preserve">24.8504</w:t>
            </w:r>
          </w:p>
        </w:tc>
        <w:tc>
          <w:tcPr>
            <w:tcW w:w="0" w:type="auto"/>
          </w:tcPr>
          <w:p>
            <w:pPr>
              <w:spacing w:line="240" w:lineRule="auto" w:before="0" w:after="0"/>
              <w:pStyle w:val="Compact"/>
            </w:pPr>
            <w:r>
              <w:rPr>
                <w:sz w:val="20"/>
                <w:szCs w:val="20"/>
              </w:rPr>
              <w:t xml:space="preserve">30.8912</w:t>
            </w:r>
          </w:p>
        </w:tc>
        <w:tc>
          <w:tcPr>
            <w:tcW w:w="0" w:type="auto"/>
          </w:tcPr>
          <w:p>
            <w:pPr>
              <w:spacing w:line="240" w:lineRule="auto" w:before="0" w:after="0"/>
              <w:pStyle w:val="Compact"/>
            </w:pPr>
            <w:r>
              <w:rPr>
                <w:sz w:val="20"/>
                <w:szCs w:val="20"/>
              </w:rPr>
              <w:t xml:space="preserve">8.6089</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BroadcastPro ME,</w:t>
            </w:r>
            <w:r>
              <w:rPr>
                <w:sz w:val="20"/>
                <w:szCs w:val="20"/>
              </w:rPr>
              <w:t xml:space="preserve"> </w:t>
            </w:r>
            <w:r>
              <w:rPr>
                <w:sz w:val="20"/>
                <w:szCs w:val="20"/>
              </w:rPr>
              <w:t xml:space="preserve">‘Global governments’</w:t>
            </w:r>
            <w:r>
              <w:rPr>
                <w:sz w:val="20"/>
                <w:szCs w:val="20"/>
              </w:rPr>
              <w:t xml:space="preserve"> </w:t>
            </w:r>
            <w:r>
              <w:rPr>
                <w:sz w:val="20"/>
                <w:szCs w:val="20"/>
              </w:rPr>
              <w:t xml:space="preserve">space budget reaches $103bn in 2022’ (GSP 2023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CHN</w:t>
            </w:r>
          </w:p>
        </w:tc>
        <w:tc>
          <w:tcPr>
            <w:tcW w:w="0" w:type="auto"/>
          </w:tcPr>
          <w:p>
            <w:pPr>
              <w:spacing w:line="240" w:lineRule="auto" w:before="0" w:after="0"/>
              <w:pStyle w:val="Compact"/>
            </w:pPr>
            <w:r>
              <w:rPr>
                <w:sz w:val="20"/>
                <w:szCs w:val="20"/>
              </w:rPr>
              <w:t xml:space="preserve">2022</w:t>
            </w:r>
          </w:p>
        </w:tc>
        <w:tc>
          <w:tcPr>
            <w:tcW w:w="0" w:type="auto"/>
          </w:tcPr>
          <w:p>
            <w:pPr>
              <w:spacing w:line="240" w:lineRule="auto" w:before="0" w:after="0"/>
              <w:pStyle w:val="Compact"/>
            </w:pPr>
            <w:r>
              <w:rPr>
                <w:sz w:val="20"/>
                <w:szCs w:val="20"/>
              </w:rPr>
              <w:t xml:space="preserve">12000000000</w:t>
            </w:r>
          </w:p>
        </w:tc>
        <w:tc>
          <w:tcPr>
            <w:tcW w:w="0" w:type="auto"/>
          </w:tcPr>
          <w:p>
            <w:pPr>
              <w:spacing w:line="240" w:lineRule="auto" w:before="0" w:after="0"/>
              <w:pStyle w:val="Compact"/>
            </w:pPr>
            <w:r>
              <w:rPr>
                <w:sz w:val="20"/>
                <w:szCs w:val="20"/>
              </w:rPr>
              <w:t xml:space="preserve">18316765021690</w:t>
            </w:r>
          </w:p>
        </w:tc>
        <w:tc>
          <w:tcPr>
            <w:tcW w:w="0" w:type="auto"/>
          </w:tcPr>
          <w:p>
            <w:pPr>
              <w:spacing w:line="240" w:lineRule="auto" w:before="0" w:after="0"/>
              <w:pStyle w:val="Compact"/>
            </w:pPr>
            <w:r>
              <w:rPr>
                <w:sz w:val="20"/>
                <w:szCs w:val="20"/>
              </w:rPr>
              <w:t xml:space="preserve">751</w:t>
            </w:r>
          </w:p>
        </w:tc>
        <w:tc>
          <w:tcPr>
            <w:tcW w:w="0" w:type="auto"/>
          </w:tcPr>
          <w:p>
            <w:pPr>
              <w:spacing w:line="240" w:lineRule="auto" w:before="0" w:after="0"/>
              <w:pStyle w:val="Compact"/>
            </w:pPr>
            <w:r>
              <w:rPr>
                <w:sz w:val="20"/>
                <w:szCs w:val="20"/>
              </w:rPr>
              <w:t xml:space="preserve">0.0655</w:t>
            </w:r>
          </w:p>
        </w:tc>
        <w:tc>
          <w:tcPr>
            <w:tcW w:w="0" w:type="auto"/>
          </w:tcPr>
          <w:p>
            <w:pPr>
              <w:spacing w:line="240" w:lineRule="auto" w:before="0" w:after="0"/>
              <w:pStyle w:val="Compact"/>
            </w:pPr>
            <w:r>
              <w:rPr>
                <w:sz w:val="20"/>
                <w:szCs w:val="20"/>
              </w:rPr>
              <w:t xml:space="preserve">23.2082</w:t>
            </w:r>
          </w:p>
        </w:tc>
        <w:tc>
          <w:tcPr>
            <w:tcW w:w="0" w:type="auto"/>
          </w:tcPr>
          <w:p>
            <w:pPr>
              <w:spacing w:line="240" w:lineRule="auto" w:before="0" w:after="0"/>
              <w:pStyle w:val="Compact"/>
            </w:pPr>
            <w:r>
              <w:rPr>
                <w:sz w:val="20"/>
                <w:szCs w:val="20"/>
              </w:rPr>
              <w:t xml:space="preserve">30.5388</w:t>
            </w:r>
          </w:p>
        </w:tc>
        <w:tc>
          <w:tcPr>
            <w:tcW w:w="0" w:type="auto"/>
          </w:tcPr>
          <w:p>
            <w:pPr>
              <w:spacing w:line="240" w:lineRule="auto" w:before="0" w:after="0"/>
              <w:pStyle w:val="Compact"/>
            </w:pPr>
            <w:r>
              <w:rPr>
                <w:sz w:val="20"/>
                <w:szCs w:val="20"/>
              </w:rPr>
              <w:t xml:space="preserve">6.6214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BroadcastPro ME,</w:t>
            </w:r>
            <w:r>
              <w:rPr>
                <w:sz w:val="20"/>
                <w:szCs w:val="20"/>
              </w:rPr>
              <w:t xml:space="preserve"> </w:t>
            </w:r>
            <w:r>
              <w:rPr>
                <w:sz w:val="20"/>
                <w:szCs w:val="20"/>
              </w:rPr>
              <w:t xml:space="preserve">‘Global governments’</w:t>
            </w:r>
            <w:r>
              <w:rPr>
                <w:sz w:val="20"/>
                <w:szCs w:val="20"/>
              </w:rPr>
              <w:t xml:space="preserve"> </w:t>
            </w:r>
            <w:r>
              <w:rPr>
                <w:sz w:val="20"/>
                <w:szCs w:val="20"/>
              </w:rPr>
              <w:t xml:space="preserve">space budget reaches $103bn in 2022’ (GSP 2023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JPN</w:t>
            </w:r>
          </w:p>
        </w:tc>
        <w:tc>
          <w:tcPr>
            <w:tcW w:w="0" w:type="auto"/>
          </w:tcPr>
          <w:p>
            <w:pPr>
              <w:spacing w:line="240" w:lineRule="auto" w:before="0" w:after="0"/>
              <w:pStyle w:val="Compact"/>
            </w:pPr>
            <w:r>
              <w:rPr>
                <w:sz w:val="20"/>
                <w:szCs w:val="20"/>
              </w:rPr>
              <w:t xml:space="preserve">2022</w:t>
            </w:r>
          </w:p>
        </w:tc>
        <w:tc>
          <w:tcPr>
            <w:tcW w:w="0" w:type="auto"/>
          </w:tcPr>
          <w:p>
            <w:pPr>
              <w:spacing w:line="240" w:lineRule="auto" w:before="0" w:after="0"/>
              <w:pStyle w:val="Compact"/>
            </w:pPr>
            <w:r>
              <w:rPr>
                <w:sz w:val="20"/>
                <w:szCs w:val="20"/>
              </w:rPr>
              <w:t xml:space="preserve">5000000000</w:t>
            </w:r>
          </w:p>
        </w:tc>
        <w:tc>
          <w:tcPr>
            <w:tcW w:w="0" w:type="auto"/>
          </w:tcPr>
          <w:p>
            <w:pPr>
              <w:spacing w:line="240" w:lineRule="auto" w:before="0" w:after="0"/>
              <w:pStyle w:val="Compact"/>
            </w:pPr>
            <w:r>
              <w:rPr>
                <w:sz w:val="20"/>
                <w:szCs w:val="20"/>
              </w:rPr>
              <w:t xml:space="preserve">4447976207315</w:t>
            </w:r>
          </w:p>
        </w:tc>
        <w:tc>
          <w:tcPr>
            <w:tcW w:w="0" w:type="auto"/>
          </w:tcPr>
          <w:p>
            <w:pPr>
              <w:spacing w:line="240" w:lineRule="auto" w:before="0" w:after="0"/>
              <w:pStyle w:val="Compact"/>
            </w:pPr>
            <w:r>
              <w:rPr>
                <w:sz w:val="20"/>
                <w:szCs w:val="20"/>
              </w:rPr>
              <w:t xml:space="preserve">238</w:t>
            </w:r>
          </w:p>
        </w:tc>
        <w:tc>
          <w:tcPr>
            <w:tcW w:w="0" w:type="auto"/>
          </w:tcPr>
          <w:p>
            <w:pPr>
              <w:spacing w:line="240" w:lineRule="auto" w:before="0" w:after="0"/>
              <w:pStyle w:val="Compact"/>
            </w:pPr>
            <w:r>
              <w:rPr>
                <w:sz w:val="20"/>
                <w:szCs w:val="20"/>
              </w:rPr>
              <w:t xml:space="preserve">0.1124</w:t>
            </w:r>
          </w:p>
        </w:tc>
        <w:tc>
          <w:tcPr>
            <w:tcW w:w="0" w:type="auto"/>
          </w:tcPr>
          <w:p>
            <w:pPr>
              <w:spacing w:line="240" w:lineRule="auto" w:before="0" w:after="0"/>
              <w:pStyle w:val="Compact"/>
            </w:pPr>
            <w:r>
              <w:rPr>
                <w:sz w:val="20"/>
                <w:szCs w:val="20"/>
              </w:rPr>
              <w:t xml:space="preserve">22.3327</w:t>
            </w:r>
          </w:p>
        </w:tc>
        <w:tc>
          <w:tcPr>
            <w:tcW w:w="0" w:type="auto"/>
          </w:tcPr>
          <w:p>
            <w:pPr>
              <w:spacing w:line="240" w:lineRule="auto" w:before="0" w:after="0"/>
              <w:pStyle w:val="Compact"/>
            </w:pPr>
            <w:r>
              <w:rPr>
                <w:sz w:val="20"/>
                <w:szCs w:val="20"/>
              </w:rPr>
              <w:t xml:space="preserve">29.1235</w:t>
            </w:r>
          </w:p>
        </w:tc>
        <w:tc>
          <w:tcPr>
            <w:tcW w:w="0" w:type="auto"/>
          </w:tcPr>
          <w:p>
            <w:pPr>
              <w:spacing w:line="240" w:lineRule="auto" w:before="0" w:after="0"/>
              <w:pStyle w:val="Compact"/>
            </w:pPr>
            <w:r>
              <w:rPr>
                <w:sz w:val="20"/>
                <w:szCs w:val="20"/>
              </w:rPr>
              <w:t xml:space="preserve">5.4723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BroadcastPro ME,</w:t>
            </w:r>
            <w:r>
              <w:rPr>
                <w:sz w:val="20"/>
                <w:szCs w:val="20"/>
              </w:rPr>
              <w:t xml:space="preserve"> </w:t>
            </w:r>
            <w:r>
              <w:rPr>
                <w:sz w:val="20"/>
                <w:szCs w:val="20"/>
              </w:rPr>
              <w:t xml:space="preserve">‘Global governments’</w:t>
            </w:r>
            <w:r>
              <w:rPr>
                <w:sz w:val="20"/>
                <w:szCs w:val="20"/>
              </w:rPr>
              <w:t xml:space="preserve"> </w:t>
            </w:r>
            <w:r>
              <w:rPr>
                <w:sz w:val="20"/>
                <w:szCs w:val="20"/>
              </w:rPr>
              <w:t xml:space="preserve">space budget reaches $103bn in 2022’ (GSP 2023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USA</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73000000000</w:t>
            </w:r>
          </w:p>
        </w:tc>
        <w:tc>
          <w:tcPr>
            <w:tcW w:w="0" w:type="auto"/>
          </w:tcPr>
          <w:p>
            <w:pPr>
              <w:spacing w:line="240" w:lineRule="auto" w:before="0" w:after="0"/>
              <w:pStyle w:val="Compact"/>
            </w:pPr>
            <w:r>
              <w:rPr>
                <w:sz w:val="20"/>
                <w:szCs w:val="20"/>
              </w:rPr>
              <w:t xml:space="preserve">27811517000000</w:t>
            </w:r>
          </w:p>
        </w:tc>
        <w:tc>
          <w:tcPr>
            <w:tcW w:w="0" w:type="auto"/>
          </w:tcPr>
          <w:p>
            <w:pPr>
              <w:spacing w:line="240" w:lineRule="auto" w:before="0" w:after="0"/>
              <w:pStyle w:val="Compact"/>
            </w:pPr>
            <w:r>
              <w:rPr>
                <w:sz w:val="20"/>
                <w:szCs w:val="20"/>
              </w:rPr>
              <w:t xml:space="preserve">7263</w:t>
            </w:r>
          </w:p>
        </w:tc>
        <w:tc>
          <w:tcPr>
            <w:tcW w:w="0" w:type="auto"/>
          </w:tcPr>
          <w:p>
            <w:pPr>
              <w:spacing w:line="240" w:lineRule="auto" w:before="0" w:after="0"/>
              <w:pStyle w:val="Compact"/>
            </w:pPr>
            <w:r>
              <w:rPr>
                <w:sz w:val="20"/>
                <w:szCs w:val="20"/>
              </w:rPr>
              <w:t xml:space="preserve">0.2625</w:t>
            </w:r>
          </w:p>
        </w:tc>
        <w:tc>
          <w:tcPr>
            <w:tcW w:w="0" w:type="auto"/>
          </w:tcPr>
          <w:p>
            <w:pPr>
              <w:spacing w:line="240" w:lineRule="auto" w:before="0" w:after="0"/>
              <w:pStyle w:val="Compact"/>
            </w:pPr>
            <w:r>
              <w:rPr>
                <w:sz w:val="20"/>
                <w:szCs w:val="20"/>
              </w:rPr>
              <w:t xml:space="preserve">25.0137</w:t>
            </w:r>
          </w:p>
        </w:tc>
        <w:tc>
          <w:tcPr>
            <w:tcW w:w="0" w:type="auto"/>
          </w:tcPr>
          <w:p>
            <w:pPr>
              <w:spacing w:line="240" w:lineRule="auto" w:before="0" w:after="0"/>
              <w:pStyle w:val="Compact"/>
            </w:pPr>
            <w:r>
              <w:rPr>
                <w:sz w:val="20"/>
                <w:szCs w:val="20"/>
              </w:rPr>
              <w:t xml:space="preserve">30.9565</w:t>
            </w:r>
          </w:p>
        </w:tc>
        <w:tc>
          <w:tcPr>
            <w:tcW w:w="0" w:type="auto"/>
          </w:tcPr>
          <w:p>
            <w:pPr>
              <w:spacing w:line="240" w:lineRule="auto" w:before="0" w:after="0"/>
              <w:pStyle w:val="Compact"/>
            </w:pPr>
            <w:r>
              <w:rPr>
                <w:sz w:val="20"/>
                <w:szCs w:val="20"/>
              </w:rPr>
              <w:t xml:space="preserve">8.8905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IND</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1690000000</w:t>
            </w:r>
          </w:p>
        </w:tc>
        <w:tc>
          <w:tcPr>
            <w:tcW w:w="0" w:type="auto"/>
          </w:tcPr>
          <w:p>
            <w:pPr>
              <w:spacing w:line="240" w:lineRule="auto" w:before="0" w:after="0"/>
              <w:pStyle w:val="Compact"/>
            </w:pPr>
            <w:r>
              <w:rPr>
                <w:sz w:val="20"/>
                <w:szCs w:val="20"/>
              </w:rPr>
              <w:t xml:space="preserve">3500906030645</w:t>
            </w:r>
          </w:p>
        </w:tc>
        <w:tc>
          <w:tcPr>
            <w:tcW w:w="0" w:type="auto"/>
          </w:tcPr>
          <w:p>
            <w:pPr>
              <w:spacing w:line="240" w:lineRule="auto" w:before="0" w:after="0"/>
              <w:pStyle w:val="Compact"/>
            </w:pPr>
            <w:r>
              <w:rPr>
                <w:sz w:val="20"/>
                <w:szCs w:val="20"/>
              </w:rPr>
              <w:t xml:space="preserve">111</w:t>
            </w:r>
          </w:p>
        </w:tc>
        <w:tc>
          <w:tcPr>
            <w:tcW w:w="0" w:type="auto"/>
          </w:tcPr>
          <w:p>
            <w:pPr>
              <w:spacing w:line="240" w:lineRule="auto" w:before="0" w:after="0"/>
              <w:pStyle w:val="Compact"/>
            </w:pPr>
            <w:r>
              <w:rPr>
                <w:sz w:val="20"/>
                <w:szCs w:val="20"/>
              </w:rPr>
              <w:t xml:space="preserve">0.0483</w:t>
            </w:r>
          </w:p>
        </w:tc>
        <w:tc>
          <w:tcPr>
            <w:tcW w:w="0" w:type="auto"/>
          </w:tcPr>
          <w:p>
            <w:pPr>
              <w:spacing w:line="240" w:lineRule="auto" w:before="0" w:after="0"/>
              <w:pStyle w:val="Compact"/>
            </w:pPr>
            <w:r>
              <w:rPr>
                <w:sz w:val="20"/>
                <w:szCs w:val="20"/>
              </w:rPr>
              <w:t xml:space="preserve">21.248</w:t>
            </w:r>
          </w:p>
        </w:tc>
        <w:tc>
          <w:tcPr>
            <w:tcW w:w="0" w:type="auto"/>
          </w:tcPr>
          <w:p>
            <w:pPr>
              <w:spacing w:line="240" w:lineRule="auto" w:before="0" w:after="0"/>
              <w:pStyle w:val="Compact"/>
            </w:pPr>
            <w:r>
              <w:rPr>
                <w:sz w:val="20"/>
                <w:szCs w:val="20"/>
              </w:rPr>
              <w:t xml:space="preserve">28.884</w:t>
            </w:r>
          </w:p>
        </w:tc>
        <w:tc>
          <w:tcPr>
            <w:tcW w:w="0" w:type="auto"/>
          </w:tcPr>
          <w:p>
            <w:pPr>
              <w:spacing w:line="240" w:lineRule="auto" w:before="0" w:after="0"/>
              <w:pStyle w:val="Compact"/>
            </w:pPr>
            <w:r>
              <w:rPr>
                <w:sz w:val="20"/>
                <w:szCs w:val="20"/>
              </w:rPr>
              <w:t xml:space="preserve">4.7095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United Kingdom</w:t>
            </w:r>
          </w:p>
        </w:tc>
        <w:tc>
          <w:tcPr>
            <w:tcW w:w="0" w:type="auto"/>
          </w:tcPr>
          <w:p>
            <w:pPr>
              <w:spacing w:line="240" w:lineRule="auto" w:before="0" w:after="0"/>
              <w:pStyle w:val="Compact"/>
            </w:pPr>
            <w:r>
              <w:rPr>
                <w:sz w:val="20"/>
                <w:szCs w:val="20"/>
              </w:rPr>
              <w:t xml:space="preserve">GBR</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1450000000</w:t>
            </w:r>
          </w:p>
        </w:tc>
        <w:tc>
          <w:tcPr>
            <w:tcW w:w="0" w:type="auto"/>
          </w:tcPr>
          <w:p>
            <w:pPr>
              <w:spacing w:line="240" w:lineRule="auto" w:before="0" w:after="0"/>
              <w:pStyle w:val="Compact"/>
            </w:pPr>
            <w:r>
              <w:rPr>
                <w:sz w:val="20"/>
                <w:szCs w:val="20"/>
              </w:rPr>
              <w:t xml:space="preserve">3420796653789</w:t>
            </w:r>
          </w:p>
        </w:tc>
        <w:tc>
          <w:tcPr>
            <w:tcW w:w="0" w:type="auto"/>
          </w:tcPr>
          <w:p>
            <w:pPr>
              <w:spacing w:line="240" w:lineRule="auto" w:before="0" w:after="0"/>
              <w:pStyle w:val="Compact"/>
            </w:pPr>
            <w:r>
              <w:rPr>
                <w:sz w:val="20"/>
                <w:szCs w:val="20"/>
              </w:rPr>
              <w:t xml:space="preserve">698</w:t>
            </w:r>
          </w:p>
        </w:tc>
        <w:tc>
          <w:tcPr>
            <w:tcW w:w="0" w:type="auto"/>
          </w:tcPr>
          <w:p>
            <w:pPr>
              <w:spacing w:line="240" w:lineRule="auto" w:before="0" w:after="0"/>
              <w:pStyle w:val="Compact"/>
            </w:pPr>
            <w:r>
              <w:rPr>
                <w:sz w:val="20"/>
                <w:szCs w:val="20"/>
              </w:rPr>
              <w:t xml:space="preserve">0.0424</w:t>
            </w:r>
          </w:p>
        </w:tc>
        <w:tc>
          <w:tcPr>
            <w:tcW w:w="0" w:type="auto"/>
          </w:tcPr>
          <w:p>
            <w:pPr>
              <w:spacing w:line="240" w:lineRule="auto" w:before="0" w:after="0"/>
              <w:pStyle w:val="Compact"/>
            </w:pPr>
            <w:r>
              <w:rPr>
                <w:sz w:val="20"/>
                <w:szCs w:val="20"/>
              </w:rPr>
              <w:t xml:space="preserve">21.0948</w:t>
            </w:r>
          </w:p>
        </w:tc>
        <w:tc>
          <w:tcPr>
            <w:tcW w:w="0" w:type="auto"/>
          </w:tcPr>
          <w:p>
            <w:pPr>
              <w:spacing w:line="240" w:lineRule="auto" w:before="0" w:after="0"/>
              <w:pStyle w:val="Compact"/>
            </w:pPr>
            <w:r>
              <w:rPr>
                <w:sz w:val="20"/>
                <w:szCs w:val="20"/>
              </w:rPr>
              <w:t xml:space="preserve">28.8609</w:t>
            </w:r>
          </w:p>
        </w:tc>
        <w:tc>
          <w:tcPr>
            <w:tcW w:w="0" w:type="auto"/>
          </w:tcPr>
          <w:p>
            <w:pPr>
              <w:spacing w:line="240" w:lineRule="auto" w:before="0" w:after="0"/>
              <w:pStyle w:val="Compact"/>
            </w:pPr>
            <w:r>
              <w:rPr>
                <w:sz w:val="20"/>
                <w:szCs w:val="20"/>
              </w:rPr>
              <w:t xml:space="preserve">6.5482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Spain</w:t>
            </w:r>
          </w:p>
        </w:tc>
        <w:tc>
          <w:tcPr>
            <w:tcW w:w="0" w:type="auto"/>
          </w:tcPr>
          <w:p>
            <w:pPr>
              <w:spacing w:line="240" w:lineRule="auto" w:before="0" w:after="0"/>
              <w:pStyle w:val="Compact"/>
            </w:pPr>
            <w:r>
              <w:rPr>
                <w:sz w:val="20"/>
                <w:szCs w:val="20"/>
              </w:rPr>
              <w:t xml:space="preserve">ESP</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757000000</w:t>
            </w:r>
          </w:p>
        </w:tc>
        <w:tc>
          <w:tcPr>
            <w:tcW w:w="0" w:type="auto"/>
          </w:tcPr>
          <w:p>
            <w:pPr>
              <w:spacing w:line="240" w:lineRule="auto" w:before="0" w:after="0"/>
              <w:pStyle w:val="Compact"/>
            </w:pPr>
            <w:r>
              <w:rPr>
                <w:sz w:val="20"/>
                <w:szCs w:val="20"/>
              </w:rPr>
              <w:t xml:space="preserve">1619481980720</w:t>
            </w:r>
          </w:p>
        </w:tc>
        <w:tc>
          <w:tcPr>
            <w:tcW w:w="0" w:type="auto"/>
          </w:tcPr>
          <w:p>
            <w:pPr>
              <w:spacing w:line="240" w:lineRule="auto" w:before="0" w:after="0"/>
              <w:pStyle w:val="Compact"/>
            </w:pPr>
            <w:r>
              <w:rPr>
                <w:sz w:val="20"/>
                <w:szCs w:val="20"/>
              </w:rPr>
              <w:t xml:space="preserve">51</w:t>
            </w:r>
          </w:p>
        </w:tc>
        <w:tc>
          <w:tcPr>
            <w:tcW w:w="0" w:type="auto"/>
          </w:tcPr>
          <w:p>
            <w:pPr>
              <w:spacing w:line="240" w:lineRule="auto" w:before="0" w:after="0"/>
              <w:pStyle w:val="Compact"/>
            </w:pPr>
            <w:r>
              <w:rPr>
                <w:sz w:val="20"/>
                <w:szCs w:val="20"/>
              </w:rPr>
              <w:t xml:space="preserve">0.0467</w:t>
            </w:r>
          </w:p>
        </w:tc>
        <w:tc>
          <w:tcPr>
            <w:tcW w:w="0" w:type="auto"/>
          </w:tcPr>
          <w:p>
            <w:pPr>
              <w:spacing w:line="240" w:lineRule="auto" w:before="0" w:after="0"/>
              <w:pStyle w:val="Compact"/>
            </w:pPr>
            <w:r>
              <w:rPr>
                <w:sz w:val="20"/>
                <w:szCs w:val="20"/>
              </w:rPr>
              <w:t xml:space="preserve">20.4449</w:t>
            </w:r>
          </w:p>
        </w:tc>
        <w:tc>
          <w:tcPr>
            <w:tcW w:w="0" w:type="auto"/>
          </w:tcPr>
          <w:p>
            <w:pPr>
              <w:spacing w:line="240" w:lineRule="auto" w:before="0" w:after="0"/>
              <w:pStyle w:val="Compact"/>
            </w:pPr>
            <w:r>
              <w:rPr>
                <w:sz w:val="20"/>
                <w:szCs w:val="20"/>
              </w:rPr>
              <w:t xml:space="preserve">28.1131</w:t>
            </w:r>
          </w:p>
        </w:tc>
        <w:tc>
          <w:tcPr>
            <w:tcW w:w="0" w:type="auto"/>
          </w:tcPr>
          <w:p>
            <w:pPr>
              <w:spacing w:line="240" w:lineRule="auto" w:before="0" w:after="0"/>
              <w:pStyle w:val="Compact"/>
            </w:pPr>
            <w:r>
              <w:rPr>
                <w:sz w:val="20"/>
                <w:szCs w:val="20"/>
              </w:rPr>
              <w:t xml:space="preserve">3.9318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Canada</w:t>
            </w:r>
          </w:p>
        </w:tc>
        <w:tc>
          <w:tcPr>
            <w:tcW w:w="0" w:type="auto"/>
          </w:tcPr>
          <w:p>
            <w:pPr>
              <w:spacing w:line="240" w:lineRule="auto" w:before="0" w:after="0"/>
              <w:pStyle w:val="Compact"/>
            </w:pPr>
            <w:r>
              <w:rPr>
                <w:sz w:val="20"/>
                <w:szCs w:val="20"/>
              </w:rPr>
              <w:t xml:space="preserve">CAN</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730000000</w:t>
            </w:r>
          </w:p>
        </w:tc>
        <w:tc>
          <w:tcPr>
            <w:tcW w:w="0" w:type="auto"/>
          </w:tcPr>
          <w:p>
            <w:pPr>
              <w:spacing w:line="240" w:lineRule="auto" w:before="0" w:after="0"/>
              <w:pStyle w:val="Compact"/>
            </w:pPr>
            <w:r>
              <w:rPr>
                <w:sz w:val="20"/>
                <w:szCs w:val="20"/>
              </w:rPr>
              <w:t xml:space="preserve">2196593836347</w:t>
            </w:r>
          </w:p>
        </w:tc>
        <w:tc>
          <w:tcPr>
            <w:tcW w:w="0" w:type="auto"/>
          </w:tcPr>
          <w:p>
            <w:pPr>
              <w:spacing w:line="240" w:lineRule="auto" w:before="0" w:after="0"/>
              <w:pStyle w:val="Compact"/>
            </w:pPr>
            <w:r>
              <w:rPr>
                <w:sz w:val="20"/>
                <w:szCs w:val="20"/>
              </w:rPr>
              <w:t xml:space="preserve">83</w:t>
            </w:r>
          </w:p>
        </w:tc>
        <w:tc>
          <w:tcPr>
            <w:tcW w:w="0" w:type="auto"/>
          </w:tcPr>
          <w:p>
            <w:pPr>
              <w:spacing w:line="240" w:lineRule="auto" w:before="0" w:after="0"/>
              <w:pStyle w:val="Compact"/>
            </w:pPr>
            <w:r>
              <w:rPr>
                <w:sz w:val="20"/>
                <w:szCs w:val="20"/>
              </w:rPr>
              <w:t xml:space="preserve">0.0332</w:t>
            </w:r>
          </w:p>
        </w:tc>
        <w:tc>
          <w:tcPr>
            <w:tcW w:w="0" w:type="auto"/>
          </w:tcPr>
          <w:p>
            <w:pPr>
              <w:spacing w:line="240" w:lineRule="auto" w:before="0" w:after="0"/>
              <w:pStyle w:val="Compact"/>
            </w:pPr>
            <w:r>
              <w:rPr>
                <w:sz w:val="20"/>
                <w:szCs w:val="20"/>
              </w:rPr>
              <w:t xml:space="preserve">20.4086</w:t>
            </w:r>
          </w:p>
        </w:tc>
        <w:tc>
          <w:tcPr>
            <w:tcW w:w="0" w:type="auto"/>
          </w:tcPr>
          <w:p>
            <w:pPr>
              <w:spacing w:line="240" w:lineRule="auto" w:before="0" w:after="0"/>
              <w:pStyle w:val="Compact"/>
            </w:pPr>
            <w:r>
              <w:rPr>
                <w:sz w:val="20"/>
                <w:szCs w:val="20"/>
              </w:rPr>
              <w:t xml:space="preserve">28.4179</w:t>
            </w:r>
          </w:p>
        </w:tc>
        <w:tc>
          <w:tcPr>
            <w:tcW w:w="0" w:type="auto"/>
          </w:tcPr>
          <w:p>
            <w:pPr>
              <w:spacing w:line="240" w:lineRule="auto" w:before="0" w:after="0"/>
              <w:pStyle w:val="Compact"/>
            </w:pPr>
            <w:r>
              <w:rPr>
                <w:sz w:val="20"/>
                <w:szCs w:val="20"/>
              </w:rPr>
              <w:t xml:space="preserve">4.4188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South Korea</w:t>
            </w:r>
          </w:p>
        </w:tc>
        <w:tc>
          <w:tcPr>
            <w:tcW w:w="0" w:type="auto"/>
          </w:tcPr>
          <w:p>
            <w:pPr>
              <w:spacing w:line="240" w:lineRule="auto" w:before="0" w:after="0"/>
              <w:pStyle w:val="Compact"/>
            </w:pPr>
            <w:r>
              <w:rPr>
                <w:sz w:val="20"/>
                <w:szCs w:val="20"/>
              </w:rPr>
              <w:t xml:space="preserve">KOR</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723000000</w:t>
            </w:r>
          </w:p>
        </w:tc>
        <w:tc>
          <w:tcPr>
            <w:tcW w:w="0" w:type="auto"/>
          </w:tcPr>
          <w:p>
            <w:pPr>
              <w:spacing w:line="240" w:lineRule="auto" w:before="0" w:after="0"/>
              <w:pStyle w:val="Compact"/>
            </w:pPr>
            <w:r>
              <w:rPr>
                <w:sz w:val="20"/>
                <w:szCs w:val="20"/>
              </w:rPr>
              <w:t xml:space="preserve">1844800934392</w:t>
            </w:r>
          </w:p>
        </w:tc>
        <w:tc>
          <w:tcPr>
            <w:tcW w:w="0" w:type="auto"/>
          </w:tcPr>
          <w:p>
            <w:pPr>
              <w:spacing w:line="240" w:lineRule="auto" w:before="0" w:after="0"/>
              <w:pStyle w:val="Compact"/>
            </w:pPr>
            <w:r>
              <w:rPr>
                <w:sz w:val="20"/>
                <w:szCs w:val="20"/>
              </w:rPr>
              <w:t xml:space="preserve">44</w:t>
            </w:r>
          </w:p>
        </w:tc>
        <w:tc>
          <w:tcPr>
            <w:tcW w:w="0" w:type="auto"/>
          </w:tcPr>
          <w:p>
            <w:pPr>
              <w:spacing w:line="240" w:lineRule="auto" w:before="0" w:after="0"/>
              <w:pStyle w:val="Compact"/>
            </w:pPr>
            <w:r>
              <w:rPr>
                <w:sz w:val="20"/>
                <w:szCs w:val="20"/>
              </w:rPr>
              <w:t xml:space="preserve">0.0392</w:t>
            </w:r>
          </w:p>
        </w:tc>
        <w:tc>
          <w:tcPr>
            <w:tcW w:w="0" w:type="auto"/>
          </w:tcPr>
          <w:p>
            <w:pPr>
              <w:spacing w:line="240" w:lineRule="auto" w:before="0" w:after="0"/>
              <w:pStyle w:val="Compact"/>
            </w:pPr>
            <w:r>
              <w:rPr>
                <w:sz w:val="20"/>
                <w:szCs w:val="20"/>
              </w:rPr>
              <w:t xml:space="preserve">20.3989</w:t>
            </w:r>
          </w:p>
        </w:tc>
        <w:tc>
          <w:tcPr>
            <w:tcW w:w="0" w:type="auto"/>
          </w:tcPr>
          <w:p>
            <w:pPr>
              <w:spacing w:line="240" w:lineRule="auto" w:before="0" w:after="0"/>
              <w:pStyle w:val="Compact"/>
            </w:pPr>
            <w:r>
              <w:rPr>
                <w:sz w:val="20"/>
                <w:szCs w:val="20"/>
              </w:rPr>
              <w:t xml:space="preserve">28.2434</w:t>
            </w:r>
          </w:p>
        </w:tc>
        <w:tc>
          <w:tcPr>
            <w:tcW w:w="0" w:type="auto"/>
          </w:tcPr>
          <w:p>
            <w:pPr>
              <w:spacing w:line="240" w:lineRule="auto" w:before="0" w:after="0"/>
              <w:pStyle w:val="Compact"/>
            </w:pPr>
            <w:r>
              <w:rPr>
                <w:sz w:val="20"/>
                <w:szCs w:val="20"/>
              </w:rPr>
              <w:t xml:space="preserve">3.7842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Australia</w:t>
            </w:r>
          </w:p>
        </w:tc>
        <w:tc>
          <w:tcPr>
            <w:tcW w:w="0" w:type="auto"/>
          </w:tcPr>
          <w:p>
            <w:pPr>
              <w:spacing w:line="240" w:lineRule="auto" w:before="0" w:after="0"/>
              <w:pStyle w:val="Compact"/>
            </w:pPr>
            <w:r>
              <w:rPr>
                <w:sz w:val="20"/>
                <w:szCs w:val="20"/>
              </w:rPr>
              <w:t xml:space="preserve">AUS</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631000000</w:t>
            </w:r>
          </w:p>
        </w:tc>
        <w:tc>
          <w:tcPr>
            <w:tcW w:w="0" w:type="auto"/>
          </w:tcPr>
          <w:p>
            <w:pPr>
              <w:spacing w:line="240" w:lineRule="auto" w:before="0" w:after="0"/>
              <w:pStyle w:val="Compact"/>
            </w:pPr>
            <w:r>
              <w:rPr>
                <w:sz w:val="20"/>
                <w:szCs w:val="20"/>
              </w:rPr>
              <w:t xml:space="preserve">1734451264656</w:t>
            </w:r>
          </w:p>
        </w:tc>
        <w:tc>
          <w:tcPr>
            <w:tcW w:w="0" w:type="auto"/>
          </w:tcPr>
          <w:p>
            <w:pPr>
              <w:spacing w:line="240" w:lineRule="auto" w:before="0" w:after="0"/>
              <w:pStyle w:val="Compact"/>
            </w:pPr>
            <w:r>
              <w:rPr>
                <w:sz w:val="20"/>
                <w:szCs w:val="20"/>
              </w:rPr>
              <w:t xml:space="preserve">44</w:t>
            </w:r>
          </w:p>
        </w:tc>
        <w:tc>
          <w:tcPr>
            <w:tcW w:w="0" w:type="auto"/>
          </w:tcPr>
          <w:p>
            <w:pPr>
              <w:spacing w:line="240" w:lineRule="auto" w:before="0" w:after="0"/>
              <w:pStyle w:val="Compact"/>
            </w:pPr>
            <w:r>
              <w:rPr>
                <w:sz w:val="20"/>
                <w:szCs w:val="20"/>
              </w:rPr>
              <w:t xml:space="preserve">0.0364</w:t>
            </w:r>
          </w:p>
        </w:tc>
        <w:tc>
          <w:tcPr>
            <w:tcW w:w="0" w:type="auto"/>
          </w:tcPr>
          <w:p>
            <w:pPr>
              <w:spacing w:line="240" w:lineRule="auto" w:before="0" w:after="0"/>
              <w:pStyle w:val="Compact"/>
            </w:pPr>
            <w:r>
              <w:rPr>
                <w:sz w:val="20"/>
                <w:szCs w:val="20"/>
              </w:rPr>
              <w:t xml:space="preserve">20.2628</w:t>
            </w:r>
          </w:p>
        </w:tc>
        <w:tc>
          <w:tcPr>
            <w:tcW w:w="0" w:type="auto"/>
          </w:tcPr>
          <w:p>
            <w:pPr>
              <w:spacing w:line="240" w:lineRule="auto" w:before="0" w:after="0"/>
              <w:pStyle w:val="Compact"/>
            </w:pPr>
            <w:r>
              <w:rPr>
                <w:sz w:val="20"/>
                <w:szCs w:val="20"/>
              </w:rPr>
              <w:t xml:space="preserve">28.1817</w:t>
            </w:r>
          </w:p>
        </w:tc>
        <w:tc>
          <w:tcPr>
            <w:tcW w:w="0" w:type="auto"/>
          </w:tcPr>
          <w:p>
            <w:pPr>
              <w:spacing w:line="240" w:lineRule="auto" w:before="0" w:after="0"/>
              <w:pStyle w:val="Compact"/>
            </w:pPr>
            <w:r>
              <w:rPr>
                <w:sz w:val="20"/>
                <w:szCs w:val="20"/>
              </w:rPr>
              <w:t xml:space="preserve">3.7842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USA</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79680000000</w:t>
            </w:r>
          </w:p>
        </w:tc>
        <w:tc>
          <w:tcPr>
            <w:tcW w:w="0" w:type="auto"/>
          </w:tcPr>
          <w:p>
            <w:pPr>
              <w:spacing w:line="240" w:lineRule="auto" w:before="0" w:after="0"/>
              <w:pStyle w:val="Compact"/>
            </w:pPr>
            <w:r>
              <w:rPr>
                <w:sz w:val="20"/>
                <w:szCs w:val="20"/>
              </w:rPr>
              <w:t xml:space="preserve">29298013000000</w:t>
            </w:r>
          </w:p>
        </w:tc>
        <w:tc>
          <w:tcPr>
            <w:tcW w:w="0" w:type="auto"/>
          </w:tcPr>
          <w:p>
            <w:pPr>
              <w:spacing w:line="240" w:lineRule="auto" w:before="0" w:after="0"/>
              <w:pStyle w:val="Compact"/>
            </w:pPr>
            <w:r>
              <w:rPr>
                <w:sz w:val="20"/>
                <w:szCs w:val="20"/>
              </w:rPr>
              <w:t xml:space="preserve">8797</w:t>
            </w:r>
          </w:p>
        </w:tc>
        <w:tc>
          <w:tcPr>
            <w:tcW w:w="0" w:type="auto"/>
          </w:tcPr>
          <w:p>
            <w:pPr>
              <w:spacing w:line="240" w:lineRule="auto" w:before="0" w:after="0"/>
              <w:pStyle w:val="Compact"/>
            </w:pPr>
            <w:r>
              <w:rPr>
                <w:sz w:val="20"/>
                <w:szCs w:val="20"/>
              </w:rPr>
              <w:t xml:space="preserve">0.272</w:t>
            </w:r>
          </w:p>
        </w:tc>
        <w:tc>
          <w:tcPr>
            <w:tcW w:w="0" w:type="auto"/>
          </w:tcPr>
          <w:p>
            <w:pPr>
              <w:spacing w:line="240" w:lineRule="auto" w:before="0" w:after="0"/>
              <w:pStyle w:val="Compact"/>
            </w:pPr>
            <w:r>
              <w:rPr>
                <w:sz w:val="20"/>
                <w:szCs w:val="20"/>
              </w:rPr>
              <w:t xml:space="preserve">25.1013</w:t>
            </w:r>
          </w:p>
        </w:tc>
        <w:tc>
          <w:tcPr>
            <w:tcW w:w="0" w:type="auto"/>
          </w:tcPr>
          <w:p>
            <w:pPr>
              <w:spacing w:line="240" w:lineRule="auto" w:before="0" w:after="0"/>
              <w:pStyle w:val="Compact"/>
            </w:pPr>
            <w:r>
              <w:rPr>
                <w:sz w:val="20"/>
                <w:szCs w:val="20"/>
              </w:rPr>
              <w:t xml:space="preserve">31.0085</w:t>
            </w:r>
          </w:p>
        </w:tc>
        <w:tc>
          <w:tcPr>
            <w:tcW w:w="0" w:type="auto"/>
          </w:tcPr>
          <w:p>
            <w:pPr>
              <w:spacing w:line="240" w:lineRule="auto" w:before="0" w:after="0"/>
              <w:pStyle w:val="Compact"/>
            </w:pPr>
            <w:r>
              <w:rPr>
                <w:sz w:val="20"/>
                <w:szCs w:val="20"/>
              </w:rPr>
              <w:t xml:space="preserve">9.0822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CHN</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19890000000</w:t>
            </w:r>
          </w:p>
        </w:tc>
        <w:tc>
          <w:tcPr>
            <w:tcW w:w="0" w:type="auto"/>
          </w:tcPr>
          <w:p>
            <w:pPr>
              <w:spacing w:line="240" w:lineRule="auto" w:before="0" w:after="0"/>
              <w:pStyle w:val="Compact"/>
            </w:pPr>
            <w:r>
              <w:rPr>
                <w:sz w:val="20"/>
                <w:szCs w:val="20"/>
              </w:rPr>
              <w:t xml:space="preserve">18729668435848</w:t>
            </w:r>
          </w:p>
        </w:tc>
        <w:tc>
          <w:tcPr>
            <w:tcW w:w="0" w:type="auto"/>
          </w:tcPr>
          <w:p>
            <w:pPr>
              <w:spacing w:line="240" w:lineRule="auto" w:before="0" w:after="0"/>
              <w:pStyle w:val="Compact"/>
            </w:pPr>
            <w:r>
              <w:rPr>
                <w:sz w:val="20"/>
                <w:szCs w:val="20"/>
              </w:rPr>
              <w:t xml:space="preserve">1067</w:t>
            </w:r>
          </w:p>
        </w:tc>
        <w:tc>
          <w:tcPr>
            <w:tcW w:w="0" w:type="auto"/>
          </w:tcPr>
          <w:p>
            <w:pPr>
              <w:spacing w:line="240" w:lineRule="auto" w:before="0" w:after="0"/>
              <w:pStyle w:val="Compact"/>
            </w:pPr>
            <w:r>
              <w:rPr>
                <w:sz w:val="20"/>
                <w:szCs w:val="20"/>
              </w:rPr>
              <w:t xml:space="preserve">0.1062</w:t>
            </w:r>
          </w:p>
        </w:tc>
        <w:tc>
          <w:tcPr>
            <w:tcW w:w="0" w:type="auto"/>
          </w:tcPr>
          <w:p>
            <w:pPr>
              <w:spacing w:line="240" w:lineRule="auto" w:before="0" w:after="0"/>
              <w:pStyle w:val="Compact"/>
            </w:pPr>
            <w:r>
              <w:rPr>
                <w:sz w:val="20"/>
                <w:szCs w:val="20"/>
              </w:rPr>
              <w:t xml:space="preserve">23.7135</w:t>
            </w:r>
          </w:p>
        </w:tc>
        <w:tc>
          <w:tcPr>
            <w:tcW w:w="0" w:type="auto"/>
          </w:tcPr>
          <w:p>
            <w:pPr>
              <w:spacing w:line="240" w:lineRule="auto" w:before="0" w:after="0"/>
              <w:pStyle w:val="Compact"/>
            </w:pPr>
            <w:r>
              <w:rPr>
                <w:sz w:val="20"/>
                <w:szCs w:val="20"/>
              </w:rPr>
              <w:t xml:space="preserve">30.5611</w:t>
            </w:r>
          </w:p>
        </w:tc>
        <w:tc>
          <w:tcPr>
            <w:tcW w:w="0" w:type="auto"/>
          </w:tcPr>
          <w:p>
            <w:pPr>
              <w:spacing w:line="240" w:lineRule="auto" w:before="0" w:after="0"/>
              <w:pStyle w:val="Compact"/>
            </w:pPr>
            <w:r>
              <w:rPr>
                <w:sz w:val="20"/>
                <w:szCs w:val="20"/>
              </w:rPr>
              <w:t xml:space="preserve">6.9726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JPN</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6800000000</w:t>
            </w:r>
          </w:p>
        </w:tc>
        <w:tc>
          <w:tcPr>
            <w:tcW w:w="0" w:type="auto"/>
          </w:tcPr>
          <w:p>
            <w:pPr>
              <w:spacing w:line="240" w:lineRule="auto" w:before="0" w:after="0"/>
              <w:pStyle w:val="Compact"/>
            </w:pPr>
            <w:r>
              <w:rPr>
                <w:sz w:val="20"/>
                <w:szCs w:val="20"/>
              </w:rPr>
              <w:t xml:space="preserve">4190008188359</w:t>
            </w:r>
          </w:p>
        </w:tc>
        <w:tc>
          <w:tcPr>
            <w:tcW w:w="0" w:type="auto"/>
          </w:tcPr>
          <w:p>
            <w:pPr>
              <w:spacing w:line="240" w:lineRule="auto" w:before="0" w:after="0"/>
              <w:pStyle w:val="Compact"/>
            </w:pPr>
            <w:r>
              <w:rPr>
                <w:sz w:val="20"/>
                <w:szCs w:val="20"/>
              </w:rPr>
              <w:t xml:space="preserve">226</w:t>
            </w:r>
          </w:p>
        </w:tc>
        <w:tc>
          <w:tcPr>
            <w:tcW w:w="0" w:type="auto"/>
          </w:tcPr>
          <w:p>
            <w:pPr>
              <w:spacing w:line="240" w:lineRule="auto" w:before="0" w:after="0"/>
              <w:pStyle w:val="Compact"/>
            </w:pPr>
            <w:r>
              <w:rPr>
                <w:sz w:val="20"/>
                <w:szCs w:val="20"/>
              </w:rPr>
              <w:t xml:space="preserve">0.1623</w:t>
            </w:r>
          </w:p>
        </w:tc>
        <w:tc>
          <w:tcPr>
            <w:tcW w:w="0" w:type="auto"/>
          </w:tcPr>
          <w:p>
            <w:pPr>
              <w:spacing w:line="240" w:lineRule="auto" w:before="0" w:after="0"/>
              <w:pStyle w:val="Compact"/>
            </w:pPr>
            <w:r>
              <w:rPr>
                <w:sz w:val="20"/>
                <w:szCs w:val="20"/>
              </w:rPr>
              <w:t xml:space="preserve">22.6402</w:t>
            </w:r>
          </w:p>
        </w:tc>
        <w:tc>
          <w:tcPr>
            <w:tcW w:w="0" w:type="auto"/>
          </w:tcPr>
          <w:p>
            <w:pPr>
              <w:spacing w:line="240" w:lineRule="auto" w:before="0" w:after="0"/>
              <w:pStyle w:val="Compact"/>
            </w:pPr>
            <w:r>
              <w:rPr>
                <w:sz w:val="20"/>
                <w:szCs w:val="20"/>
              </w:rPr>
              <w:t xml:space="preserve">29.0637</w:t>
            </w:r>
          </w:p>
        </w:tc>
        <w:tc>
          <w:tcPr>
            <w:tcW w:w="0" w:type="auto"/>
          </w:tcPr>
          <w:p>
            <w:pPr>
              <w:spacing w:line="240" w:lineRule="auto" w:before="0" w:after="0"/>
              <w:pStyle w:val="Compact"/>
            </w:pPr>
            <w:r>
              <w:rPr>
                <w:sz w:val="20"/>
                <w:szCs w:val="20"/>
              </w:rPr>
              <w:t xml:space="preserve">5.4205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RUS</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3960000000</w:t>
            </w:r>
          </w:p>
        </w:tc>
        <w:tc>
          <w:tcPr>
            <w:tcW w:w="0" w:type="auto"/>
          </w:tcPr>
          <w:p>
            <w:pPr>
              <w:spacing w:line="240" w:lineRule="auto" w:before="0" w:after="0"/>
              <w:pStyle w:val="Compact"/>
            </w:pPr>
            <w:r>
              <w:rPr>
                <w:sz w:val="20"/>
                <w:szCs w:val="20"/>
              </w:rPr>
              <w:t xml:space="preserve">2186462268813</w:t>
            </w:r>
          </w:p>
        </w:tc>
        <w:tc>
          <w:tcPr>
            <w:tcW w:w="0" w:type="auto"/>
          </w:tcPr>
          <w:p>
            <w:pPr>
              <w:spacing w:line="240" w:lineRule="auto" w:before="0" w:after="0"/>
              <w:pStyle w:val="Compact"/>
            </w:pPr>
            <w:r>
              <w:rPr>
                <w:sz w:val="20"/>
                <w:szCs w:val="20"/>
              </w:rPr>
              <w:t xml:space="preserve">1662</w:t>
            </w:r>
          </w:p>
        </w:tc>
        <w:tc>
          <w:tcPr>
            <w:tcW w:w="0" w:type="auto"/>
          </w:tcPr>
          <w:p>
            <w:pPr>
              <w:spacing w:line="240" w:lineRule="auto" w:before="0" w:after="0"/>
              <w:pStyle w:val="Compact"/>
            </w:pPr>
            <w:r>
              <w:rPr>
                <w:sz w:val="20"/>
                <w:szCs w:val="20"/>
              </w:rPr>
              <w:t xml:space="preserve">0.1811</w:t>
            </w:r>
          </w:p>
        </w:tc>
        <w:tc>
          <w:tcPr>
            <w:tcW w:w="0" w:type="auto"/>
          </w:tcPr>
          <w:p>
            <w:pPr>
              <w:spacing w:line="240" w:lineRule="auto" w:before="0" w:after="0"/>
              <w:pStyle w:val="Compact"/>
            </w:pPr>
            <w:r>
              <w:rPr>
                <w:sz w:val="20"/>
                <w:szCs w:val="20"/>
              </w:rPr>
              <w:t xml:space="preserve">22.0995</w:t>
            </w:r>
          </w:p>
        </w:tc>
        <w:tc>
          <w:tcPr>
            <w:tcW w:w="0" w:type="auto"/>
          </w:tcPr>
          <w:p>
            <w:pPr>
              <w:spacing w:line="240" w:lineRule="auto" w:before="0" w:after="0"/>
              <w:pStyle w:val="Compact"/>
            </w:pPr>
            <w:r>
              <w:rPr>
                <w:sz w:val="20"/>
                <w:szCs w:val="20"/>
              </w:rPr>
              <w:t xml:space="preserve">28.4133</w:t>
            </w:r>
          </w:p>
        </w:tc>
        <w:tc>
          <w:tcPr>
            <w:tcW w:w="0" w:type="auto"/>
          </w:tcPr>
          <w:p>
            <w:pPr>
              <w:spacing w:line="240" w:lineRule="auto" w:before="0" w:after="0"/>
              <w:pStyle w:val="Compact"/>
            </w:pPr>
            <w:r>
              <w:rPr>
                <w:sz w:val="20"/>
                <w:szCs w:val="20"/>
              </w:rPr>
              <w:t xml:space="preserve">7.4158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France</w:t>
            </w:r>
          </w:p>
        </w:tc>
        <w:tc>
          <w:tcPr>
            <w:tcW w:w="0" w:type="auto"/>
          </w:tcPr>
          <w:p>
            <w:pPr>
              <w:spacing w:line="240" w:lineRule="auto" w:before="0" w:after="0"/>
              <w:pStyle w:val="Compact"/>
            </w:pPr>
            <w:r>
              <w:rPr>
                <w:sz w:val="20"/>
                <w:szCs w:val="20"/>
              </w:rPr>
              <w:t xml:space="preserve">FRA</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3710000000</w:t>
            </w:r>
          </w:p>
        </w:tc>
        <w:tc>
          <w:tcPr>
            <w:tcW w:w="0" w:type="auto"/>
          </w:tcPr>
          <w:p>
            <w:pPr>
              <w:spacing w:line="240" w:lineRule="auto" w:before="0" w:after="0"/>
              <w:pStyle w:val="Compact"/>
            </w:pPr>
            <w:r>
              <w:rPr>
                <w:sz w:val="20"/>
                <w:szCs w:val="20"/>
              </w:rPr>
              <w:t xml:space="preserve">3160442622465</w:t>
            </w:r>
          </w:p>
        </w:tc>
        <w:tc>
          <w:tcPr>
            <w:tcW w:w="0" w:type="auto"/>
          </w:tcPr>
          <w:p>
            <w:pPr>
              <w:spacing w:line="240" w:lineRule="auto" w:before="0" w:after="0"/>
              <w:pStyle w:val="Compact"/>
            </w:pPr>
            <w:r>
              <w:rPr>
                <w:sz w:val="20"/>
                <w:szCs w:val="20"/>
              </w:rPr>
              <w:t xml:space="preserve">106</w:t>
            </w:r>
          </w:p>
        </w:tc>
        <w:tc>
          <w:tcPr>
            <w:tcW w:w="0" w:type="auto"/>
          </w:tcPr>
          <w:p>
            <w:pPr>
              <w:spacing w:line="240" w:lineRule="auto" w:before="0" w:after="0"/>
              <w:pStyle w:val="Compact"/>
            </w:pPr>
            <w:r>
              <w:rPr>
                <w:sz w:val="20"/>
                <w:szCs w:val="20"/>
              </w:rPr>
              <w:t xml:space="preserve">0.1174</w:t>
            </w:r>
          </w:p>
        </w:tc>
        <w:tc>
          <w:tcPr>
            <w:tcW w:w="0" w:type="auto"/>
          </w:tcPr>
          <w:p>
            <w:pPr>
              <w:spacing w:line="240" w:lineRule="auto" w:before="0" w:after="0"/>
              <w:pStyle w:val="Compact"/>
            </w:pPr>
            <w:r>
              <w:rPr>
                <w:sz w:val="20"/>
                <w:szCs w:val="20"/>
              </w:rPr>
              <w:t xml:space="preserve">22.0343</w:t>
            </w:r>
          </w:p>
        </w:tc>
        <w:tc>
          <w:tcPr>
            <w:tcW w:w="0" w:type="auto"/>
          </w:tcPr>
          <w:p>
            <w:pPr>
              <w:spacing w:line="240" w:lineRule="auto" w:before="0" w:after="0"/>
              <w:pStyle w:val="Compact"/>
            </w:pPr>
            <w:r>
              <w:rPr>
                <w:sz w:val="20"/>
                <w:szCs w:val="20"/>
              </w:rPr>
              <w:t xml:space="preserve">28.7817</w:t>
            </w:r>
          </w:p>
        </w:tc>
        <w:tc>
          <w:tcPr>
            <w:tcW w:w="0" w:type="auto"/>
          </w:tcPr>
          <w:p>
            <w:pPr>
              <w:spacing w:line="240" w:lineRule="auto" w:before="0" w:after="0"/>
              <w:pStyle w:val="Compact"/>
            </w:pPr>
            <w:r>
              <w:rPr>
                <w:sz w:val="20"/>
                <w:szCs w:val="20"/>
              </w:rPr>
              <w:t xml:space="preserve">4.6634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Germany</w:t>
            </w:r>
          </w:p>
        </w:tc>
        <w:tc>
          <w:tcPr>
            <w:tcW w:w="0" w:type="auto"/>
          </w:tcPr>
          <w:p>
            <w:pPr>
              <w:spacing w:line="240" w:lineRule="auto" w:before="0" w:after="0"/>
              <w:pStyle w:val="Compact"/>
            </w:pPr>
            <w:r>
              <w:rPr>
                <w:sz w:val="20"/>
                <w:szCs w:val="20"/>
              </w:rPr>
              <w:t xml:space="preserve">DEU</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2780000000</w:t>
            </w:r>
          </w:p>
        </w:tc>
        <w:tc>
          <w:tcPr>
            <w:tcW w:w="0" w:type="auto"/>
          </w:tcPr>
          <w:p>
            <w:pPr>
              <w:spacing w:line="240" w:lineRule="auto" w:before="0" w:after="0"/>
              <w:pStyle w:val="Compact"/>
            </w:pPr>
            <w:r>
              <w:rPr>
                <w:sz w:val="20"/>
                <w:szCs w:val="20"/>
              </w:rPr>
              <w:t xml:space="preserve">4685592577805</w:t>
            </w:r>
          </w:p>
        </w:tc>
        <w:tc>
          <w:tcPr>
            <w:tcW w:w="0" w:type="auto"/>
          </w:tcPr>
          <w:p>
            <w:pPr>
              <w:spacing w:line="240" w:lineRule="auto" w:before="0" w:after="0"/>
              <w:pStyle w:val="Compact"/>
            </w:pPr>
            <w:r>
              <w:rPr>
                <w:sz w:val="20"/>
                <w:szCs w:val="20"/>
              </w:rPr>
              <w:t xml:space="preserve">84</w:t>
            </w:r>
          </w:p>
        </w:tc>
        <w:tc>
          <w:tcPr>
            <w:tcW w:w="0" w:type="auto"/>
          </w:tcPr>
          <w:p>
            <w:pPr>
              <w:spacing w:line="240" w:lineRule="auto" w:before="0" w:after="0"/>
              <w:pStyle w:val="Compact"/>
            </w:pPr>
            <w:r>
              <w:rPr>
                <w:sz w:val="20"/>
                <w:szCs w:val="20"/>
              </w:rPr>
              <w:t xml:space="preserve">0.0593</w:t>
            </w:r>
          </w:p>
        </w:tc>
        <w:tc>
          <w:tcPr>
            <w:tcW w:w="0" w:type="auto"/>
          </w:tcPr>
          <w:p>
            <w:pPr>
              <w:spacing w:line="240" w:lineRule="auto" w:before="0" w:after="0"/>
              <w:pStyle w:val="Compact"/>
            </w:pPr>
            <w:r>
              <w:rPr>
                <w:sz w:val="20"/>
                <w:szCs w:val="20"/>
              </w:rPr>
              <w:t xml:space="preserve">21.7457</w:t>
            </w:r>
          </w:p>
        </w:tc>
        <w:tc>
          <w:tcPr>
            <w:tcW w:w="0" w:type="auto"/>
          </w:tcPr>
          <w:p>
            <w:pPr>
              <w:spacing w:line="240" w:lineRule="auto" w:before="0" w:after="0"/>
              <w:pStyle w:val="Compact"/>
            </w:pPr>
            <w:r>
              <w:rPr>
                <w:sz w:val="20"/>
                <w:szCs w:val="20"/>
              </w:rPr>
              <w:t xml:space="preserve">29.1755</w:t>
            </w:r>
          </w:p>
        </w:tc>
        <w:tc>
          <w:tcPr>
            <w:tcW w:w="0" w:type="auto"/>
          </w:tcPr>
          <w:p>
            <w:pPr>
              <w:spacing w:line="240" w:lineRule="auto" w:before="0" w:after="0"/>
              <w:pStyle w:val="Compact"/>
            </w:pPr>
            <w:r>
              <w:rPr>
                <w:sz w:val="20"/>
                <w:szCs w:val="20"/>
              </w:rPr>
              <w:t xml:space="preserve">4.4308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Italy</w:t>
            </w:r>
          </w:p>
        </w:tc>
        <w:tc>
          <w:tcPr>
            <w:tcW w:w="0" w:type="auto"/>
          </w:tcPr>
          <w:p>
            <w:pPr>
              <w:spacing w:line="240" w:lineRule="auto" w:before="0" w:after="0"/>
              <w:pStyle w:val="Compact"/>
            </w:pPr>
            <w:r>
              <w:rPr>
                <w:sz w:val="20"/>
                <w:szCs w:val="20"/>
              </w:rPr>
              <w:t xml:space="preserve">ITA</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2650000000</w:t>
            </w:r>
          </w:p>
        </w:tc>
        <w:tc>
          <w:tcPr>
            <w:tcW w:w="0" w:type="auto"/>
          </w:tcPr>
          <w:p>
            <w:pPr>
              <w:spacing w:line="240" w:lineRule="auto" w:before="0" w:after="0"/>
              <w:pStyle w:val="Compact"/>
            </w:pPr>
            <w:r>
              <w:rPr>
                <w:sz w:val="20"/>
                <w:szCs w:val="20"/>
              </w:rPr>
              <w:t xml:space="preserve">2383435562458</w:t>
            </w:r>
          </w:p>
        </w:tc>
        <w:tc>
          <w:tcPr>
            <w:tcW w:w="0" w:type="auto"/>
          </w:tcPr>
          <w:p>
            <w:pPr>
              <w:spacing w:line="240" w:lineRule="auto" w:before="0" w:after="0"/>
              <w:pStyle w:val="Compact"/>
            </w:pPr>
            <w:r>
              <w:rPr>
                <w:sz w:val="20"/>
                <w:szCs w:val="20"/>
              </w:rPr>
              <w:t xml:space="preserve">59</w:t>
            </w:r>
          </w:p>
        </w:tc>
        <w:tc>
          <w:tcPr>
            <w:tcW w:w="0" w:type="auto"/>
          </w:tcPr>
          <w:p>
            <w:pPr>
              <w:spacing w:line="240" w:lineRule="auto" w:before="0" w:after="0"/>
              <w:pStyle w:val="Compact"/>
            </w:pPr>
            <w:r>
              <w:rPr>
                <w:sz w:val="20"/>
                <w:szCs w:val="20"/>
              </w:rPr>
              <w:t xml:space="preserve">0.1112</w:t>
            </w:r>
          </w:p>
        </w:tc>
        <w:tc>
          <w:tcPr>
            <w:tcW w:w="0" w:type="auto"/>
          </w:tcPr>
          <w:p>
            <w:pPr>
              <w:spacing w:line="240" w:lineRule="auto" w:before="0" w:after="0"/>
              <w:pStyle w:val="Compact"/>
            </w:pPr>
            <w:r>
              <w:rPr>
                <w:sz w:val="20"/>
                <w:szCs w:val="20"/>
              </w:rPr>
              <w:t xml:space="preserve">21.6978</w:t>
            </w:r>
          </w:p>
        </w:tc>
        <w:tc>
          <w:tcPr>
            <w:tcW w:w="0" w:type="auto"/>
          </w:tcPr>
          <w:p>
            <w:pPr>
              <w:spacing w:line="240" w:lineRule="auto" w:before="0" w:after="0"/>
              <w:pStyle w:val="Compact"/>
            </w:pPr>
            <w:r>
              <w:rPr>
                <w:sz w:val="20"/>
                <w:szCs w:val="20"/>
              </w:rPr>
              <w:t xml:space="preserve">28.4996</w:t>
            </w:r>
          </w:p>
        </w:tc>
        <w:tc>
          <w:tcPr>
            <w:tcW w:w="0" w:type="auto"/>
          </w:tcPr>
          <w:p>
            <w:pPr>
              <w:spacing w:line="240" w:lineRule="auto" w:before="0" w:after="0"/>
              <w:pStyle w:val="Compact"/>
            </w:pPr>
            <w:r>
              <w:rPr>
                <w:sz w:val="20"/>
                <w:szCs w:val="20"/>
              </w:rPr>
              <w:t xml:space="preserve">4.0775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IND</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1890000000</w:t>
            </w:r>
          </w:p>
        </w:tc>
        <w:tc>
          <w:tcPr>
            <w:tcW w:w="0" w:type="auto"/>
          </w:tcPr>
          <w:p>
            <w:pPr>
              <w:spacing w:line="240" w:lineRule="auto" w:before="0" w:after="0"/>
              <w:pStyle w:val="Compact"/>
            </w:pPr>
            <w:r>
              <w:rPr>
                <w:sz w:val="20"/>
                <w:szCs w:val="20"/>
              </w:rPr>
              <w:t xml:space="preserve">3760813470501</w:t>
            </w:r>
          </w:p>
        </w:tc>
        <w:tc>
          <w:tcPr>
            <w:tcW w:w="0" w:type="auto"/>
          </w:tcPr>
          <w:p>
            <w:pPr>
              <w:spacing w:line="240" w:lineRule="auto" w:before="0" w:after="0"/>
              <w:pStyle w:val="Compact"/>
            </w:pPr>
            <w:r>
              <w:rPr>
                <w:sz w:val="20"/>
                <w:szCs w:val="20"/>
              </w:rPr>
              <w:t xml:space="preserve">110</w:t>
            </w:r>
          </w:p>
        </w:tc>
        <w:tc>
          <w:tcPr>
            <w:tcW w:w="0" w:type="auto"/>
          </w:tcPr>
          <w:p>
            <w:pPr>
              <w:spacing w:line="240" w:lineRule="auto" w:before="0" w:after="0"/>
              <w:pStyle w:val="Compact"/>
            </w:pPr>
            <w:r>
              <w:rPr>
                <w:sz w:val="20"/>
                <w:szCs w:val="20"/>
              </w:rPr>
              <w:t xml:space="preserve">0.0503</w:t>
            </w:r>
          </w:p>
        </w:tc>
        <w:tc>
          <w:tcPr>
            <w:tcW w:w="0" w:type="auto"/>
          </w:tcPr>
          <w:p>
            <w:pPr>
              <w:spacing w:line="240" w:lineRule="auto" w:before="0" w:after="0"/>
              <w:pStyle w:val="Compact"/>
            </w:pPr>
            <w:r>
              <w:rPr>
                <w:sz w:val="20"/>
                <w:szCs w:val="20"/>
              </w:rPr>
              <w:t xml:space="preserve">21.3598</w:t>
            </w:r>
          </w:p>
        </w:tc>
        <w:tc>
          <w:tcPr>
            <w:tcW w:w="0" w:type="auto"/>
          </w:tcPr>
          <w:p>
            <w:pPr>
              <w:spacing w:line="240" w:lineRule="auto" w:before="0" w:after="0"/>
              <w:pStyle w:val="Compact"/>
            </w:pPr>
            <w:r>
              <w:rPr>
                <w:sz w:val="20"/>
                <w:szCs w:val="20"/>
              </w:rPr>
              <w:t xml:space="preserve">28.9557</w:t>
            </w:r>
          </w:p>
        </w:tc>
        <w:tc>
          <w:tcPr>
            <w:tcW w:w="0" w:type="auto"/>
          </w:tcPr>
          <w:p>
            <w:pPr>
              <w:spacing w:line="240" w:lineRule="auto" w:before="0" w:after="0"/>
              <w:pStyle w:val="Compact"/>
            </w:pPr>
            <w:r>
              <w:rPr>
                <w:sz w:val="20"/>
                <w:szCs w:val="20"/>
              </w:rPr>
              <w:t xml:space="preserve">4.7005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bl>
    <w:bookmarkEnd w:id="90"/>
    <w:bookmarkStart w:id="91" w:name="variable-construction"/>
    <w:p>
      <w:pPr>
        <w:pStyle w:val="Heading3"/>
      </w:pPr>
      <w:r>
        <w:t xml:space="preserve">Variable construction</w:t>
      </w:r>
    </w:p>
    <w:tbl>
      <w:tblPr>
        <w:tblStyle w:val="Table"/>
        <w:tblLook w:firstRow="1" w:lastRow="0" w:firstColumn="0" w:lastColumn="0" w:noHBand="0" w:noVBand="0" w:val="0020"/>
        <w:tblLayout w:type="autofit"/>
        <w:tblW w:w="0" w:type="auto"/>
      </w:tblPr>
      <w:tblGrid>
        <w:gridCol w:w="2640"/>
        <w:gridCol w:w="2640"/>
        <w:gridCol w:w="2640"/>
      </w:tblGrid>
      <w:tr>
        <w:trPr>
          <w:tblHeader w:val="on"/>
        </w:trPr>
        <w:tc>
          <w:tcPr>
            <w:tcW w:w="0" w:type="auto"/>
          </w:tcPr>
          <w:p>
            <w:pPr>
              <w:spacing w:line="240" w:lineRule="auto" w:before="0" w:after="0"/>
              <w:pStyle w:val="Compact"/>
            </w:pPr>
            <w:r>
              <w:rPr>
                <w:sz w:val="20"/>
                <w:szCs w:val="20"/>
              </w:rPr>
              <w:t xml:space="preserve">Variable</w:t>
            </w:r>
          </w:p>
        </w:tc>
        <w:tc>
          <w:tcPr>
            <w:tcW w:w="0" w:type="auto"/>
          </w:tcPr>
          <w:p>
            <w:pPr>
              <w:spacing w:line="240" w:lineRule="auto" w:before="0" w:after="0"/>
              <w:pStyle w:val="Compact"/>
            </w:pPr>
            <w:r>
              <w:rPr>
                <w:sz w:val="20"/>
                <w:szCs w:val="20"/>
              </w:rPr>
              <w:t xml:space="preserve">Definition</w:t>
            </w:r>
          </w:p>
        </w:tc>
        <w:tc>
          <w:tcPr>
            <w:tcW w:w="0" w:type="auto"/>
          </w:tcPr>
          <w:p>
            <w:pPr>
              <w:spacing w:line="240" w:lineRule="auto" w:before="0" w:after="0"/>
              <w:pStyle w:val="Compact"/>
            </w:pPr>
            <w:r>
              <w:rPr>
                <w:sz w:val="20"/>
                <w:szCs w:val="20"/>
              </w:rPr>
              <w:t xml:space="preserve">Construction / source</w:t>
            </w:r>
          </w:p>
        </w:tc>
      </w:tr>
      <w:tr>
        <w:tc>
          <w:tcPr>
            <w:tcW w:w="0" w:type="auto"/>
          </w:tcPr>
          <w:p>
            <w:pPr>
              <w:spacing w:line="240" w:lineRule="auto" w:before="0" w:after="0"/>
              <w:pStyle w:val="Compact"/>
            </w:pPr>
            <w:r>
              <w:rPr>
                <w:sz w:val="20"/>
                <w:szCs w:val="20"/>
              </w:rPr>
              <w:t xml:space="preserve">country</w:t>
            </w:r>
          </w:p>
        </w:tc>
        <w:tc>
          <w:tcPr>
            <w:tcW w:w="0" w:type="auto"/>
          </w:tcPr>
          <w:p>
            <w:pPr>
              <w:spacing w:line="240" w:lineRule="auto" w:before="0" w:after="0"/>
              <w:pStyle w:val="Compact"/>
            </w:pPr>
            <w:r>
              <w:rPr>
                <w:sz w:val="20"/>
                <w:szCs w:val="20"/>
              </w:rPr>
              <w:t xml:space="preserve">Name of the state whose government space budget and on-orbit payload stock are observed in the given year.</w:t>
            </w:r>
          </w:p>
        </w:tc>
        <w:tc>
          <w:tcPr>
            <w:tcW w:w="0" w:type="auto"/>
          </w:tcPr>
          <w:p>
            <w:pPr>
              <w:spacing w:line="240" w:lineRule="auto" w:before="0" w:after="0"/>
              <w:pStyle w:val="Compact"/>
            </w:pPr>
            <w:r>
              <w:rPr>
                <w:sz w:val="20"/>
                <w:szCs w:val="20"/>
              </w:rPr>
              <w:t xml:space="preserve">Compiled by the author from [8][9][10][11][12]</w:t>
            </w:r>
          </w:p>
        </w:tc>
      </w:tr>
      <w:tr>
        <w:tc>
          <w:tcPr>
            <w:tcW w:w="0" w:type="auto"/>
          </w:tcPr>
          <w:p>
            <w:pPr>
              <w:spacing w:line="240" w:lineRule="auto" w:before="0" w:after="0"/>
              <w:pStyle w:val="Compact"/>
            </w:pPr>
            <w:r>
              <w:rPr>
                <w:sz w:val="20"/>
                <w:szCs w:val="20"/>
              </w:rPr>
              <w:t xml:space="preserve">iso3</w:t>
            </w:r>
          </w:p>
        </w:tc>
        <w:tc>
          <w:tcPr>
            <w:tcW w:w="0" w:type="auto"/>
          </w:tcPr>
          <w:p>
            <w:pPr>
              <w:spacing w:line="240" w:lineRule="auto" w:before="0" w:after="0"/>
              <w:pStyle w:val="Compact"/>
            </w:pPr>
            <w:r>
              <w:rPr>
                <w:sz w:val="20"/>
                <w:szCs w:val="20"/>
              </w:rPr>
              <w:t xml:space="preserve">ISO 3166-1 alpha-3 country code, used as the join key to World Bank national accounts.</w:t>
            </w:r>
          </w:p>
        </w:tc>
        <w:tc>
          <w:tcPr>
            <w:tcW w:w="0" w:type="auto"/>
          </w:tcPr>
          <w:p>
            <w:pPr>
              <w:spacing w:line="240" w:lineRule="auto" w:before="0" w:after="0"/>
              <w:pStyle w:val="Compact"/>
            </w:pPr>
            <w:r>
              <w:rPr>
                <w:sz w:val="20"/>
                <w:szCs w:val="20"/>
              </w:rPr>
              <w:t xml:space="preserve">World Bank WDI country coding [13]</w:t>
            </w:r>
          </w:p>
        </w:tc>
      </w:tr>
      <w:tr>
        <w:tc>
          <w:tcPr>
            <w:tcW w:w="0" w:type="auto"/>
          </w:tcPr>
          <w:p>
            <w:pPr>
              <w:spacing w:line="240" w:lineRule="auto" w:before="0" w:after="0"/>
              <w:pStyle w:val="Compact"/>
            </w:pPr>
            <w:r>
              <w:rPr>
                <w:sz w:val="20"/>
                <w:szCs w:val="20"/>
              </w:rPr>
              <w:t xml:space="preserve">year</w:t>
            </w:r>
          </w:p>
        </w:tc>
        <w:tc>
          <w:tcPr>
            <w:tcW w:w="0" w:type="auto"/>
          </w:tcPr>
          <w:p>
            <w:pPr>
              <w:spacing w:line="240" w:lineRule="auto" w:before="0" w:after="0"/>
              <w:pStyle w:val="Compact"/>
            </w:pPr>
            <w:r>
              <w:rPr>
                <w:sz w:val="20"/>
                <w:szCs w:val="20"/>
              </w:rPr>
              <w:t xml:space="preserve">Calendar year of the budget observation and of the 31 December on-orbit stock measurement.</w:t>
            </w:r>
          </w:p>
        </w:tc>
        <w:tc>
          <w:tcPr>
            <w:tcW w:w="0" w:type="auto"/>
          </w:tcPr>
          <w:p>
            <w:pPr>
              <w:spacing w:line="240" w:lineRule="auto" w:before="0" w:after="0"/>
              <w:pStyle w:val="Compact"/>
            </w:pPr>
            <w:r>
              <w:rPr>
                <w:sz w:val="20"/>
                <w:szCs w:val="20"/>
              </w:rPr>
              <w:t xml:space="preserve">Compiled by the author from [8][9][10][11][12][14]</w:t>
            </w:r>
          </w:p>
        </w:tc>
      </w:tr>
      <w:tr>
        <w:tc>
          <w:tcPr>
            <w:tcW w:w="0" w:type="auto"/>
          </w:tcPr>
          <w:p>
            <w:pPr>
              <w:spacing w:line="240" w:lineRule="auto" w:before="0" w:after="0"/>
              <w:pStyle w:val="Compact"/>
            </w:pPr>
            <w:r>
              <w:rPr>
                <w:sz w:val="20"/>
                <w:szCs w:val="20"/>
              </w:rPr>
              <w:t xml:space="preserve">space_budget_usd</w:t>
            </w:r>
          </w:p>
        </w:tc>
        <w:tc>
          <w:tcPr>
            <w:tcW w:w="0" w:type="auto"/>
          </w:tcPr>
          <w:p>
            <w:pPr>
              <w:spacing w:line="240" w:lineRule="auto" w:before="0" w:after="0"/>
              <w:pStyle w:val="Compact"/>
            </w:pPr>
            <w:r>
              <w:rPr>
                <w:sz w:val="20"/>
                <w:szCs w:val="20"/>
              </w:rPr>
              <w:t xml:space="preserve">Total government space budget of the country in that year, in current US dollars, covering both civil and defense space appropriations as reported in the Euroconsult/Novaspace Government Space Programs series. This is the economic instrument as an appropriated quantity, not as an outcome.</w:t>
            </w:r>
          </w:p>
        </w:tc>
        <w:tc>
          <w:tcPr>
            <w:tcW w:w="0" w:type="auto"/>
          </w:tcPr>
          <w:p>
            <w:pPr>
              <w:spacing w:line="240" w:lineRule="auto" w:before="0" w:after="0"/>
              <w:pStyle w:val="Compact"/>
            </w:pPr>
            <w:r>
              <w:rPr>
                <w:sz w:val="20"/>
                <w:szCs w:val="20"/>
              </w:rPr>
              <w:t xml:space="preserve">Euroconsult/Novaspace, Government Space Programs, editions reported in [8][9][10][11][12]</w:t>
            </w:r>
          </w:p>
        </w:tc>
      </w:tr>
      <w:tr>
        <w:tc>
          <w:tcPr>
            <w:tcW w:w="0" w:type="auto"/>
          </w:tcPr>
          <w:p>
            <w:pPr>
              <w:spacing w:line="240" w:lineRule="auto" w:before="0" w:after="0"/>
              <w:pStyle w:val="Compact"/>
            </w:pPr>
            <w:r>
              <w:rPr>
                <w:sz w:val="20"/>
                <w:szCs w:val="20"/>
              </w:rPr>
              <w:t xml:space="preserve">gdp_usd</w:t>
            </w:r>
          </w:p>
        </w:tc>
        <w:tc>
          <w:tcPr>
            <w:tcW w:w="0" w:type="auto"/>
          </w:tcPr>
          <w:p>
            <w:pPr>
              <w:spacing w:line="240" w:lineRule="auto" w:before="0" w:after="0"/>
              <w:pStyle w:val="Compact"/>
            </w:pPr>
            <w:r>
              <w:rPr>
                <w:sz w:val="20"/>
                <w:szCs w:val="20"/>
              </w:rPr>
              <w:t xml:space="preserve">Gross domestic product in current US dollars, the aggregate national wealth base against which the space appropriation is drawn.</w:t>
            </w:r>
          </w:p>
        </w:tc>
        <w:tc>
          <w:tcPr>
            <w:tcW w:w="0" w:type="auto"/>
          </w:tcPr>
          <w:p>
            <w:pPr>
              <w:spacing w:line="240" w:lineRule="auto" w:before="0" w:after="0"/>
              <w:pStyle w:val="Compact"/>
            </w:pPr>
            <w:r>
              <w:rPr>
                <w:sz w:val="20"/>
                <w:szCs w:val="20"/>
              </w:rPr>
              <w:t xml:space="preserve">World Bank World Development Indicators, series NY.GDP.MKTP.CD [13]</w:t>
            </w:r>
          </w:p>
        </w:tc>
      </w:tr>
      <w:tr>
        <w:tc>
          <w:tcPr>
            <w:tcW w:w="0" w:type="auto"/>
          </w:tcPr>
          <w:p>
            <w:pPr>
              <w:spacing w:line="240" w:lineRule="auto" w:before="0" w:after="0"/>
              <w:pStyle w:val="Compact"/>
            </w:pPr>
            <w:r>
              <w:rPr>
                <w:sz w:val="20"/>
                <w:szCs w:val="20"/>
              </w:rPr>
              <w:t xml:space="preserve">payloads_in_orbit</w:t>
            </w:r>
          </w:p>
        </w:tc>
        <w:tc>
          <w:tcPr>
            <w:tcW w:w="0" w:type="auto"/>
          </w:tcPr>
          <w:p>
            <w:pPr>
              <w:spacing w:line="240" w:lineRule="auto" w:before="0" w:after="0"/>
              <w:pStyle w:val="Compact"/>
            </w:pPr>
            <w:r>
              <w:rPr>
                <w:sz w:val="20"/>
                <w:szCs w:val="20"/>
              </w:rPr>
              <w:t xml:space="preserve">Count of catalogued payloads attributed to that country’s owner code that were launched on or before 31 December of the year and had not decayed by that date. The strategic-output measure: the stock of national assets physically present in orbit.</w:t>
            </w:r>
          </w:p>
        </w:tc>
        <w:tc>
          <w:tcPr>
            <w:tcW w:w="0" w:type="auto"/>
          </w:tcPr>
          <w:p>
            <w:pPr>
              <w:spacing w:line="240" w:lineRule="auto" w:before="0" w:after="0"/>
              <w:pStyle w:val="Compact"/>
            </w:pPr>
            <w:r>
              <w:rPr>
                <w:sz w:val="20"/>
                <w:szCs w:val="20"/>
              </w:rPr>
              <w:t xml:space="preserve">CelesTrak SATCAT, satcat.csv, retrieved 29 July 2026 [14]</w:t>
            </w:r>
          </w:p>
        </w:tc>
      </w:tr>
      <w:tr>
        <w:tc>
          <w:tcPr>
            <w:tcW w:w="0" w:type="auto"/>
          </w:tcPr>
          <w:p>
            <w:pPr>
              <w:spacing w:line="240" w:lineRule="auto" w:before="0" w:after="0"/>
              <w:pStyle w:val="Compact"/>
            </w:pPr>
            <w:r>
              <w:rPr>
                <w:sz w:val="20"/>
                <w:szCs w:val="20"/>
              </w:rPr>
              <w:t xml:space="preserve">space_budget_pct_gdp</w:t>
            </w:r>
          </w:p>
        </w:tc>
        <w:tc>
          <w:tcPr>
            <w:tcW w:w="0" w:type="auto"/>
          </w:tcPr>
          <w:p>
            <w:pPr>
              <w:spacing w:line="240" w:lineRule="auto" w:before="0" w:after="0"/>
              <w:pStyle w:val="Compact"/>
            </w:pPr>
            <w:r>
              <w:rPr>
                <w:sz w:val="20"/>
                <w:szCs w:val="20"/>
              </w:rPr>
              <w:t xml:space="preserve">Government space budget expressed as a percentage of GDP, the intensity of national commitment to the space instrument.</w:t>
            </w:r>
          </w:p>
        </w:tc>
        <w:tc>
          <w:tcPr>
            <w:tcW w:w="0" w:type="auto"/>
          </w:tcPr>
          <w:p>
            <w:pPr>
              <w:spacing w:line="240" w:lineRule="auto" w:before="0" w:after="0"/>
              <w:pStyle w:val="Compact"/>
            </w:pPr>
            <w:r>
              <w:rPr>
                <w:sz w:val="20"/>
                <w:szCs w:val="20"/>
              </w:rPr>
              <w:t xml:space="preserve">Author’s calculation from [8][9][10][11][12] and [13]</w:t>
            </w:r>
          </w:p>
        </w:tc>
      </w:tr>
      <w:tr>
        <w:tc>
          <w:tcPr>
            <w:tcW w:w="0" w:type="auto"/>
          </w:tcPr>
          <w:p>
            <w:pPr>
              <w:spacing w:line="240" w:lineRule="auto" w:before="0" w:after="0"/>
              <w:pStyle w:val="Compact"/>
            </w:pPr>
            <w:r>
              <w:rPr>
                <w:sz w:val="20"/>
                <w:szCs w:val="20"/>
              </w:rPr>
              <w:t xml:space="preserve">ln_space_budget_usd</w:t>
            </w:r>
          </w:p>
        </w:tc>
        <w:tc>
          <w:tcPr>
            <w:tcW w:w="0" w:type="auto"/>
          </w:tcPr>
          <w:p>
            <w:pPr>
              <w:spacing w:line="240" w:lineRule="auto" w:before="0" w:after="0"/>
              <w:pStyle w:val="Compact"/>
            </w:pPr>
            <w:r>
              <w:rPr>
                <w:sz w:val="20"/>
                <w:szCs w:val="20"/>
              </w:rPr>
              <w:t xml:space="preserve">Natural logarithm of space_budget_usd; the regressor of interest, so that its coefficient reads as an elasticity.</w:t>
            </w:r>
          </w:p>
        </w:tc>
        <w:tc>
          <w:tcPr>
            <w:tcW w:w="0" w:type="auto"/>
          </w:tcPr>
          <w:p>
            <w:pPr>
              <w:spacing w:line="240" w:lineRule="auto" w:before="0" w:after="0"/>
              <w:pStyle w:val="Compact"/>
            </w:pPr>
            <w:r>
              <w:rPr>
                <w:sz w:val="20"/>
                <w:szCs w:val="20"/>
              </w:rPr>
              <w:t xml:space="preserve">Author’s transformation of [8][9][10][11][12]</w:t>
            </w:r>
          </w:p>
        </w:tc>
      </w:tr>
      <w:tr>
        <w:tc>
          <w:tcPr>
            <w:tcW w:w="0" w:type="auto"/>
          </w:tcPr>
          <w:p>
            <w:pPr>
              <w:spacing w:line="240" w:lineRule="auto" w:before="0" w:after="0"/>
              <w:pStyle w:val="Compact"/>
            </w:pPr>
            <w:r>
              <w:rPr>
                <w:sz w:val="20"/>
                <w:szCs w:val="20"/>
              </w:rPr>
              <w:t xml:space="preserve">ln_gdp_usd</w:t>
            </w:r>
          </w:p>
        </w:tc>
        <w:tc>
          <w:tcPr>
            <w:tcW w:w="0" w:type="auto"/>
          </w:tcPr>
          <w:p>
            <w:pPr>
              <w:spacing w:line="240" w:lineRule="auto" w:before="0" w:after="0"/>
              <w:pStyle w:val="Compact"/>
            </w:pPr>
            <w:r>
              <w:rPr>
                <w:sz w:val="20"/>
                <w:szCs w:val="20"/>
              </w:rPr>
              <w:t xml:space="preserve">Natural logarithm of gdp_usd; controls for national economic scale so that the budget coefficient is not simply reading country size.</w:t>
            </w:r>
          </w:p>
        </w:tc>
        <w:tc>
          <w:tcPr>
            <w:tcW w:w="0" w:type="auto"/>
          </w:tcPr>
          <w:p>
            <w:pPr>
              <w:spacing w:line="240" w:lineRule="auto" w:before="0" w:after="0"/>
              <w:pStyle w:val="Compact"/>
            </w:pPr>
            <w:r>
              <w:rPr>
                <w:sz w:val="20"/>
                <w:szCs w:val="20"/>
              </w:rPr>
              <w:t xml:space="preserve">Author’s transformation of [13]</w:t>
            </w:r>
          </w:p>
        </w:tc>
      </w:tr>
      <w:tr>
        <w:tc>
          <w:tcPr>
            <w:tcW w:w="0" w:type="auto"/>
          </w:tcPr>
          <w:p>
            <w:pPr>
              <w:spacing w:line="240" w:lineRule="auto" w:before="0" w:after="0"/>
              <w:pStyle w:val="Compact"/>
            </w:pPr>
            <w:r>
              <w:rPr>
                <w:sz w:val="20"/>
                <w:szCs w:val="20"/>
              </w:rPr>
              <w:t xml:space="preserve">ln_payloads_in_orbit</w:t>
            </w:r>
          </w:p>
        </w:tc>
        <w:tc>
          <w:tcPr>
            <w:tcW w:w="0" w:type="auto"/>
          </w:tcPr>
          <w:p>
            <w:pPr>
              <w:spacing w:line="240" w:lineRule="auto" w:before="0" w:after="0"/>
              <w:pStyle w:val="Compact"/>
            </w:pPr>
            <w:r>
              <w:rPr>
                <w:sz w:val="20"/>
                <w:szCs w:val="20"/>
              </w:rPr>
              <w:t xml:space="preserve">Natural logarithm of payloads_in_orbit; the dependent variable, chosen because the on-orbit stock spans more than two orders of magnitude across the panel.</w:t>
            </w:r>
          </w:p>
        </w:tc>
        <w:tc>
          <w:tcPr>
            <w:tcW w:w="0" w:type="auto"/>
          </w:tcPr>
          <w:p>
            <w:pPr>
              <w:spacing w:line="240" w:lineRule="auto" w:before="0" w:after="0"/>
              <w:pStyle w:val="Compact"/>
            </w:pPr>
            <w:r>
              <w:rPr>
                <w:sz w:val="20"/>
                <w:szCs w:val="20"/>
              </w:rPr>
              <w:t xml:space="preserve">Author’s transformation of [14]</w:t>
            </w:r>
          </w:p>
        </w:tc>
      </w:tr>
      <w:tr>
        <w:tc>
          <w:tcPr>
            <w:tcW w:w="0" w:type="auto"/>
          </w:tcPr>
          <w:p>
            <w:pPr>
              <w:spacing w:line="240" w:lineRule="auto" w:before="0" w:after="0"/>
              <w:pStyle w:val="Compact"/>
            </w:pPr>
            <w:r>
              <w:rPr>
                <w:sz w:val="20"/>
                <w:szCs w:val="20"/>
              </w:rPr>
              <w:t xml:space="preserve">yr2021</w:t>
            </w:r>
          </w:p>
        </w:tc>
        <w:tc>
          <w:tcPr>
            <w:tcW w:w="0" w:type="auto"/>
          </w:tcPr>
          <w:p>
            <w:pPr>
              <w:spacing w:line="240" w:lineRule="auto" w:before="0" w:after="0"/>
              <w:pStyle w:val="Compact"/>
            </w:pPr>
            <w:r>
              <w:rPr>
                <w:sz w:val="20"/>
                <w:szCs w:val="20"/>
              </w:rPr>
              <w:t xml:space="preserve">Year dummy equal to 1 for observations in 2021 and 0 otherwise; 2018 is the omitted base year.</w:t>
            </w:r>
          </w:p>
        </w:tc>
        <w:tc>
          <w:tcPr>
            <w:tcW w:w="0" w:type="auto"/>
          </w:tcPr>
          <w:p>
            <w:pPr>
              <w:spacing w:line="240" w:lineRule="auto" w:before="0" w:after="0"/>
              <w:pStyle w:val="Compact"/>
            </w:pPr>
            <w:r>
              <w:rPr>
                <w:sz w:val="20"/>
                <w:szCs w:val="20"/>
              </w:rPr>
              <w:t xml:space="preserve">Author’s construction</w:t>
            </w:r>
          </w:p>
        </w:tc>
      </w:tr>
      <w:tr>
        <w:tc>
          <w:tcPr>
            <w:tcW w:w="0" w:type="auto"/>
          </w:tcPr>
          <w:p>
            <w:pPr>
              <w:spacing w:line="240" w:lineRule="auto" w:before="0" w:after="0"/>
              <w:pStyle w:val="Compact"/>
            </w:pPr>
            <w:r>
              <w:rPr>
                <w:sz w:val="20"/>
                <w:szCs w:val="20"/>
              </w:rPr>
              <w:t xml:space="preserve">yr2022</w:t>
            </w:r>
          </w:p>
        </w:tc>
        <w:tc>
          <w:tcPr>
            <w:tcW w:w="0" w:type="auto"/>
          </w:tcPr>
          <w:p>
            <w:pPr>
              <w:spacing w:line="240" w:lineRule="auto" w:before="0" w:after="0"/>
              <w:pStyle w:val="Compact"/>
            </w:pPr>
            <w:r>
              <w:rPr>
                <w:sz w:val="20"/>
                <w:szCs w:val="20"/>
              </w:rPr>
              <w:t xml:space="preserve">Year dummy equal to 1 for observations in 2022 and 0 otherwise.</w:t>
            </w:r>
          </w:p>
        </w:tc>
        <w:tc>
          <w:tcPr>
            <w:tcW w:w="0" w:type="auto"/>
          </w:tcPr>
          <w:p>
            <w:pPr>
              <w:spacing w:line="240" w:lineRule="auto" w:before="0" w:after="0"/>
              <w:pStyle w:val="Compact"/>
            </w:pPr>
            <w:r>
              <w:rPr>
                <w:sz w:val="20"/>
                <w:szCs w:val="20"/>
              </w:rPr>
              <w:t xml:space="preserve">Author’s construction</w:t>
            </w:r>
          </w:p>
        </w:tc>
      </w:tr>
      <w:tr>
        <w:tc>
          <w:tcPr>
            <w:tcW w:w="0" w:type="auto"/>
          </w:tcPr>
          <w:p>
            <w:pPr>
              <w:spacing w:line="240" w:lineRule="auto" w:before="0" w:after="0"/>
              <w:pStyle w:val="Compact"/>
            </w:pPr>
            <w:r>
              <w:rPr>
                <w:sz w:val="20"/>
                <w:szCs w:val="20"/>
              </w:rPr>
              <w:t xml:space="preserve">yr2023</w:t>
            </w:r>
          </w:p>
        </w:tc>
        <w:tc>
          <w:tcPr>
            <w:tcW w:w="0" w:type="auto"/>
          </w:tcPr>
          <w:p>
            <w:pPr>
              <w:spacing w:line="240" w:lineRule="auto" w:before="0" w:after="0"/>
              <w:pStyle w:val="Compact"/>
            </w:pPr>
            <w:r>
              <w:rPr>
                <w:sz w:val="20"/>
                <w:szCs w:val="20"/>
              </w:rPr>
              <w:t xml:space="preserve">Year dummy equal to 1 for observations in 2023 and 0 otherwise.</w:t>
            </w:r>
          </w:p>
        </w:tc>
        <w:tc>
          <w:tcPr>
            <w:tcW w:w="0" w:type="auto"/>
          </w:tcPr>
          <w:p>
            <w:pPr>
              <w:spacing w:line="240" w:lineRule="auto" w:before="0" w:after="0"/>
              <w:pStyle w:val="Compact"/>
            </w:pPr>
            <w:r>
              <w:rPr>
                <w:sz w:val="20"/>
                <w:szCs w:val="20"/>
              </w:rPr>
              <w:t xml:space="preserve">Author’s construction</w:t>
            </w:r>
          </w:p>
        </w:tc>
      </w:tr>
      <w:tr>
        <w:tc>
          <w:tcPr>
            <w:tcW w:w="0" w:type="auto"/>
          </w:tcPr>
          <w:p>
            <w:pPr>
              <w:spacing w:line="240" w:lineRule="auto" w:before="0" w:after="0"/>
              <w:pStyle w:val="Compact"/>
            </w:pPr>
            <w:r>
              <w:rPr>
                <w:sz w:val="20"/>
                <w:szCs w:val="20"/>
              </w:rPr>
              <w:t xml:space="preserve">yr2024</w:t>
            </w:r>
          </w:p>
        </w:tc>
        <w:tc>
          <w:tcPr>
            <w:tcW w:w="0" w:type="auto"/>
          </w:tcPr>
          <w:p>
            <w:pPr>
              <w:spacing w:line="240" w:lineRule="auto" w:before="0" w:after="0"/>
              <w:pStyle w:val="Compact"/>
            </w:pPr>
            <w:r>
              <w:rPr>
                <w:sz w:val="20"/>
                <w:szCs w:val="20"/>
              </w:rPr>
              <w:t xml:space="preserve">Year dummy equal to 1 for observations in 2024 and 0 otherwise.</w:t>
            </w:r>
          </w:p>
        </w:tc>
        <w:tc>
          <w:tcPr>
            <w:tcW w:w="0" w:type="auto"/>
          </w:tcPr>
          <w:p>
            <w:pPr>
              <w:spacing w:line="240" w:lineRule="auto" w:before="0" w:after="0"/>
              <w:pStyle w:val="Compact"/>
            </w:pPr>
            <w:r>
              <w:rPr>
                <w:sz w:val="20"/>
                <w:szCs w:val="20"/>
              </w:rPr>
              <w:t xml:space="preserve">Author’s construction</w:t>
            </w:r>
          </w:p>
        </w:tc>
      </w:tr>
      <w:tr>
        <w:tc>
          <w:tcPr>
            <w:tcW w:w="0" w:type="auto"/>
          </w:tcPr>
          <w:p>
            <w:pPr>
              <w:spacing w:line="240" w:lineRule="auto" w:before="0" w:after="0"/>
              <w:pStyle w:val="Compact"/>
            </w:pPr>
            <w:r>
              <w:rPr>
                <w:sz w:val="20"/>
                <w:szCs w:val="20"/>
              </w:rPr>
              <w:t xml:space="preserve">source</w:t>
            </w:r>
          </w:p>
        </w:tc>
        <w:tc>
          <w:tcPr>
            <w:tcW w:w="0" w:type="auto"/>
          </w:tcPr>
          <w:p>
            <w:pPr>
              <w:spacing w:line="240" w:lineRule="auto" w:before="0" w:after="0"/>
              <w:pStyle w:val="Compact"/>
            </w:pPr>
            <w:r>
              <w:rPr>
                <w:sz w:val="20"/>
                <w:szCs w:val="20"/>
              </w:rPr>
              <w:t xml:space="preserve">Provenance string naming the specific real source of the budget figure, the GDP series, and the satellite-stock computation for that row.</w:t>
            </w:r>
          </w:p>
        </w:tc>
        <w:tc>
          <w:tcPr>
            <w:tcW w:w="0" w:type="auto"/>
          </w:tcPr>
          <w:p>
            <w:pPr>
              <w:spacing w:line="240" w:lineRule="auto" w:before="0" w:after="0"/>
              <w:pStyle w:val="Compact"/>
            </w:pPr>
            <w:r>
              <w:rPr>
                <w:sz w:val="20"/>
                <w:szCs w:val="20"/>
              </w:rPr>
              <w:t xml:space="preserve">Compiled by the author</w:t>
            </w:r>
          </w:p>
        </w:tc>
      </w:tr>
    </w:tbl>
    <w:bookmarkEnd w:id="91"/>
    <w:bookmarkStart w:id="92" w:name="estimator-output"/>
    <w:p>
      <w:pPr>
        <w:pStyle w:val="Heading3"/>
      </w:pPr>
      <w:r>
        <w:t xml:space="preserve">Estimator output</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t</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-14.1365</w:t>
            </w:r>
          </w:p>
        </w:tc>
        <w:tc>
          <w:tcPr>
            <w:tcW w:w="0" w:type="auto"/>
          </w:tcPr>
          <w:p>
            <w:pPr>
              <w:spacing w:line="240" w:lineRule="auto" w:before="0" w:after="0"/>
              <w:pStyle w:val="Compact"/>
            </w:pPr>
            <w:r>
              <w:rPr>
                <w:sz w:val="20"/>
                <w:szCs w:val="20"/>
              </w:rPr>
              <w:t xml:space="preserve">8.8815</w:t>
            </w:r>
          </w:p>
        </w:tc>
        <w:tc>
          <w:tcPr>
            <w:tcW w:w="0" w:type="auto"/>
          </w:tcPr>
          <w:p>
            <w:pPr>
              <w:spacing w:line="240" w:lineRule="auto" w:before="0" w:after="0"/>
              <w:pStyle w:val="Compact"/>
            </w:pPr>
            <w:r>
              <w:rPr>
                <w:sz w:val="20"/>
                <w:szCs w:val="20"/>
              </w:rPr>
              <w:t xml:space="preserve">-1.5917</w:t>
            </w:r>
          </w:p>
        </w:tc>
        <w:tc>
          <w:tcPr>
            <w:tcW w:w="0" w:type="auto"/>
          </w:tcPr>
          <w:p>
            <w:pPr>
              <w:spacing w:line="240" w:lineRule="auto" w:before="0" w:after="0"/>
              <w:pStyle w:val="Compact"/>
            </w:pPr>
            <w:r>
              <w:rPr>
                <w:sz w:val="20"/>
                <w:szCs w:val="20"/>
              </w:rPr>
              <w:t xml:space="preserve">0.1115</w:t>
            </w:r>
          </w:p>
        </w:tc>
        <w:tc>
          <w:tcPr>
            <w:tcW w:w="0" w:type="auto"/>
          </w:tcPr>
          <w:p>
            <w:pPr>
              <w:spacing w:line="240" w:lineRule="auto" w:before="0" w:after="0"/>
              <w:pStyle w:val="Compact"/>
            </w:pPr>
            <w:r>
              <w:rPr>
                <w:sz w:val="20"/>
                <w:szCs w:val="20"/>
              </w:rPr>
              <w:t xml:space="preserve">[-31.5439, 3.2709]</w:t>
            </w:r>
          </w:p>
        </w:tc>
      </w:tr>
      <w:tr>
        <w:tc>
          <w:tcPr>
            <w:tcW w:w="0" w:type="auto"/>
          </w:tcPr>
          <w:p>
            <w:pPr>
              <w:spacing w:line="240" w:lineRule="auto" w:before="0" w:after="0"/>
              <w:pStyle w:val="Compact"/>
            </w:pPr>
            <w:r>
              <w:rPr>
                <w:sz w:val="20"/>
                <w:szCs w:val="20"/>
              </w:rPr>
              <w:t xml:space="preserve">ln_space_budget_usd</w:t>
            </w:r>
          </w:p>
        </w:tc>
        <w:tc>
          <w:tcPr>
            <w:tcW w:w="0" w:type="auto"/>
          </w:tcPr>
          <w:p>
            <w:pPr>
              <w:spacing w:line="240" w:lineRule="auto" w:before="0" w:after="0"/>
              <w:pStyle w:val="Compact"/>
            </w:pPr>
            <w:r>
              <w:rPr>
                <w:sz w:val="20"/>
                <w:szCs w:val="20"/>
              </w:rPr>
              <w:t xml:space="preserve">1.319</w:t>
            </w:r>
          </w:p>
        </w:tc>
        <w:tc>
          <w:tcPr>
            <w:tcW w:w="0" w:type="auto"/>
          </w:tcPr>
          <w:p>
            <w:pPr>
              <w:spacing w:line="240" w:lineRule="auto" w:before="0" w:after="0"/>
              <w:pStyle w:val="Compact"/>
            </w:pPr>
            <w:r>
              <w:rPr>
                <w:sz w:val="20"/>
                <w:szCs w:val="20"/>
              </w:rPr>
              <w:t xml:space="preserve">0.3127</w:t>
            </w:r>
          </w:p>
        </w:tc>
        <w:tc>
          <w:tcPr>
            <w:tcW w:w="0" w:type="auto"/>
          </w:tcPr>
          <w:p>
            <w:pPr>
              <w:spacing w:line="240" w:lineRule="auto" w:before="0" w:after="0"/>
              <w:pStyle w:val="Compact"/>
            </w:pPr>
            <w:r>
              <w:rPr>
                <w:sz w:val="20"/>
                <w:szCs w:val="20"/>
              </w:rPr>
              <w:t xml:space="preserve">4.2188</w:t>
            </w:r>
          </w:p>
        </w:tc>
        <w:tc>
          <w:tcPr>
            <w:tcW w:w="0" w:type="auto"/>
          </w:tcPr>
          <w:p>
            <w:pPr>
              <w:spacing w:line="240" w:lineRule="auto" w:before="0" w:after="0"/>
              <w:pStyle w:val="Compact"/>
            </w:pPr>
            <w:r>
              <w:rPr>
                <w:sz w:val="20"/>
                <w:szCs w:val="20"/>
              </w:rPr>
              <w:t xml:space="preserve">2.456e-05</w:t>
            </w:r>
          </w:p>
        </w:tc>
        <w:tc>
          <w:tcPr>
            <w:tcW w:w="0" w:type="auto"/>
          </w:tcPr>
          <w:p>
            <w:pPr>
              <w:spacing w:line="240" w:lineRule="auto" w:before="0" w:after="0"/>
              <w:pStyle w:val="Compact"/>
            </w:pPr>
            <w:r>
              <w:rPr>
                <w:sz w:val="20"/>
                <w:szCs w:val="20"/>
              </w:rPr>
              <w:t xml:space="preserve">[0.7062, 1.9318]</w:t>
            </w:r>
          </w:p>
        </w:tc>
      </w:tr>
      <w:tr>
        <w:tc>
          <w:tcPr>
            <w:tcW w:w="0" w:type="auto"/>
          </w:tcPr>
          <w:p>
            <w:pPr>
              <w:spacing w:line="240" w:lineRule="auto" w:before="0" w:after="0"/>
              <w:pStyle w:val="Compact"/>
            </w:pPr>
            <w:r>
              <w:rPr>
                <w:sz w:val="20"/>
                <w:szCs w:val="20"/>
              </w:rPr>
              <w:t xml:space="preserve">ln_gdp_usd</w:t>
            </w:r>
          </w:p>
        </w:tc>
        <w:tc>
          <w:tcPr>
            <w:tcW w:w="0" w:type="auto"/>
          </w:tcPr>
          <w:p>
            <w:pPr>
              <w:spacing w:line="240" w:lineRule="auto" w:before="0" w:after="0"/>
              <w:pStyle w:val="Compact"/>
            </w:pPr>
            <w:r>
              <w:rPr>
                <w:sz w:val="20"/>
                <w:szCs w:val="20"/>
              </w:rPr>
              <w:t xml:space="preserve">-0.3263</w:t>
            </w:r>
          </w:p>
        </w:tc>
        <w:tc>
          <w:tcPr>
            <w:tcW w:w="0" w:type="auto"/>
          </w:tcPr>
          <w:p>
            <w:pPr>
              <w:spacing w:line="240" w:lineRule="auto" w:before="0" w:after="0"/>
              <w:pStyle w:val="Compact"/>
            </w:pPr>
            <w:r>
              <w:rPr>
                <w:sz w:val="20"/>
                <w:szCs w:val="20"/>
              </w:rPr>
              <w:t xml:space="preserve">0.5161</w:t>
            </w:r>
          </w:p>
        </w:tc>
        <w:tc>
          <w:tcPr>
            <w:tcW w:w="0" w:type="auto"/>
          </w:tcPr>
          <w:p>
            <w:pPr>
              <w:spacing w:line="240" w:lineRule="auto" w:before="0" w:after="0"/>
              <w:pStyle w:val="Compact"/>
            </w:pPr>
            <w:r>
              <w:rPr>
                <w:sz w:val="20"/>
                <w:szCs w:val="20"/>
              </w:rPr>
              <w:t xml:space="preserve">-0.6323</w:t>
            </w:r>
          </w:p>
        </w:tc>
        <w:tc>
          <w:tcPr>
            <w:tcW w:w="0" w:type="auto"/>
          </w:tcPr>
          <w:p>
            <w:pPr>
              <w:spacing w:line="240" w:lineRule="auto" w:before="0" w:after="0"/>
              <w:pStyle w:val="Compact"/>
            </w:pPr>
            <w:r>
              <w:rPr>
                <w:sz w:val="20"/>
                <w:szCs w:val="20"/>
              </w:rPr>
              <w:t xml:space="preserve">0.5272</w:t>
            </w:r>
          </w:p>
        </w:tc>
        <w:tc>
          <w:tcPr>
            <w:tcW w:w="0" w:type="auto"/>
          </w:tcPr>
          <w:p>
            <w:pPr>
              <w:spacing w:line="240" w:lineRule="auto" w:before="0" w:after="0"/>
              <w:pStyle w:val="Compact"/>
            </w:pPr>
            <w:r>
              <w:rPr>
                <w:sz w:val="20"/>
                <w:szCs w:val="20"/>
              </w:rPr>
              <w:t xml:space="preserve">[-1.3379, 0.6852]</w:t>
            </w:r>
          </w:p>
        </w:tc>
      </w:tr>
      <w:tr>
        <w:tc>
          <w:tcPr>
            <w:tcW w:w="0" w:type="auto"/>
          </w:tcPr>
          <w:p>
            <w:pPr>
              <w:spacing w:line="240" w:lineRule="auto" w:before="0" w:after="0"/>
              <w:pStyle w:val="Compact"/>
            </w:pPr>
            <w:r>
              <w:rPr>
                <w:sz w:val="20"/>
                <w:szCs w:val="20"/>
              </w:rPr>
              <w:t xml:space="preserve">yr2021</w:t>
            </w:r>
          </w:p>
        </w:tc>
        <w:tc>
          <w:tcPr>
            <w:tcW w:w="0" w:type="auto"/>
          </w:tcPr>
          <w:p>
            <w:pPr>
              <w:spacing w:line="240" w:lineRule="auto" w:before="0" w:after="0"/>
              <w:pStyle w:val="Compact"/>
            </w:pPr>
            <w:r>
              <w:rPr>
                <w:sz w:val="20"/>
                <w:szCs w:val="20"/>
              </w:rPr>
              <w:t xml:space="preserve">-0.3602</w:t>
            </w:r>
          </w:p>
        </w:tc>
        <w:tc>
          <w:tcPr>
            <w:tcW w:w="0" w:type="auto"/>
          </w:tcPr>
          <w:p>
            <w:pPr>
              <w:spacing w:line="240" w:lineRule="auto" w:before="0" w:after="0"/>
              <w:pStyle w:val="Compact"/>
            </w:pPr>
            <w:r>
              <w:rPr>
                <w:sz w:val="20"/>
                <w:szCs w:val="20"/>
              </w:rPr>
              <w:t xml:space="preserve">0.5438</w:t>
            </w:r>
          </w:p>
        </w:tc>
        <w:tc>
          <w:tcPr>
            <w:tcW w:w="0" w:type="auto"/>
          </w:tcPr>
          <w:p>
            <w:pPr>
              <w:spacing w:line="240" w:lineRule="auto" w:before="0" w:after="0"/>
              <w:pStyle w:val="Compact"/>
            </w:pPr>
            <w:r>
              <w:rPr>
                <w:sz w:val="20"/>
                <w:szCs w:val="20"/>
              </w:rPr>
              <w:t xml:space="preserve">-0.6623</w:t>
            </w:r>
          </w:p>
        </w:tc>
        <w:tc>
          <w:tcPr>
            <w:tcW w:w="0" w:type="auto"/>
          </w:tcPr>
          <w:p>
            <w:pPr>
              <w:spacing w:line="240" w:lineRule="auto" w:before="0" w:after="0"/>
              <w:pStyle w:val="Compact"/>
            </w:pPr>
            <w:r>
              <w:rPr>
                <w:sz w:val="20"/>
                <w:szCs w:val="20"/>
              </w:rPr>
              <w:t xml:space="preserve">0.5078</w:t>
            </w:r>
          </w:p>
        </w:tc>
        <w:tc>
          <w:tcPr>
            <w:tcW w:w="0" w:type="auto"/>
          </w:tcPr>
          <w:p>
            <w:pPr>
              <w:spacing w:line="240" w:lineRule="auto" w:before="0" w:after="0"/>
              <w:pStyle w:val="Compact"/>
            </w:pPr>
            <w:r>
              <w:rPr>
                <w:sz w:val="20"/>
                <w:szCs w:val="20"/>
              </w:rPr>
              <w:t xml:space="preserve">[-1.426, 0.7057]</w:t>
            </w:r>
          </w:p>
        </w:tc>
      </w:tr>
      <w:tr>
        <w:tc>
          <w:tcPr>
            <w:tcW w:w="0" w:type="auto"/>
          </w:tcPr>
          <w:p>
            <w:pPr>
              <w:spacing w:line="240" w:lineRule="auto" w:before="0" w:after="0"/>
              <w:pStyle w:val="Compact"/>
            </w:pPr>
            <w:r>
              <w:rPr>
                <w:sz w:val="20"/>
                <w:szCs w:val="20"/>
              </w:rPr>
              <w:t xml:space="preserve">yr2022</w:t>
            </w:r>
          </w:p>
        </w:tc>
        <w:tc>
          <w:tcPr>
            <w:tcW w:w="0" w:type="auto"/>
          </w:tcPr>
          <w:p>
            <w:pPr>
              <w:spacing w:line="240" w:lineRule="auto" w:before="0" w:after="0"/>
              <w:pStyle w:val="Compact"/>
            </w:pPr>
            <w:r>
              <w:rPr>
                <w:sz w:val="20"/>
                <w:szCs w:val="20"/>
              </w:rPr>
              <w:t xml:space="preserve">-0.062</w:t>
            </w:r>
          </w:p>
        </w:tc>
        <w:tc>
          <w:tcPr>
            <w:tcW w:w="0" w:type="auto"/>
          </w:tcPr>
          <w:p>
            <w:pPr>
              <w:spacing w:line="240" w:lineRule="auto" w:before="0" w:after="0"/>
              <w:pStyle w:val="Compact"/>
            </w:pPr>
            <w:r>
              <w:rPr>
                <w:sz w:val="20"/>
                <w:szCs w:val="20"/>
              </w:rPr>
              <w:t xml:space="preserve">0.4389</w:t>
            </w:r>
          </w:p>
        </w:tc>
        <w:tc>
          <w:tcPr>
            <w:tcW w:w="0" w:type="auto"/>
          </w:tcPr>
          <w:p>
            <w:pPr>
              <w:spacing w:line="240" w:lineRule="auto" w:before="0" w:after="0"/>
              <w:pStyle w:val="Compact"/>
            </w:pPr>
            <w:r>
              <w:rPr>
                <w:sz w:val="20"/>
                <w:szCs w:val="20"/>
              </w:rPr>
              <w:t xml:space="preserve">-0.1412</w:t>
            </w:r>
          </w:p>
        </w:tc>
        <w:tc>
          <w:tcPr>
            <w:tcW w:w="0" w:type="auto"/>
          </w:tcPr>
          <w:p>
            <w:pPr>
              <w:spacing w:line="240" w:lineRule="auto" w:before="0" w:after="0"/>
              <w:pStyle w:val="Compact"/>
            </w:pPr>
            <w:r>
              <w:rPr>
                <w:sz w:val="20"/>
                <w:szCs w:val="20"/>
              </w:rPr>
              <w:t xml:space="preserve">0.8877</w:t>
            </w:r>
          </w:p>
        </w:tc>
        <w:tc>
          <w:tcPr>
            <w:tcW w:w="0" w:type="auto"/>
          </w:tcPr>
          <w:p>
            <w:pPr>
              <w:spacing w:line="240" w:lineRule="auto" w:before="0" w:after="0"/>
              <w:pStyle w:val="Compact"/>
            </w:pPr>
            <w:r>
              <w:rPr>
                <w:sz w:val="20"/>
                <w:szCs w:val="20"/>
              </w:rPr>
              <w:t xml:space="preserve">[-0.9222, 0.7983]</w:t>
            </w:r>
          </w:p>
        </w:tc>
      </w:tr>
      <w:tr>
        <w:tc>
          <w:tcPr>
            <w:tcW w:w="0" w:type="auto"/>
          </w:tcPr>
          <w:p>
            <w:pPr>
              <w:spacing w:line="240" w:lineRule="auto" w:before="0" w:after="0"/>
              <w:pStyle w:val="Compact"/>
            </w:pPr>
            <w:r>
              <w:rPr>
                <w:sz w:val="20"/>
                <w:szCs w:val="20"/>
              </w:rPr>
              <w:t xml:space="preserve">yr2023</w:t>
            </w:r>
          </w:p>
        </w:tc>
        <w:tc>
          <w:tcPr>
            <w:tcW w:w="0" w:type="auto"/>
          </w:tcPr>
          <w:p>
            <w:pPr>
              <w:spacing w:line="240" w:lineRule="auto" w:before="0" w:after="0"/>
              <w:pStyle w:val="Compact"/>
            </w:pPr>
            <w:r>
              <w:rPr>
                <w:sz w:val="20"/>
                <w:szCs w:val="20"/>
              </w:rPr>
              <w:t xml:space="preserve">0.6376</w:t>
            </w:r>
          </w:p>
        </w:tc>
        <w:tc>
          <w:tcPr>
            <w:tcW w:w="0" w:type="auto"/>
          </w:tcPr>
          <w:p>
            <w:pPr>
              <w:spacing w:line="240" w:lineRule="auto" w:before="0" w:after="0"/>
              <w:pStyle w:val="Compact"/>
            </w:pPr>
            <w:r>
              <w:rPr>
                <w:sz w:val="20"/>
                <w:szCs w:val="20"/>
              </w:rPr>
              <w:t xml:space="preserve">0.5277</w:t>
            </w:r>
          </w:p>
        </w:tc>
        <w:tc>
          <w:tcPr>
            <w:tcW w:w="0" w:type="auto"/>
          </w:tcPr>
          <w:p>
            <w:pPr>
              <w:spacing w:line="240" w:lineRule="auto" w:before="0" w:after="0"/>
              <w:pStyle w:val="Compact"/>
            </w:pPr>
            <w:r>
              <w:rPr>
                <w:sz w:val="20"/>
                <w:szCs w:val="20"/>
              </w:rPr>
              <w:t xml:space="preserve">1.2083</w:t>
            </w:r>
          </w:p>
        </w:tc>
        <w:tc>
          <w:tcPr>
            <w:tcW w:w="0" w:type="auto"/>
          </w:tcPr>
          <w:p>
            <w:pPr>
              <w:spacing w:line="240" w:lineRule="auto" w:before="0" w:after="0"/>
              <w:pStyle w:val="Compact"/>
            </w:pPr>
            <w:r>
              <w:rPr>
                <w:sz w:val="20"/>
                <w:szCs w:val="20"/>
              </w:rPr>
              <w:t xml:space="preserve">0.2269</w:t>
            </w:r>
          </w:p>
        </w:tc>
        <w:tc>
          <w:tcPr>
            <w:tcW w:w="0" w:type="auto"/>
          </w:tcPr>
          <w:p>
            <w:pPr>
              <w:spacing w:line="240" w:lineRule="auto" w:before="0" w:after="0"/>
              <w:pStyle w:val="Compact"/>
            </w:pPr>
            <w:r>
              <w:rPr>
                <w:sz w:val="20"/>
                <w:szCs w:val="20"/>
              </w:rPr>
              <w:t xml:space="preserve">[-0.3967, 1.6718]</w:t>
            </w:r>
          </w:p>
        </w:tc>
      </w:tr>
      <w:tr>
        <w:tc>
          <w:tcPr>
            <w:tcW w:w="0" w:type="auto"/>
          </w:tcPr>
          <w:p>
            <w:pPr>
              <w:spacing w:line="240" w:lineRule="auto" w:before="0" w:after="0"/>
              <w:pStyle w:val="Compact"/>
            </w:pPr>
            <w:r>
              <w:rPr>
                <w:sz w:val="20"/>
                <w:szCs w:val="20"/>
              </w:rPr>
              <w:t xml:space="preserve">yr2024</w:t>
            </w:r>
          </w:p>
        </w:tc>
        <w:tc>
          <w:tcPr>
            <w:tcW w:w="0" w:type="auto"/>
          </w:tcPr>
          <w:p>
            <w:pPr>
              <w:spacing w:line="240" w:lineRule="auto" w:before="0" w:after="0"/>
              <w:pStyle w:val="Compact"/>
            </w:pPr>
            <w:r>
              <w:rPr>
                <w:sz w:val="20"/>
                <w:szCs w:val="20"/>
              </w:rPr>
              <w:t xml:space="preserve">-0.1971</w:t>
            </w:r>
          </w:p>
        </w:tc>
        <w:tc>
          <w:tcPr>
            <w:tcW w:w="0" w:type="auto"/>
          </w:tcPr>
          <w:p>
            <w:pPr>
              <w:spacing w:line="240" w:lineRule="auto" w:before="0" w:after="0"/>
              <w:pStyle w:val="Compact"/>
            </w:pPr>
            <w:r>
              <w:rPr>
                <w:sz w:val="20"/>
                <w:szCs w:val="20"/>
              </w:rPr>
              <w:t xml:space="preserve">0.5906</w:t>
            </w:r>
          </w:p>
        </w:tc>
        <w:tc>
          <w:tcPr>
            <w:tcW w:w="0" w:type="auto"/>
          </w:tcPr>
          <w:p>
            <w:pPr>
              <w:spacing w:line="240" w:lineRule="auto" w:before="0" w:after="0"/>
              <w:pStyle w:val="Compact"/>
            </w:pPr>
            <w:r>
              <w:rPr>
                <w:sz w:val="20"/>
                <w:szCs w:val="20"/>
              </w:rPr>
              <w:t xml:space="preserve">-0.3337</w:t>
            </w:r>
          </w:p>
        </w:tc>
        <w:tc>
          <w:tcPr>
            <w:tcW w:w="0" w:type="auto"/>
          </w:tcPr>
          <w:p>
            <w:pPr>
              <w:spacing w:line="240" w:lineRule="auto" w:before="0" w:after="0"/>
              <w:pStyle w:val="Compact"/>
            </w:pPr>
            <w:r>
              <w:rPr>
                <w:sz w:val="20"/>
                <w:szCs w:val="20"/>
              </w:rPr>
              <w:t xml:space="preserve">0.7386</w:t>
            </w:r>
          </w:p>
        </w:tc>
        <w:tc>
          <w:tcPr>
            <w:tcW w:w="0" w:type="auto"/>
          </w:tcPr>
          <w:p>
            <w:pPr>
              <w:spacing w:line="240" w:lineRule="auto" w:before="0" w:after="0"/>
              <w:pStyle w:val="Compact"/>
            </w:pPr>
            <w:r>
              <w:rPr>
                <w:sz w:val="20"/>
                <w:szCs w:val="20"/>
              </w:rPr>
              <w:t xml:space="preserve">[-1.3545, 0.9604]</w:t>
            </w:r>
          </w:p>
        </w:tc>
      </w:tr>
    </w:tbl>
    <w:p>
      <w:pPr>
        <w:pStyle w:val="BodyText"/>
      </w:pPr>
      <w:r>
        <w:t xml:space="preserve">Fit: N = 27 R2 = 0.7988 R2_adj = 0.7384 F = 35.429 F_p = 1.24e-09</w:t>
      </w:r>
    </w:p>
    <w:bookmarkEnd w:id="92"/>
    <w:bookmarkEnd w:id="93"/>
    <w:bookmarkEnd w:id="94"/>
    <w:sectPr w:rsidR="009F3179">
      <w:type w:val="continuous"/>
      <w:pgSz w:h="15840" w:w="12240"/>
      <w:pgMar w:bottom="280" w:footer="720" w:gutter="0" w:header="720" w:left="1060" w:right="1240" w:top="150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CC"/>
    <w:family w:val="swiss"/>
    <w:pitch w:val="variable"/>
    <w:sig w:usb0="E0002EFF" w:usb1="C000247B" w:usb2="00000009" w:usb3="00000000" w:csb0="000001FF" w:csb1="00000000"/>
  </w:font>
  <w:font w:name="TimesNewRomanPS-BoldItalicMT">
    <w:altName w:val="Times New Roman"/>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B9303" w14:textId="77777777" w:rsidR="009F3179" w:rsidRDefault="00C10B24">
    <w:pPr>
      <w:pStyle w:val="BodyText"/>
      <w:spacing w:line="14" w:lineRule="auto"/>
      <w:ind w:left="0"/>
      <w:rPr>
        <w:sz w:val="20"/>
      </w:rPr>
    </w:pPr>
    <w:r>
      <w:rPr>
        <w:noProof/>
      </w:rPr>
      <mc:AlternateContent>
        <mc:Choice Requires="wps">
          <w:drawing>
            <wp:anchor distT="0" distB="0" distL="114300" distR="114300" simplePos="0" relativeHeight="485509120" behindDoc="1" locked="0" layoutInCell="1" allowOverlap="1" wp14:anchorId="1173D16B" wp14:editId="2335BC15">
              <wp:simplePos x="0" y="0"/>
              <wp:positionH relativeFrom="page">
                <wp:posOffset>3763010</wp:posOffset>
              </wp:positionH>
              <wp:positionV relativeFrom="page">
                <wp:posOffset>9495790</wp:posOffset>
              </wp:positionV>
              <wp:extent cx="246380" cy="167640"/>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3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3D16B" id="_x0000_t202" coordsize="21600,21600" o:spt="202" path="m,l,21600r21600,l21600,xe">
              <v:stroke joinstyle="miter"/>
              <v:path gradientshapeok="t" o:connecttype="rect"/>
            </v:shapetype>
            <v:shape id="Text Box 2" o:spid="_x0000_s1098" type="#_x0000_t202" style="position:absolute;margin-left:296.3pt;margin-top:747.7pt;width:19.4pt;height:13.2pt;z-index:-178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" filled="f" stroked="f">
              <v:path arrowok="t"/>
              <v:textbox inset="0,0,0,0">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2D622" w14:textId="77777777" w:rsidR="009F3179" w:rsidRDefault="00C10B24">
    <w:pPr>
      <w:pStyle w:val="BodyText"/>
      <w:spacing w:line="14" w:lineRule="auto"/>
      <w:ind w:left="0"/>
      <w:rPr>
        <w:sz w:val="14"/>
      </w:rPr>
    </w:pPr>
    <w:r>
      <w:rPr>
        <w:noProof/>
      </w:rPr>
      <mc:AlternateContent>
        <mc:Choice Requires="wps">
          <w:drawing>
            <wp:anchor distT="0" distB="0" distL="114300" distR="114300" simplePos="0" relativeHeight="485509632" behindDoc="1" locked="0" layoutInCell="1" allowOverlap="1" wp14:anchorId="5F7D2CAC" wp14:editId="6027A16B">
              <wp:simplePos x="0" y="0"/>
              <wp:positionH relativeFrom="page">
                <wp:posOffset>3753485</wp:posOffset>
              </wp:positionH>
              <wp:positionV relativeFrom="page">
                <wp:posOffset>9495790</wp:posOffset>
              </wp:positionV>
              <wp:extent cx="266700" cy="167640"/>
              <wp:effectExtent l="0" t="0" r="0" b="0"/>
              <wp:wrapNone/>
              <wp:docPr id="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6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D2CAC" id="_x0000_t202" coordsize="21600,21600" o:spt="202" path="m,l,21600r21600,l21600,xe">
              <v:stroke joinstyle="miter"/>
              <v:path gradientshapeok="t" o:connecttype="rect"/>
            </v:shapetype>
            <v:shape id="Text Box 1" o:spid="_x0000_s1099" type="#_x0000_t202" style="position:absolute;margin-left:295.55pt;margin-top:747.7pt;width:21pt;height:13.2pt;z-index:-1780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" filled="f" stroked="f">
              <v:path arrowok="t"/>
              <v:textbox inset="0,0,0,0">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v:textbox>
              <w10:wrap anchorx="page" anchory="page"/>
            </v:shape>
          </w:pict>
        </mc:Fallback>
      </mc:AlternateConten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0755065F"/>
    <w:multiLevelType w:val="hybridMultilevel"/>
    <w:tmpl w:val="437073C0"/>
    <w:lvl w:ilvl="0" w:tplc="F014BDD8">
      <w:start w:val="1"/>
      <w:numFmt w:val="decimal"/>
      <w:lvlText w:val="%1."/>
      <w:lvlJc w:val="left"/>
      <w:pPr>
        <w:ind w:hanging="289" w:left="1100"/>
        <w:jc w:val="left"/>
      </w:pPr>
      <w:rPr>
        <w:rFonts w:ascii="Times New Roman" w:cs="Times New Roman" w:eastAsia="Times New Roman" w:hAnsi="Times New Roman" w:hint="default"/>
        <w:w w:val="100"/>
        <w:sz w:val="24"/>
        <w:szCs w:val="24"/>
      </w:rPr>
    </w:lvl>
    <w:lvl w:ilvl="1" w:tplc="9A704740">
      <w:numFmt w:val="bullet"/>
      <w:lvlText w:val="•"/>
      <w:lvlJc w:val="left"/>
      <w:pPr>
        <w:ind w:hanging="289" w:left="1984"/>
      </w:pPr>
      <w:rPr>
        <w:rFonts w:hint="default"/>
      </w:rPr>
    </w:lvl>
    <w:lvl w:ilvl="2" w:tplc="D2C4459C">
      <w:numFmt w:val="bullet"/>
      <w:lvlText w:val="•"/>
      <w:lvlJc w:val="left"/>
      <w:pPr>
        <w:ind w:hanging="289" w:left="2868"/>
      </w:pPr>
      <w:rPr>
        <w:rFonts w:hint="default"/>
      </w:rPr>
    </w:lvl>
    <w:lvl w:ilvl="3" w:tplc="E4B6D344">
      <w:numFmt w:val="bullet"/>
      <w:lvlText w:val="•"/>
      <w:lvlJc w:val="left"/>
      <w:pPr>
        <w:ind w:hanging="289" w:left="3752"/>
      </w:pPr>
      <w:rPr>
        <w:rFonts w:hint="default"/>
      </w:rPr>
    </w:lvl>
    <w:lvl w:ilvl="4" w:tplc="79504C92">
      <w:numFmt w:val="bullet"/>
      <w:lvlText w:val="•"/>
      <w:lvlJc w:val="left"/>
      <w:pPr>
        <w:ind w:hanging="289" w:left="4636"/>
      </w:pPr>
      <w:rPr>
        <w:rFonts w:hint="default"/>
      </w:rPr>
    </w:lvl>
    <w:lvl w:ilvl="5" w:tplc="CFB2858E">
      <w:numFmt w:val="bullet"/>
      <w:lvlText w:val="•"/>
      <w:lvlJc w:val="left"/>
      <w:pPr>
        <w:ind w:hanging="289" w:left="5520"/>
      </w:pPr>
      <w:rPr>
        <w:rFonts w:hint="default"/>
      </w:rPr>
    </w:lvl>
    <w:lvl w:ilvl="6" w:tplc="351E15F6">
      <w:numFmt w:val="bullet"/>
      <w:lvlText w:val="•"/>
      <w:lvlJc w:val="left"/>
      <w:pPr>
        <w:ind w:hanging="289" w:left="6404"/>
      </w:pPr>
      <w:rPr>
        <w:rFonts w:hint="default"/>
      </w:rPr>
    </w:lvl>
    <w:lvl w:ilvl="7" w:tplc="F726FE44">
      <w:numFmt w:val="bullet"/>
      <w:lvlText w:val="•"/>
      <w:lvlJc w:val="left"/>
      <w:pPr>
        <w:ind w:hanging="289" w:left="7288"/>
      </w:pPr>
      <w:rPr>
        <w:rFonts w:hint="default"/>
      </w:rPr>
    </w:lvl>
    <w:lvl w:ilvl="8" w:tplc="1B18AE82">
      <w:numFmt w:val="bullet"/>
      <w:lvlText w:val="•"/>
      <w:lvlJc w:val="left"/>
      <w:pPr>
        <w:ind w:hanging="289" w:left="8172"/>
      </w:pPr>
      <w:rPr>
        <w:rFonts w:hint="default"/>
      </w:rPr>
    </w:lvl>
  </w:abstractNum>
  <w:abstractNum w15:restartNumberingAfterBreak="0" w:abstractNumId="1">
    <w:nsid w:val="20ED600A"/>
    <w:multiLevelType w:val="hybridMultilevel"/>
    <w:tmpl w:val="3DF660D8"/>
    <w:lvl w:ilvl="0" w:tplc="DBD4E4B2">
      <w:start w:val="1"/>
      <w:numFmt w:val="decimal"/>
      <w:lvlText w:val="%1."/>
      <w:lvlJc w:val="left"/>
      <w:pPr>
        <w:ind w:hanging="116" w:left="0"/>
        <w:jc w:val="left"/>
      </w:pPr>
      <w:rPr>
        <w:rFonts w:ascii="Arial" w:cs="Arial" w:eastAsia="Arial" w:hAnsi="Arial" w:hint="default"/>
        <w:color w:val="0B2338"/>
        <w:spacing w:val="-1"/>
        <w:w w:val="94"/>
        <w:sz w:val="11"/>
        <w:szCs w:val="11"/>
      </w:rPr>
    </w:lvl>
    <w:lvl w:ilvl="1" w:tplc="1DF49AAE">
      <w:numFmt w:val="bullet"/>
      <w:lvlText w:val="•"/>
      <w:lvlJc w:val="left"/>
      <w:pPr>
        <w:ind w:hanging="116" w:left="118"/>
      </w:pPr>
      <w:rPr>
        <w:rFonts w:hint="default"/>
      </w:rPr>
    </w:lvl>
    <w:lvl w:ilvl="2" w:tplc="8696922E">
      <w:numFmt w:val="bullet"/>
      <w:lvlText w:val="•"/>
      <w:lvlJc w:val="left"/>
      <w:pPr>
        <w:ind w:hanging="116" w:left="237"/>
      </w:pPr>
      <w:rPr>
        <w:rFonts w:hint="default"/>
      </w:rPr>
    </w:lvl>
    <w:lvl w:ilvl="3" w:tplc="53CC4070">
      <w:numFmt w:val="bullet"/>
      <w:lvlText w:val="•"/>
      <w:lvlJc w:val="left"/>
      <w:pPr>
        <w:ind w:hanging="116" w:left="356"/>
      </w:pPr>
      <w:rPr>
        <w:rFonts w:hint="default"/>
      </w:rPr>
    </w:lvl>
    <w:lvl w:ilvl="4" w:tplc="670C966A">
      <w:numFmt w:val="bullet"/>
      <w:lvlText w:val="•"/>
      <w:lvlJc w:val="left"/>
      <w:pPr>
        <w:ind w:hanging="116" w:left="475"/>
      </w:pPr>
      <w:rPr>
        <w:rFonts w:hint="default"/>
      </w:rPr>
    </w:lvl>
    <w:lvl w:ilvl="5" w:tplc="F7786108">
      <w:numFmt w:val="bullet"/>
      <w:lvlText w:val="•"/>
      <w:lvlJc w:val="left"/>
      <w:pPr>
        <w:ind w:hanging="116" w:left="593"/>
      </w:pPr>
      <w:rPr>
        <w:rFonts w:hint="default"/>
      </w:rPr>
    </w:lvl>
    <w:lvl w:ilvl="6" w:tplc="CAE43504">
      <w:numFmt w:val="bullet"/>
      <w:lvlText w:val="•"/>
      <w:lvlJc w:val="left"/>
      <w:pPr>
        <w:ind w:hanging="116" w:left="712"/>
      </w:pPr>
      <w:rPr>
        <w:rFonts w:hint="default"/>
      </w:rPr>
    </w:lvl>
    <w:lvl w:ilvl="7" w:tplc="405095FA">
      <w:numFmt w:val="bullet"/>
      <w:lvlText w:val="•"/>
      <w:lvlJc w:val="left"/>
      <w:pPr>
        <w:ind w:hanging="116" w:left="831"/>
      </w:pPr>
      <w:rPr>
        <w:rFonts w:hint="default"/>
      </w:rPr>
    </w:lvl>
    <w:lvl w:ilvl="8" w:tplc="4662B30C">
      <w:numFmt w:val="bullet"/>
      <w:lvlText w:val="•"/>
      <w:lvlJc w:val="left"/>
      <w:pPr>
        <w:ind w:hanging="116" w:left="950"/>
      </w:pPr>
      <w:rPr>
        <w:rFonts w:hint="default"/>
      </w:rPr>
    </w:lvl>
  </w:abstractNum>
  <w:abstractNum w15:restartNumberingAfterBreak="0" w:abstractNumId="2">
    <w:nsid w:val="2364631C"/>
    <w:multiLevelType w:val="hybridMultilevel"/>
    <w:tmpl w:val="EF7CE616"/>
    <w:lvl w:ilvl="0" w:tplc="5A4CA9FE">
      <w:start w:val="1"/>
      <w:numFmt w:val="decimal"/>
      <w:lvlText w:val="%1."/>
      <w:lvlJc w:val="left"/>
      <w:pPr>
        <w:ind w:hanging="240" w:left="2150"/>
        <w:jc w:val="left"/>
      </w:pPr>
      <w:rPr>
        <w:rFonts w:ascii="Times New Roman" w:cs="Times New Roman" w:eastAsia="Times New Roman" w:hAnsi="Times New Roman" w:hint="default"/>
        <w:w w:val="100"/>
        <w:sz w:val="24"/>
        <w:szCs w:val="24"/>
      </w:rPr>
    </w:lvl>
    <w:lvl w:ilvl="1" w:tplc="E40AEBAA">
      <w:numFmt w:val="bullet"/>
      <w:lvlText w:val="•"/>
      <w:lvlJc w:val="left"/>
      <w:pPr>
        <w:ind w:hanging="240" w:left="2938"/>
      </w:pPr>
      <w:rPr>
        <w:rFonts w:hint="default"/>
      </w:rPr>
    </w:lvl>
    <w:lvl w:ilvl="2" w:tplc="8CBA5F66">
      <w:numFmt w:val="bullet"/>
      <w:lvlText w:val="•"/>
      <w:lvlJc w:val="left"/>
      <w:pPr>
        <w:ind w:hanging="240" w:left="3716"/>
      </w:pPr>
      <w:rPr>
        <w:rFonts w:hint="default"/>
      </w:rPr>
    </w:lvl>
    <w:lvl w:ilvl="3" w:tplc="592A2702">
      <w:numFmt w:val="bullet"/>
      <w:lvlText w:val="•"/>
      <w:lvlJc w:val="left"/>
      <w:pPr>
        <w:ind w:hanging="240" w:left="4494"/>
      </w:pPr>
      <w:rPr>
        <w:rFonts w:hint="default"/>
      </w:rPr>
    </w:lvl>
    <w:lvl w:ilvl="4" w:tplc="FB988598">
      <w:numFmt w:val="bullet"/>
      <w:lvlText w:val="•"/>
      <w:lvlJc w:val="left"/>
      <w:pPr>
        <w:ind w:hanging="240" w:left="5272"/>
      </w:pPr>
      <w:rPr>
        <w:rFonts w:hint="default"/>
      </w:rPr>
    </w:lvl>
    <w:lvl w:ilvl="5" w:tplc="BB6A8AD4">
      <w:numFmt w:val="bullet"/>
      <w:lvlText w:val="•"/>
      <w:lvlJc w:val="left"/>
      <w:pPr>
        <w:ind w:hanging="240" w:left="6050"/>
      </w:pPr>
      <w:rPr>
        <w:rFonts w:hint="default"/>
      </w:rPr>
    </w:lvl>
    <w:lvl w:ilvl="6" w:tplc="5F467E0C">
      <w:numFmt w:val="bullet"/>
      <w:lvlText w:val="•"/>
      <w:lvlJc w:val="left"/>
      <w:pPr>
        <w:ind w:hanging="240" w:left="6828"/>
      </w:pPr>
      <w:rPr>
        <w:rFonts w:hint="default"/>
      </w:rPr>
    </w:lvl>
    <w:lvl w:ilvl="7" w:tplc="172665EE">
      <w:numFmt w:val="bullet"/>
      <w:lvlText w:val="•"/>
      <w:lvlJc w:val="left"/>
      <w:pPr>
        <w:ind w:hanging="240" w:left="7606"/>
      </w:pPr>
      <w:rPr>
        <w:rFonts w:hint="default"/>
      </w:rPr>
    </w:lvl>
    <w:lvl w:ilvl="8" w:tplc="E5F453FC">
      <w:numFmt w:val="bullet"/>
      <w:lvlText w:val="•"/>
      <w:lvlJc w:val="left"/>
      <w:pPr>
        <w:ind w:hanging="240" w:left="8384"/>
      </w:pPr>
      <w:rPr>
        <w:rFonts w:hint="default"/>
      </w:rPr>
    </w:lvl>
  </w:abstractNum>
  <w:abstractNum w15:restartNumberingAfterBreak="0" w:abstractNumId="3">
    <w:nsid w:val="25306CB1"/>
    <w:multiLevelType w:val="hybridMultilevel"/>
    <w:tmpl w:val="297AB564"/>
    <w:lvl w:ilvl="0" w:tplc="3710B952">
      <w:start w:val="3"/>
      <w:numFmt w:val="decimal"/>
      <w:lvlText w:val="%1"/>
      <w:lvlJc w:val="left"/>
      <w:pPr>
        <w:ind w:hanging="130" w:left="0"/>
        <w:jc w:val="left"/>
      </w:pPr>
      <w:rPr>
        <w:rFonts w:hint="default"/>
      </w:rPr>
    </w:lvl>
    <w:lvl w:ilvl="1" w:tplc="0352D56A">
      <w:start w:val="1"/>
      <w:numFmt w:val="upperLetter"/>
      <w:lvlText w:val="%1.%2"/>
      <w:lvlJc w:val="left"/>
      <w:pPr>
        <w:ind w:hanging="130" w:left="0"/>
        <w:jc w:val="left"/>
      </w:pPr>
      <w:rPr>
        <w:rFonts w:ascii="Arial" w:cs="Arial" w:eastAsia="Arial" w:hAnsi="Arial" w:hint="default"/>
        <w:color w:val="0B2338"/>
        <w:w w:val="90"/>
        <w:sz w:val="8"/>
        <w:szCs w:val="8"/>
      </w:rPr>
    </w:lvl>
    <w:lvl w:ilvl="2" w:tplc="04CC5664">
      <w:numFmt w:val="bullet"/>
      <w:lvlText w:val="•"/>
      <w:lvlJc w:val="left"/>
      <w:pPr>
        <w:ind w:hanging="130" w:left="243"/>
      </w:pPr>
      <w:rPr>
        <w:rFonts w:hint="default"/>
      </w:rPr>
    </w:lvl>
    <w:lvl w:ilvl="3" w:tplc="8C226828">
      <w:numFmt w:val="bullet"/>
      <w:lvlText w:val="•"/>
      <w:lvlJc w:val="left"/>
      <w:pPr>
        <w:ind w:hanging="130" w:left="365"/>
      </w:pPr>
      <w:rPr>
        <w:rFonts w:hint="default"/>
      </w:rPr>
    </w:lvl>
    <w:lvl w:ilvl="4" w:tplc="3134F5D2">
      <w:numFmt w:val="bullet"/>
      <w:lvlText w:val="•"/>
      <w:lvlJc w:val="left"/>
      <w:pPr>
        <w:ind w:hanging="130" w:left="487"/>
      </w:pPr>
      <w:rPr>
        <w:rFonts w:hint="default"/>
      </w:rPr>
    </w:lvl>
    <w:lvl w:ilvl="5" w:tplc="05444F5A">
      <w:numFmt w:val="bullet"/>
      <w:lvlText w:val="•"/>
      <w:lvlJc w:val="left"/>
      <w:pPr>
        <w:ind w:hanging="130" w:left="609"/>
      </w:pPr>
      <w:rPr>
        <w:rFonts w:hint="default"/>
      </w:rPr>
    </w:lvl>
    <w:lvl w:ilvl="6" w:tplc="7E28672E">
      <w:numFmt w:val="bullet"/>
      <w:lvlText w:val="•"/>
      <w:lvlJc w:val="left"/>
      <w:pPr>
        <w:ind w:hanging="130" w:left="730"/>
      </w:pPr>
      <w:rPr>
        <w:rFonts w:hint="default"/>
      </w:rPr>
    </w:lvl>
    <w:lvl w:ilvl="7" w:tplc="BE009B9A">
      <w:numFmt w:val="bullet"/>
      <w:lvlText w:val="•"/>
      <w:lvlJc w:val="left"/>
      <w:pPr>
        <w:ind w:hanging="130" w:left="852"/>
      </w:pPr>
      <w:rPr>
        <w:rFonts w:hint="default"/>
      </w:rPr>
    </w:lvl>
    <w:lvl w:ilvl="8" w:tplc="EDE64DD8">
      <w:numFmt w:val="bullet"/>
      <w:lvlText w:val="•"/>
      <w:lvlJc w:val="left"/>
      <w:pPr>
        <w:ind w:hanging="130" w:left="974"/>
      </w:pPr>
      <w:rPr>
        <w:rFonts w:hint="default"/>
      </w:rPr>
    </w:lvl>
  </w:abstractNum>
  <w:abstractNum w15:restartNumberingAfterBreak="0" w:abstractNumId="4">
    <w:nsid w:val="26D153E0"/>
    <w:multiLevelType w:val="hybridMultilevel"/>
    <w:tmpl w:val="03CC114C"/>
    <w:lvl w:ilvl="0" w:tplc="CC102BDE">
      <w:start w:val="1"/>
      <w:numFmt w:val="decimal"/>
      <w:lvlText w:val="%1."/>
      <w:lvlJc w:val="left"/>
      <w:pPr>
        <w:ind w:hanging="240" w:left="1910"/>
        <w:jc w:val="left"/>
      </w:pPr>
      <w:rPr>
        <w:rFonts w:ascii="Times New Roman" w:cs="Times New Roman" w:eastAsia="Times New Roman" w:hAnsi="Times New Roman" w:hint="default"/>
        <w:w w:val="100"/>
        <w:sz w:val="24"/>
        <w:szCs w:val="24"/>
      </w:rPr>
    </w:lvl>
    <w:lvl w:ilvl="1" w:tplc="2FCE3DC8">
      <w:numFmt w:val="bullet"/>
      <w:lvlText w:val="•"/>
      <w:lvlJc w:val="left"/>
      <w:pPr>
        <w:ind w:hanging="240" w:left="2722"/>
      </w:pPr>
      <w:rPr>
        <w:rFonts w:hint="default"/>
      </w:rPr>
    </w:lvl>
    <w:lvl w:ilvl="2" w:tplc="7F02E6CC">
      <w:numFmt w:val="bullet"/>
      <w:lvlText w:val="•"/>
      <w:lvlJc w:val="left"/>
      <w:pPr>
        <w:ind w:hanging="240" w:left="3524"/>
      </w:pPr>
      <w:rPr>
        <w:rFonts w:hint="default"/>
      </w:rPr>
    </w:lvl>
    <w:lvl w:ilvl="3" w:tplc="BFC0DA7A">
      <w:numFmt w:val="bullet"/>
      <w:lvlText w:val="•"/>
      <w:lvlJc w:val="left"/>
      <w:pPr>
        <w:ind w:hanging="240" w:left="4326"/>
      </w:pPr>
      <w:rPr>
        <w:rFonts w:hint="default"/>
      </w:rPr>
    </w:lvl>
    <w:lvl w:ilvl="4" w:tplc="359AD53A">
      <w:numFmt w:val="bullet"/>
      <w:lvlText w:val="•"/>
      <w:lvlJc w:val="left"/>
      <w:pPr>
        <w:ind w:hanging="240" w:left="5128"/>
      </w:pPr>
      <w:rPr>
        <w:rFonts w:hint="default"/>
      </w:rPr>
    </w:lvl>
    <w:lvl w:ilvl="5" w:tplc="96FE3888">
      <w:numFmt w:val="bullet"/>
      <w:lvlText w:val="•"/>
      <w:lvlJc w:val="left"/>
      <w:pPr>
        <w:ind w:hanging="240" w:left="5930"/>
      </w:pPr>
      <w:rPr>
        <w:rFonts w:hint="default"/>
      </w:rPr>
    </w:lvl>
    <w:lvl w:ilvl="6" w:tplc="40AEAAF2">
      <w:numFmt w:val="bullet"/>
      <w:lvlText w:val="•"/>
      <w:lvlJc w:val="left"/>
      <w:pPr>
        <w:ind w:hanging="240" w:left="6732"/>
      </w:pPr>
      <w:rPr>
        <w:rFonts w:hint="default"/>
      </w:rPr>
    </w:lvl>
    <w:lvl w:ilvl="7" w:tplc="9376846A">
      <w:numFmt w:val="bullet"/>
      <w:lvlText w:val="•"/>
      <w:lvlJc w:val="left"/>
      <w:pPr>
        <w:ind w:hanging="240" w:left="7534"/>
      </w:pPr>
      <w:rPr>
        <w:rFonts w:hint="default"/>
      </w:rPr>
    </w:lvl>
    <w:lvl w:ilvl="8" w:tplc="7832A2AE">
      <w:numFmt w:val="bullet"/>
      <w:lvlText w:val="•"/>
      <w:lvlJc w:val="left"/>
      <w:pPr>
        <w:ind w:hanging="240" w:left="8336"/>
      </w:pPr>
      <w:rPr>
        <w:rFonts w:hint="default"/>
      </w:rPr>
    </w:lvl>
  </w:abstractNum>
  <w:abstractNum w15:restartNumberingAfterBreak="0" w:abstractNumId="5">
    <w:nsid w:val="27C57A4E"/>
    <w:multiLevelType w:val="hybridMultilevel"/>
    <w:tmpl w:val="CA280CE0"/>
    <w:lvl w:ilvl="0" w:tplc="5442CA4A">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058E9C00">
      <w:numFmt w:val="bullet"/>
      <w:lvlText w:val="•"/>
      <w:lvlJc w:val="left"/>
      <w:pPr>
        <w:ind w:hanging="240" w:left="1336"/>
      </w:pPr>
      <w:rPr>
        <w:rFonts w:hint="default"/>
      </w:rPr>
    </w:lvl>
    <w:lvl w:ilvl="2" w:tplc="54C0D304">
      <w:numFmt w:val="bullet"/>
      <w:lvlText w:val="•"/>
      <w:lvlJc w:val="left"/>
      <w:pPr>
        <w:ind w:hanging="240" w:left="2292"/>
      </w:pPr>
      <w:rPr>
        <w:rFonts w:hint="default"/>
      </w:rPr>
    </w:lvl>
    <w:lvl w:ilvl="3" w:tplc="C164C8F4">
      <w:numFmt w:val="bullet"/>
      <w:lvlText w:val="•"/>
      <w:lvlJc w:val="left"/>
      <w:pPr>
        <w:ind w:hanging="240" w:left="3248"/>
      </w:pPr>
      <w:rPr>
        <w:rFonts w:hint="default"/>
      </w:rPr>
    </w:lvl>
    <w:lvl w:ilvl="4" w:tplc="E72C3952">
      <w:numFmt w:val="bullet"/>
      <w:lvlText w:val="•"/>
      <w:lvlJc w:val="left"/>
      <w:pPr>
        <w:ind w:hanging="240" w:left="4204"/>
      </w:pPr>
      <w:rPr>
        <w:rFonts w:hint="default"/>
      </w:rPr>
    </w:lvl>
    <w:lvl w:ilvl="5" w:tplc="48DCA6B0">
      <w:numFmt w:val="bullet"/>
      <w:lvlText w:val="•"/>
      <w:lvlJc w:val="left"/>
      <w:pPr>
        <w:ind w:hanging="240" w:left="5160"/>
      </w:pPr>
      <w:rPr>
        <w:rFonts w:hint="default"/>
      </w:rPr>
    </w:lvl>
    <w:lvl w:ilvl="6" w:tplc="163A1B6C">
      <w:numFmt w:val="bullet"/>
      <w:lvlText w:val="•"/>
      <w:lvlJc w:val="left"/>
      <w:pPr>
        <w:ind w:hanging="240" w:left="6116"/>
      </w:pPr>
      <w:rPr>
        <w:rFonts w:hint="default"/>
      </w:rPr>
    </w:lvl>
    <w:lvl w:ilvl="7" w:tplc="756E69AE">
      <w:numFmt w:val="bullet"/>
      <w:lvlText w:val="•"/>
      <w:lvlJc w:val="left"/>
      <w:pPr>
        <w:ind w:hanging="240" w:left="7072"/>
      </w:pPr>
      <w:rPr>
        <w:rFonts w:hint="default"/>
      </w:rPr>
    </w:lvl>
    <w:lvl w:ilvl="8" w:tplc="D908A9B4">
      <w:numFmt w:val="bullet"/>
      <w:lvlText w:val="•"/>
      <w:lvlJc w:val="left"/>
      <w:pPr>
        <w:ind w:hanging="240" w:left="8028"/>
      </w:pPr>
      <w:rPr>
        <w:rFonts w:hint="default"/>
      </w:rPr>
    </w:lvl>
  </w:abstractNum>
  <w:abstractNum w15:restartNumberingAfterBreak="0" w:abstractNumId="6">
    <w:nsid w:val="27E6655F"/>
    <w:multiLevelType w:val="hybridMultilevel"/>
    <w:tmpl w:val="5930EB48"/>
    <w:lvl w:ilvl="0" w:tplc="ED989EF0">
      <w:start w:val="1"/>
      <w:numFmt w:val="decimal"/>
      <w:lvlText w:val="%1."/>
      <w:lvlJc w:val="left"/>
      <w:pPr>
        <w:ind w:hanging="240" w:left="1340"/>
        <w:jc w:val="left"/>
      </w:pPr>
      <w:rPr>
        <w:rFonts w:ascii="Times New Roman" w:cs="Times New Roman" w:eastAsia="Times New Roman" w:hAnsi="Times New Roman" w:hint="default"/>
        <w:w w:val="100"/>
        <w:sz w:val="24"/>
        <w:szCs w:val="24"/>
      </w:rPr>
    </w:lvl>
    <w:lvl w:ilvl="1" w:tplc="F3ACB3F4">
      <w:numFmt w:val="bullet"/>
      <w:lvlText w:val="•"/>
      <w:lvlJc w:val="left"/>
      <w:pPr>
        <w:ind w:hanging="240" w:left="2200"/>
      </w:pPr>
      <w:rPr>
        <w:rFonts w:hint="default"/>
      </w:rPr>
    </w:lvl>
    <w:lvl w:ilvl="2" w:tplc="3F587E2C">
      <w:numFmt w:val="bullet"/>
      <w:lvlText w:val="•"/>
      <w:lvlJc w:val="left"/>
      <w:pPr>
        <w:ind w:hanging="240" w:left="3060"/>
      </w:pPr>
      <w:rPr>
        <w:rFonts w:hint="default"/>
      </w:rPr>
    </w:lvl>
    <w:lvl w:ilvl="3" w:tplc="F1B40C68">
      <w:numFmt w:val="bullet"/>
      <w:lvlText w:val="•"/>
      <w:lvlJc w:val="left"/>
      <w:pPr>
        <w:ind w:hanging="240" w:left="3920"/>
      </w:pPr>
      <w:rPr>
        <w:rFonts w:hint="default"/>
      </w:rPr>
    </w:lvl>
    <w:lvl w:ilvl="4" w:tplc="4B6CC954">
      <w:numFmt w:val="bullet"/>
      <w:lvlText w:val="•"/>
      <w:lvlJc w:val="left"/>
      <w:pPr>
        <w:ind w:hanging="240" w:left="4780"/>
      </w:pPr>
      <w:rPr>
        <w:rFonts w:hint="default"/>
      </w:rPr>
    </w:lvl>
    <w:lvl w:ilvl="5" w:tplc="2FD2EA1C">
      <w:numFmt w:val="bullet"/>
      <w:lvlText w:val="•"/>
      <w:lvlJc w:val="left"/>
      <w:pPr>
        <w:ind w:hanging="240" w:left="5640"/>
      </w:pPr>
      <w:rPr>
        <w:rFonts w:hint="default"/>
      </w:rPr>
    </w:lvl>
    <w:lvl w:ilvl="6" w:tplc="D54EC946">
      <w:numFmt w:val="bullet"/>
      <w:lvlText w:val="•"/>
      <w:lvlJc w:val="left"/>
      <w:pPr>
        <w:ind w:hanging="240" w:left="6500"/>
      </w:pPr>
      <w:rPr>
        <w:rFonts w:hint="default"/>
      </w:rPr>
    </w:lvl>
    <w:lvl w:ilvl="7" w:tplc="099619E8">
      <w:numFmt w:val="bullet"/>
      <w:lvlText w:val="•"/>
      <w:lvlJc w:val="left"/>
      <w:pPr>
        <w:ind w:hanging="240" w:left="7360"/>
      </w:pPr>
      <w:rPr>
        <w:rFonts w:hint="default"/>
      </w:rPr>
    </w:lvl>
    <w:lvl w:ilvl="8" w:tplc="203AB1F4">
      <w:numFmt w:val="bullet"/>
      <w:lvlText w:val="•"/>
      <w:lvlJc w:val="left"/>
      <w:pPr>
        <w:ind w:hanging="240" w:left="8220"/>
      </w:pPr>
      <w:rPr>
        <w:rFonts w:hint="default"/>
      </w:rPr>
    </w:lvl>
  </w:abstractNum>
  <w:abstractNum w15:restartNumberingAfterBreak="0" w:abstractNumId="7">
    <w:nsid w:val="290C7095"/>
    <w:multiLevelType w:val="hybridMultilevel"/>
    <w:tmpl w:val="9A02C806"/>
    <w:lvl w:ilvl="0" w:tplc="0E5421C0">
      <w:numFmt w:val="bullet"/>
      <w:lvlText w:val="•"/>
      <w:lvlJc w:val="left"/>
      <w:pPr>
        <w:ind w:hanging="145" w:left="1100"/>
      </w:pPr>
      <w:rPr>
        <w:rFonts w:ascii="Times New Roman" w:cs="Times New Roman" w:eastAsia="Times New Roman" w:hAnsi="Times New Roman" w:hint="default"/>
        <w:w w:val="100"/>
        <w:sz w:val="24"/>
        <w:szCs w:val="24"/>
      </w:rPr>
    </w:lvl>
    <w:lvl w:ilvl="1" w:tplc="38D4ABC2">
      <w:numFmt w:val="bullet"/>
      <w:lvlText w:val="o"/>
      <w:lvlJc w:val="left"/>
      <w:pPr>
        <w:ind w:hanging="180" w:left="1820"/>
      </w:pPr>
      <w:rPr>
        <w:rFonts w:ascii="Times New Roman" w:cs="Times New Roman" w:eastAsia="Times New Roman" w:hAnsi="Times New Roman" w:hint="default"/>
        <w:w w:val="100"/>
        <w:sz w:val="24"/>
        <w:szCs w:val="24"/>
      </w:rPr>
    </w:lvl>
    <w:lvl w:ilvl="2" w:tplc="A656DEE0">
      <w:numFmt w:val="bullet"/>
      <w:lvlText w:val="•"/>
      <w:lvlJc w:val="left"/>
      <w:pPr>
        <w:ind w:hanging="180" w:left="2722"/>
      </w:pPr>
      <w:rPr>
        <w:rFonts w:hint="default"/>
      </w:rPr>
    </w:lvl>
    <w:lvl w:ilvl="3" w:tplc="C40C9186">
      <w:numFmt w:val="bullet"/>
      <w:lvlText w:val="•"/>
      <w:lvlJc w:val="left"/>
      <w:pPr>
        <w:ind w:hanging="180" w:left="3624"/>
      </w:pPr>
      <w:rPr>
        <w:rFonts w:hint="default"/>
      </w:rPr>
    </w:lvl>
    <w:lvl w:ilvl="4" w:tplc="2C5AC058">
      <w:numFmt w:val="bullet"/>
      <w:lvlText w:val="•"/>
      <w:lvlJc w:val="left"/>
      <w:pPr>
        <w:ind w:hanging="180" w:left="4526"/>
      </w:pPr>
      <w:rPr>
        <w:rFonts w:hint="default"/>
      </w:rPr>
    </w:lvl>
    <w:lvl w:ilvl="5" w:tplc="A26457AA">
      <w:numFmt w:val="bullet"/>
      <w:lvlText w:val="•"/>
      <w:lvlJc w:val="left"/>
      <w:pPr>
        <w:ind w:hanging="180" w:left="5428"/>
      </w:pPr>
      <w:rPr>
        <w:rFonts w:hint="default"/>
      </w:rPr>
    </w:lvl>
    <w:lvl w:ilvl="6" w:tplc="73AAB8D4">
      <w:numFmt w:val="bullet"/>
      <w:lvlText w:val="•"/>
      <w:lvlJc w:val="left"/>
      <w:pPr>
        <w:ind w:hanging="180" w:left="6331"/>
      </w:pPr>
      <w:rPr>
        <w:rFonts w:hint="default"/>
      </w:rPr>
    </w:lvl>
    <w:lvl w:ilvl="7" w:tplc="3D00B95A">
      <w:numFmt w:val="bullet"/>
      <w:lvlText w:val="•"/>
      <w:lvlJc w:val="left"/>
      <w:pPr>
        <w:ind w:hanging="180" w:left="7233"/>
      </w:pPr>
      <w:rPr>
        <w:rFonts w:hint="default"/>
      </w:rPr>
    </w:lvl>
    <w:lvl w:ilvl="8" w:tplc="37D0B230">
      <w:numFmt w:val="bullet"/>
      <w:lvlText w:val="•"/>
      <w:lvlJc w:val="left"/>
      <w:pPr>
        <w:ind w:hanging="180" w:left="8135"/>
      </w:pPr>
      <w:rPr>
        <w:rFonts w:hint="default"/>
      </w:rPr>
    </w:lvl>
  </w:abstractNum>
  <w:abstractNum w15:restartNumberingAfterBreak="0" w:abstractNumId="8">
    <w:nsid w:val="2DAC4F25"/>
    <w:multiLevelType w:val="hybridMultilevel"/>
    <w:tmpl w:val="05DADA5E"/>
    <w:lvl w:ilvl="0" w:tplc="E4344D00">
      <w:numFmt w:val="bullet"/>
      <w:lvlText w:val="–"/>
      <w:lvlJc w:val="left"/>
      <w:pPr>
        <w:ind w:hanging="180" w:left="380"/>
      </w:pPr>
      <w:rPr>
        <w:rFonts w:ascii="Times New Roman" w:cs="Times New Roman" w:eastAsia="Times New Roman" w:hAnsi="Times New Roman" w:hint="default"/>
        <w:w w:val="100"/>
        <w:sz w:val="24"/>
        <w:szCs w:val="24"/>
      </w:rPr>
    </w:lvl>
    <w:lvl w:ilvl="1" w:tplc="69BA635A">
      <w:numFmt w:val="bullet"/>
      <w:lvlText w:val="•"/>
      <w:lvlJc w:val="left"/>
      <w:pPr>
        <w:ind w:hanging="145" w:left="1100"/>
      </w:pPr>
      <w:rPr>
        <w:rFonts w:ascii="Times New Roman" w:cs="Times New Roman" w:eastAsia="Times New Roman" w:hAnsi="Times New Roman" w:hint="default"/>
        <w:w w:val="100"/>
        <w:sz w:val="24"/>
        <w:szCs w:val="24"/>
      </w:rPr>
    </w:lvl>
    <w:lvl w:ilvl="2" w:tplc="D632F716">
      <w:numFmt w:val="bullet"/>
      <w:lvlText w:val="•"/>
      <w:lvlJc w:val="left"/>
      <w:pPr>
        <w:ind w:hanging="145" w:left="1100"/>
      </w:pPr>
      <w:rPr>
        <w:rFonts w:ascii="Times New Roman" w:cs="Times New Roman" w:eastAsia="Times New Roman" w:hAnsi="Times New Roman" w:hint="default"/>
        <w:w w:val="100"/>
        <w:sz w:val="24"/>
        <w:szCs w:val="24"/>
      </w:rPr>
    </w:lvl>
    <w:lvl w:ilvl="3" w:tplc="A0542E92">
      <w:numFmt w:val="bullet"/>
      <w:lvlText w:val="•"/>
      <w:lvlJc w:val="left"/>
      <w:pPr>
        <w:ind w:hanging="145" w:left="3064"/>
      </w:pPr>
      <w:rPr>
        <w:rFonts w:hint="default"/>
      </w:rPr>
    </w:lvl>
    <w:lvl w:ilvl="4" w:tplc="F65490F0">
      <w:numFmt w:val="bullet"/>
      <w:lvlText w:val="•"/>
      <w:lvlJc w:val="left"/>
      <w:pPr>
        <w:ind w:hanging="145" w:left="4046"/>
      </w:pPr>
      <w:rPr>
        <w:rFonts w:hint="default"/>
      </w:rPr>
    </w:lvl>
    <w:lvl w:ilvl="5" w:tplc="C924DD40">
      <w:numFmt w:val="bullet"/>
      <w:lvlText w:val="•"/>
      <w:lvlJc w:val="left"/>
      <w:pPr>
        <w:ind w:hanging="145" w:left="5028"/>
      </w:pPr>
      <w:rPr>
        <w:rFonts w:hint="default"/>
      </w:rPr>
    </w:lvl>
    <w:lvl w:ilvl="6" w:tplc="7A1E37F4">
      <w:numFmt w:val="bullet"/>
      <w:lvlText w:val="•"/>
      <w:lvlJc w:val="left"/>
      <w:pPr>
        <w:ind w:hanging="145" w:left="6011"/>
      </w:pPr>
      <w:rPr>
        <w:rFonts w:hint="default"/>
      </w:rPr>
    </w:lvl>
    <w:lvl w:ilvl="7" w:tplc="126C25E6">
      <w:numFmt w:val="bullet"/>
      <w:lvlText w:val="•"/>
      <w:lvlJc w:val="left"/>
      <w:pPr>
        <w:ind w:hanging="145" w:left="6993"/>
      </w:pPr>
      <w:rPr>
        <w:rFonts w:hint="default"/>
      </w:rPr>
    </w:lvl>
    <w:lvl w:ilvl="8" w:tplc="510A661A">
      <w:numFmt w:val="bullet"/>
      <w:lvlText w:val="•"/>
      <w:lvlJc w:val="left"/>
      <w:pPr>
        <w:ind w:hanging="145" w:left="7975"/>
      </w:pPr>
      <w:rPr>
        <w:rFonts w:hint="default"/>
      </w:rPr>
    </w:lvl>
  </w:abstractNum>
  <w:abstractNum w15:restartNumberingAfterBreak="0" w:abstractNumId="9">
    <w:nsid w:val="2EBC18B3"/>
    <w:multiLevelType w:val="hybridMultilevel"/>
    <w:tmpl w:val="749870A4"/>
    <w:lvl w:ilvl="0" w:tplc="9C54DC90">
      <w:start w:val="2"/>
      <w:numFmt w:val="upperRoman"/>
      <w:lvlText w:val="%1."/>
      <w:lvlJc w:val="left"/>
      <w:pPr>
        <w:ind w:hanging="307" w:left="1406"/>
        <w:jc w:val="left"/>
      </w:pPr>
      <w:rPr>
        <w:rFonts w:ascii="Times New Roman" w:cs="Times New Roman" w:eastAsia="Times New Roman" w:hAnsi="Times New Roman" w:hint="default"/>
        <w:b/>
        <w:bCs/>
        <w:w w:val="100"/>
        <w:sz w:val="24"/>
        <w:szCs w:val="24"/>
      </w:rPr>
    </w:lvl>
    <w:lvl w:ilvl="1" w:tplc="38DA4E0C">
      <w:numFmt w:val="bullet"/>
      <w:lvlText w:val="•"/>
      <w:lvlJc w:val="left"/>
      <w:pPr>
        <w:ind w:hanging="307" w:left="2254"/>
      </w:pPr>
      <w:rPr>
        <w:rFonts w:hint="default"/>
      </w:rPr>
    </w:lvl>
    <w:lvl w:ilvl="2" w:tplc="9614FEC8">
      <w:numFmt w:val="bullet"/>
      <w:lvlText w:val="•"/>
      <w:lvlJc w:val="left"/>
      <w:pPr>
        <w:ind w:hanging="307" w:left="3108"/>
      </w:pPr>
      <w:rPr>
        <w:rFonts w:hint="default"/>
      </w:rPr>
    </w:lvl>
    <w:lvl w:ilvl="3" w:tplc="F0BE5556">
      <w:numFmt w:val="bullet"/>
      <w:lvlText w:val="•"/>
      <w:lvlJc w:val="left"/>
      <w:pPr>
        <w:ind w:hanging="307" w:left="3962"/>
      </w:pPr>
      <w:rPr>
        <w:rFonts w:hint="default"/>
      </w:rPr>
    </w:lvl>
    <w:lvl w:ilvl="4" w:tplc="3668A1A4">
      <w:numFmt w:val="bullet"/>
      <w:lvlText w:val="•"/>
      <w:lvlJc w:val="left"/>
      <w:pPr>
        <w:ind w:hanging="307" w:left="4816"/>
      </w:pPr>
      <w:rPr>
        <w:rFonts w:hint="default"/>
      </w:rPr>
    </w:lvl>
    <w:lvl w:ilvl="5" w:tplc="8C38D5F2">
      <w:numFmt w:val="bullet"/>
      <w:lvlText w:val="•"/>
      <w:lvlJc w:val="left"/>
      <w:pPr>
        <w:ind w:hanging="307" w:left="5670"/>
      </w:pPr>
      <w:rPr>
        <w:rFonts w:hint="default"/>
      </w:rPr>
    </w:lvl>
    <w:lvl w:ilvl="6" w:tplc="31B8BA0C">
      <w:numFmt w:val="bullet"/>
      <w:lvlText w:val="•"/>
      <w:lvlJc w:val="left"/>
      <w:pPr>
        <w:ind w:hanging="307" w:left="6524"/>
      </w:pPr>
      <w:rPr>
        <w:rFonts w:hint="default"/>
      </w:rPr>
    </w:lvl>
    <w:lvl w:ilvl="7" w:tplc="F0E4140C">
      <w:numFmt w:val="bullet"/>
      <w:lvlText w:val="•"/>
      <w:lvlJc w:val="left"/>
      <w:pPr>
        <w:ind w:hanging="307" w:left="7378"/>
      </w:pPr>
      <w:rPr>
        <w:rFonts w:hint="default"/>
      </w:rPr>
    </w:lvl>
    <w:lvl w:ilvl="8" w:tplc="96107570">
      <w:numFmt w:val="bullet"/>
      <w:lvlText w:val="•"/>
      <w:lvlJc w:val="left"/>
      <w:pPr>
        <w:ind w:hanging="307" w:left="8232"/>
      </w:pPr>
      <w:rPr>
        <w:rFonts w:hint="default"/>
      </w:rPr>
    </w:lvl>
  </w:abstractNum>
  <w:abstractNum w15:restartNumberingAfterBreak="0" w:abstractNumId="10">
    <w:nsid w:val="32BC1380"/>
    <w:multiLevelType w:val="hybridMultilevel"/>
    <w:tmpl w:val="ABBCE5A6"/>
    <w:lvl w:ilvl="0" w:tplc="AB16E606">
      <w:numFmt w:val="bullet"/>
      <w:lvlText w:val="•"/>
      <w:lvlJc w:val="left"/>
      <w:pPr>
        <w:ind w:hanging="145" w:left="380"/>
      </w:pPr>
      <w:rPr>
        <w:rFonts w:ascii="Times New Roman" w:cs="Times New Roman" w:eastAsia="Times New Roman" w:hAnsi="Times New Roman" w:hint="default"/>
        <w:w w:val="100"/>
        <w:sz w:val="24"/>
        <w:szCs w:val="24"/>
      </w:rPr>
    </w:lvl>
    <w:lvl w:ilvl="1" w:tplc="07627570">
      <w:numFmt w:val="bullet"/>
      <w:lvlText w:val="•"/>
      <w:lvlJc w:val="left"/>
      <w:pPr>
        <w:ind w:hanging="145" w:left="1820"/>
      </w:pPr>
      <w:rPr>
        <w:rFonts w:ascii="Times New Roman" w:cs="Times New Roman" w:eastAsia="Times New Roman" w:hAnsi="Times New Roman" w:hint="default"/>
        <w:w w:val="100"/>
        <w:sz w:val="24"/>
        <w:szCs w:val="24"/>
      </w:rPr>
    </w:lvl>
    <w:lvl w:ilvl="2" w:tplc="EEB08BC2">
      <w:numFmt w:val="bullet"/>
      <w:lvlText w:val="•"/>
      <w:lvlJc w:val="left"/>
      <w:pPr>
        <w:ind w:hanging="145" w:left="2722"/>
      </w:pPr>
      <w:rPr>
        <w:rFonts w:hint="default"/>
      </w:rPr>
    </w:lvl>
    <w:lvl w:ilvl="3" w:tplc="3000EE6A">
      <w:numFmt w:val="bullet"/>
      <w:lvlText w:val="•"/>
      <w:lvlJc w:val="left"/>
      <w:pPr>
        <w:ind w:hanging="145" w:left="3624"/>
      </w:pPr>
      <w:rPr>
        <w:rFonts w:hint="default"/>
      </w:rPr>
    </w:lvl>
    <w:lvl w:ilvl="4" w:tplc="E1AAD11A">
      <w:numFmt w:val="bullet"/>
      <w:lvlText w:val="•"/>
      <w:lvlJc w:val="left"/>
      <w:pPr>
        <w:ind w:hanging="145" w:left="4526"/>
      </w:pPr>
      <w:rPr>
        <w:rFonts w:hint="default"/>
      </w:rPr>
    </w:lvl>
    <w:lvl w:ilvl="5" w:tplc="92C64C84">
      <w:numFmt w:val="bullet"/>
      <w:lvlText w:val="•"/>
      <w:lvlJc w:val="left"/>
      <w:pPr>
        <w:ind w:hanging="145" w:left="5428"/>
      </w:pPr>
      <w:rPr>
        <w:rFonts w:hint="default"/>
      </w:rPr>
    </w:lvl>
    <w:lvl w:ilvl="6" w:tplc="DFA6701A">
      <w:numFmt w:val="bullet"/>
      <w:lvlText w:val="•"/>
      <w:lvlJc w:val="left"/>
      <w:pPr>
        <w:ind w:hanging="145" w:left="6331"/>
      </w:pPr>
      <w:rPr>
        <w:rFonts w:hint="default"/>
      </w:rPr>
    </w:lvl>
    <w:lvl w:ilvl="7" w:tplc="04CC7BE0">
      <w:numFmt w:val="bullet"/>
      <w:lvlText w:val="•"/>
      <w:lvlJc w:val="left"/>
      <w:pPr>
        <w:ind w:hanging="145" w:left="7233"/>
      </w:pPr>
      <w:rPr>
        <w:rFonts w:hint="default"/>
      </w:rPr>
    </w:lvl>
    <w:lvl w:ilvl="8" w:tplc="C9DC9118">
      <w:numFmt w:val="bullet"/>
      <w:lvlText w:val="•"/>
      <w:lvlJc w:val="left"/>
      <w:pPr>
        <w:ind w:hanging="145" w:left="8135"/>
      </w:pPr>
      <w:rPr>
        <w:rFonts w:hint="default"/>
      </w:rPr>
    </w:lvl>
  </w:abstractNum>
  <w:abstractNum w15:restartNumberingAfterBreak="0" w:abstractNumId="11">
    <w:nsid w:val="3B1847E9"/>
    <w:multiLevelType w:val="hybridMultilevel"/>
    <w:tmpl w:val="EEC21D3E"/>
    <w:lvl w:ilvl="0" w:tplc="191A4410">
      <w:numFmt w:val="bullet"/>
      <w:lvlText w:val="•"/>
      <w:lvlJc w:val="left"/>
      <w:pPr>
        <w:ind w:hanging="125" w:left="380"/>
      </w:pPr>
      <w:rPr>
        <w:rFonts w:ascii="Times New Roman" w:cs="Times New Roman" w:eastAsia="Times New Roman" w:hAnsi="Times New Roman" w:hint="default"/>
        <w:w w:val="100"/>
        <w:sz w:val="24"/>
        <w:szCs w:val="24"/>
      </w:rPr>
    </w:lvl>
    <w:lvl w:ilvl="1" w:tplc="9ADEBAA4">
      <w:numFmt w:val="bullet"/>
      <w:lvlText w:val="•"/>
      <w:lvlJc w:val="left"/>
      <w:pPr>
        <w:ind w:hanging="125" w:left="1336"/>
      </w:pPr>
      <w:rPr>
        <w:rFonts w:hint="default"/>
      </w:rPr>
    </w:lvl>
    <w:lvl w:ilvl="2" w:tplc="C7F6C83A">
      <w:numFmt w:val="bullet"/>
      <w:lvlText w:val="•"/>
      <w:lvlJc w:val="left"/>
      <w:pPr>
        <w:ind w:hanging="125" w:left="2292"/>
      </w:pPr>
      <w:rPr>
        <w:rFonts w:hint="default"/>
      </w:rPr>
    </w:lvl>
    <w:lvl w:ilvl="3" w:tplc="FD88F040">
      <w:numFmt w:val="bullet"/>
      <w:lvlText w:val="•"/>
      <w:lvlJc w:val="left"/>
      <w:pPr>
        <w:ind w:hanging="125" w:left="3248"/>
      </w:pPr>
      <w:rPr>
        <w:rFonts w:hint="default"/>
      </w:rPr>
    </w:lvl>
    <w:lvl w:ilvl="4" w:tplc="45682636">
      <w:numFmt w:val="bullet"/>
      <w:lvlText w:val="•"/>
      <w:lvlJc w:val="left"/>
      <w:pPr>
        <w:ind w:hanging="125" w:left="4204"/>
      </w:pPr>
      <w:rPr>
        <w:rFonts w:hint="default"/>
      </w:rPr>
    </w:lvl>
    <w:lvl w:ilvl="5" w:tplc="70C6DF50">
      <w:numFmt w:val="bullet"/>
      <w:lvlText w:val="•"/>
      <w:lvlJc w:val="left"/>
      <w:pPr>
        <w:ind w:hanging="125" w:left="5160"/>
      </w:pPr>
      <w:rPr>
        <w:rFonts w:hint="default"/>
      </w:rPr>
    </w:lvl>
    <w:lvl w:ilvl="6" w:tplc="89A649CE">
      <w:numFmt w:val="bullet"/>
      <w:lvlText w:val="•"/>
      <w:lvlJc w:val="left"/>
      <w:pPr>
        <w:ind w:hanging="125" w:left="6116"/>
      </w:pPr>
      <w:rPr>
        <w:rFonts w:hint="default"/>
      </w:rPr>
    </w:lvl>
    <w:lvl w:ilvl="7" w:tplc="E80E227A">
      <w:numFmt w:val="bullet"/>
      <w:lvlText w:val="•"/>
      <w:lvlJc w:val="left"/>
      <w:pPr>
        <w:ind w:hanging="125" w:left="7072"/>
      </w:pPr>
      <w:rPr>
        <w:rFonts w:hint="default"/>
      </w:rPr>
    </w:lvl>
    <w:lvl w:ilvl="8" w:tplc="1BB8EAB2">
      <w:numFmt w:val="bullet"/>
      <w:lvlText w:val="•"/>
      <w:lvlJc w:val="left"/>
      <w:pPr>
        <w:ind w:hanging="125" w:left="8028"/>
      </w:pPr>
      <w:rPr>
        <w:rFonts w:hint="default"/>
      </w:rPr>
    </w:lvl>
  </w:abstractNum>
  <w:abstractNum w15:restartNumberingAfterBreak="0" w:abstractNumId="12">
    <w:nsid w:val="3DE9534E"/>
    <w:multiLevelType w:val="hybridMultilevel"/>
    <w:tmpl w:val="2F8209A4"/>
    <w:lvl w:ilvl="0" w:tplc="4C9EC788">
      <w:start w:val="2"/>
      <w:numFmt w:val="lowerLetter"/>
      <w:lvlText w:val="%1)"/>
      <w:lvlJc w:val="left"/>
      <w:pPr>
        <w:ind w:hanging="139" w:left="368"/>
        <w:jc w:val="left"/>
      </w:pPr>
      <w:rPr>
        <w:rFonts w:ascii="Arial" w:cs="Arial" w:eastAsia="Arial" w:hAnsi="Arial" w:hint="default"/>
        <w:color w:val="FFFFFF"/>
        <w:spacing w:val="-1"/>
        <w:w w:val="95"/>
        <w:sz w:val="12"/>
        <w:szCs w:val="12"/>
      </w:rPr>
    </w:lvl>
    <w:lvl w:ilvl="1" w:tplc="6320225C">
      <w:numFmt w:val="bullet"/>
      <w:lvlText w:val="•"/>
      <w:lvlJc w:val="left"/>
      <w:pPr>
        <w:ind w:hanging="139" w:left="907"/>
      </w:pPr>
      <w:rPr>
        <w:rFonts w:hint="default"/>
      </w:rPr>
    </w:lvl>
    <w:lvl w:ilvl="2" w:tplc="9252C3E4">
      <w:numFmt w:val="bullet"/>
      <w:lvlText w:val="•"/>
      <w:lvlJc w:val="left"/>
      <w:pPr>
        <w:ind w:hanging="139" w:left="1454"/>
      </w:pPr>
      <w:rPr>
        <w:rFonts w:hint="default"/>
      </w:rPr>
    </w:lvl>
    <w:lvl w:ilvl="3" w:tplc="93C4366E">
      <w:numFmt w:val="bullet"/>
      <w:lvlText w:val="•"/>
      <w:lvlJc w:val="left"/>
      <w:pPr>
        <w:ind w:hanging="139" w:left="2002"/>
      </w:pPr>
      <w:rPr>
        <w:rFonts w:hint="default"/>
      </w:rPr>
    </w:lvl>
    <w:lvl w:ilvl="4" w:tplc="91AC1B42">
      <w:numFmt w:val="bullet"/>
      <w:lvlText w:val="•"/>
      <w:lvlJc w:val="left"/>
      <w:pPr>
        <w:ind w:hanging="139" w:left="2549"/>
      </w:pPr>
      <w:rPr>
        <w:rFonts w:hint="default"/>
      </w:rPr>
    </w:lvl>
    <w:lvl w:ilvl="5" w:tplc="112079EA">
      <w:numFmt w:val="bullet"/>
      <w:lvlText w:val="•"/>
      <w:lvlJc w:val="left"/>
      <w:pPr>
        <w:ind w:hanging="139" w:left="3096"/>
      </w:pPr>
      <w:rPr>
        <w:rFonts w:hint="default"/>
      </w:rPr>
    </w:lvl>
    <w:lvl w:ilvl="6" w:tplc="69B6E30A">
      <w:numFmt w:val="bullet"/>
      <w:lvlText w:val="•"/>
      <w:lvlJc w:val="left"/>
      <w:pPr>
        <w:ind w:hanging="139" w:left="3644"/>
      </w:pPr>
      <w:rPr>
        <w:rFonts w:hint="default"/>
      </w:rPr>
    </w:lvl>
    <w:lvl w:ilvl="7" w:tplc="9606D290">
      <w:numFmt w:val="bullet"/>
      <w:lvlText w:val="•"/>
      <w:lvlJc w:val="left"/>
      <w:pPr>
        <w:ind w:hanging="139" w:left="4191"/>
      </w:pPr>
      <w:rPr>
        <w:rFonts w:hint="default"/>
      </w:rPr>
    </w:lvl>
    <w:lvl w:ilvl="8" w:tplc="99641812">
      <w:numFmt w:val="bullet"/>
      <w:lvlText w:val="•"/>
      <w:lvlJc w:val="left"/>
      <w:pPr>
        <w:ind w:hanging="139" w:left="4738"/>
      </w:pPr>
      <w:rPr>
        <w:rFonts w:hint="default"/>
      </w:rPr>
    </w:lvl>
  </w:abstractNum>
  <w:abstractNum w15:restartNumberingAfterBreak="0" w:abstractNumId="13">
    <w:nsid w:val="3ECE26D1"/>
    <w:multiLevelType w:val="hybridMultilevel"/>
    <w:tmpl w:val="B0BA6734"/>
    <w:lvl w:ilvl="0" w:tplc="9C668716">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D25A4AE2">
      <w:numFmt w:val="bullet"/>
      <w:lvlText w:val="•"/>
      <w:lvlJc w:val="left"/>
      <w:pPr>
        <w:ind w:hanging="240" w:left="1336"/>
      </w:pPr>
      <w:rPr>
        <w:rFonts w:hint="default"/>
      </w:rPr>
    </w:lvl>
    <w:lvl w:ilvl="2" w:tplc="589CBAF4">
      <w:numFmt w:val="bullet"/>
      <w:lvlText w:val="•"/>
      <w:lvlJc w:val="left"/>
      <w:pPr>
        <w:ind w:hanging="240" w:left="2292"/>
      </w:pPr>
      <w:rPr>
        <w:rFonts w:hint="default"/>
      </w:rPr>
    </w:lvl>
    <w:lvl w:ilvl="3" w:tplc="ADA8AB4C">
      <w:numFmt w:val="bullet"/>
      <w:lvlText w:val="•"/>
      <w:lvlJc w:val="left"/>
      <w:pPr>
        <w:ind w:hanging="240" w:left="3248"/>
      </w:pPr>
      <w:rPr>
        <w:rFonts w:hint="default"/>
      </w:rPr>
    </w:lvl>
    <w:lvl w:ilvl="4" w:tplc="107A7108">
      <w:numFmt w:val="bullet"/>
      <w:lvlText w:val="•"/>
      <w:lvlJc w:val="left"/>
      <w:pPr>
        <w:ind w:hanging="240" w:left="4204"/>
      </w:pPr>
      <w:rPr>
        <w:rFonts w:hint="default"/>
      </w:rPr>
    </w:lvl>
    <w:lvl w:ilvl="5" w:tplc="A62C7202">
      <w:numFmt w:val="bullet"/>
      <w:lvlText w:val="•"/>
      <w:lvlJc w:val="left"/>
      <w:pPr>
        <w:ind w:hanging="240" w:left="5160"/>
      </w:pPr>
      <w:rPr>
        <w:rFonts w:hint="default"/>
      </w:rPr>
    </w:lvl>
    <w:lvl w:ilvl="6" w:tplc="5016AF82">
      <w:numFmt w:val="bullet"/>
      <w:lvlText w:val="•"/>
      <w:lvlJc w:val="left"/>
      <w:pPr>
        <w:ind w:hanging="240" w:left="6116"/>
      </w:pPr>
      <w:rPr>
        <w:rFonts w:hint="default"/>
      </w:rPr>
    </w:lvl>
    <w:lvl w:ilvl="7" w:tplc="A87C3212">
      <w:numFmt w:val="bullet"/>
      <w:lvlText w:val="•"/>
      <w:lvlJc w:val="left"/>
      <w:pPr>
        <w:ind w:hanging="240" w:left="7072"/>
      </w:pPr>
      <w:rPr>
        <w:rFonts w:hint="default"/>
      </w:rPr>
    </w:lvl>
    <w:lvl w:ilvl="8" w:tplc="6674EA14">
      <w:numFmt w:val="bullet"/>
      <w:lvlText w:val="•"/>
      <w:lvlJc w:val="left"/>
      <w:pPr>
        <w:ind w:hanging="240" w:left="8028"/>
      </w:pPr>
      <w:rPr>
        <w:rFonts w:hint="default"/>
      </w:rPr>
    </w:lvl>
  </w:abstractNum>
  <w:abstractNum w15:restartNumberingAfterBreak="0" w:abstractNumId="14">
    <w:nsid w:val="41632895"/>
    <w:multiLevelType w:val="hybridMultilevel"/>
    <w:tmpl w:val="2A5A2FCC"/>
    <w:lvl w:ilvl="0" w:tplc="275A2566">
      <w:numFmt w:val="bullet"/>
      <w:lvlText w:val="•"/>
      <w:lvlJc w:val="left"/>
      <w:pPr>
        <w:ind w:hanging="145" w:left="1190"/>
      </w:pPr>
      <w:rPr>
        <w:rFonts w:ascii="Times New Roman" w:cs="Times New Roman" w:eastAsia="Times New Roman" w:hAnsi="Times New Roman" w:hint="default"/>
        <w:w w:val="100"/>
        <w:sz w:val="24"/>
        <w:szCs w:val="24"/>
      </w:rPr>
    </w:lvl>
    <w:lvl w:ilvl="1" w:tplc="2F94BEE6">
      <w:numFmt w:val="bullet"/>
      <w:lvlText w:val="-"/>
      <w:lvlJc w:val="left"/>
      <w:pPr>
        <w:ind w:hanging="139" w:left="1100"/>
      </w:pPr>
      <w:rPr>
        <w:rFonts w:ascii="Lucida Grande" w:cs="Lucida Grande" w:eastAsia="Lucida Grande" w:hAnsi="Lucida Grande" w:hint="default"/>
        <w:w w:val="56"/>
        <w:sz w:val="24"/>
        <w:szCs w:val="24"/>
      </w:rPr>
    </w:lvl>
    <w:lvl w:ilvl="2" w:tplc="25C435CC">
      <w:numFmt w:val="bullet"/>
      <w:lvlText w:val="•"/>
      <w:lvlJc w:val="left"/>
      <w:pPr>
        <w:ind w:hanging="139" w:left="2171"/>
      </w:pPr>
      <w:rPr>
        <w:rFonts w:hint="default"/>
      </w:rPr>
    </w:lvl>
    <w:lvl w:ilvl="3" w:tplc="320415E4">
      <w:numFmt w:val="bullet"/>
      <w:lvlText w:val="•"/>
      <w:lvlJc w:val="left"/>
      <w:pPr>
        <w:ind w:hanging="139" w:left="3142"/>
      </w:pPr>
      <w:rPr>
        <w:rFonts w:hint="default"/>
      </w:rPr>
    </w:lvl>
    <w:lvl w:ilvl="4" w:tplc="39B091E2">
      <w:numFmt w:val="bullet"/>
      <w:lvlText w:val="•"/>
      <w:lvlJc w:val="left"/>
      <w:pPr>
        <w:ind w:hanging="139" w:left="4113"/>
      </w:pPr>
      <w:rPr>
        <w:rFonts w:hint="default"/>
      </w:rPr>
    </w:lvl>
    <w:lvl w:ilvl="5" w:tplc="0B480888">
      <w:numFmt w:val="bullet"/>
      <w:lvlText w:val="•"/>
      <w:lvlJc w:val="left"/>
      <w:pPr>
        <w:ind w:hanging="139" w:left="5084"/>
      </w:pPr>
      <w:rPr>
        <w:rFonts w:hint="default"/>
      </w:rPr>
    </w:lvl>
    <w:lvl w:ilvl="6" w:tplc="B0BA5252">
      <w:numFmt w:val="bullet"/>
      <w:lvlText w:val="•"/>
      <w:lvlJc w:val="left"/>
      <w:pPr>
        <w:ind w:hanging="139" w:left="6055"/>
      </w:pPr>
      <w:rPr>
        <w:rFonts w:hint="default"/>
      </w:rPr>
    </w:lvl>
    <w:lvl w:ilvl="7" w:tplc="9612BF8E">
      <w:numFmt w:val="bullet"/>
      <w:lvlText w:val="•"/>
      <w:lvlJc w:val="left"/>
      <w:pPr>
        <w:ind w:hanging="139" w:left="7026"/>
      </w:pPr>
      <w:rPr>
        <w:rFonts w:hint="default"/>
      </w:rPr>
    </w:lvl>
    <w:lvl w:ilvl="8" w:tplc="31CCE0D0">
      <w:numFmt w:val="bullet"/>
      <w:lvlText w:val="•"/>
      <w:lvlJc w:val="left"/>
      <w:pPr>
        <w:ind w:hanging="139" w:left="7997"/>
      </w:pPr>
      <w:rPr>
        <w:rFonts w:hint="default"/>
      </w:rPr>
    </w:lvl>
  </w:abstractNum>
  <w:abstractNum w15:restartNumberingAfterBreak="0" w:abstractNumId="15">
    <w:nsid w:val="48D26218"/>
    <w:multiLevelType w:val="hybridMultilevel"/>
    <w:tmpl w:val="EFD8E398"/>
    <w:lvl w:ilvl="0" w:tplc="F93644FA">
      <w:start w:val="2"/>
      <w:numFmt w:val="lowerLetter"/>
      <w:lvlText w:val="%1)"/>
      <w:lvlJc w:val="left"/>
      <w:pPr>
        <w:ind w:hanging="139" w:left="138"/>
        <w:jc w:val="left"/>
      </w:pPr>
      <w:rPr>
        <w:rFonts w:ascii="Arial" w:cs="Arial" w:eastAsia="Arial" w:hAnsi="Arial" w:hint="default"/>
        <w:b/>
        <w:bCs/>
        <w:color w:val="FFFFFF"/>
        <w:w w:val="95"/>
        <w:sz w:val="12"/>
        <w:szCs w:val="12"/>
      </w:rPr>
    </w:lvl>
    <w:lvl w:ilvl="1" w:tplc="C102FA7A">
      <w:numFmt w:val="bullet"/>
      <w:lvlText w:val="•"/>
      <w:lvlJc w:val="left"/>
      <w:pPr>
        <w:ind w:hanging="139" w:left="466"/>
      </w:pPr>
      <w:rPr>
        <w:rFonts w:hint="default"/>
      </w:rPr>
    </w:lvl>
    <w:lvl w:ilvl="2" w:tplc="B4B4E0D6">
      <w:numFmt w:val="bullet"/>
      <w:lvlText w:val="•"/>
      <w:lvlJc w:val="left"/>
      <w:pPr>
        <w:ind w:hanging="139" w:left="793"/>
      </w:pPr>
      <w:rPr>
        <w:rFonts w:hint="default"/>
      </w:rPr>
    </w:lvl>
    <w:lvl w:ilvl="3" w:tplc="1AB62204">
      <w:numFmt w:val="bullet"/>
      <w:lvlText w:val="•"/>
      <w:lvlJc w:val="left"/>
      <w:pPr>
        <w:ind w:hanging="139" w:left="1120"/>
      </w:pPr>
      <w:rPr>
        <w:rFonts w:hint="default"/>
      </w:rPr>
    </w:lvl>
    <w:lvl w:ilvl="4" w:tplc="642C443E">
      <w:numFmt w:val="bullet"/>
      <w:lvlText w:val="•"/>
      <w:lvlJc w:val="left"/>
      <w:pPr>
        <w:ind w:hanging="139" w:left="1447"/>
      </w:pPr>
      <w:rPr>
        <w:rFonts w:hint="default"/>
      </w:rPr>
    </w:lvl>
    <w:lvl w:ilvl="5" w:tplc="7408F73E">
      <w:numFmt w:val="bullet"/>
      <w:lvlText w:val="•"/>
      <w:lvlJc w:val="left"/>
      <w:pPr>
        <w:ind w:hanging="139" w:left="1774"/>
      </w:pPr>
      <w:rPr>
        <w:rFonts w:hint="default"/>
      </w:rPr>
    </w:lvl>
    <w:lvl w:ilvl="6" w:tplc="CEEA7A54">
      <w:numFmt w:val="bullet"/>
      <w:lvlText w:val="•"/>
      <w:lvlJc w:val="left"/>
      <w:pPr>
        <w:ind w:hanging="139" w:left="2101"/>
      </w:pPr>
      <w:rPr>
        <w:rFonts w:hint="default"/>
      </w:rPr>
    </w:lvl>
    <w:lvl w:ilvl="7" w:tplc="67A0DFD4">
      <w:numFmt w:val="bullet"/>
      <w:lvlText w:val="•"/>
      <w:lvlJc w:val="left"/>
      <w:pPr>
        <w:ind w:hanging="139" w:left="2428"/>
      </w:pPr>
      <w:rPr>
        <w:rFonts w:hint="default"/>
      </w:rPr>
    </w:lvl>
    <w:lvl w:ilvl="8" w:tplc="85C673F4">
      <w:numFmt w:val="bullet"/>
      <w:lvlText w:val="•"/>
      <w:lvlJc w:val="left"/>
      <w:pPr>
        <w:ind w:hanging="139" w:left="2755"/>
      </w:pPr>
      <w:rPr>
        <w:rFonts w:hint="default"/>
      </w:rPr>
    </w:lvl>
  </w:abstractNum>
  <w:abstractNum w15:restartNumberingAfterBreak="0" w:abstractNumId="16">
    <w:nsid w:val="4B0429D1"/>
    <w:multiLevelType w:val="hybridMultilevel"/>
    <w:tmpl w:val="D680A7D6"/>
    <w:lvl w:ilvl="0" w:tplc="69D224E8">
      <w:start w:val="1"/>
      <w:numFmt w:val="upperLetter"/>
      <w:lvlText w:val="%1."/>
      <w:lvlJc w:val="left"/>
      <w:pPr>
        <w:ind w:hanging="294" w:left="380"/>
        <w:jc w:val="left"/>
      </w:pPr>
      <w:rPr>
        <w:rFonts w:ascii="Times New Roman" w:cs="Times New Roman" w:eastAsia="Times New Roman" w:hAnsi="Times New Roman" w:hint="default"/>
        <w:b/>
        <w:bCs/>
        <w:w w:val="100"/>
        <w:sz w:val="24"/>
        <w:szCs w:val="24"/>
      </w:rPr>
    </w:lvl>
    <w:lvl w:ilvl="1" w:tplc="28F6B6AE">
      <w:numFmt w:val="bullet"/>
      <w:lvlText w:val="•"/>
      <w:lvlJc w:val="left"/>
      <w:pPr>
        <w:ind w:hanging="294" w:left="1336"/>
      </w:pPr>
      <w:rPr>
        <w:rFonts w:hint="default"/>
      </w:rPr>
    </w:lvl>
    <w:lvl w:ilvl="2" w:tplc="E702CBB0">
      <w:numFmt w:val="bullet"/>
      <w:lvlText w:val="•"/>
      <w:lvlJc w:val="left"/>
      <w:pPr>
        <w:ind w:hanging="294" w:left="2292"/>
      </w:pPr>
      <w:rPr>
        <w:rFonts w:hint="default"/>
      </w:rPr>
    </w:lvl>
    <w:lvl w:ilvl="3" w:tplc="BD364640">
      <w:numFmt w:val="bullet"/>
      <w:lvlText w:val="•"/>
      <w:lvlJc w:val="left"/>
      <w:pPr>
        <w:ind w:hanging="294" w:left="3248"/>
      </w:pPr>
      <w:rPr>
        <w:rFonts w:hint="default"/>
      </w:rPr>
    </w:lvl>
    <w:lvl w:ilvl="4" w:tplc="5A34F8E8">
      <w:numFmt w:val="bullet"/>
      <w:lvlText w:val="•"/>
      <w:lvlJc w:val="left"/>
      <w:pPr>
        <w:ind w:hanging="294" w:left="4204"/>
      </w:pPr>
      <w:rPr>
        <w:rFonts w:hint="default"/>
      </w:rPr>
    </w:lvl>
    <w:lvl w:ilvl="5" w:tplc="9F1EBC42">
      <w:numFmt w:val="bullet"/>
      <w:lvlText w:val="•"/>
      <w:lvlJc w:val="left"/>
      <w:pPr>
        <w:ind w:hanging="294" w:left="5160"/>
      </w:pPr>
      <w:rPr>
        <w:rFonts w:hint="default"/>
      </w:rPr>
    </w:lvl>
    <w:lvl w:ilvl="6" w:tplc="D8FE0B9A">
      <w:numFmt w:val="bullet"/>
      <w:lvlText w:val="•"/>
      <w:lvlJc w:val="left"/>
      <w:pPr>
        <w:ind w:hanging="294" w:left="6116"/>
      </w:pPr>
      <w:rPr>
        <w:rFonts w:hint="default"/>
      </w:rPr>
    </w:lvl>
    <w:lvl w:ilvl="7" w:tplc="89228348">
      <w:numFmt w:val="bullet"/>
      <w:lvlText w:val="•"/>
      <w:lvlJc w:val="left"/>
      <w:pPr>
        <w:ind w:hanging="294" w:left="7072"/>
      </w:pPr>
      <w:rPr>
        <w:rFonts w:hint="default"/>
      </w:rPr>
    </w:lvl>
    <w:lvl w:ilvl="8" w:tplc="E48C930C">
      <w:numFmt w:val="bullet"/>
      <w:lvlText w:val="•"/>
      <w:lvlJc w:val="left"/>
      <w:pPr>
        <w:ind w:hanging="294" w:left="8028"/>
      </w:pPr>
      <w:rPr>
        <w:rFonts w:hint="default"/>
      </w:rPr>
    </w:lvl>
  </w:abstractNum>
  <w:abstractNum w15:restartNumberingAfterBreak="0" w:abstractNumId="17">
    <w:nsid w:val="4B19352C"/>
    <w:multiLevelType w:val="hybridMultilevel"/>
    <w:tmpl w:val="42C05604"/>
    <w:lvl w:ilvl="0" w:tplc="4C9C5C6E">
      <w:start w:val="48"/>
      <w:numFmt w:val="decimal"/>
      <w:lvlText w:val="%1."/>
      <w:lvlJc w:val="left"/>
      <w:pPr>
        <w:ind w:hanging="360" w:left="380"/>
        <w:jc w:val="left"/>
      </w:pPr>
      <w:rPr>
        <w:rFonts w:ascii="Times New Roman" w:cs="Times New Roman" w:eastAsia="Times New Roman" w:hAnsi="Times New Roman" w:hint="default"/>
        <w:w w:val="100"/>
        <w:sz w:val="24"/>
        <w:szCs w:val="24"/>
      </w:rPr>
    </w:lvl>
    <w:lvl w:ilvl="1" w:tplc="64740ABA">
      <w:numFmt w:val="bullet"/>
      <w:lvlText w:val="•"/>
      <w:lvlJc w:val="left"/>
      <w:pPr>
        <w:ind w:hanging="360" w:left="1336"/>
      </w:pPr>
      <w:rPr>
        <w:rFonts w:hint="default"/>
      </w:rPr>
    </w:lvl>
    <w:lvl w:ilvl="2" w:tplc="C7B88A52">
      <w:numFmt w:val="bullet"/>
      <w:lvlText w:val="•"/>
      <w:lvlJc w:val="left"/>
      <w:pPr>
        <w:ind w:hanging="360" w:left="2292"/>
      </w:pPr>
      <w:rPr>
        <w:rFonts w:hint="default"/>
      </w:rPr>
    </w:lvl>
    <w:lvl w:ilvl="3" w:tplc="EF06602C">
      <w:numFmt w:val="bullet"/>
      <w:lvlText w:val="•"/>
      <w:lvlJc w:val="left"/>
      <w:pPr>
        <w:ind w:hanging="360" w:left="3248"/>
      </w:pPr>
      <w:rPr>
        <w:rFonts w:hint="default"/>
      </w:rPr>
    </w:lvl>
    <w:lvl w:ilvl="4" w:tplc="137831AA">
      <w:numFmt w:val="bullet"/>
      <w:lvlText w:val="•"/>
      <w:lvlJc w:val="left"/>
      <w:pPr>
        <w:ind w:hanging="360" w:left="4204"/>
      </w:pPr>
      <w:rPr>
        <w:rFonts w:hint="default"/>
      </w:rPr>
    </w:lvl>
    <w:lvl w:ilvl="5" w:tplc="94A287AE">
      <w:numFmt w:val="bullet"/>
      <w:lvlText w:val="•"/>
      <w:lvlJc w:val="left"/>
      <w:pPr>
        <w:ind w:hanging="360" w:left="5160"/>
      </w:pPr>
      <w:rPr>
        <w:rFonts w:hint="default"/>
      </w:rPr>
    </w:lvl>
    <w:lvl w:ilvl="6" w:tplc="A63E2B62">
      <w:numFmt w:val="bullet"/>
      <w:lvlText w:val="•"/>
      <w:lvlJc w:val="left"/>
      <w:pPr>
        <w:ind w:hanging="360" w:left="6116"/>
      </w:pPr>
      <w:rPr>
        <w:rFonts w:hint="default"/>
      </w:rPr>
    </w:lvl>
    <w:lvl w:ilvl="7" w:tplc="D26E8212">
      <w:numFmt w:val="bullet"/>
      <w:lvlText w:val="•"/>
      <w:lvlJc w:val="left"/>
      <w:pPr>
        <w:ind w:hanging="360" w:left="7072"/>
      </w:pPr>
      <w:rPr>
        <w:rFonts w:hint="default"/>
      </w:rPr>
    </w:lvl>
    <w:lvl w:ilvl="8" w:tplc="8FA2E5F6">
      <w:numFmt w:val="bullet"/>
      <w:lvlText w:val="•"/>
      <w:lvlJc w:val="left"/>
      <w:pPr>
        <w:ind w:hanging="360" w:left="8028"/>
      </w:pPr>
      <w:rPr>
        <w:rFonts w:hint="default"/>
      </w:rPr>
    </w:lvl>
  </w:abstractNum>
  <w:abstractNum w15:restartNumberingAfterBreak="0" w:abstractNumId="18">
    <w:nsid w:val="4C550E30"/>
    <w:multiLevelType w:val="hybridMultilevel"/>
    <w:tmpl w:val="F552D7F0"/>
    <w:lvl w:ilvl="0" w:tplc="C0C60A96">
      <w:start w:val="37"/>
      <w:numFmt w:val="decimal"/>
      <w:lvlText w:val="%1."/>
      <w:lvlJc w:val="left"/>
      <w:pPr>
        <w:ind w:hanging="360" w:left="380"/>
        <w:jc w:val="left"/>
      </w:pPr>
      <w:rPr>
        <w:rFonts w:ascii="Times New Roman" w:cs="Times New Roman" w:eastAsia="Times New Roman" w:hAnsi="Times New Roman" w:hint="default"/>
        <w:w w:val="100"/>
        <w:sz w:val="24"/>
        <w:szCs w:val="24"/>
      </w:rPr>
    </w:lvl>
    <w:lvl w:ilvl="1" w:tplc="9C56353E">
      <w:numFmt w:val="bullet"/>
      <w:lvlText w:val="•"/>
      <w:lvlJc w:val="left"/>
      <w:pPr>
        <w:ind w:hanging="360" w:left="1336"/>
      </w:pPr>
      <w:rPr>
        <w:rFonts w:hint="default"/>
      </w:rPr>
    </w:lvl>
    <w:lvl w:ilvl="2" w:tplc="EBE09820">
      <w:numFmt w:val="bullet"/>
      <w:lvlText w:val="•"/>
      <w:lvlJc w:val="left"/>
      <w:pPr>
        <w:ind w:hanging="360" w:left="2292"/>
      </w:pPr>
      <w:rPr>
        <w:rFonts w:hint="default"/>
      </w:rPr>
    </w:lvl>
    <w:lvl w:ilvl="3" w:tplc="73261024">
      <w:numFmt w:val="bullet"/>
      <w:lvlText w:val="•"/>
      <w:lvlJc w:val="left"/>
      <w:pPr>
        <w:ind w:hanging="360" w:left="3248"/>
      </w:pPr>
      <w:rPr>
        <w:rFonts w:hint="default"/>
      </w:rPr>
    </w:lvl>
    <w:lvl w:ilvl="4" w:tplc="AD24E87E">
      <w:numFmt w:val="bullet"/>
      <w:lvlText w:val="•"/>
      <w:lvlJc w:val="left"/>
      <w:pPr>
        <w:ind w:hanging="360" w:left="4204"/>
      </w:pPr>
      <w:rPr>
        <w:rFonts w:hint="default"/>
      </w:rPr>
    </w:lvl>
    <w:lvl w:ilvl="5" w:tplc="DFD2FD70">
      <w:numFmt w:val="bullet"/>
      <w:lvlText w:val="•"/>
      <w:lvlJc w:val="left"/>
      <w:pPr>
        <w:ind w:hanging="360" w:left="5160"/>
      </w:pPr>
      <w:rPr>
        <w:rFonts w:hint="default"/>
      </w:rPr>
    </w:lvl>
    <w:lvl w:ilvl="6" w:tplc="49C21FBA">
      <w:numFmt w:val="bullet"/>
      <w:lvlText w:val="•"/>
      <w:lvlJc w:val="left"/>
      <w:pPr>
        <w:ind w:hanging="360" w:left="6116"/>
      </w:pPr>
      <w:rPr>
        <w:rFonts w:hint="default"/>
      </w:rPr>
    </w:lvl>
    <w:lvl w:ilvl="7" w:tplc="94CE1F78">
      <w:numFmt w:val="bullet"/>
      <w:lvlText w:val="•"/>
      <w:lvlJc w:val="left"/>
      <w:pPr>
        <w:ind w:hanging="360" w:left="7072"/>
      </w:pPr>
      <w:rPr>
        <w:rFonts w:hint="default"/>
      </w:rPr>
    </w:lvl>
    <w:lvl w:ilvl="8" w:tplc="815E8C5E">
      <w:numFmt w:val="bullet"/>
      <w:lvlText w:val="•"/>
      <w:lvlJc w:val="left"/>
      <w:pPr>
        <w:ind w:hanging="360" w:left="8028"/>
      </w:pPr>
      <w:rPr>
        <w:rFonts w:hint="default"/>
      </w:rPr>
    </w:lvl>
  </w:abstractNum>
  <w:abstractNum w15:restartNumberingAfterBreak="0" w:abstractNumId="19">
    <w:nsid w:val="585A439E"/>
    <w:multiLevelType w:val="hybridMultilevel"/>
    <w:tmpl w:val="7DFCC86E"/>
    <w:lvl w:ilvl="0" w:tplc="D97CE1B0">
      <w:start w:val="1"/>
      <w:numFmt w:val="decimal"/>
      <w:lvlText w:val="%1."/>
      <w:lvlJc w:val="left"/>
      <w:pPr>
        <w:ind w:hanging="249" w:left="380"/>
        <w:jc w:val="left"/>
      </w:pPr>
      <w:rPr>
        <w:rFonts w:ascii="Times New Roman" w:cs="Times New Roman" w:eastAsia="Times New Roman" w:hAnsi="Times New Roman" w:hint="default"/>
        <w:w w:val="100"/>
        <w:sz w:val="24"/>
        <w:szCs w:val="24"/>
      </w:rPr>
    </w:lvl>
    <w:lvl w:ilvl="1" w:tplc="D1FC5A54">
      <w:numFmt w:val="bullet"/>
      <w:lvlText w:val="•"/>
      <w:lvlJc w:val="left"/>
      <w:pPr>
        <w:ind w:hanging="249" w:left="1336"/>
      </w:pPr>
      <w:rPr>
        <w:rFonts w:hint="default"/>
      </w:rPr>
    </w:lvl>
    <w:lvl w:ilvl="2" w:tplc="E356DFB2">
      <w:numFmt w:val="bullet"/>
      <w:lvlText w:val="•"/>
      <w:lvlJc w:val="left"/>
      <w:pPr>
        <w:ind w:hanging="249" w:left="2292"/>
      </w:pPr>
      <w:rPr>
        <w:rFonts w:hint="default"/>
      </w:rPr>
    </w:lvl>
    <w:lvl w:ilvl="3" w:tplc="52CA6A02">
      <w:numFmt w:val="bullet"/>
      <w:lvlText w:val="•"/>
      <w:lvlJc w:val="left"/>
      <w:pPr>
        <w:ind w:hanging="249" w:left="3248"/>
      </w:pPr>
      <w:rPr>
        <w:rFonts w:hint="default"/>
      </w:rPr>
    </w:lvl>
    <w:lvl w:ilvl="4" w:tplc="66C86D2E">
      <w:numFmt w:val="bullet"/>
      <w:lvlText w:val="•"/>
      <w:lvlJc w:val="left"/>
      <w:pPr>
        <w:ind w:hanging="249" w:left="4204"/>
      </w:pPr>
      <w:rPr>
        <w:rFonts w:hint="default"/>
      </w:rPr>
    </w:lvl>
    <w:lvl w:ilvl="5" w:tplc="F67EE0CC">
      <w:numFmt w:val="bullet"/>
      <w:lvlText w:val="•"/>
      <w:lvlJc w:val="left"/>
      <w:pPr>
        <w:ind w:hanging="249" w:left="5160"/>
      </w:pPr>
      <w:rPr>
        <w:rFonts w:hint="default"/>
      </w:rPr>
    </w:lvl>
    <w:lvl w:ilvl="6" w:tplc="9868466C">
      <w:numFmt w:val="bullet"/>
      <w:lvlText w:val="•"/>
      <w:lvlJc w:val="left"/>
      <w:pPr>
        <w:ind w:hanging="249" w:left="6116"/>
      </w:pPr>
      <w:rPr>
        <w:rFonts w:hint="default"/>
      </w:rPr>
    </w:lvl>
    <w:lvl w:ilvl="7" w:tplc="EDFECF74">
      <w:numFmt w:val="bullet"/>
      <w:lvlText w:val="•"/>
      <w:lvlJc w:val="left"/>
      <w:pPr>
        <w:ind w:hanging="249" w:left="7072"/>
      </w:pPr>
      <w:rPr>
        <w:rFonts w:hint="default"/>
      </w:rPr>
    </w:lvl>
    <w:lvl w:ilvl="8" w:tplc="3462F932">
      <w:numFmt w:val="bullet"/>
      <w:lvlText w:val="•"/>
      <w:lvlJc w:val="left"/>
      <w:pPr>
        <w:ind w:hanging="249" w:left="8028"/>
      </w:pPr>
      <w:rPr>
        <w:rFonts w:hint="default"/>
      </w:rPr>
    </w:lvl>
  </w:abstractNum>
  <w:abstractNum w15:restartNumberingAfterBreak="0" w:abstractNumId="20">
    <w:nsid w:val="5C271A63"/>
    <w:multiLevelType w:val="hybridMultilevel"/>
    <w:tmpl w:val="0C9E4902"/>
    <w:lvl w:ilvl="0" w:tplc="26FE5788">
      <w:numFmt w:val="bullet"/>
      <w:lvlText w:val="•"/>
      <w:lvlJc w:val="left"/>
      <w:pPr>
        <w:ind w:hanging="145" w:left="1100"/>
      </w:pPr>
      <w:rPr>
        <w:rFonts w:ascii="Times New Roman" w:cs="Times New Roman" w:eastAsia="Times New Roman" w:hAnsi="Times New Roman" w:hint="default"/>
        <w:w w:val="100"/>
        <w:sz w:val="24"/>
        <w:szCs w:val="24"/>
      </w:rPr>
    </w:lvl>
    <w:lvl w:ilvl="1" w:tplc="91003610">
      <w:numFmt w:val="bullet"/>
      <w:lvlText w:val="•"/>
      <w:lvlJc w:val="left"/>
      <w:pPr>
        <w:ind w:hanging="145" w:left="1984"/>
      </w:pPr>
      <w:rPr>
        <w:rFonts w:hint="default"/>
      </w:rPr>
    </w:lvl>
    <w:lvl w:ilvl="2" w:tplc="703E80E6">
      <w:numFmt w:val="bullet"/>
      <w:lvlText w:val="•"/>
      <w:lvlJc w:val="left"/>
      <w:pPr>
        <w:ind w:hanging="145" w:left="2868"/>
      </w:pPr>
      <w:rPr>
        <w:rFonts w:hint="default"/>
      </w:rPr>
    </w:lvl>
    <w:lvl w:ilvl="3" w:tplc="6FACB176">
      <w:numFmt w:val="bullet"/>
      <w:lvlText w:val="•"/>
      <w:lvlJc w:val="left"/>
      <w:pPr>
        <w:ind w:hanging="145" w:left="3752"/>
      </w:pPr>
      <w:rPr>
        <w:rFonts w:hint="default"/>
      </w:rPr>
    </w:lvl>
    <w:lvl w:ilvl="4" w:tplc="88522D02">
      <w:numFmt w:val="bullet"/>
      <w:lvlText w:val="•"/>
      <w:lvlJc w:val="left"/>
      <w:pPr>
        <w:ind w:hanging="145" w:left="4636"/>
      </w:pPr>
      <w:rPr>
        <w:rFonts w:hint="default"/>
      </w:rPr>
    </w:lvl>
    <w:lvl w:ilvl="5" w:tplc="15E2E914">
      <w:numFmt w:val="bullet"/>
      <w:lvlText w:val="•"/>
      <w:lvlJc w:val="left"/>
      <w:pPr>
        <w:ind w:hanging="145" w:left="5520"/>
      </w:pPr>
      <w:rPr>
        <w:rFonts w:hint="default"/>
      </w:rPr>
    </w:lvl>
    <w:lvl w:ilvl="6" w:tplc="49940F64">
      <w:numFmt w:val="bullet"/>
      <w:lvlText w:val="•"/>
      <w:lvlJc w:val="left"/>
      <w:pPr>
        <w:ind w:hanging="145" w:left="6404"/>
      </w:pPr>
      <w:rPr>
        <w:rFonts w:hint="default"/>
      </w:rPr>
    </w:lvl>
    <w:lvl w:ilvl="7" w:tplc="E4FA0B0A">
      <w:numFmt w:val="bullet"/>
      <w:lvlText w:val="•"/>
      <w:lvlJc w:val="left"/>
      <w:pPr>
        <w:ind w:hanging="145" w:left="7288"/>
      </w:pPr>
      <w:rPr>
        <w:rFonts w:hint="default"/>
      </w:rPr>
    </w:lvl>
    <w:lvl w:ilvl="8" w:tplc="D242C9EE">
      <w:numFmt w:val="bullet"/>
      <w:lvlText w:val="•"/>
      <w:lvlJc w:val="left"/>
      <w:pPr>
        <w:ind w:hanging="145" w:left="8172"/>
      </w:pPr>
      <w:rPr>
        <w:rFonts w:hint="default"/>
      </w:rPr>
    </w:lvl>
  </w:abstractNum>
  <w:abstractNum w15:restartNumberingAfterBreak="0" w:abstractNumId="21">
    <w:nsid w:val="5F2B4CE8"/>
    <w:multiLevelType w:val="hybridMultilevel"/>
    <w:tmpl w:val="6DF600FA"/>
    <w:lvl w:ilvl="0" w:tplc="E778A908">
      <w:start w:val="79"/>
      <w:numFmt w:val="decimal"/>
      <w:lvlText w:val="%1."/>
      <w:lvlJc w:val="left"/>
      <w:pPr>
        <w:ind w:hanging="360" w:left="380"/>
        <w:jc w:val="left"/>
      </w:pPr>
      <w:rPr>
        <w:rFonts w:ascii="Times New Roman" w:cs="Times New Roman" w:eastAsia="Times New Roman" w:hAnsi="Times New Roman" w:hint="default"/>
        <w:w w:val="100"/>
        <w:sz w:val="24"/>
        <w:szCs w:val="24"/>
      </w:rPr>
    </w:lvl>
    <w:lvl w:ilvl="1" w:tplc="488483E2">
      <w:numFmt w:val="bullet"/>
      <w:lvlText w:val="•"/>
      <w:lvlJc w:val="left"/>
      <w:pPr>
        <w:ind w:hanging="360" w:left="1336"/>
      </w:pPr>
      <w:rPr>
        <w:rFonts w:hint="default"/>
      </w:rPr>
    </w:lvl>
    <w:lvl w:ilvl="2" w:tplc="181A138E">
      <w:numFmt w:val="bullet"/>
      <w:lvlText w:val="•"/>
      <w:lvlJc w:val="left"/>
      <w:pPr>
        <w:ind w:hanging="360" w:left="2292"/>
      </w:pPr>
      <w:rPr>
        <w:rFonts w:hint="default"/>
      </w:rPr>
    </w:lvl>
    <w:lvl w:ilvl="3" w:tplc="8CE6E9D2">
      <w:numFmt w:val="bullet"/>
      <w:lvlText w:val="•"/>
      <w:lvlJc w:val="left"/>
      <w:pPr>
        <w:ind w:hanging="360" w:left="3248"/>
      </w:pPr>
      <w:rPr>
        <w:rFonts w:hint="default"/>
      </w:rPr>
    </w:lvl>
    <w:lvl w:ilvl="4" w:tplc="C696F484">
      <w:numFmt w:val="bullet"/>
      <w:lvlText w:val="•"/>
      <w:lvlJc w:val="left"/>
      <w:pPr>
        <w:ind w:hanging="360" w:left="4204"/>
      </w:pPr>
      <w:rPr>
        <w:rFonts w:hint="default"/>
      </w:rPr>
    </w:lvl>
    <w:lvl w:ilvl="5" w:tplc="0BDEB236">
      <w:numFmt w:val="bullet"/>
      <w:lvlText w:val="•"/>
      <w:lvlJc w:val="left"/>
      <w:pPr>
        <w:ind w:hanging="360" w:left="5160"/>
      </w:pPr>
      <w:rPr>
        <w:rFonts w:hint="default"/>
      </w:rPr>
    </w:lvl>
    <w:lvl w:ilvl="6" w:tplc="4B2AE438">
      <w:numFmt w:val="bullet"/>
      <w:lvlText w:val="•"/>
      <w:lvlJc w:val="left"/>
      <w:pPr>
        <w:ind w:hanging="360" w:left="6116"/>
      </w:pPr>
      <w:rPr>
        <w:rFonts w:hint="default"/>
      </w:rPr>
    </w:lvl>
    <w:lvl w:ilvl="7" w:tplc="E7462AA0">
      <w:numFmt w:val="bullet"/>
      <w:lvlText w:val="•"/>
      <w:lvlJc w:val="left"/>
      <w:pPr>
        <w:ind w:hanging="360" w:left="7072"/>
      </w:pPr>
      <w:rPr>
        <w:rFonts w:hint="default"/>
      </w:rPr>
    </w:lvl>
    <w:lvl w:ilvl="8" w:tplc="C60E97A8">
      <w:numFmt w:val="bullet"/>
      <w:lvlText w:val="•"/>
      <w:lvlJc w:val="left"/>
      <w:pPr>
        <w:ind w:hanging="360" w:left="8028"/>
      </w:pPr>
      <w:rPr>
        <w:rFonts w:hint="default"/>
      </w:rPr>
    </w:lvl>
  </w:abstractNum>
  <w:abstractNum w15:restartNumberingAfterBreak="0" w:abstractNumId="22">
    <w:nsid w:val="60240682"/>
    <w:multiLevelType w:val="hybridMultilevel"/>
    <w:tmpl w:val="A28207FE"/>
    <w:lvl w:ilvl="0" w:tplc="DEF2ADF4">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FEF0ED2A">
      <w:numFmt w:val="bullet"/>
      <w:lvlText w:val="•"/>
      <w:lvlJc w:val="left"/>
      <w:pPr>
        <w:ind w:hanging="139" w:left="707"/>
      </w:pPr>
      <w:rPr>
        <w:rFonts w:hint="default"/>
      </w:rPr>
    </w:lvl>
    <w:lvl w:ilvl="2" w:tplc="F0242D82">
      <w:numFmt w:val="bullet"/>
      <w:lvlText w:val="•"/>
      <w:lvlJc w:val="left"/>
      <w:pPr>
        <w:ind w:hanging="139" w:left="1055"/>
      </w:pPr>
      <w:rPr>
        <w:rFonts w:hint="default"/>
      </w:rPr>
    </w:lvl>
    <w:lvl w:ilvl="3" w:tplc="54F0026E">
      <w:numFmt w:val="bullet"/>
      <w:lvlText w:val="•"/>
      <w:lvlJc w:val="left"/>
      <w:pPr>
        <w:ind w:hanging="139" w:left="1403"/>
      </w:pPr>
      <w:rPr>
        <w:rFonts w:hint="default"/>
      </w:rPr>
    </w:lvl>
    <w:lvl w:ilvl="4" w:tplc="94E47BC4">
      <w:numFmt w:val="bullet"/>
      <w:lvlText w:val="•"/>
      <w:lvlJc w:val="left"/>
      <w:pPr>
        <w:ind w:hanging="139" w:left="1750"/>
      </w:pPr>
      <w:rPr>
        <w:rFonts w:hint="default"/>
      </w:rPr>
    </w:lvl>
    <w:lvl w:ilvl="5" w:tplc="AC780DB4">
      <w:numFmt w:val="bullet"/>
      <w:lvlText w:val="•"/>
      <w:lvlJc w:val="left"/>
      <w:pPr>
        <w:ind w:hanging="139" w:left="2098"/>
      </w:pPr>
      <w:rPr>
        <w:rFonts w:hint="default"/>
      </w:rPr>
    </w:lvl>
    <w:lvl w:ilvl="6" w:tplc="F2A8A3A4">
      <w:numFmt w:val="bullet"/>
      <w:lvlText w:val="•"/>
      <w:lvlJc w:val="left"/>
      <w:pPr>
        <w:ind w:hanging="139" w:left="2446"/>
      </w:pPr>
      <w:rPr>
        <w:rFonts w:hint="default"/>
      </w:rPr>
    </w:lvl>
    <w:lvl w:ilvl="7" w:tplc="62409EBE">
      <w:numFmt w:val="bullet"/>
      <w:lvlText w:val="•"/>
      <w:lvlJc w:val="left"/>
      <w:pPr>
        <w:ind w:hanging="139" w:left="2794"/>
      </w:pPr>
      <w:rPr>
        <w:rFonts w:hint="default"/>
      </w:rPr>
    </w:lvl>
    <w:lvl w:ilvl="8" w:tplc="6E3677A6">
      <w:numFmt w:val="bullet"/>
      <w:lvlText w:val="•"/>
      <w:lvlJc w:val="left"/>
      <w:pPr>
        <w:ind w:hanging="139" w:left="3141"/>
      </w:pPr>
      <w:rPr>
        <w:rFonts w:hint="default"/>
      </w:rPr>
    </w:lvl>
  </w:abstractNum>
  <w:abstractNum w15:restartNumberingAfterBreak="0" w:abstractNumId="23">
    <w:nsid w:val="60A44B76"/>
    <w:multiLevelType w:val="hybridMultilevel"/>
    <w:tmpl w:val="820805E2"/>
    <w:lvl w:ilvl="0" w:tplc="14C29D8E">
      <w:numFmt w:val="bullet"/>
      <w:lvlText w:val="-"/>
      <w:lvlJc w:val="left"/>
      <w:pPr>
        <w:ind w:hanging="140" w:left="380"/>
      </w:pPr>
      <w:rPr>
        <w:rFonts w:ascii="Times New Roman" w:cs="Times New Roman" w:eastAsia="Times New Roman" w:hAnsi="Times New Roman" w:hint="default"/>
        <w:w w:val="100"/>
        <w:sz w:val="24"/>
        <w:szCs w:val="24"/>
      </w:rPr>
    </w:lvl>
    <w:lvl w:ilvl="1" w:tplc="DADE3A60">
      <w:numFmt w:val="bullet"/>
      <w:lvlText w:val="•"/>
      <w:lvlJc w:val="left"/>
      <w:pPr>
        <w:ind w:hanging="140" w:left="1336"/>
      </w:pPr>
      <w:rPr>
        <w:rFonts w:hint="default"/>
      </w:rPr>
    </w:lvl>
    <w:lvl w:ilvl="2" w:tplc="EBA240E0">
      <w:numFmt w:val="bullet"/>
      <w:lvlText w:val="•"/>
      <w:lvlJc w:val="left"/>
      <w:pPr>
        <w:ind w:hanging="140" w:left="2292"/>
      </w:pPr>
      <w:rPr>
        <w:rFonts w:hint="default"/>
      </w:rPr>
    </w:lvl>
    <w:lvl w:ilvl="3" w:tplc="2E3E59D4">
      <w:numFmt w:val="bullet"/>
      <w:lvlText w:val="•"/>
      <w:lvlJc w:val="left"/>
      <w:pPr>
        <w:ind w:hanging="140" w:left="3248"/>
      </w:pPr>
      <w:rPr>
        <w:rFonts w:hint="default"/>
      </w:rPr>
    </w:lvl>
    <w:lvl w:ilvl="4" w:tplc="7144CC94">
      <w:numFmt w:val="bullet"/>
      <w:lvlText w:val="•"/>
      <w:lvlJc w:val="left"/>
      <w:pPr>
        <w:ind w:hanging="140" w:left="4204"/>
      </w:pPr>
      <w:rPr>
        <w:rFonts w:hint="default"/>
      </w:rPr>
    </w:lvl>
    <w:lvl w:ilvl="5" w:tplc="CA1ABD74">
      <w:numFmt w:val="bullet"/>
      <w:lvlText w:val="•"/>
      <w:lvlJc w:val="left"/>
      <w:pPr>
        <w:ind w:hanging="140" w:left="5160"/>
      </w:pPr>
      <w:rPr>
        <w:rFonts w:hint="default"/>
      </w:rPr>
    </w:lvl>
    <w:lvl w:ilvl="6" w:tplc="A27E3790">
      <w:numFmt w:val="bullet"/>
      <w:lvlText w:val="•"/>
      <w:lvlJc w:val="left"/>
      <w:pPr>
        <w:ind w:hanging="140" w:left="6116"/>
      </w:pPr>
      <w:rPr>
        <w:rFonts w:hint="default"/>
      </w:rPr>
    </w:lvl>
    <w:lvl w:ilvl="7" w:tplc="1A38424A">
      <w:numFmt w:val="bullet"/>
      <w:lvlText w:val="•"/>
      <w:lvlJc w:val="left"/>
      <w:pPr>
        <w:ind w:hanging="140" w:left="7072"/>
      </w:pPr>
      <w:rPr>
        <w:rFonts w:hint="default"/>
      </w:rPr>
    </w:lvl>
    <w:lvl w:ilvl="8" w:tplc="7E66B2F8">
      <w:numFmt w:val="bullet"/>
      <w:lvlText w:val="•"/>
      <w:lvlJc w:val="left"/>
      <w:pPr>
        <w:ind w:hanging="140" w:left="8028"/>
      </w:pPr>
      <w:rPr>
        <w:rFonts w:hint="default"/>
      </w:rPr>
    </w:lvl>
  </w:abstractNum>
  <w:abstractNum w15:restartNumberingAfterBreak="0" w:abstractNumId="24">
    <w:nsid w:val="6745089E"/>
    <w:multiLevelType w:val="hybridMultilevel"/>
    <w:tmpl w:val="A4108986"/>
    <w:lvl w:ilvl="0" w:tplc="3D100C1A">
      <w:numFmt w:val="bullet"/>
      <w:lvlText w:val="•"/>
      <w:lvlJc w:val="left"/>
      <w:pPr>
        <w:ind w:hanging="81" w:left="303"/>
      </w:pPr>
      <w:rPr>
        <w:rFonts w:ascii="Arial" w:cs="Arial" w:eastAsia="Arial" w:hAnsi="Arial" w:hint="default"/>
        <w:color w:val="FFFFFF"/>
        <w:w w:val="98"/>
        <w:sz w:val="11"/>
        <w:szCs w:val="11"/>
      </w:rPr>
    </w:lvl>
    <w:lvl w:ilvl="1" w:tplc="8C121B78">
      <w:numFmt w:val="bullet"/>
      <w:lvlText w:val="•"/>
      <w:lvlJc w:val="left"/>
      <w:pPr>
        <w:ind w:hanging="81" w:left="722"/>
      </w:pPr>
      <w:rPr>
        <w:rFonts w:ascii="Arial" w:cs="Arial" w:eastAsia="Arial" w:hAnsi="Arial" w:hint="default"/>
        <w:color w:val="FFFFFF"/>
        <w:w w:val="98"/>
        <w:sz w:val="11"/>
        <w:szCs w:val="11"/>
      </w:rPr>
    </w:lvl>
    <w:lvl w:ilvl="2" w:tplc="1B281B14">
      <w:numFmt w:val="bullet"/>
      <w:lvlText w:val="•"/>
      <w:lvlJc w:val="left"/>
      <w:pPr>
        <w:ind w:hanging="81" w:left="1656"/>
      </w:pPr>
      <w:rPr>
        <w:rFonts w:ascii="Arial" w:cs="Arial" w:eastAsia="Arial" w:hAnsi="Arial" w:hint="default"/>
        <w:color w:val="FFFFFF"/>
        <w:w w:val="98"/>
        <w:sz w:val="11"/>
        <w:szCs w:val="11"/>
      </w:rPr>
    </w:lvl>
    <w:lvl w:ilvl="3" w:tplc="3F003290">
      <w:numFmt w:val="bullet"/>
      <w:lvlText w:val="•"/>
      <w:lvlJc w:val="left"/>
      <w:pPr>
        <w:ind w:hanging="81" w:left="1992"/>
      </w:pPr>
      <w:rPr>
        <w:rFonts w:hint="default"/>
      </w:rPr>
    </w:lvl>
    <w:lvl w:ilvl="4" w:tplc="3356D466">
      <w:numFmt w:val="bullet"/>
      <w:lvlText w:val="•"/>
      <w:lvlJc w:val="left"/>
      <w:pPr>
        <w:ind w:hanging="81" w:left="2325"/>
      </w:pPr>
      <w:rPr>
        <w:rFonts w:hint="default"/>
      </w:rPr>
    </w:lvl>
    <w:lvl w:ilvl="5" w:tplc="EE98CAB4">
      <w:numFmt w:val="bullet"/>
      <w:lvlText w:val="•"/>
      <w:lvlJc w:val="left"/>
      <w:pPr>
        <w:ind w:hanging="81" w:left="2658"/>
      </w:pPr>
      <w:rPr>
        <w:rFonts w:hint="default"/>
      </w:rPr>
    </w:lvl>
    <w:lvl w:ilvl="6" w:tplc="0EE2533A">
      <w:numFmt w:val="bullet"/>
      <w:lvlText w:val="•"/>
      <w:lvlJc w:val="left"/>
      <w:pPr>
        <w:ind w:hanging="81" w:left="2990"/>
      </w:pPr>
      <w:rPr>
        <w:rFonts w:hint="default"/>
      </w:rPr>
    </w:lvl>
    <w:lvl w:ilvl="7" w:tplc="58368886">
      <w:numFmt w:val="bullet"/>
      <w:lvlText w:val="•"/>
      <w:lvlJc w:val="left"/>
      <w:pPr>
        <w:ind w:hanging="81" w:left="3323"/>
      </w:pPr>
      <w:rPr>
        <w:rFonts w:hint="default"/>
      </w:rPr>
    </w:lvl>
    <w:lvl w:ilvl="8" w:tplc="075A6BC8">
      <w:numFmt w:val="bullet"/>
      <w:lvlText w:val="•"/>
      <w:lvlJc w:val="left"/>
      <w:pPr>
        <w:ind w:hanging="81" w:left="3656"/>
      </w:pPr>
      <w:rPr>
        <w:rFonts w:hint="default"/>
      </w:rPr>
    </w:lvl>
  </w:abstractNum>
  <w:abstractNum w15:restartNumberingAfterBreak="0" w:abstractNumId="25">
    <w:nsid w:val="6D5F36D6"/>
    <w:multiLevelType w:val="hybridMultilevel"/>
    <w:tmpl w:val="E9E45750"/>
    <w:lvl w:ilvl="0" w:tplc="1FFE990E">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3F1A5478">
      <w:numFmt w:val="bullet"/>
      <w:lvlText w:val="•"/>
      <w:lvlJc w:val="left"/>
      <w:pPr>
        <w:ind w:hanging="139" w:left="724"/>
      </w:pPr>
      <w:rPr>
        <w:rFonts w:hint="default"/>
      </w:rPr>
    </w:lvl>
    <w:lvl w:ilvl="2" w:tplc="0422FA34">
      <w:numFmt w:val="bullet"/>
      <w:lvlText w:val="•"/>
      <w:lvlJc w:val="left"/>
      <w:pPr>
        <w:ind w:hanging="139" w:left="1088"/>
      </w:pPr>
      <w:rPr>
        <w:rFonts w:hint="default"/>
      </w:rPr>
    </w:lvl>
    <w:lvl w:ilvl="3" w:tplc="621E8D90">
      <w:numFmt w:val="bullet"/>
      <w:lvlText w:val="•"/>
      <w:lvlJc w:val="left"/>
      <w:pPr>
        <w:ind w:hanging="139" w:left="1452"/>
      </w:pPr>
      <w:rPr>
        <w:rFonts w:hint="default"/>
      </w:rPr>
    </w:lvl>
    <w:lvl w:ilvl="4" w:tplc="67FE0436">
      <w:numFmt w:val="bullet"/>
      <w:lvlText w:val="•"/>
      <w:lvlJc w:val="left"/>
      <w:pPr>
        <w:ind w:hanging="139" w:left="1816"/>
      </w:pPr>
      <w:rPr>
        <w:rFonts w:hint="default"/>
      </w:rPr>
    </w:lvl>
    <w:lvl w:ilvl="5" w:tplc="E138C4D4">
      <w:numFmt w:val="bullet"/>
      <w:lvlText w:val="•"/>
      <w:lvlJc w:val="left"/>
      <w:pPr>
        <w:ind w:hanging="139" w:left="2180"/>
      </w:pPr>
      <w:rPr>
        <w:rFonts w:hint="default"/>
      </w:rPr>
    </w:lvl>
    <w:lvl w:ilvl="6" w:tplc="6D92E108">
      <w:numFmt w:val="bullet"/>
      <w:lvlText w:val="•"/>
      <w:lvlJc w:val="left"/>
      <w:pPr>
        <w:ind w:hanging="139" w:left="2544"/>
      </w:pPr>
      <w:rPr>
        <w:rFonts w:hint="default"/>
      </w:rPr>
    </w:lvl>
    <w:lvl w:ilvl="7" w:tplc="7EB8EC08">
      <w:numFmt w:val="bullet"/>
      <w:lvlText w:val="•"/>
      <w:lvlJc w:val="left"/>
      <w:pPr>
        <w:ind w:hanging="139" w:left="2908"/>
      </w:pPr>
      <w:rPr>
        <w:rFonts w:hint="default"/>
      </w:rPr>
    </w:lvl>
    <w:lvl w:ilvl="8" w:tplc="B256F8FE">
      <w:numFmt w:val="bullet"/>
      <w:lvlText w:val="•"/>
      <w:lvlJc w:val="left"/>
      <w:pPr>
        <w:ind w:hanging="139" w:left="3273"/>
      </w:pPr>
      <w:rPr>
        <w:rFonts w:hint="default"/>
      </w:rPr>
    </w:lvl>
  </w:abstractNum>
  <w:abstractNum w15:restartNumberingAfterBreak="0" w:abstractNumId="26">
    <w:nsid w:val="7822774E"/>
    <w:multiLevelType w:val="hybridMultilevel"/>
    <w:tmpl w:val="8A7C5C50"/>
    <w:lvl w:ilvl="0" w:tplc="F538E75C">
      <w:start w:val="1"/>
      <w:numFmt w:val="decimal"/>
      <w:lvlText w:val="%1"/>
      <w:lvlJc w:val="left"/>
      <w:pPr>
        <w:ind w:hanging="122" w:left="0"/>
        <w:jc w:val="left"/>
      </w:pPr>
      <w:rPr>
        <w:rFonts w:hint="default"/>
      </w:rPr>
    </w:lvl>
    <w:lvl w:ilvl="1" w:tplc="45F2A2CC">
      <w:start w:val="1"/>
      <w:numFmt w:val="lowerLetter"/>
      <w:lvlText w:val="%1.%2"/>
      <w:lvlJc w:val="left"/>
      <w:pPr>
        <w:ind w:hanging="122" w:left="0"/>
        <w:jc w:val="left"/>
      </w:pPr>
      <w:rPr>
        <w:rFonts w:ascii="Arial" w:cs="Arial" w:eastAsia="Arial" w:hAnsi="Arial" w:hint="default"/>
        <w:color w:val="0B2338"/>
        <w:w w:val="90"/>
        <w:sz w:val="8"/>
        <w:szCs w:val="8"/>
      </w:rPr>
    </w:lvl>
    <w:lvl w:ilvl="2" w:tplc="00A407BA">
      <w:numFmt w:val="bullet"/>
      <w:lvlText w:val="•"/>
      <w:lvlJc w:val="left"/>
      <w:pPr>
        <w:ind w:hanging="122" w:left="243"/>
      </w:pPr>
      <w:rPr>
        <w:rFonts w:hint="default"/>
      </w:rPr>
    </w:lvl>
    <w:lvl w:ilvl="3" w:tplc="EC5C0C7C">
      <w:numFmt w:val="bullet"/>
      <w:lvlText w:val="•"/>
      <w:lvlJc w:val="left"/>
      <w:pPr>
        <w:ind w:hanging="122" w:left="365"/>
      </w:pPr>
      <w:rPr>
        <w:rFonts w:hint="default"/>
      </w:rPr>
    </w:lvl>
    <w:lvl w:ilvl="4" w:tplc="762CD6CA">
      <w:numFmt w:val="bullet"/>
      <w:lvlText w:val="•"/>
      <w:lvlJc w:val="left"/>
      <w:pPr>
        <w:ind w:hanging="122" w:left="487"/>
      </w:pPr>
      <w:rPr>
        <w:rFonts w:hint="default"/>
      </w:rPr>
    </w:lvl>
    <w:lvl w:ilvl="5" w:tplc="BCA0EF16">
      <w:numFmt w:val="bullet"/>
      <w:lvlText w:val="•"/>
      <w:lvlJc w:val="left"/>
      <w:pPr>
        <w:ind w:hanging="122" w:left="609"/>
      </w:pPr>
      <w:rPr>
        <w:rFonts w:hint="default"/>
      </w:rPr>
    </w:lvl>
    <w:lvl w:ilvl="6" w:tplc="D92E7A88">
      <w:numFmt w:val="bullet"/>
      <w:lvlText w:val="•"/>
      <w:lvlJc w:val="left"/>
      <w:pPr>
        <w:ind w:hanging="122" w:left="730"/>
      </w:pPr>
      <w:rPr>
        <w:rFonts w:hint="default"/>
      </w:rPr>
    </w:lvl>
    <w:lvl w:ilvl="7" w:tplc="59DA74AA">
      <w:numFmt w:val="bullet"/>
      <w:lvlText w:val="•"/>
      <w:lvlJc w:val="left"/>
      <w:pPr>
        <w:ind w:hanging="122" w:left="852"/>
      </w:pPr>
      <w:rPr>
        <w:rFonts w:hint="default"/>
      </w:rPr>
    </w:lvl>
    <w:lvl w:ilvl="8" w:tplc="3F0AF542">
      <w:numFmt w:val="bullet"/>
      <w:lvlText w:val="•"/>
      <w:lvlJc w:val="left"/>
      <w:pPr>
        <w:ind w:hanging="122" w:left="974"/>
      </w:pPr>
      <w:rPr>
        <w:rFonts w:hint="default"/>
      </w:rPr>
    </w:lvl>
  </w:abstractNum>
  <w:abstractNum w15:restartNumberingAfterBreak="0" w:abstractNumId="27">
    <w:nsid w:val="7EE60259"/>
    <w:multiLevelType w:val="hybridMultilevel"/>
    <w:tmpl w:val="A386D078"/>
    <w:lvl w:ilvl="0" w:tplc="09B6E642">
      <w:start w:val="1"/>
      <w:numFmt w:val="decimal"/>
      <w:lvlText w:val="%1."/>
      <w:lvlJc w:val="left"/>
      <w:pPr>
        <w:ind w:hanging="240" w:left="2780"/>
        <w:jc w:val="left"/>
      </w:pPr>
      <w:rPr>
        <w:rFonts w:ascii="Times New Roman" w:cs="Times New Roman" w:eastAsia="Times New Roman" w:hAnsi="Times New Roman" w:hint="default"/>
        <w:w w:val="100"/>
        <w:sz w:val="24"/>
        <w:szCs w:val="24"/>
      </w:rPr>
    </w:lvl>
    <w:lvl w:ilvl="1" w:tplc="EF66CA2E">
      <w:numFmt w:val="bullet"/>
      <w:lvlText w:val="•"/>
      <w:lvlJc w:val="left"/>
      <w:pPr>
        <w:ind w:hanging="240" w:left="3496"/>
      </w:pPr>
      <w:rPr>
        <w:rFonts w:hint="default"/>
      </w:rPr>
    </w:lvl>
    <w:lvl w:ilvl="2" w:tplc="EA4AD032">
      <w:numFmt w:val="bullet"/>
      <w:lvlText w:val="•"/>
      <w:lvlJc w:val="left"/>
      <w:pPr>
        <w:ind w:hanging="240" w:left="4212"/>
      </w:pPr>
      <w:rPr>
        <w:rFonts w:hint="default"/>
      </w:rPr>
    </w:lvl>
    <w:lvl w:ilvl="3" w:tplc="843A2CB8">
      <w:numFmt w:val="bullet"/>
      <w:lvlText w:val="•"/>
      <w:lvlJc w:val="left"/>
      <w:pPr>
        <w:ind w:hanging="240" w:left="4928"/>
      </w:pPr>
      <w:rPr>
        <w:rFonts w:hint="default"/>
      </w:rPr>
    </w:lvl>
    <w:lvl w:ilvl="4" w:tplc="15DCF3BA">
      <w:numFmt w:val="bullet"/>
      <w:lvlText w:val="•"/>
      <w:lvlJc w:val="left"/>
      <w:pPr>
        <w:ind w:hanging="240" w:left="5644"/>
      </w:pPr>
      <w:rPr>
        <w:rFonts w:hint="default"/>
      </w:rPr>
    </w:lvl>
    <w:lvl w:ilvl="5" w:tplc="C85A9B32">
      <w:numFmt w:val="bullet"/>
      <w:lvlText w:val="•"/>
      <w:lvlJc w:val="left"/>
      <w:pPr>
        <w:ind w:hanging="240" w:left="6360"/>
      </w:pPr>
      <w:rPr>
        <w:rFonts w:hint="default"/>
      </w:rPr>
    </w:lvl>
    <w:lvl w:ilvl="6" w:tplc="64C43918">
      <w:numFmt w:val="bullet"/>
      <w:lvlText w:val="•"/>
      <w:lvlJc w:val="left"/>
      <w:pPr>
        <w:ind w:hanging="240" w:left="7076"/>
      </w:pPr>
      <w:rPr>
        <w:rFonts w:hint="default"/>
      </w:rPr>
    </w:lvl>
    <w:lvl w:ilvl="7" w:tplc="D22C6592">
      <w:numFmt w:val="bullet"/>
      <w:lvlText w:val="•"/>
      <w:lvlJc w:val="left"/>
      <w:pPr>
        <w:ind w:hanging="240" w:left="7792"/>
      </w:pPr>
      <w:rPr>
        <w:rFonts w:hint="default"/>
      </w:rPr>
    </w:lvl>
    <w:lvl w:ilvl="8" w:tplc="2718246A">
      <w:numFmt w:val="bullet"/>
      <w:lvlText w:val="•"/>
      <w:lvlJc w:val="left"/>
      <w:pPr>
        <w:ind w:hanging="240" w:left="8508"/>
      </w:pPr>
      <w:rPr>
        <w:rFonts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27"/>
  </w:num>
  <w:num w:numId="2">
    <w:abstractNumId w:val="12"/>
  </w:num>
  <w:num w:numId="3">
    <w:abstractNumId w:val="25"/>
  </w:num>
  <w:num w:numId="4">
    <w:abstractNumId w:val="22"/>
  </w:num>
  <w:num w:numId="5">
    <w:abstractNumId w:val="21"/>
  </w:num>
  <w:num w:numId="6">
    <w:abstractNumId w:val="17"/>
  </w:num>
  <w:num w:numId="7">
    <w:abstractNumId w:val="18"/>
  </w:num>
  <w:num w:numId="8">
    <w:abstractNumId w:val="9"/>
  </w:num>
  <w:num w:numId="9">
    <w:abstractNumId w:val="19"/>
  </w:num>
  <w:num w:numId="10">
    <w:abstractNumId w:val="13"/>
  </w:num>
  <w:num w:numId="11">
    <w:abstractNumId w:val="16"/>
  </w:num>
  <w:num w:numId="12">
    <w:abstractNumId w:val="23"/>
  </w:num>
  <w:num w:numId="13">
    <w:abstractNumId w:val="11"/>
  </w:num>
  <w:num w:numId="14">
    <w:abstractNumId w:val="2"/>
  </w:num>
  <w:num w:numId="15">
    <w:abstractNumId w:val="4"/>
  </w:num>
  <w:num w:numId="16">
    <w:abstractNumId w:val="10"/>
  </w:num>
  <w:num w:numId="17">
    <w:abstractNumId w:val="20"/>
  </w:num>
  <w:num w:numId="18">
    <w:abstractNumId w:val="8"/>
  </w:num>
  <w:num w:numId="19">
    <w:abstractNumId w:val="7"/>
  </w:num>
  <w:num w:numId="20">
    <w:abstractNumId w:val="15"/>
  </w:num>
  <w:num w:numId="21">
    <w:abstractNumId w:val="24"/>
  </w:num>
  <w:num w:numId="22">
    <w:abstractNumId w:val="1"/>
  </w:num>
  <w:num w:numId="23">
    <w:abstractNumId w:val="3"/>
  </w:num>
  <w:num w:numId="24">
    <w:abstractNumId w:val="26"/>
  </w:num>
  <w:num w:numId="25">
    <w:abstractNumId w:val="14"/>
  </w:num>
  <w:num w:numId="26">
    <w:abstractNumId w:val="0"/>
  </w:num>
  <w:num w:numId="27">
    <w:abstractNumId w:val="6"/>
  </w:num>
  <w:num w:numId="28">
    <w:abstractNumId w:val="5"/>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72"/>
  <w:embedSystemFonts/>
  <w:proofState w:grammar="clean" w:spelling="clean"/>
  <w:stylePaneFormatFilter w:val="0004"/>
  <w:doNotTrackMoves/>
  <w:defaultTabStop w:val="720"/>
  <w:drawingGridHorizontalSpacing w:val="110"/>
  <w:drawingGridVerticalSpacing w:val="360"/>
  <w:displayHorizontalDrawingGridEvery w:val="2"/>
  <w:displayVerticalDrawingGridEvery w:val="0"/>
  <w:characterSpacingControl w:val="doNotCompress"/>
  <w:savePreviewPicture/>
  <w:hdrShapeDefaults>
    <o:shapedefaults spidmax="2049" v:ext="edit"/>
  </w:hdrShapeDefault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179"/>
    <w:rsid w:val="009F3179"/>
    <w:rsid w:val="00C10B24"/>
    <w:rsid w:val="00C54E59"/>
  </w:rsids>
  <w:themeFontLang w:val="en-US"/>
  <w:clrSchemeMapping w:accent1="accent1" w:accent2="accent2" w:accent3="accent3" w:accent4="accent4" w:accent5="accent5" w:accent6="accent6" w:bg1="light1" w:bg2="light2" w:followedHyperlink="followedHyperlink" w:hyperlink="hyperlink" w:t1="dark1" w:t2="dark2"/>
  <w:shapeDefaults>
    <o:shapedefaults spidmax="2049"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Theme="minorHAnsi" w:cstheme="minorBidi" w:eastAsiaTheme="minorHAnsi" w:hAnsiTheme="minorHAnsi"/>
        <w:sz w:val="22"/>
        <w:szCs w:val="22"/>
        <w:lang w:bidi="ar-SA" w:eastAsia="en-US" w:val="en-US"/>
      </w:rPr>
    </w:rPrDefault>
    <w:pPrDefault>
      <w:pPr>
        <w:widowControl w:val="0"/>
        <w:autoSpaceDE w:val="0"/>
        <w:autoSpaceDN w:val="0"/>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Pr>
      <w:rFonts w:ascii="Times New Roman" w:cs="Times New Roman" w:eastAsia="Times New Roman" w:hAnsi="Times New Roman"/>
    </w:rPr>
  </w:style>
  <w:style w:styleId="Heading1" w:type="paragraph">
    <w:name w:val="heading 1"/>
    <w:basedOn w:val="Normal"/>
    <w:uiPriority w:val="9"/>
    <w:qFormat/>
    <w:pPr>
      <w:ind w:left="380"/>
      <w:outlineLvl w:val="0"/>
    </w:pPr>
    <w:rPr>
      <w:b/>
      <w:bCs/>
      <w:sz w:val="26"/>
      <w:szCs w:val="26"/>
    </w:rPr>
  </w:style>
  <w:style w:styleId="Heading2" w:type="paragraph">
    <w:name w:val="heading 2"/>
    <w:basedOn w:val="Normal"/>
    <w:uiPriority w:val="9"/>
    <w:unhideWhenUsed/>
    <w:qFormat/>
    <w:pPr>
      <w:spacing w:before="63"/>
      <w:ind w:left="667"/>
      <w:outlineLvl w:val="1"/>
    </w:pPr>
    <w:rPr>
      <w:sz w:val="26"/>
      <w:szCs w:val="26"/>
    </w:rPr>
  </w:style>
  <w:style w:styleId="Heading3" w:type="paragraph">
    <w:name w:val="heading 3"/>
    <w:basedOn w:val="Normal"/>
    <w:uiPriority w:val="9"/>
    <w:unhideWhenUsed/>
    <w:qFormat/>
    <w:pPr>
      <w:ind w:left="380"/>
      <w:outlineLvl w:val="2"/>
    </w:pPr>
    <w:rPr>
      <w:b/>
      <w:bCs/>
      <w:sz w:val="24"/>
      <w:szCs w:val="24"/>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OC1" w:type="paragraph">
    <w:name w:val="toc 1"/>
    <w:basedOn w:val="Normal"/>
    <w:uiPriority w:val="1"/>
    <w:qFormat/>
    <w:pPr>
      <w:spacing w:before="135"/>
      <w:ind w:left="380"/>
    </w:pPr>
    <w:rPr>
      <w:rFonts w:ascii="Arial" w:cs="Arial" w:eastAsia="Arial" w:hAnsi="Arial"/>
      <w:b/>
      <w:bCs/>
      <w:sz w:val="20"/>
      <w:szCs w:val="20"/>
    </w:rPr>
  </w:style>
  <w:style w:styleId="TOC2" w:type="paragraph">
    <w:name w:val="toc 2"/>
    <w:basedOn w:val="Normal"/>
    <w:uiPriority w:val="1"/>
    <w:qFormat/>
    <w:pPr>
      <w:spacing w:before="30"/>
      <w:ind w:left="620"/>
    </w:pPr>
    <w:rPr>
      <w:rFonts w:ascii="Arial" w:cs="Arial" w:eastAsia="Arial" w:hAnsi="Arial"/>
      <w:sz w:val="20"/>
      <w:szCs w:val="20"/>
    </w:rPr>
  </w:style>
  <w:style w:styleId="TOC3" w:type="paragraph">
    <w:name w:val="toc 3"/>
    <w:basedOn w:val="Normal"/>
    <w:uiPriority w:val="1"/>
    <w:qFormat/>
    <w:pPr>
      <w:spacing w:before="15"/>
      <w:ind w:left="620"/>
    </w:pPr>
    <w:rPr>
      <w:rFonts w:ascii="Arial" w:cs="Arial" w:eastAsia="Arial" w:hAnsi="Arial"/>
      <w:sz w:val="16"/>
      <w:szCs w:val="16"/>
    </w:rPr>
  </w:style>
  <w:style w:styleId="TOC4" w:type="paragraph">
    <w:name w:val="toc 4"/>
    <w:basedOn w:val="Normal"/>
    <w:uiPriority w:val="1"/>
    <w:qFormat/>
    <w:pPr>
      <w:spacing w:before="15"/>
      <w:ind w:left="620"/>
    </w:pPr>
    <w:rPr>
      <w:rFonts w:ascii="Arial" w:cs="Arial" w:eastAsia="Arial" w:hAnsi="Arial"/>
      <w:b/>
      <w:bCs/>
      <w:i/>
    </w:rPr>
  </w:style>
  <w:style w:styleId="TOC5" w:type="paragraph">
    <w:name w:val="toc 5"/>
    <w:basedOn w:val="Normal"/>
    <w:uiPriority w:val="1"/>
    <w:qFormat/>
    <w:pPr>
      <w:spacing w:before="15"/>
      <w:ind w:left="860"/>
    </w:pPr>
    <w:rPr>
      <w:rFonts w:ascii="Arial" w:cs="Arial" w:eastAsia="Arial" w:hAnsi="Arial"/>
      <w:i/>
      <w:sz w:val="20"/>
      <w:szCs w:val="20"/>
    </w:rPr>
  </w:style>
  <w:style w:styleId="BodyText" w:type="paragraph">
    <w:name w:val="Body Text"/>
    <w:basedOn w:val="Normal"/>
    <w:uiPriority w:val="1"/>
    <w:qFormat/>
    <w:pPr>
      <w:ind w:left="380"/>
    </w:pPr>
    <w:rPr>
      <w:sz w:val="24"/>
      <w:szCs w:val="24"/>
    </w:rPr>
  </w:style>
  <w:style w:styleId="Title" w:type="paragraph">
    <w:name w:val="Title"/>
    <w:basedOn w:val="Normal"/>
    <w:uiPriority w:val="10"/>
    <w:qFormat/>
    <w:pPr>
      <w:spacing w:before="88"/>
      <w:ind w:left="1007" w:right="826"/>
      <w:jc w:val="center"/>
    </w:pPr>
    <w:rPr>
      <w:b/>
      <w:bCs/>
      <w:sz w:val="32"/>
      <w:szCs w:val="32"/>
    </w:rPr>
  </w:style>
  <w:style w:styleId="ListParagraph" w:type="paragraph">
    <w:name w:val="List Paragraph"/>
    <w:basedOn w:val="Normal"/>
    <w:uiPriority w:val="1"/>
    <w:qFormat/>
    <w:pPr>
      <w:ind w:firstLine="720" w:left="380"/>
    </w:pPr>
  </w:style>
  <w:style w:customStyle="1" w:styleId="TableParagraph" w:type="paragraph">
    <w:name w:val="Table Paragraph"/>
    <w:basedOn w:val="Normal"/>
    <w:uiPriority w:val="1"/>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Relationships xmlns="http://schemas.openxmlformats.org/package/2006/relationships"><Relationship Type="http://schemas.openxmlformats.org/officeDocument/2006/relationships/numbering" Id="rId60" Target="numbering.xml" /><Relationship Type="http://schemas.openxmlformats.org/officeDocument/2006/relationships/styles" Id="rId59" Target="styles.xml" /><Relationship Type="http://schemas.openxmlformats.org/officeDocument/2006/relationships/settings" Id="rId58" Target="settings.xml" /><Relationship Type="http://schemas.openxmlformats.org/officeDocument/2006/relationships/webSettings" Id="rId57" Target="webSettings.xml" /><Relationship Type="http://schemas.openxmlformats.org/officeDocument/2006/relationships/fontTable" Id="rId56" Target="fontTable.xml" /><Relationship Type="http://schemas.openxmlformats.org/officeDocument/2006/relationships/theme" Id="rId55" Target="theme/theme1.xml" /><Relationship Type="http://schemas.openxmlformats.org/officeDocument/2006/relationships/footnotes" Id="rId54" Target="footnotes.xml" /><Relationship Type="http://schemas.openxmlformats.org/officeDocument/2006/relationships/comments" Id="rId53" Target="comments.xml" /><Relationship Id="rId13" Target="media/image5.png" Type="http://schemas.openxmlformats.org/officeDocument/2006/relationships/image" /><Relationship Id="rId18" Target="media/image10.png" Type="http://schemas.openxmlformats.org/officeDocument/2006/relationships/image" /><Relationship Id="rId26" Target="media/image17.png" Type="http://schemas.openxmlformats.org/officeDocument/2006/relationships/image" /><Relationship Id="rId21" Target="media/image13.png" Type="http://schemas.openxmlformats.org/officeDocument/2006/relationships/image" /><Relationship Id="rId50" Target="media/image23.png" Type="http://schemas.openxmlformats.org/officeDocument/2006/relationships/image" /><Relationship Id="rId7" Target="footer1.xml" Type="http://schemas.openxmlformats.org/officeDocument/2006/relationships/footer" /><Relationship Id="rId16" Target="media/image8.jpeg" Type="http://schemas.openxmlformats.org/officeDocument/2006/relationships/image" /><Relationship Id="rId29" Target="media/image20.png" Type="http://schemas.openxmlformats.org/officeDocument/2006/relationships/image" /><Relationship Id="rId11" Target="media/image3.png" Type="http://schemas.openxmlformats.org/officeDocument/2006/relationships/image" /><Relationship Id="rId24" Target="media/image16.png" Type="http://schemas.openxmlformats.org/officeDocument/2006/relationships/image" /><Relationship Id="rId19" Target="media/image11.png" Type="http://schemas.openxmlformats.org/officeDocument/2006/relationships/image" /><Relationship Id="rId9" Target="media/image1.jpeg" Type="http://schemas.openxmlformats.org/officeDocument/2006/relationships/image" /><Relationship Id="rId14" Target="media/image6.png" Type="http://schemas.openxmlformats.org/officeDocument/2006/relationships/image" /><Relationship Id="rId22" Target="media/image14.jpeg" Type="http://schemas.openxmlformats.org/officeDocument/2006/relationships/image" /><Relationship Id="rId27" Target="media/image18.png" Type="http://schemas.openxmlformats.org/officeDocument/2006/relationships/image" /><Relationship Id="rId30" Target="media/image21.png" Type="http://schemas.openxmlformats.org/officeDocument/2006/relationships/image" /><Relationship Id="rId8" Target="footer2.xml" Type="http://schemas.openxmlformats.org/officeDocument/2006/relationships/footer" /><Relationship Id="rId51" Target="media/image24.jpeg" Type="http://schemas.openxmlformats.org/officeDocument/2006/relationships/image" /><Relationship Id="rId12" Target="media/image4.png" Type="http://schemas.openxmlformats.org/officeDocument/2006/relationships/image" /><Relationship Id="rId17" Target="media/image9.png" Type="http://schemas.openxmlformats.org/officeDocument/2006/relationships/image" /><Relationship Id="rId20" Target="media/image12.png" Type="http://schemas.openxmlformats.org/officeDocument/2006/relationships/image" /><Relationship Id="rId15" Target="media/image7.png" Type="http://schemas.openxmlformats.org/officeDocument/2006/relationships/image" /><Relationship Id="rId23" Target="media/image15.jpeg" Type="http://schemas.openxmlformats.org/officeDocument/2006/relationships/image" /><Relationship Id="rId28" Target="media/image19.jpeg" Type="http://schemas.openxmlformats.org/officeDocument/2006/relationships/image" /><Relationship Id="rId10" Target="media/image2.jpeg" Type="http://schemas.openxmlformats.org/officeDocument/2006/relationships/image" /><Relationship Id="rId31" Target="media/image22.png" Type="http://schemas.openxmlformats.org/officeDocument/2006/relationships/image" /><Relationship Id="rId52" Target="media/image25.jpeg" Type="http://schemas.openxmlformats.org/officeDocument/2006/relationships/image" /><Relationship Type="http://schemas.openxmlformats.org/officeDocument/2006/relationships/image" Id="rId86" Target="media/rId86.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238</Pages>
  <Words>61900</Words>
  <Characters>352835</Characters>
  <Application>Microsoft Office Word</Application>
  <DocSecurity>0</DocSecurity>
  <Lines>2940</Lines>
  <Paragraphs>827</Paragraphs>
  <ScaleCrop>false</ScaleCrop>
  <Company/>
  <LinksUpToDate>false</LinksUpToDate>
  <CharactersWithSpaces>413908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2026-07-29T15:01:09Z</dcterms:created>
  <dcterms:modified xsi:type="dcterms:W3CDTF">2026-07-29T15:01:09Z</dcterms:modified>
</cp:coreProperties>
</file>

<file path=docProps/custom.xml><?xml version="1.0" encoding="utf-8"?>
<Properties xmlns="http://schemas.openxmlformats.org/officeDocument/2006/custom-properties" xmlns:vt="http://schemas.openxmlformats.org/officeDocument/2006/docPropsVTypes"/>
</file>