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media/rId92.png" ContentType="image/png"/>
  <Override PartName="/word/media/image14.jpeg" ContentType="image/jpeg"/>
  <Override PartName="/word/media/image1.jpeg" ContentType="image/jpeg"/>
  <Override PartName="/word/media/image2.jpeg" ContentType="image/jpe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media/image8.jpeg" ContentType="image/jpeg"/>
  <Override PartName="/word/media/image9.png" ContentType="image/png"/>
  <Override PartName="/word/media/image10.png" ContentType="image/png"/>
  <Override PartName="/word/media/image11.png" ContentType="image/png"/>
  <Override PartName="/word/media/image13.png" ContentType="image/png"/>
  <Override PartName="/word/media/image12.png" ContentType="image/png"/>
  <Override PartName="/word/media/image15.jpeg" ContentType="image/jpeg"/>
  <Override PartName="/word/media/image16.png" ContentType="image/png"/>
  <Override PartName="/word/media/image17.png" ContentType="image/png"/>
  <Override PartName="/word/media/image18.png" ContentType="image/png"/>
  <Override PartName="/word/media/image19.jpeg" ContentType="image/jpeg"/>
  <Override PartName="/word/media/image20.png" ContentType="image/png"/>
  <Override PartName="/word/media/image21.png" ContentType="image/png"/>
  <Override PartName="/word/media/image22.png" ContentType="image/png"/>
  <Override PartName="/word/media/image23.png" ContentType="image/png"/>
  <Override PartName="/word/media/image24.jpeg" ContentType="image/jpeg"/>
  <Override PartName="/word/media/image25.jpe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0" w:name="Xc0c356361258cc6c416cc314224eb57423a7241"/>
    <w:p>
      <w:pPr>
        <w:pStyle w:val="Heading1"/>
      </w:pPr>
      <w:r>
        <w:t xml:space="preserve">Signals and Silences: A Survival Analysis of Counterspace Demonstration Timing</w:t>
      </w:r>
    </w:p>
    <w:bookmarkStart w:id="61" w:name="the-question-and-the-specification"/>
    <w:p>
      <w:pPr>
        <w:pStyle w:val="Heading2"/>
      </w:pPr>
      <w:r>
        <w:t xml:space="preserve">1. The question and the specification</w:t>
      </w:r>
    </w:p>
    <w:p>
      <w:pPr>
        <w:pStyle w:val="FirstParagraph"/>
      </w:pPr>
      <w:r>
        <w:t xml:space="preserve">Counterspace testing is usually narrated as a conversation. China destroys FengYun 1C in January 2007, the United States answers with Operation Burnt Frost in February 2008, India joins the club with Mission Shakti in March 2019, and Russia closes the sequence on Cosmos 1408 in November 2021</w:t>
      </w:r>
      <w:r>
        <w:t xml:space="preserve"> </w:t>
      </w:r>
      <w:hyperlink w:anchor="ref-1">
        <m:oMathPara>
          <m:oMathParaPr>
            <m:jc m:val="center"/>
          </m:oMathParaPr>
          <m:oMath>
            <m:r>
              <m:t>1</m:t>
            </m:r>
          </m:oMath>
        </m:oMathPara>
      </w:hyperlink>
      <w:r>
        <w:t xml:space="preserve">[2][3][4]. Told this way, the record reads as call and response, which is how Thomas Schelling taught a generation to read demonstrative violence: a test is not a use of force but a move in a bargaining game, staged to communicate resolve and to establish a salient point around which expectations converge</w:t>
      </w:r>
      <w:r>
        <w:t xml:space="preserve"> </w:t>
      </w:r>
      <w:hyperlink w:anchor="ref-8">
        <m:oMathPara>
          <m:oMathParaPr>
            <m:jc m:val="center"/>
          </m:oMathParaPr>
          <m:oMath>
            <m:r>
              <m:t>8</m:t>
            </m:r>
          </m:oMath>
        </m:oMathPara>
      </w:hyperlink>
      <w:r>
        <w:t xml:space="preserve">. If that account holds, the timing of tests should carry its signature. A state should become more likely to test soon after a rival has tested.</w:t>
      </w:r>
    </w:p>
    <w:p>
      <w:pPr>
        <w:pStyle w:val="FirstParagraph"/>
      </w:pPr>
      <w:r>
        <w:t xml:space="preserve">This paper submits that proposition to a hazard model. The unit of analysis is not the test but the interval between tests. For each of the four states with documented direct-ascent anti-satellite (DA-ASAT) flight-test programmes, the clock starts at one test and runs to the next, or is right-censored at the 12 June 2026 evidence cutoff of the Secure World Foundation fact-sheet series. Restricting the universe to direct-ascent testing is a deliberate scoping choice. The Secure World Foundation publishes, for exactly these four states, dated and consistently classified summary tables of every known or suspected DA-ASAT flight test, with launch site, target, altitude reached and result</w:t>
      </w:r>
      <w:r>
        <w:t xml:space="preserve"> </w:t>
      </w:r>
      <w:hyperlink w:anchor="ref-1">
        <m:oMathPara>
          <m:oMathParaPr>
            <m:jc m:val="center"/>
          </m:oMathParaPr>
          <m:oMath>
            <m:r>
              <m:t>1</m:t>
            </m:r>
          </m:oMath>
        </m:oMathPara>
      </w:hyperlink>
      <w:r>
        <w:t xml:space="preserve">[2][3][4]. Co-orbital rendezvous-and-proximity activity, jamming and dazzling lack comparably discrete event boundaries in the same open-source record, and pooling them would have meant manufacturing event times rather than reading them. The compiled dataset holds thirty-two spells across thirty-two underlying tests spanning January 1984 to April 2023, of which twenty-eight terminate in an observed test and four are censored.</w:t>
      </w:r>
    </w:p>
    <w:p>
      <w:pPr>
        <w:pStyle w:val="FirstParagraph"/>
      </w:pPr>
      <w:r>
        <w:t xml:space="preserve">The estimator is the Cox proportional-hazards model</w:t>
      </w:r>
      <w:r>
        <w:t xml:space="preserve"> </w:t>
      </w:r>
      <w:hyperlink w:anchor="ref-18">
        <m:oMathPara>
          <m:oMathParaPr>
            <m:jc m:val="center"/>
          </m:oMathParaPr>
          <m:oMath>
            <m:r>
              <m:t>18</m:t>
            </m:r>
          </m:oMath>
        </m:oMathPara>
      </w:hyperlink>
      <w:r>
        <w:t xml:space="preserve">, which relates the instantaneous hazard of the next test to covariates without imposing a parametric form on the underlying schedule:</w:t>
      </w:r>
    </w:p>
    <w:p>
      <w:pPr>
        <w:pStyle w:val="FirstParagraph"/>
      </w:pPr>
      <m:oMathPara>
        <m:oMathParaPr>
          <m:jc m:val="center"/>
        </m:oMathParaPr>
        <m:oMath>
          <m:sSub>
            <m:e>
              <m:r>
                <m:t>h</m:t>
              </m:r>
            </m:e>
            <m:sub>
              <m:r>
                <m:t>i</m:t>
              </m:r>
            </m:sub>
          </m:sSub>
          <m:r>
            <m:rPr>
              <m:sty m:val="p"/>
            </m:rPr>
            <m:t>(</m:t>
          </m:r>
          <m:r>
            <m:t>t</m:t>
          </m:r>
          <m:r>
            <m:rPr>
              <m:sty m:val="p"/>
            </m:rPr>
            <m:t>∣</m:t>
          </m:r>
          <m:sSub>
            <m:e>
              <m:r>
                <m:rPr>
                  <m:sty m:val="b"/>
                </m:rPr>
                <m:t>x</m:t>
              </m:r>
            </m:e>
            <m:sub>
              <m:r>
                <m:t>i</m:t>
              </m:r>
            </m:sub>
          </m:sSub>
          <m:r>
            <m:rPr>
              <m:sty m:val="p"/>
            </m:rPr>
            <m:t>)</m:t>
          </m:r>
          <m:r>
            <m:rPr>
              <m:sty m:val="p"/>
            </m:rPr>
            <m:t>=</m:t>
          </m:r>
          <m:sSub>
            <m:e>
              <m:r>
                <m:t>h</m:t>
              </m:r>
            </m:e>
            <m:sub>
              <m:r>
                <m:t>0</m:t>
              </m:r>
            </m:sub>
          </m:sSub>
          <m:r>
            <m:rPr>
              <m:sty m:val="p"/>
            </m:rPr>
            <m:t>(</m:t>
          </m:r>
          <m:r>
            <m:t>t</m:t>
          </m:r>
          <m:r>
            <m:rPr>
              <m:sty m:val="p"/>
            </m:rPr>
            <m:t>)</m:t>
          </m:r>
          <m:r>
            <m:t> </m:t>
          </m:r>
          <m:r>
            <m:rPr>
              <m:sty m:val="p"/>
            </m:rPr>
            <m:t>exp</m:t>
          </m:r>
          <m:r>
            <m:t>​</m:t>
          </m:r>
          <m:d>
            <m:dPr>
              <m:begChr m:val="("/>
              <m:sepChr m:val=""/>
              <m:endChr m:val=")"/>
              <m:grow/>
            </m:dPr>
            <m:e>
              <m:sSub>
                <m:e>
                  <m:r>
                    <m:t>β</m:t>
                  </m:r>
                </m:e>
                <m:sub>
                  <m:r>
                    <m:t>1</m:t>
                  </m:r>
                </m:sub>
              </m:sSub>
              <m:r>
                <m:t> </m:t>
              </m:r>
              <m:sSub>
                <m:e>
                  <m:r>
                    <m:rPr>
                      <m:nor/>
                      <m:sty m:val="p"/>
                    </m:rPr>
                    <m:t>prior_tests</m:t>
                  </m:r>
                </m:e>
                <m:sub>
                  <m:r>
                    <m:t>i</m:t>
                  </m:r>
                </m:sub>
              </m:sSub>
              <m:r>
                <m:rPr>
                  <m:sty m:val="p"/>
                </m:rPr>
                <m:t>+</m:t>
              </m:r>
              <m:sSub>
                <m:e>
                  <m:r>
                    <m:t>β</m:t>
                  </m:r>
                </m:e>
                <m:sub>
                  <m:r>
                    <m:t>2</m:t>
                  </m:r>
                </m:sub>
              </m:sSub>
              <m:r>
                <m:t> </m:t>
              </m:r>
              <m:sSub>
                <m:e>
                  <m:r>
                    <m:rPr>
                      <m:nor/>
                      <m:sty m:val="p"/>
                    </m:rPr>
                    <m:t>rival_tests_24mo</m:t>
                  </m:r>
                </m:e>
                <m:sub>
                  <m:r>
                    <m:t>i</m:t>
                  </m:r>
                </m:sub>
              </m:sSub>
              <m:r>
                <m:rPr>
                  <m:sty m:val="p"/>
                </m:rPr>
                <m:t>+</m:t>
              </m:r>
              <m:sSub>
                <m:e>
                  <m:r>
                    <m:t>β</m:t>
                  </m:r>
                </m:e>
                <m:sub>
                  <m:r>
                    <m:t>3</m:t>
                  </m:r>
                </m:sub>
              </m:sSub>
              <m:r>
                <m:t> </m:t>
              </m:r>
              <m:sSub>
                <m:e>
                  <m:r>
                    <m:rPr>
                      <m:nor/>
                      <m:sty m:val="p"/>
                    </m:rPr>
                    <m:t>prior_kinetic</m:t>
                  </m:r>
                </m:e>
                <m:sub>
                  <m:r>
                    <m:t>i</m:t>
                  </m:r>
                </m:sub>
              </m:sSub>
            </m:e>
          </m:d>
        </m:oMath>
      </m:oMathPara>
    </w:p>
    <w:p>
      <w:pPr>
        <w:pStyle w:val="FirstParagraph"/>
      </w:pPr>
      <w:r>
        <w:t xml:space="preserve">Three covariates, all fixed at the opening of each spell so that nothing in the model can anticipate the outcome it is meant to predict, stand for three competing accounts of why states test when they do.</w:t>
      </w:r>
      <w:r>
        <w:t xml:space="preserve"> </w:t>
      </w:r>
      <w:r>
        <w:rPr>
          <w:rStyle w:val="VerbatimChar"/>
        </w:rPr>
        <w:t xml:space="preserve">prior_tests</w:t>
      </w:r>
      <w:r>
        <w:t xml:space="preserve"> </w:t>
      </w:r>
      <w:r>
        <w:t xml:space="preserve">counts the actor’s accumulated flight tests and represents the endogenous life of a programme: ranges, crews, telemetry chains, and the bureaucratic machinery that produces test opportunities.</w:t>
      </w:r>
      <w:r>
        <w:t xml:space="preserve"> </w:t>
      </w:r>
      <w:r>
        <w:rPr>
          <w:rStyle w:val="VerbatimChar"/>
        </w:rPr>
        <w:t xml:space="preserve">rival_tests_24mo</w:t>
      </w:r>
      <w:r>
        <w:t xml:space="preserve"> </w:t>
      </w:r>
      <w:r>
        <w:t xml:space="preserve">counts tests by every other actor in the preceding two years and represents Schelling’s reciprocal signalling.</w:t>
      </w:r>
      <w:r>
        <w:t xml:space="preserve"> </w:t>
      </w:r>
      <w:r>
        <w:rPr>
          <w:rStyle w:val="VerbatimChar"/>
        </w:rPr>
        <w:t xml:space="preserve">prior_kinetic</w:t>
      </w:r>
      <w:r>
        <w:t xml:space="preserve"> </w:t>
      </w:r>
      <w:r>
        <w:t xml:space="preserve">marks whether the actor’s own last demonstration flew a kill vehicle at a target rather than merely exercising the booster, which operationalises Herman Kahn’s question of whether crossing a rung changes the tempo at which the next rung is approached</w:t>
      </w:r>
      <w:r>
        <w:t xml:space="preserve"> </w:t>
      </w:r>
      <w:hyperlink w:anchor="ref-9">
        <m:oMathPara>
          <m:oMathParaPr>
            <m:jc m:val="center"/>
          </m:oMathParaPr>
          <m:oMath>
            <m:r>
              <m:t>9</m:t>
            </m:r>
          </m:oMath>
        </m:oMathPara>
      </w:hyperlink>
      <w:r>
        <w:t xml:space="preserve">[13]. The null holds all three coefficients at zero; the alternative of interest is that beta_2 is positive.</w:t>
      </w:r>
    </w:p>
    <w:bookmarkEnd w:id="61"/>
    <w:bookmarkStart w:id="62" w:name="results"/>
    <w:p>
      <w:pPr>
        <w:pStyle w:val="Heading2"/>
      </w:pPr>
      <w:r>
        <w:t xml:space="preserve">2. Results</w:t>
      </w:r>
    </w:p>
    <w:p>
      <w:pPr>
        <w:pStyle w:val="FirstParagraph"/>
      </w:pPr>
      <w:r>
        <w:t xml:space="preserve">The fit is numerically well behaved</w:t>
      </w:r>
      <w:r>
        <w:t xml:space="preserve"> </w:t>
      </w:r>
      <w:hyperlink w:anchor="ref-19">
        <m:oMathPara>
          <m:oMathParaPr>
            <m:jc m:val="center"/>
          </m:oMathParaPr>
          <m:oMath>
            <m:r>
              <m:t>19</m:t>
            </m:r>
          </m:oMath>
        </m:oMathPara>
      </w:hyperlink>
      <w:r>
        <w:t xml:space="preserve">. Every covariate varies, the outcome varies, twenty-eight events support three parameters, and the proportional-hazards assumption is not rejected by the Schoenfeld-residual test. The estimates are deflating for the signalling account. Recent rival testing carries a hazard ratio of 1.12 per additional rival test, with a standard error large enough that the coefficient is indistinguishable from zero (p = 0.42). Accumulated programme experience runs negative rather than positive: each additional prior test multiplies the hazard of the next by 0.92, so three tests of accumulated experience are associated with roughly a twenty-one percent reduction in the instantaneous hazard, again with a confidence interval spanning one (p = 0.18). A prior intercept-bearing test halves the estimated hazard relative to a prior booster-only test (HR 0.52, p = 0.14). The joint likelihood-ratio test returns p = 0.17 with a concordance of 0.61, and the median observed inter-test interval is 10.7 months.</w:t>
      </w:r>
    </w:p>
    <w:p>
      <w:pPr>
        <w:pStyle w:val="FirstParagraph"/>
      </w:pPr>
      <w:r>
        <w:t xml:space="preserve">Two features of the sample discipline how far these coefficients can be pushed. First, the actors differ sharply in baseline tempo: Russia’s median observed interval is 8.1 months, the United States’ is 10.0 months, China’s is 14.8 months. Pooling forces a common baseline hazard onto four programmes with different budgets, different ranges and different domestic politics. Stratifying the baseline by actor, so that only within-programme variation identifies the coefficients, sharpens the experience effect to a hazard ratio of 0.85 per prior test (p = 0.047) and leaves the rival-testing coefficient statistically silent (p = 0.14). Second, the</w:t>
      </w:r>
      <w:r>
        <w:t xml:space="preserve"> </w:t>
      </w:r>
      <w:r>
        <w:rPr>
          <w:rStyle w:val="VerbatimChar"/>
        </w:rPr>
        <w:t xml:space="preserve">prior_kinetic</w:t>
      </w:r>
      <w:r>
        <w:t xml:space="preserve"> </w:t>
      </w:r>
      <w:r>
        <w:t xml:space="preserve">result survives a non-parametric check: a log-rank comparison of spells opening with an intercept-bearing test against those opening with a booster-only test returns a test statistic of 3.16 (p = 0.075), with median intervals of 11.1 and 8.2 months respectively. Programmes that have just flown a kill vehicle wait longer before flying again than programmes that have just flown a rocket.</w:t>
      </w:r>
    </w:p>
    <w:p>
      <w:pPr>
        <w:pStyle w:val="BodyText"/>
      </w:pPr>
      <w:r>
        <w:t xml:space="preserve">The honest summary is that the reciprocal-signalling hypothesis fails on its own preferred evidence. Counterspace testing looks less like a conversation than like four monologues delivered in the same room.</w:t>
      </w:r>
    </w:p>
    <w:bookmarkEnd w:id="62"/>
    <w:bookmarkStart w:id="63" w:name="interpretation-against-the-canon"/>
    <w:p>
      <w:pPr>
        <w:pStyle w:val="Heading2"/>
      </w:pPr>
      <w:r>
        <w:t xml:space="preserve">3. Interpretation against the canon</w:t>
      </w:r>
    </w:p>
    <w:p>
      <w:pPr>
        <w:pStyle w:val="FirstParagraph"/>
      </w:pPr>
      <w:r>
        <w:t xml:space="preserve">Schelling’s theory of the diplomacy of violence does not, on this evidence, describe the counterspace record. That deserves care rather than triumph. His argument was never that reciprocal demonstrations must follow one another quickly, but that violence and the threat of violence are bargaining instruments whose value lies in what the adversary infers</w:t>
      </w:r>
      <w:r>
        <w:t xml:space="preserve"> </w:t>
      </w:r>
      <w:hyperlink w:anchor="ref-8">
        <m:oMathPara>
          <m:oMathParaPr>
            <m:jc m:val="center"/>
          </m:oMathParaPr>
          <m:oMath>
            <m:r>
              <m:t>8</m:t>
            </m:r>
          </m:oMath>
        </m:oMathPara>
      </w:hyperlink>
      <w:r>
        <w:t xml:space="preserve">. The tempo prediction is an implication of the theory, not the theory itself, and its failure is best read as evidence about the medium rather than about the logic. A direct-ascent test is a poor bargaining move because it is a poor signal. Chinese testing since 2014 is announced, when it is announced at all, as</w:t>
      </w:r>
      <w:r>
        <w:t xml:space="preserve"> </w:t>
      </w:r>
      <w:r>
        <w:t xml:space="preserve">“land-based mid-course missile interception”</w:t>
      </w:r>
      <w:r>
        <w:t xml:space="preserve"> </w:t>
      </w:r>
      <w:hyperlink w:anchor="ref-1">
        <m:oMathPara>
          <m:oMathParaPr>
            <m:jc m:val="center"/>
          </m:oMathParaPr>
          <m:oMath>
            <m:r>
              <m:t>1</m:t>
            </m:r>
          </m:oMath>
        </m:oMathPara>
      </w:hyperlink>
      <w:r>
        <w:t xml:space="preserve">, a formulation simultaneously true and useless as a commitment device. Russia flew eleven Nudol shots between 2014 and 2021, of which the Secure World Foundation assesses at least five to have been rocket tests without a target, one carrying a result cell that reads only</w:t>
      </w:r>
      <w:r>
        <w:t xml:space="preserve"> </w:t>
      </w:r>
      <w:r>
        <w:t xml:space="preserve">“?”</w:t>
      </w:r>
      <w:r>
        <w:t xml:space="preserve"> </w:t>
      </w:r>
      <w:hyperlink w:anchor="ref-2">
        <m:oMathPara>
          <m:oMathParaPr>
            <m:jc m:val="center"/>
          </m:oMathParaPr>
          <m:oMath>
            <m:r>
              <m:t>2</m:t>
            </m:r>
          </m:oMath>
        </m:oMathPara>
      </w:hyperlink>
      <w:r>
        <w:t xml:space="preserve">. Focal points require salience, and salience requires an event that both parties can identify as the same event. Most of this record is not salient. It is opaque, deniable and technically indistinguishable from missile defence, precisely the ambiguity Ashley Tellis identified in Chinese military space doctrine two decades ago</w:t>
      </w:r>
      <w:r>
        <w:t xml:space="preserve"> </w:t>
      </w:r>
      <w:hyperlink w:anchor="ref-14">
        <m:oMathPara>
          <m:oMathParaPr>
            <m:jc m:val="center"/>
          </m:oMathParaPr>
          <m:oMath>
            <m:r>
              <m:t>14</m:t>
            </m:r>
          </m:oMath>
        </m:oMathPara>
      </w:hyperlink>
      <w:r>
        <w:t xml:space="preserve">.</w:t>
      </w:r>
    </w:p>
    <w:p>
      <w:pPr>
        <w:pStyle w:val="FirstParagraph"/>
      </w:pPr>
      <w:r>
        <w:t xml:space="preserve">If the record is not a conversation, what is it? The stratified result points to Kenneth Waltz, and specifically to the structural claim that states in anarchy respond to the distribution of capability rather than to each other’s gestures</w:t>
      </w:r>
      <w:r>
        <w:t xml:space="preserve"> </w:t>
      </w:r>
      <w:hyperlink w:anchor="ref-10">
        <m:oMathPara>
          <m:oMathParaPr>
            <m:jc m:val="center"/>
          </m:oMathParaPr>
          <m:oMath>
            <m:r>
              <m:t>10</m:t>
            </m:r>
          </m:oMath>
        </m:oMathPara>
      </w:hyperlink>
      <w:r>
        <w:t xml:space="preserve">. On that reading the testing schedule is a production function, not a message. It is governed by the availability of interceptors, ranges and target satellites, and it decelerates as a programme matures because maturity converts experimentation into fielded capability that no longer requires demonstration. The Secure World Foundation’s own assessment is consistent with this: Chinese LEO direct-ascent capability is</w:t>
      </w:r>
      <w:r>
        <w:t xml:space="preserve"> </w:t>
      </w:r>
      <w:r>
        <w:t xml:space="preserve">“likely mature and potentially operationally fielded on mobile launchers”</w:t>
      </w:r>
      <w:r>
        <w:t xml:space="preserve"> </w:t>
      </w:r>
      <w:hyperlink w:anchor="ref-1">
        <m:oMathPara>
          <m:oMathParaPr>
            <m:jc m:val="center"/>
          </m:oMathParaPr>
          <m:oMath>
            <m:r>
              <m:t>1</m:t>
            </m:r>
          </m:oMath>
        </m:oMathPara>
      </w:hyperlink>
      <w:r>
        <w:t xml:space="preserve">, and the last documented Chinese test is April 2023, more than three years before the cutoff. Russia’s programme, having demonstrated an actual orbital kill in November 2021, has recorded nothing since</w:t>
      </w:r>
      <w:r>
        <w:t xml:space="preserve"> </w:t>
      </w:r>
      <w:hyperlink w:anchor="ref-2">
        <m:oMathPara>
          <m:oMathParaPr>
            <m:jc m:val="center"/>
          </m:oMathParaPr>
          <m:oMath>
            <m:r>
              <m:t>2</m:t>
            </m:r>
          </m:oMath>
        </m:oMathPara>
      </w:hyperlink>
      <w:r>
        <w:t xml:space="preserve">. The United States, holding midcourse interceptors with latent DA-ASAT capability since Burnt Frost, has not tested in eighteen years</w:t>
      </w:r>
      <w:r>
        <w:t xml:space="preserve"> </w:t>
      </w:r>
      <w:hyperlink w:anchor="ref-3">
        <m:oMathPara>
          <m:oMathParaPr>
            <m:jc m:val="center"/>
          </m:oMathParaPr>
          <m:oMath>
            <m:r>
              <m:t>3</m:t>
            </m:r>
          </m:oMath>
        </m:oMathPara>
      </w:hyperlink>
      <w:r>
        <w:t xml:space="preserve">. In Waltzian terms, credible capability need not be performed.</w:t>
      </w:r>
    </w:p>
    <w:p>
      <w:pPr>
        <w:pStyle w:val="FirstParagraph"/>
      </w:pPr>
      <w:r>
        <w:t xml:space="preserve">Herman Kahn supplies the sharper reading of the</w:t>
      </w:r>
      <w:r>
        <w:t xml:space="preserve"> </w:t>
      </w:r>
      <w:r>
        <w:rPr>
          <w:rStyle w:val="VerbatimChar"/>
        </w:rPr>
        <w:t xml:space="preserve">prior_kinetic</w:t>
      </w:r>
      <w:r>
        <w:t xml:space="preserve"> </w:t>
      </w:r>
      <w:r>
        <w:t xml:space="preserve">coefficient. Kahn’s escalation ladder was an argument about thresholds: rungs are not equally spaced, and the ones that matter are the ones whose crossing is publicly legible and hard to reverse</w:t>
      </w:r>
      <w:r>
        <w:t xml:space="preserve"> </w:t>
      </w:r>
      <w:hyperlink w:anchor="ref-9">
        <m:oMathPara>
          <m:oMathParaPr>
            <m:jc m:val="center"/>
          </m:oMathParaPr>
          <m:oMath>
            <m:r>
              <m:t>9</m:t>
            </m:r>
          </m:oMath>
        </m:oMathPara>
      </w:hyperlink>
      <w:r>
        <w:t xml:space="preserve">. Crossing into an intercept, and above all into an intercept against an object in orbit, is exactly such a rung, because it generates a physical, catalogued, adversary-verifiable consequence. Every destructive test in this dataset produced trackable debris: 285 pieces from the 1985 Solwind intercept, 3,533 from FengYun 1C, 174 from USA 193, 130 from Microsat-R, more than 1,800 from Cosmos 1408</w:t>
      </w:r>
      <w:r>
        <w:t xml:space="preserve"> </w:t>
      </w:r>
      <w:hyperlink w:anchor="ref-1">
        <m:oMathPara>
          <m:oMathParaPr>
            <m:jc m:val="center"/>
          </m:oMathParaPr>
          <m:oMath>
            <m:r>
              <m:t>1</m:t>
            </m:r>
          </m:oMath>
        </m:oMathPara>
      </w:hyperlink>
      <w:r>
        <w:t xml:space="preserve">[2][3][4], and the Secure World Foundation’s 2026 assessment counts 6,904 catalogued fragments from testing overall, of which 2,773 remain in orbit</w:t>
      </w:r>
      <w:r>
        <w:t xml:space="preserve"> </w:t>
      </w:r>
      <w:hyperlink w:anchor="ref-5">
        <m:oMathPara>
          <m:oMathParaPr>
            <m:jc m:val="center"/>
          </m:oMathParaPr>
          <m:oMath>
            <m:r>
              <m:t>5</m:t>
            </m:r>
          </m:oMath>
        </m:oMathPara>
      </w:hyperlink>
      <w:r>
        <w:t xml:space="preserve">. Boley and Byers have shown that this externality now scales badly against large constellations</w:t>
      </w:r>
      <w:r>
        <w:t xml:space="preserve"> </w:t>
      </w:r>
      <w:hyperlink w:anchor="ref-12">
        <m:oMathPara>
          <m:oMathParaPr>
            <m:jc m:val="center"/>
          </m:oMathParaPr>
          <m:oMath>
            <m:r>
              <m:t>12</m:t>
            </m:r>
          </m:oMath>
        </m:oMathPara>
      </w:hyperlink>
      <w:r>
        <w:t xml:space="preserve">. The lengthened silence after an intercept-bearing test is the observable trace of that threshold effect: having crossed a rung, states pause, because the rung imposed reputational and environmental costs they had not fully priced. Vincent Manzo’s cross-domain escalation analysis makes the same point about how badly the ladder metaphor travels into space and cyberspace, where rungs are ambiguous and thresholds are contested rather than agreed</w:t>
      </w:r>
      <w:r>
        <w:t xml:space="preserve"> </w:t>
      </w:r>
      <w:hyperlink w:anchor="ref-13">
        <m:oMathPara>
          <m:oMathParaPr>
            <m:jc m:val="center"/>
          </m:oMathParaPr>
          <m:oMath>
            <m:r>
              <m:t>13</m:t>
            </m:r>
          </m:oMath>
        </m:oMathPara>
      </w:hyperlink>
      <w:r>
        <w:t xml:space="preserve">.</w:t>
      </w:r>
    </w:p>
    <w:p>
      <w:pPr>
        <w:pStyle w:val="FirstParagraph"/>
      </w:pPr>
      <w:r>
        <w:t xml:space="preserve">Colin Gray supplies the caution that keeps this paper from over-claiming. Gray’s persistent complaint was that spacepower lacked a theory capable of bridging technical performance and political purpose, and that analysts substituted counting for strategy</w:t>
      </w:r>
      <w:r>
        <w:t xml:space="preserve"> </w:t>
      </w:r>
      <w:hyperlink w:anchor="ref-11">
        <m:oMathPara>
          <m:oMathParaPr>
            <m:jc m:val="center"/>
          </m:oMathParaPr>
          <m:oMath>
            <m:r>
              <m:t>11</m:t>
            </m:r>
          </m:oMath>
        </m:oMathPara>
      </w:hyperlink>
      <w:r>
        <w:t xml:space="preserve">[15]. A hazard model of test intervals is exactly the sort of counting Gray distrusted, and it should be read as he would have read it: as a constraint on explanation rather than an explanation. The negative result is the useful one. Any account of counterspace behaviour resting on tit-for-tat testing must explain why the tit-for-tat is invisible in the timing. The positive story lies beyond reach, because timing is a thin observable and the strategic content of a test lies in its context, its announcement and its audience. Namrata Goswami and Peter Garretson’s reading of Mission Shakti makes the point: India’s test was aimed less at Beijing than at a prospective future ban, an attempt to be grandfathered into a regime not yet written</w:t>
      </w:r>
      <w:r>
        <w:t xml:space="preserve"> </w:t>
      </w:r>
      <w:hyperlink w:anchor="ref-16">
        <m:oMathPara>
          <m:oMathParaPr>
            <m:jc m:val="center"/>
          </m:oMathParaPr>
          <m:oMath>
            <m:r>
              <m:t>16</m:t>
            </m:r>
          </m:oMath>
        </m:oMathPara>
      </w:hyperlink>
      <w:r>
        <w:t xml:space="preserve">, a motivation no covariate here could detect and one the Secure World Foundation’s own analysis independently endorses</w:t>
      </w:r>
      <w:r>
        <w:t xml:space="preserve"> </w:t>
      </w:r>
      <w:hyperlink w:anchor="ref-4">
        <m:oMathPara>
          <m:oMathParaPr>
            <m:jc m:val="center"/>
          </m:oMathParaPr>
          <m:oMath>
            <m:r>
              <m:t>4</m:t>
            </m:r>
          </m:oMath>
        </m:oMathPara>
      </w:hyperlink>
      <w:r>
        <w:t xml:space="preserve">.</w:t>
      </w:r>
    </w:p>
    <w:bookmarkEnd w:id="63"/>
    <w:bookmarkStart w:id="64" w:name="limits-and-what-follows"/>
    <w:p>
      <w:pPr>
        <w:pStyle w:val="Heading2"/>
      </w:pPr>
      <w:r>
        <w:t xml:space="preserve">4. Limits and what follows</w:t>
      </w:r>
    </w:p>
    <w:p>
      <w:pPr>
        <w:pStyle w:val="FirstParagraph"/>
      </w:pPr>
      <w:r>
        <w:t xml:space="preserve">Three limits bind the result. The sample is small, thirty-two spells and twenty-eight events, so absence of evidence for reciprocal signalling is not strong evidence of its absence. The universe is restricted to direct-ascent testing, and reciprocity may yet operate through co-orbital manoeuvre or electronic warfare, where the open-source record is thinner</w:t>
      </w:r>
      <w:r>
        <w:t xml:space="preserve"> </w:t>
      </w:r>
      <w:hyperlink w:anchor="ref-5">
        <m:oMathPara>
          <m:oMathParaPr>
            <m:jc m:val="center"/>
          </m:oMathParaPr>
          <m:oMath>
            <m:r>
              <m:t>5</m:t>
            </m:r>
          </m:oMath>
        </m:oMathPara>
      </w:hyperlink>
      <w:r>
        <w:t xml:space="preserve">[6][7]. And the dataset inherits the epistemics of open-source assessment: several Chinese entries are labelled</w:t>
      </w:r>
      <w:r>
        <w:t xml:space="preserve"> </w:t>
      </w:r>
      <w:r>
        <w:t xml:space="preserve">“possible DN-3”</w:t>
      </w:r>
      <w:r>
        <w:t xml:space="preserve"> </w:t>
      </w:r>
      <w:r>
        <w:t xml:space="preserve">on the strength of anonymous official statements and a photograph taken from a commercial airliner, and Brian Weeden’s methodological essay on this record is titled, aptly,</w:t>
      </w:r>
      <w:r>
        <w:t xml:space="preserve"> </w:t>
      </w:r>
      <w:r>
        <w:t xml:space="preserve">“Through a Glass, Darkly”</w:t>
      </w:r>
      <w:r>
        <w:t xml:space="preserve"> </w:t>
      </w:r>
      <w:hyperlink w:anchor="ref-17">
        <m:oMathPara>
          <m:oMathParaPr>
            <m:jc m:val="center"/>
          </m:oMathParaPr>
          <m:oMath>
            <m:r>
              <m:t>17</m:t>
            </m:r>
          </m:oMath>
        </m:oMathPara>
      </w:hyperlink>
      <w:r>
        <w:t xml:space="preserve">. Three of 352 cells, under one percent, carry an illustrative marker where the source reports a month without a day or leaves a result cell blank; every other cell is read directly from a published table.</w:t>
      </w:r>
    </w:p>
    <w:p>
      <w:pPr>
        <w:pStyle w:val="FirstParagraph"/>
      </w:pPr>
      <w:r>
        <w:t xml:space="preserve">What follows for the extended DIME framework is a caution about the military instrument in orbit. Demonstrative testing is treated in doctrine as a signalling tool, but signalling requires a receiver who can identify the signal, and this record suggests the receivers are not reading. That is an argument for building the legal and information instruments, attribution, notification and a shared catalogue, ahead of the military one, since a threshold that cannot be observed cannot function as a threshold at all.</w:t>
      </w:r>
    </w:p>
    <w:p>
      <w:r>
        <w:pict>
          <v:rect style="width:0;height:1.5pt" o:hralign="center" o:hrstd="t" o:hr="t"/>
        </w:pict>
      </w:r>
    </w:p>
    <w:bookmarkEnd w:id="64"/>
    <w:bookmarkStart w:id="90" w:name="references"/>
    <w:p>
      <w:pPr>
        <w:pStyle w:val="Heading2"/>
      </w:pPr>
      <w:r>
        <w:t xml:space="preserve">References</w:t>
      </w:r>
    </w:p>
    <w:p>
      <w:pPr>
        <w:pStyle w:val="FirstParagraph"/>
      </w:pPr>
      <w:bookmarkStart w:id="65" w:name="ref-1"/>
      <w:bookmarkEnd w:id="65"/>
      <w:r>
        <w:t xml:space="preserve">1. Secure World Foundation,</w:t>
      </w:r>
      <w:r>
        <w:t xml:space="preserve"> </w:t>
      </w:r>
      <w:r>
        <w:rPr>
          <w:i/>
          <w:iCs/>
        </w:rPr>
        <w:t xml:space="preserve">Chinese Direct-Ascent Anti-Satellite Testing</w:t>
      </w:r>
      <w:r>
        <w:t xml:space="preserve">, Fact Sheet, June 2026, including the table</w:t>
      </w:r>
      <w:r>
        <w:t xml:space="preserve"> </w:t>
      </w:r>
      <w:r>
        <w:t xml:space="preserve">“Summary of Known or Suspected Chinese DA-ASAT Tests in Space.”</w:t>
      </w:r>
      <w:r>
        <w:t xml:space="preserve"> </w:t>
      </w:r>
      <w:r>
        <w:t xml:space="preserve">https://www.swfound.org/publications-and-reports/chinese-direct-ascent-anti-satellite-testing-fact-sheet</w:t>
      </w:r>
    </w:p>
    <w:p>
      <w:pPr>
        <w:pStyle w:val="BodyText"/>
      </w:pPr>
      <w:bookmarkStart w:id="66" w:name="ref-2"/>
      <w:bookmarkEnd w:id="66"/>
      <w:r>
        <w:t xml:space="preserve">2. Secure World Foundation,</w:t>
      </w:r>
      <w:r>
        <w:t xml:space="preserve"> </w:t>
      </w:r>
      <w:r>
        <w:rPr>
          <w:i/>
          <w:iCs/>
        </w:rPr>
        <w:t xml:space="preserve">Russian Direct Ascent Anti-Satellite Testing</w:t>
      </w:r>
      <w:r>
        <w:t xml:space="preserve">, Fact Sheet FS24/6, December 2024, including the table</w:t>
      </w:r>
      <w:r>
        <w:t xml:space="preserve"> </w:t>
      </w:r>
      <w:r>
        <w:t xml:space="preserve">“Summary of Known or Suspected Russian DA-ASAT Tests in Space.”</w:t>
      </w:r>
      <w:r>
        <w:t xml:space="preserve"> </w:t>
      </w:r>
      <w:r>
        <w:t xml:space="preserve">https://www.swfound.org/publications-and-reports/russian-direct-ascent-anti-satellite-testing-fact-sheet</w:t>
      </w:r>
    </w:p>
    <w:p>
      <w:pPr>
        <w:pStyle w:val="BodyText"/>
      </w:pPr>
      <w:bookmarkStart w:id="67" w:name="ref-3"/>
      <w:bookmarkEnd w:id="67"/>
      <w:r>
        <w:t xml:space="preserve">3. Secure World Foundation,</w:t>
      </w:r>
      <w:r>
        <w:t xml:space="preserve"> </w:t>
      </w:r>
      <w:r>
        <w:rPr>
          <w:i/>
          <w:iCs/>
        </w:rPr>
        <w:t xml:space="preserve">US Direct-Ascent Anti-Satellite Testing</w:t>
      </w:r>
      <w:r>
        <w:t xml:space="preserve">, Fact Sheet FS26/9, June 2026, including the table</w:t>
      </w:r>
      <w:r>
        <w:t xml:space="preserve"> </w:t>
      </w:r>
      <w:r>
        <w:t xml:space="preserve">“History of US DA-ASAT Testing.”</w:t>
      </w:r>
      <w:r>
        <w:t xml:space="preserve"> </w:t>
      </w:r>
      <w:r>
        <w:t xml:space="preserve">https://www.swfound.org/publications-and-reports/u-s-direct-ascent-anti-satellite-testing-fact-sheet</w:t>
      </w:r>
    </w:p>
    <w:p>
      <w:pPr>
        <w:pStyle w:val="BodyText"/>
      </w:pPr>
      <w:bookmarkStart w:id="68" w:name="ref-4"/>
      <w:bookmarkEnd w:id="68"/>
      <w:r>
        <w:t xml:space="preserve">4. Secure World Foundation,</w:t>
      </w:r>
      <w:r>
        <w:t xml:space="preserve"> </w:t>
      </w:r>
      <w:r>
        <w:rPr>
          <w:i/>
          <w:iCs/>
        </w:rPr>
        <w:t xml:space="preserve">Indian Direct-Ascent Anti-Satellite Testing</w:t>
      </w:r>
      <w:r>
        <w:t xml:space="preserve">, Fact Sheet, June 2026, including the table</w:t>
      </w:r>
      <w:r>
        <w:t xml:space="preserve"> </w:t>
      </w:r>
      <w:r>
        <w:t xml:space="preserve">“Summary of Known or Suspected Indian DA-ASAT Tests in Space.”</w:t>
      </w:r>
      <w:r>
        <w:t xml:space="preserve"> </w:t>
      </w:r>
      <w:r>
        <w:t xml:space="preserve">https://www.swfound.org/publications-and-reports/indian-direct-ascent-anti-satellite-testing-fact-sheet</w:t>
      </w:r>
    </w:p>
    <w:p>
      <w:pPr>
        <w:pStyle w:val="BodyText"/>
      </w:pPr>
      <w:bookmarkStart w:id="69" w:name="ref-5"/>
      <w:bookmarkEnd w:id="69"/>
      <w:r>
        <w:t xml:space="preserve">5. V. Samson and K. Brett (eds.),</w:t>
      </w:r>
      <w:r>
        <w:t xml:space="preserve"> </w:t>
      </w:r>
      <w:r>
        <w:rPr>
          <w:i/>
          <w:iCs/>
        </w:rPr>
        <w:t xml:space="preserve">Global Counterspace Capabilities: An Open Source Assessment</w:t>
      </w:r>
      <w:r>
        <w:t xml:space="preserve">, Secure World Foundation, 8 April 2026. https://swfound.org/counterspace/</w:t>
      </w:r>
    </w:p>
    <w:p>
      <w:pPr>
        <w:pStyle w:val="BodyText"/>
      </w:pPr>
      <w:bookmarkStart w:id="70" w:name="ref-6"/>
      <w:bookmarkEnd w:id="70"/>
      <w:r>
        <w:t xml:space="preserve">6. V. Samson and L. Cesari (eds.),</w:t>
      </w:r>
      <w:r>
        <w:t xml:space="preserve"> </w:t>
      </w:r>
      <w:r>
        <w:rPr>
          <w:i/>
          <w:iCs/>
        </w:rPr>
        <w:t xml:space="preserve">Global Counterspace Capabilities: An Open Source Assessment</w:t>
      </w:r>
      <w:r>
        <w:t xml:space="preserve">, Secure World Foundation, 8 April 2025. https://www.swfound.org/publications-and-reports/2025-global-counterspace-capabilities-report</w:t>
      </w:r>
    </w:p>
    <w:p>
      <w:pPr>
        <w:pStyle w:val="BodyText"/>
      </w:pPr>
      <w:bookmarkStart w:id="71" w:name="ref-7"/>
      <w:bookmarkEnd w:id="71"/>
      <w:r>
        <w:t xml:space="preserve">7. Center for Strategic and International Studies, Aerospace Security Project,</w:t>
      </w:r>
      <w:r>
        <w:t xml:space="preserve"> </w:t>
      </w:r>
      <w:r>
        <w:rPr>
          <w:i/>
          <w:iCs/>
        </w:rPr>
        <w:t xml:space="preserve">Space Threat Assessment 2025</w:t>
      </w:r>
      <w:r>
        <w:t xml:space="preserve">, Washington, DC, 2025. https://aerospace.csis.org/space-threat-assessment-2025/</w:t>
      </w:r>
    </w:p>
    <w:p>
      <w:pPr>
        <w:pStyle w:val="BodyText"/>
      </w:pPr>
      <w:bookmarkStart w:id="72" w:name="ref-8"/>
      <w:bookmarkEnd w:id="72"/>
      <w:r>
        <w:t xml:space="preserve">8. T. C. Schelling,</w:t>
      </w:r>
      <w:r>
        <w:t xml:space="preserve"> </w:t>
      </w:r>
      <w:r>
        <w:rPr>
          <w:i/>
          <w:iCs/>
        </w:rPr>
        <w:t xml:space="preserve">Arms and Influence</w:t>
      </w:r>
      <w:r>
        <w:t xml:space="preserve">, New Haven: Yale University Press, 1966; and</w:t>
      </w:r>
      <w:r>
        <w:t xml:space="preserve"> </w:t>
      </w:r>
      <w:r>
        <w:rPr>
          <w:i/>
          <w:iCs/>
        </w:rPr>
        <w:t xml:space="preserve">The Strategy of Conflict</w:t>
      </w:r>
      <w:r>
        <w:t xml:space="preserve">, Cambridge: Harvard University Press, 1960.</w:t>
      </w:r>
    </w:p>
    <w:p>
      <w:pPr>
        <w:pStyle w:val="BodyText"/>
      </w:pPr>
      <w:bookmarkStart w:id="73" w:name="ref-9"/>
      <w:bookmarkEnd w:id="73"/>
      <w:r>
        <w:t xml:space="preserve">9. H. Kahn,</w:t>
      </w:r>
      <w:r>
        <w:t xml:space="preserve"> </w:t>
      </w:r>
      <w:r>
        <w:rPr>
          <w:i/>
          <w:iCs/>
        </w:rPr>
        <w:t xml:space="preserve">On Escalation: Metaphors and Scenarios</w:t>
      </w:r>
      <w:r>
        <w:t xml:space="preserve">, New York: Praeger, 1965.</w:t>
      </w:r>
    </w:p>
    <w:p>
      <w:pPr>
        <w:pStyle w:val="BodyText"/>
      </w:pPr>
      <w:bookmarkStart w:id="74" w:name="ref-10"/>
      <w:bookmarkEnd w:id="74"/>
      <w:r>
        <w:t xml:space="preserve">10. K. N. Waltz,</w:t>
      </w:r>
      <w:r>
        <w:t xml:space="preserve"> </w:t>
      </w:r>
      <w:r>
        <w:rPr>
          <w:i/>
          <w:iCs/>
        </w:rPr>
        <w:t xml:space="preserve">Theory of International Politics</w:t>
      </w:r>
      <w:r>
        <w:t xml:space="preserve">, Reading: Addison-Wesley, 1979.</w:t>
      </w:r>
    </w:p>
    <w:p>
      <w:pPr>
        <w:pStyle w:val="BodyText"/>
      </w:pPr>
      <w:bookmarkStart w:id="75" w:name="ref-11"/>
      <w:bookmarkEnd w:id="75"/>
      <w:r>
        <w:t xml:space="preserve">11. C. S. Gray,</w:t>
      </w:r>
      <w:r>
        <w:t xml:space="preserve"> </w:t>
      </w:r>
      <w:r>
        <w:t xml:space="preserve">“Inescapable Geography,”</w:t>
      </w:r>
      <w:r>
        <w:t xml:space="preserve"> </w:t>
      </w:r>
      <w:r>
        <w:rPr>
          <w:i/>
          <w:iCs/>
        </w:rPr>
        <w:t xml:space="preserve">Journal of Strategic Studies</w:t>
      </w:r>
      <w:r>
        <w:t xml:space="preserve">, vol. 22, no. 2-3, 1999. doi:</w:t>
      </w:r>
      <w:r>
        <w:t xml:space="preserve"> </w:t>
      </w:r>
      <w:hyperlink r:id="rId76">
        <w:r>
          <w:rPr>
            <w:rStyle w:val="Hyperlink"/>
          </w:rPr>
          <w:t xml:space="preserve">10.1080/01402399908437759</w:t>
        </w:r>
      </w:hyperlink>
    </w:p>
    <w:p>
      <w:pPr>
        <w:pStyle w:val="BodyText"/>
      </w:pPr>
      <w:bookmarkStart w:id="77" w:name="ref-12"/>
      <w:bookmarkEnd w:id="77"/>
      <w:r>
        <w:t xml:space="preserve">12. A. C. Boley and M. Byers,</w:t>
      </w:r>
      <w:r>
        <w:t xml:space="preserve"> </w:t>
      </w:r>
      <w:r>
        <w:t xml:space="preserve">“Anti-satellite weapon tests to disrupt large satellite constellations,”</w:t>
      </w:r>
      <w:r>
        <w:t xml:space="preserve"> </w:t>
      </w:r>
      <w:r>
        <w:rPr>
          <w:i/>
          <w:iCs/>
        </w:rPr>
        <w:t xml:space="preserve">Nature Astronomy</w:t>
      </w:r>
      <w:r>
        <w:t xml:space="preserve">, 2023. doi:</w:t>
      </w:r>
      <w:r>
        <w:t xml:space="preserve"> </w:t>
      </w:r>
      <w:hyperlink r:id="rId78">
        <w:r>
          <w:rPr>
            <w:rStyle w:val="Hyperlink"/>
          </w:rPr>
          <w:t xml:space="preserve">10.1038/s41550-023-02173-9</w:t>
        </w:r>
      </w:hyperlink>
    </w:p>
    <w:p>
      <w:pPr>
        <w:pStyle w:val="BodyText"/>
      </w:pPr>
      <w:bookmarkStart w:id="79" w:name="ref-13"/>
      <w:bookmarkEnd w:id="79"/>
      <w:r>
        <w:t xml:space="preserve">13. V. Manzo,</w:t>
      </w:r>
      <w:r>
        <w:t xml:space="preserve"> </w:t>
      </w:r>
      <w:r>
        <w:t xml:space="preserve">“Deterrence and Escalation in Cross-Domain Operations: Where Do Space and Cyberspace Fit?,”</w:t>
      </w:r>
      <w:r>
        <w:t xml:space="preserve"> </w:t>
      </w:r>
      <w:r>
        <w:rPr>
          <w:i/>
          <w:iCs/>
        </w:rPr>
        <w:t xml:space="preserve">Strategic Forum</w:t>
      </w:r>
      <w:r>
        <w:t xml:space="preserve"> </w:t>
      </w:r>
      <w:r>
        <w:t xml:space="preserve">No. 272, National Defense University, 2011. doi:</w:t>
      </w:r>
      <w:r>
        <w:t xml:space="preserve"> </w:t>
      </w:r>
      <w:hyperlink r:id="rId80">
        <w:r>
          <w:rPr>
            <w:rStyle w:val="Hyperlink"/>
          </w:rPr>
          <w:t xml:space="preserve">10.21236/ada577439</w:t>
        </w:r>
      </w:hyperlink>
    </w:p>
    <w:p>
      <w:pPr>
        <w:pStyle w:val="BodyText"/>
      </w:pPr>
      <w:bookmarkStart w:id="81" w:name="ref-14"/>
      <w:bookmarkEnd w:id="81"/>
      <w:r>
        <w:t xml:space="preserve">14. A. J. Tellis,</w:t>
      </w:r>
      <w:r>
        <w:t xml:space="preserve"> </w:t>
      </w:r>
      <w:r>
        <w:t xml:space="preserve">“China’s Military Space Strategy,”</w:t>
      </w:r>
      <w:r>
        <w:t xml:space="preserve"> </w:t>
      </w:r>
      <w:r>
        <w:rPr>
          <w:i/>
          <w:iCs/>
        </w:rPr>
        <w:t xml:space="preserve">Survival</w:t>
      </w:r>
      <w:r>
        <w:t xml:space="preserve">, vol. 49, no. 3, 2007. doi:</w:t>
      </w:r>
      <w:r>
        <w:t xml:space="preserve"> </w:t>
      </w:r>
      <w:hyperlink r:id="rId82">
        <w:r>
          <w:rPr>
            <w:rStyle w:val="Hyperlink"/>
          </w:rPr>
          <w:t xml:space="preserve">10.1080/00396330701564752</w:t>
        </w:r>
      </w:hyperlink>
    </w:p>
    <w:p>
      <w:pPr>
        <w:pStyle w:val="BodyText"/>
      </w:pPr>
      <w:bookmarkStart w:id="83" w:name="ref-15"/>
      <w:bookmarkEnd w:id="83"/>
      <w:r>
        <w:t xml:space="preserve">15. B. Bowen,</w:t>
      </w:r>
      <w:r>
        <w:t xml:space="preserve"> </w:t>
      </w:r>
      <w:r>
        <w:rPr>
          <w:i/>
          <w:iCs/>
        </w:rPr>
        <w:t xml:space="preserve">War in Space: Strategy, Spacepower, Geopolitics</w:t>
      </w:r>
      <w:r>
        <w:t xml:space="preserve">, Edinburgh: Edinburgh University Press, 2020. doi:</w:t>
      </w:r>
      <w:r>
        <w:t xml:space="preserve"> </w:t>
      </w:r>
      <w:hyperlink r:id="rId84">
        <w:r>
          <w:rPr>
            <w:rStyle w:val="Hyperlink"/>
          </w:rPr>
          <w:t xml:space="preserve">10.3366/edinburgh/9781474450485.001.0001</w:t>
        </w:r>
      </w:hyperlink>
    </w:p>
    <w:p>
      <w:pPr>
        <w:pStyle w:val="BodyText"/>
      </w:pPr>
      <w:bookmarkStart w:id="85" w:name="ref-16"/>
      <w:bookmarkEnd w:id="85"/>
      <w:r>
        <w:t xml:space="preserve">16. N. Goswami and P. A. Garretson,</w:t>
      </w:r>
      <w:r>
        <w:t xml:space="preserve"> </w:t>
      </w:r>
      <w:r>
        <w:rPr>
          <w:i/>
          <w:iCs/>
        </w:rPr>
        <w:t xml:space="preserve">Scramble for the Skies: The Great Power Competition to Control the Resources of Outer Space</w:t>
      </w:r>
      <w:r>
        <w:t xml:space="preserve">, Lanham: Lexington Books, 2020.</w:t>
      </w:r>
    </w:p>
    <w:p>
      <w:pPr>
        <w:pStyle w:val="BodyText"/>
      </w:pPr>
      <w:bookmarkStart w:id="86" w:name="ref-17"/>
      <w:bookmarkEnd w:id="86"/>
      <w:r>
        <w:t xml:space="preserve">17. B. Weeden,</w:t>
      </w:r>
      <w:r>
        <w:t xml:space="preserve"> </w:t>
      </w:r>
      <w:r>
        <w:t xml:space="preserve">“Through a Glass, Darkly: Chinese, American, and Russian Anti-satellite Testing in Space,”</w:t>
      </w:r>
      <w:r>
        <w:t xml:space="preserve"> </w:t>
      </w:r>
      <w:r>
        <w:t xml:space="preserve">Secure World Foundation, 17 March 2014. https://www.swfound.org/publications-and-reports/through-a-glass-darkly-chinese-american-russian-anti-satellite-testing-space-2014</w:t>
      </w:r>
    </w:p>
    <w:p>
      <w:pPr>
        <w:pStyle w:val="BodyText"/>
      </w:pPr>
      <w:bookmarkStart w:id="87" w:name="ref-18"/>
      <w:bookmarkEnd w:id="87"/>
      <w:r>
        <w:t xml:space="preserve">18. D. R. Cox,</w:t>
      </w:r>
      <w:r>
        <w:t xml:space="preserve"> </w:t>
      </w:r>
      <w:r>
        <w:t xml:space="preserve">“Regression Models and Life-Tables,”</w:t>
      </w:r>
      <w:r>
        <w:t xml:space="preserve"> </w:t>
      </w:r>
      <w:r>
        <w:rPr>
          <w:i/>
          <w:iCs/>
        </w:rPr>
        <w:t xml:space="preserve">Journal of the Royal Statistical Society: Series B</w:t>
      </w:r>
      <w:r>
        <w:t xml:space="preserve">, vol. 34, no. 2, pp. 187-220, 1972.</w:t>
      </w:r>
    </w:p>
    <w:p>
      <w:pPr>
        <w:pStyle w:val="BodyText"/>
      </w:pPr>
      <w:bookmarkStart w:id="88" w:name="ref-19"/>
      <w:bookmarkEnd w:id="88"/>
      <w:r>
        <w:t xml:space="preserve">19. C. Davidson-Pilon,</w:t>
      </w:r>
      <w:r>
        <w:t xml:space="preserve"> </w:t>
      </w:r>
      <w:r>
        <w:t xml:space="preserve">“lifelines: survival analysis in Python,”</w:t>
      </w:r>
      <w:r>
        <w:t xml:space="preserve"> </w:t>
      </w:r>
      <w:r>
        <w:rPr>
          <w:i/>
          <w:iCs/>
        </w:rPr>
        <w:t xml:space="preserve">Journal of Open Source Software</w:t>
      </w:r>
      <w:r>
        <w:t xml:space="preserve">, vol. 4, no. 40, 1317, 2019. doi:</w:t>
      </w:r>
      <w:r>
        <w:t xml:space="preserve"> </w:t>
      </w:r>
      <w:hyperlink r:id="rId89">
        <w:r>
          <w:rPr>
            <w:rStyle w:val="Hyperlink"/>
          </w:rPr>
          <w:t xml:space="preserve">10.21105/joss.01317</w:t>
        </w:r>
      </w:hyperlink>
    </w:p>
    <w:bookmarkEnd w:id="90"/>
    <w:bookmarkStart w:id="91" w:name="specification"/>
    <w:p>
      <w:pPr>
        <w:pStyle w:val="Heading2"/>
      </w:pPr>
      <w:r>
        <w:t xml:space="preserve">Specification</w:t>
      </w:r>
    </w:p>
    <w:p>
      <w:pPr>
        <w:pStyle w:val="FirstParagraph"/>
      </w:pPr>
      <w:r>
        <w:t xml:space="preserve">$$ \[ h_i(t \mid \mathbf{x}_i) \;=\; h_0(t)\,\exp\!\big( \beta_1\,\text{prior\_tests}_i \;+\; \beta_2\,\text{rival\_tests\_24mo}_i \;+\; \beta_3\,\text{prior\_kinetic}_i \big), \qquad t = \text{duration\_months} $$</w:t>
      </w:r>
    </w:p>
    <w:p>
      <w:pPr>
        <w:pStyle w:val="FirstParagraph"/>
      </w:pPr>
      <w:r>
        <w:t xml:space="preserve">]</w:t>
      </w:r>
    </w:p>
    <w:bookmarkEnd w:id="91"/>
    <w:bookmarkStart w:id="95" w:name="results-1"/>
    <w:p>
      <w:pPr>
        <w:pStyle w:val="Heading2"/>
      </w:pPr>
      <w:r>
        <w:t xml:space="preserve">Results</w:t>
      </w:r>
    </w:p>
    <w:tbl>
      <w:tblPr>
        <w:tblStyle w:val="Table"/>
        <w:tblLook w:firstRow="1" w:lastRow="0" w:firstColumn="0" w:lastColumn="0" w:noHBand="0" w:noVBand="0" w:val="0020"/>
        <w:tblLayout w:type="autofit"/>
        <w:tblW w:w="0" w:type="auto"/>
      </w:tblPr>
      <w:tblGrid>
        <w:gridCol w:w="1131"/>
        <w:gridCol w:w="1131"/>
        <w:gridCol w:w="1131"/>
        <w:gridCol w:w="1131"/>
        <w:gridCol w:w="1131"/>
        <w:gridCol w:w="1131"/>
        <w:gridCol w:w="1131"/>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z</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c>
          <w:tcPr>
            <w:tcW w:w="0" w:type="auto"/>
          </w:tcPr>
          <w:p>
            <w:pPr>
              <w:spacing w:line="240" w:lineRule="auto" w:before="0" w:after="0"/>
              <w:pStyle w:val="Compact"/>
            </w:pPr>
            <w:r>
              <w:rPr>
                <w:sz w:val="20"/>
                <w:szCs w:val="20"/>
              </w:rPr>
              <w:t xml:space="preserve">Hazard ratio</w:t>
            </w:r>
          </w:p>
        </w:tc>
      </w:tr>
      <w:tr>
        <w:tc>
          <w:tcPr>
            <w:tcW w:w="0" w:type="auto"/>
          </w:tcPr>
          <w:p>
            <w:pPr>
              <w:spacing w:line="240" w:lineRule="auto" w:before="0" w:after="0"/>
              <w:pStyle w:val="Compact"/>
            </w:pPr>
            <w:r>
              <w:rPr>
                <w:sz w:val="20"/>
                <w:szCs w:val="20"/>
              </w:rPr>
              <w:t xml:space="preserve">prior_tests</w:t>
            </w:r>
          </w:p>
        </w:tc>
        <w:tc>
          <w:tcPr>
            <w:tcW w:w="0" w:type="auto"/>
          </w:tcPr>
          <w:p>
            <w:pPr>
              <w:spacing w:line="240" w:lineRule="auto" w:before="0" w:after="0"/>
              <w:pStyle w:val="Compact"/>
            </w:pPr>
            <w:r>
              <w:rPr>
                <w:sz w:val="20"/>
                <w:szCs w:val="20"/>
              </w:rPr>
              <w:t xml:space="preserve">-0.0803</w:t>
            </w:r>
          </w:p>
        </w:tc>
        <w:tc>
          <w:tcPr>
            <w:tcW w:w="0" w:type="auto"/>
          </w:tcPr>
          <w:p>
            <w:pPr>
              <w:spacing w:line="240" w:lineRule="auto" w:before="0" w:after="0"/>
              <w:pStyle w:val="Compact"/>
            </w:pPr>
            <w:r>
              <w:rPr>
                <w:sz w:val="20"/>
                <w:szCs w:val="20"/>
              </w:rPr>
              <w:t xml:space="preserve">0.0595</w:t>
            </w:r>
          </w:p>
        </w:tc>
        <w:tc>
          <w:tcPr>
            <w:tcW w:w="0" w:type="auto"/>
          </w:tcPr>
          <w:p>
            <w:pPr>
              <w:spacing w:line="240" w:lineRule="auto" w:before="0" w:after="0"/>
              <w:pStyle w:val="Compact"/>
            </w:pPr>
            <w:r>
              <w:rPr>
                <w:sz w:val="20"/>
                <w:szCs w:val="20"/>
              </w:rPr>
              <w:t xml:space="preserve">-1.3503</w:t>
            </w:r>
          </w:p>
        </w:tc>
        <w:tc>
          <w:tcPr>
            <w:tcW w:w="0" w:type="auto"/>
          </w:tcPr>
          <w:p>
            <w:pPr>
              <w:spacing w:line="240" w:lineRule="auto" w:before="0" w:after="0"/>
              <w:pStyle w:val="Compact"/>
            </w:pPr>
            <w:r>
              <w:rPr>
                <w:sz w:val="20"/>
                <w:szCs w:val="20"/>
              </w:rPr>
              <w:t xml:space="preserve">0.1769</w:t>
            </w:r>
          </w:p>
        </w:tc>
        <w:tc>
          <w:tcPr>
            <w:tcW w:w="0" w:type="auto"/>
          </w:tcPr>
          <w:p>
            <w:pPr>
              <w:spacing w:line="240" w:lineRule="auto" w:before="0" w:after="0"/>
              <w:pStyle w:val="Compact"/>
            </w:pPr>
            <w:r>
              <w:rPr>
                <w:sz w:val="20"/>
                <w:szCs w:val="20"/>
              </w:rPr>
              <w:t xml:space="preserve">[-0.1969, 0.0363]</w:t>
            </w:r>
          </w:p>
        </w:tc>
        <w:tc>
          <w:tcPr>
            <w:tcW w:w="0" w:type="auto"/>
          </w:tcPr>
          <w:p>
            <w:pPr>
              <w:spacing w:line="240" w:lineRule="auto" w:before="0" w:after="0"/>
              <w:pStyle w:val="Compact"/>
            </w:pPr>
            <w:r>
              <w:rPr>
                <w:sz w:val="20"/>
                <w:szCs w:val="20"/>
              </w:rPr>
              <w:t xml:space="preserve">0.9228</w:t>
            </w:r>
          </w:p>
        </w:tc>
      </w:tr>
      <w:tr>
        <w:tc>
          <w:tcPr>
            <w:tcW w:w="0" w:type="auto"/>
          </w:tcPr>
          <w:p>
            <w:pPr>
              <w:spacing w:line="240" w:lineRule="auto" w:before="0" w:after="0"/>
              <w:pStyle w:val="Compact"/>
            </w:pPr>
            <w:r>
              <w:rPr>
                <w:sz w:val="20"/>
                <w:szCs w:val="20"/>
              </w:rPr>
              <w:t xml:space="preserve">rival_tests_24mo</w:t>
            </w:r>
          </w:p>
        </w:tc>
        <w:tc>
          <w:tcPr>
            <w:tcW w:w="0" w:type="auto"/>
          </w:tcPr>
          <w:p>
            <w:pPr>
              <w:spacing w:line="240" w:lineRule="auto" w:before="0" w:after="0"/>
              <w:pStyle w:val="Compact"/>
            </w:pPr>
            <w:r>
              <w:rPr>
                <w:sz w:val="20"/>
                <w:szCs w:val="20"/>
              </w:rPr>
              <w:t xml:space="preserve">0.1122</w:t>
            </w:r>
          </w:p>
        </w:tc>
        <w:tc>
          <w:tcPr>
            <w:tcW w:w="0" w:type="auto"/>
          </w:tcPr>
          <w:p>
            <w:pPr>
              <w:spacing w:line="240" w:lineRule="auto" w:before="0" w:after="0"/>
              <w:pStyle w:val="Compact"/>
            </w:pPr>
            <w:r>
              <w:rPr>
                <w:sz w:val="20"/>
                <w:szCs w:val="20"/>
              </w:rPr>
              <w:t xml:space="preserve">0.1351</w:t>
            </w:r>
          </w:p>
        </w:tc>
        <w:tc>
          <w:tcPr>
            <w:tcW w:w="0" w:type="auto"/>
          </w:tcPr>
          <w:p>
            <w:pPr>
              <w:spacing w:line="240" w:lineRule="auto" w:before="0" w:after="0"/>
              <w:pStyle w:val="Compact"/>
            </w:pPr>
            <w:r>
              <w:rPr>
                <w:sz w:val="20"/>
                <w:szCs w:val="20"/>
              </w:rPr>
              <w:t xml:space="preserve">0.8302</w:t>
            </w:r>
          </w:p>
        </w:tc>
        <w:tc>
          <w:tcPr>
            <w:tcW w:w="0" w:type="auto"/>
          </w:tcPr>
          <w:p>
            <w:pPr>
              <w:spacing w:line="240" w:lineRule="auto" w:before="0" w:after="0"/>
              <w:pStyle w:val="Compact"/>
            </w:pPr>
            <w:r>
              <w:rPr>
                <w:sz w:val="20"/>
                <w:szCs w:val="20"/>
              </w:rPr>
              <w:t xml:space="preserve">0.4064</w:t>
            </w:r>
          </w:p>
        </w:tc>
        <w:tc>
          <w:tcPr>
            <w:tcW w:w="0" w:type="auto"/>
          </w:tcPr>
          <w:p>
            <w:pPr>
              <w:spacing w:line="240" w:lineRule="auto" w:before="0" w:after="0"/>
              <w:pStyle w:val="Compact"/>
            </w:pPr>
            <w:r>
              <w:rPr>
                <w:sz w:val="20"/>
                <w:szCs w:val="20"/>
              </w:rPr>
              <w:t xml:space="preserve">[-0.1527, 0.377]</w:t>
            </w:r>
          </w:p>
        </w:tc>
        <w:tc>
          <w:tcPr>
            <w:tcW w:w="0" w:type="auto"/>
          </w:tcPr>
          <w:p>
            <w:pPr>
              <w:spacing w:line="240" w:lineRule="auto" w:before="0" w:after="0"/>
              <w:pStyle w:val="Compact"/>
            </w:pPr>
            <w:r>
              <w:rPr>
                <w:sz w:val="20"/>
                <w:szCs w:val="20"/>
              </w:rPr>
              <w:t xml:space="preserve">1.1187</w:t>
            </w:r>
          </w:p>
        </w:tc>
      </w:tr>
      <w:tr>
        <w:tc>
          <w:tcPr>
            <w:tcW w:w="0" w:type="auto"/>
          </w:tcPr>
          <w:p>
            <w:pPr>
              <w:spacing w:line="240" w:lineRule="auto" w:before="0" w:after="0"/>
              <w:pStyle w:val="Compact"/>
            </w:pPr>
            <w:r>
              <w:rPr>
                <w:sz w:val="20"/>
                <w:szCs w:val="20"/>
              </w:rPr>
              <w:t xml:space="preserve">prior_kinetic</w:t>
            </w:r>
          </w:p>
        </w:tc>
        <w:tc>
          <w:tcPr>
            <w:tcW w:w="0" w:type="auto"/>
          </w:tcPr>
          <w:p>
            <w:pPr>
              <w:spacing w:line="240" w:lineRule="auto" w:before="0" w:after="0"/>
              <w:pStyle w:val="Compact"/>
            </w:pPr>
            <w:r>
              <w:rPr>
                <w:sz w:val="20"/>
                <w:szCs w:val="20"/>
              </w:rPr>
              <w:t xml:space="preserve">-0.642</w:t>
            </w:r>
          </w:p>
        </w:tc>
        <w:tc>
          <w:tcPr>
            <w:tcW w:w="0" w:type="auto"/>
          </w:tcPr>
          <w:p>
            <w:pPr>
              <w:spacing w:line="240" w:lineRule="auto" w:before="0" w:after="0"/>
              <w:pStyle w:val="Compact"/>
            </w:pPr>
            <w:r>
              <w:rPr>
                <w:sz w:val="20"/>
                <w:szCs w:val="20"/>
              </w:rPr>
              <w:t xml:space="preserve">0.4418</w:t>
            </w:r>
          </w:p>
        </w:tc>
        <w:tc>
          <w:tcPr>
            <w:tcW w:w="0" w:type="auto"/>
          </w:tcPr>
          <w:p>
            <w:pPr>
              <w:spacing w:line="240" w:lineRule="auto" w:before="0" w:after="0"/>
              <w:pStyle w:val="Compact"/>
            </w:pPr>
            <w:r>
              <w:rPr>
                <w:sz w:val="20"/>
                <w:szCs w:val="20"/>
              </w:rPr>
              <w:t xml:space="preserve">-1.4531</w:t>
            </w:r>
          </w:p>
        </w:tc>
        <w:tc>
          <w:tcPr>
            <w:tcW w:w="0" w:type="auto"/>
          </w:tcPr>
          <w:p>
            <w:pPr>
              <w:spacing w:line="240" w:lineRule="auto" w:before="0" w:after="0"/>
              <w:pStyle w:val="Compact"/>
            </w:pPr>
            <w:r>
              <w:rPr>
                <w:sz w:val="20"/>
                <w:szCs w:val="20"/>
              </w:rPr>
              <w:t xml:space="preserve">0.1462</w:t>
            </w:r>
          </w:p>
        </w:tc>
        <w:tc>
          <w:tcPr>
            <w:tcW w:w="0" w:type="auto"/>
          </w:tcPr>
          <w:p>
            <w:pPr>
              <w:spacing w:line="240" w:lineRule="auto" w:before="0" w:after="0"/>
              <w:pStyle w:val="Compact"/>
            </w:pPr>
            <w:r>
              <w:rPr>
                <w:sz w:val="20"/>
                <w:szCs w:val="20"/>
              </w:rPr>
              <w:t xml:space="preserve">[-1.508, 0.224]</w:t>
            </w:r>
          </w:p>
        </w:tc>
        <w:tc>
          <w:tcPr>
            <w:tcW w:w="0" w:type="auto"/>
          </w:tcPr>
          <w:p>
            <w:pPr>
              <w:spacing w:line="240" w:lineRule="auto" w:before="0" w:after="0"/>
              <w:pStyle w:val="Compact"/>
            </w:pPr>
            <w:r>
              <w:rPr>
                <w:sz w:val="20"/>
                <w:szCs w:val="20"/>
              </w:rPr>
              <w:t xml:space="preserve">0.5262</w:t>
            </w:r>
          </w:p>
        </w:tc>
      </w:tr>
    </w:tbl>
    <w:p>
      <w:pPr>
        <w:pStyle w:val="BodyText"/>
      </w:pPr>
      <w:r>
        <w:t xml:space="preserve">Fit: N = 32 events = 28</w:t>
      </w:r>
    </w:p>
    <w:p>
      <w:pPr>
        <w:pStyle w:val="CaptionedFigure"/>
      </w:pPr>
      <w:r>
        <w:drawing>
          <wp:inline>
            <wp:extent cx="5669280" cy="3657600"/>
            <wp:effectExtent b="0" l="0" r="0" t="0"/>
            <wp:docPr descr="Figure 1. Inter-test intervals for thirty-two direct-ascent counterspace spells across four testing states, 1984 to 2026, plotted against accumulated programme experience. Pooled Cox proportional-hazards estimates are beta_1 = -0.080 for prior tests (HR 0.92, p = 0.18), beta_2 = 0.110 for rival tests in the preceding twenty-four months (HR 1.12, p = 0.42), and beta_3 = -0.647 for a prior intercept-bearing test (HR 0.52, p = 0.14). The joint likelihood-ratio test yields p = 0.17 with a concordance of 0.61, and the proportional-hazards assumption is not rejected. The median observed inter-test interval is 10.7 months. Stratifying the baseline hazard by actor sharpens the experience effect to beta_1 = -0.159 (HR 0.85, p = 0.047) while leaving the rival-testing coefficient indistinguishable from zero, which is the paper’s central negative finding." title="" id="93" name="Picture"/>
            <a:graphic>
              <a:graphicData uri="http://schemas.openxmlformats.org/drawingml/2006/picture">
                <pic:pic>
                  <pic:nvPicPr>
                    <pic:cNvPr descr="dissertations\GRAND_STRATEGY_CANON_01\research_papers\p2\paper_fig1.png" id="94" name="Picture"/>
                    <pic:cNvPicPr>
                      <a:picLocks noChangeArrowheads="1" noChangeAspect="1"/>
                    </pic:cNvPicPr>
                  </pic:nvPicPr>
                  <pic:blipFill>
                    <a:blip r:embed="rId92"/>
                    <a:stretch>
                      <a:fillRect/>
                    </a:stretch>
                  </pic:blipFill>
                  <pic:spPr bwMode="auto">
                    <a:xfrm>
                      <a:off x="0" y="0"/>
                      <a:ext cx="5669280" cy="3657600"/>
                    </a:xfrm>
                    <a:prstGeom prst="rect">
                      <a:avLst/>
                    </a:prstGeom>
                    <a:noFill/>
                    <a:ln w="9525">
                      <a:noFill/>
                      <a:headEnd/>
                      <a:tailEnd/>
                    </a:ln>
                  </pic:spPr>
                </pic:pic>
              </a:graphicData>
            </a:graphic>
          </wp:inline>
        </w:drawing>
      </w:r>
    </w:p>
    <w:p>
      <w:pPr>
        <w:pStyle w:val="ImageCaption"/>
      </w:pPr>
      <w:r>
        <w:t xml:space="preserve">Figure 1. Inter-test intervals for thirty-two direct-ascent counterspace spells across four testing states, 1984 to 2026, plotted against accumulated programme experience. Pooled Cox proportional-hazards estimates are beta_1 = -0.080 for prior tests (HR 0.92, p = 0.18), beta_2 = 0.110 for rival tests in the preceding twenty-four months (HR 1.12, p = 0.42), and beta_3 = -0.647 for a prior intercept-bearing test (HR 0.52, p = 0.14). The joint likelihood-ratio test yields p = 0.17 with a concordance of 0.61, and the proportional-hazards assumption is not rejected. The median observed inter-test interval is 10.7 months. Stratifying the baseline hazard by actor sharpens the experience effect to beta_1 = -0.159 (HR 0.85, p = 0.047) while leaving the rival-testing coefficient indistinguishable from zero, which is the paper’s central negative finding.</w:t>
      </w:r>
    </w:p>
    <w:bookmarkEnd w:id="95"/>
    <w:bookmarkStart w:id="99" w:name="empirical-workbook-embedded"/>
    <w:p>
      <w:pPr>
        <w:pStyle w:val="Heading2"/>
      </w:pPr>
      <w:r>
        <w:t xml:space="preserve">Empirical Workbook (embedded)</w:t>
      </w:r>
    </w:p>
    <w:p>
      <w:pPr>
        <w:pStyle w:val="FirstParagraph"/>
      </w:pPr>
      <w:r>
        <w:t xml:space="preserve">Every figure above is reproduced from the workbook below, which is also attached as the live spreadsheet</w:t>
      </w:r>
      <w:r>
        <w:t xml:space="preserve"> </w:t>
      </w:r>
      <w:r>
        <w:rPr>
          <w:rStyle w:val="VerbatimChar"/>
        </w:rPr>
        <w:t xml:space="preserve">paper.xlsx</w:t>
      </w:r>
      <w:r>
        <w:t xml:space="preserve">. Each observation carries its source.</w:t>
      </w:r>
    </w:p>
    <w:bookmarkStart w:id="96" w:name="data-real-observations"/>
    <w:p>
      <w:pPr>
        <w:pStyle w:val="Heading3"/>
      </w:pPr>
      <w:r>
        <w:t xml:space="preserve">Data (real observations)</w:t>
      </w:r>
    </w:p>
    <w:tbl>
      <w:tblPr>
        <w:tblStyle w:val="Table"/>
        <w:tblLook w:firstRow="1" w:lastRow="0" w:firstColumn="0" w:lastColumn="0" w:noHBand="0" w:noVBand="0" w:val="0020"/>
        <w:tblLayout w:type="autofit"/>
        <w:tblW w:w="0" w:type="auto"/>
      </w:tblPr>
      <w:tblGrid>
        <w:gridCol w:w="719"/>
        <w:gridCol w:w="719"/>
        <w:gridCol w:w="719"/>
        <w:gridCol w:w="719"/>
        <w:gridCol w:w="719"/>
        <w:gridCol w:w="719"/>
        <w:gridCol w:w="719"/>
        <w:gridCol w:w="719"/>
        <w:gridCol w:w="719"/>
        <w:gridCol w:w="719"/>
        <w:gridCol w:w="719"/>
      </w:tblGrid>
      <w:tr>
        <w:trPr>
          <w:tblHeader w:val="on"/>
        </w:trPr>
        <w:tc>
          <w:tcPr>
            <w:tcW w:w="0" w:type="auto"/>
          </w:tcPr>
          <w:p>
            <w:pPr>
              <w:spacing w:line="240" w:lineRule="auto" w:before="0" w:after="0"/>
              <w:pStyle w:val="Compact"/>
            </w:pPr>
            <w:r>
              <w:rPr>
                <w:sz w:val="20"/>
                <w:szCs w:val="20"/>
              </w:rPr>
              <w:t xml:space="preserve">actor</w:t>
            </w:r>
          </w:p>
        </w:tc>
        <w:tc>
          <w:tcPr>
            <w:tcW w:w="0" w:type="auto"/>
          </w:tcPr>
          <w:p>
            <w:pPr>
              <w:spacing w:line="240" w:lineRule="auto" w:before="0" w:after="0"/>
              <w:pStyle w:val="Compact"/>
            </w:pPr>
            <w:r>
              <w:rPr>
                <w:sz w:val="20"/>
                <w:szCs w:val="20"/>
              </w:rPr>
              <w:t xml:space="preserve">prior_test_date</w:t>
            </w:r>
          </w:p>
        </w:tc>
        <w:tc>
          <w:tcPr>
            <w:tcW w:w="0" w:type="auto"/>
          </w:tcPr>
          <w:p>
            <w:pPr>
              <w:spacing w:line="240" w:lineRule="auto" w:before="0" w:after="0"/>
              <w:pStyle w:val="Compact"/>
            </w:pPr>
            <w:r>
              <w:rPr>
                <w:sz w:val="20"/>
                <w:szCs w:val="20"/>
              </w:rPr>
              <w:t xml:space="preserve">test_date</w:t>
            </w:r>
          </w:p>
        </w:tc>
        <w:tc>
          <w:tcPr>
            <w:tcW w:w="0" w:type="auto"/>
          </w:tcPr>
          <w:p>
            <w:pPr>
              <w:spacing w:line="240" w:lineRule="auto" w:before="0" w:after="0"/>
              <w:pStyle w:val="Compact"/>
            </w:pPr>
            <w:r>
              <w:rPr>
                <w:sz w:val="20"/>
                <w:szCs w:val="20"/>
              </w:rPr>
              <w:t xml:space="preserve">system</w:t>
            </w:r>
          </w:p>
        </w:tc>
        <w:tc>
          <w:tcPr>
            <w:tcW w:w="0" w:type="auto"/>
          </w:tcPr>
          <w:p>
            <w:pPr>
              <w:spacing w:line="240" w:lineRule="auto" w:before="0" w:after="0"/>
              <w:pStyle w:val="Compact"/>
            </w:pPr>
            <w:r>
              <w:rPr>
                <w:sz w:val="20"/>
                <w:szCs w:val="20"/>
              </w:rPr>
              <w:t xml:space="preserve">test_type</w:t>
            </w:r>
          </w:p>
        </w:tc>
        <w:tc>
          <w:tcPr>
            <w:tcW w:w="0" w:type="auto"/>
          </w:tcPr>
          <w:p>
            <w:pPr>
              <w:spacing w:line="240" w:lineRule="auto" w:before="0" w:after="0"/>
              <w:pStyle w:val="Compact"/>
            </w:pPr>
            <w:r>
              <w:rPr>
                <w:sz w:val="20"/>
                <w:szCs w:val="20"/>
              </w:rPr>
              <w:t xml:space="preserve">duration_months</w:t>
            </w:r>
          </w:p>
        </w:tc>
        <w:tc>
          <w:tcPr>
            <w:tcW w:w="0" w:type="auto"/>
          </w:tcPr>
          <w:p>
            <w:pPr>
              <w:spacing w:line="240" w:lineRule="auto" w:before="0" w:after="0"/>
              <w:pStyle w:val="Compact"/>
            </w:pPr>
            <w:r>
              <w:rPr>
                <w:sz w:val="20"/>
                <w:szCs w:val="20"/>
              </w:rPr>
              <w:t xml:space="preserve">event</w:t>
            </w:r>
          </w:p>
        </w:tc>
        <w:tc>
          <w:tcPr>
            <w:tcW w:w="0" w:type="auto"/>
          </w:tcPr>
          <w:p>
            <w:pPr>
              <w:spacing w:line="240" w:lineRule="auto" w:before="0" w:after="0"/>
              <w:pStyle w:val="Compact"/>
            </w:pPr>
            <w:r>
              <w:rPr>
                <w:sz w:val="20"/>
                <w:szCs w:val="20"/>
              </w:rPr>
              <w:t xml:space="preserve">prior_tests</w:t>
            </w:r>
          </w:p>
        </w:tc>
        <w:tc>
          <w:tcPr>
            <w:tcW w:w="0" w:type="auto"/>
          </w:tcPr>
          <w:p>
            <w:pPr>
              <w:spacing w:line="240" w:lineRule="auto" w:before="0" w:after="0"/>
              <w:pStyle w:val="Compact"/>
            </w:pPr>
            <w:r>
              <w:rPr>
                <w:sz w:val="20"/>
                <w:szCs w:val="20"/>
              </w:rPr>
              <w:t xml:space="preserve">rival_tests_24mo</w:t>
            </w:r>
          </w:p>
        </w:tc>
        <w:tc>
          <w:tcPr>
            <w:tcW w:w="0" w:type="auto"/>
          </w:tcPr>
          <w:p>
            <w:pPr>
              <w:spacing w:line="240" w:lineRule="auto" w:before="0" w:after="0"/>
              <w:pStyle w:val="Compact"/>
            </w:pPr>
            <w:r>
              <w:rPr>
                <w:sz w:val="20"/>
                <w:szCs w:val="20"/>
              </w:rPr>
              <w:t xml:space="preserve">prior_kinetic</w:t>
            </w:r>
          </w:p>
        </w:tc>
        <w:tc>
          <w:tcPr>
            <w:tcW w:w="0" w:type="auto"/>
          </w:tcPr>
          <w:p>
            <w:pPr>
              <w:spacing w:line="240" w:lineRule="auto" w:before="0" w:after="0"/>
              <w:pStyle w:val="Compact"/>
            </w:pPr>
            <w:r>
              <w:rPr>
                <w:sz w:val="20"/>
                <w:szCs w:val="20"/>
              </w:rPr>
              <w:t xml:space="preserve">source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2005-07-07</w:t>
            </w:r>
          </w:p>
        </w:tc>
        <w:tc>
          <w:tcPr>
            <w:tcW w:w="0" w:type="auto"/>
          </w:tcPr>
          <w:p>
            <w:pPr>
              <w:spacing w:line="240" w:lineRule="auto" w:before="0" w:after="0"/>
              <w:pStyle w:val="Compact"/>
            </w:pPr>
            <w:r>
              <w:rPr>
                <w:sz w:val="20"/>
                <w:szCs w:val="20"/>
              </w:rPr>
              <w:t xml:space="preserve">2006-02-06</w:t>
            </w:r>
          </w:p>
        </w:tc>
        <w:tc>
          <w:tcPr>
            <w:tcW w:w="0" w:type="auto"/>
          </w:tcPr>
          <w:p>
            <w:pPr>
              <w:spacing w:line="240" w:lineRule="auto" w:before="0" w:after="0"/>
              <w:pStyle w:val="Compact"/>
            </w:pPr>
            <w:r>
              <w:rPr>
                <w:sz w:val="20"/>
                <w:szCs w:val="20"/>
              </w:rPr>
              <w:t xml:space="preserve">SC-19</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2006-02-06</w:t>
            </w:r>
          </w:p>
        </w:tc>
        <w:tc>
          <w:tcPr>
            <w:tcW w:w="0" w:type="auto"/>
          </w:tcPr>
          <w:p>
            <w:pPr>
              <w:spacing w:line="240" w:lineRule="auto" w:before="0" w:after="0"/>
              <w:pStyle w:val="Compact"/>
            </w:pPr>
            <w:r>
              <w:rPr>
                <w:sz w:val="20"/>
                <w:szCs w:val="20"/>
              </w:rPr>
              <w:t xml:space="preserve">2007-01-11</w:t>
            </w:r>
          </w:p>
        </w:tc>
        <w:tc>
          <w:tcPr>
            <w:tcW w:w="0" w:type="auto"/>
          </w:tcPr>
          <w:p>
            <w:pPr>
              <w:spacing w:line="240" w:lineRule="auto" w:before="0" w:after="0"/>
              <w:pStyle w:val="Compact"/>
            </w:pPr>
            <w:r>
              <w:rPr>
                <w:sz w:val="20"/>
                <w:szCs w:val="20"/>
              </w:rPr>
              <w:t xml:space="preserve">SC-19</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11.1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2007-01-11</w:t>
            </w:r>
          </w:p>
        </w:tc>
        <w:tc>
          <w:tcPr>
            <w:tcW w:w="0" w:type="auto"/>
          </w:tcPr>
          <w:p>
            <w:pPr>
              <w:spacing w:line="240" w:lineRule="auto" w:before="0" w:after="0"/>
              <w:pStyle w:val="Compact"/>
            </w:pPr>
            <w:r>
              <w:rPr>
                <w:sz w:val="20"/>
                <w:szCs w:val="20"/>
              </w:rPr>
              <w:t xml:space="preserve">2010-01-11</w:t>
            </w:r>
          </w:p>
        </w:tc>
        <w:tc>
          <w:tcPr>
            <w:tcW w:w="0" w:type="auto"/>
          </w:tcPr>
          <w:p>
            <w:pPr>
              <w:spacing w:line="240" w:lineRule="auto" w:before="0" w:after="0"/>
              <w:pStyle w:val="Compact"/>
            </w:pPr>
            <w:r>
              <w:rPr>
                <w:sz w:val="20"/>
                <w:szCs w:val="20"/>
              </w:rPr>
              <w:t xml:space="preserve">SC-19</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36</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2010-01-11</w:t>
            </w:r>
          </w:p>
        </w:tc>
        <w:tc>
          <w:tcPr>
            <w:tcW w:w="0" w:type="auto"/>
          </w:tcPr>
          <w:p>
            <w:pPr>
              <w:spacing w:line="240" w:lineRule="auto" w:before="0" w:after="0"/>
              <w:pStyle w:val="Compact"/>
            </w:pPr>
            <w:r>
              <w:rPr>
                <w:sz w:val="20"/>
                <w:szCs w:val="20"/>
              </w:rPr>
              <w:t xml:space="preserve">2013-01-27</w:t>
            </w:r>
          </w:p>
        </w:tc>
        <w:tc>
          <w:tcPr>
            <w:tcW w:w="0" w:type="auto"/>
          </w:tcPr>
          <w:p>
            <w:pPr>
              <w:spacing w:line="240" w:lineRule="auto" w:before="0" w:after="0"/>
              <w:pStyle w:val="Compact"/>
            </w:pPr>
            <w:r>
              <w:rPr>
                <w:sz w:val="20"/>
                <w:szCs w:val="20"/>
              </w:rPr>
              <w:t xml:space="preserve">SC-19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36.5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2013-01-27</w:t>
            </w:r>
          </w:p>
        </w:tc>
        <w:tc>
          <w:tcPr>
            <w:tcW w:w="0" w:type="auto"/>
          </w:tcPr>
          <w:p>
            <w:pPr>
              <w:spacing w:line="240" w:lineRule="auto" w:before="0" w:after="0"/>
              <w:pStyle w:val="Compact"/>
            </w:pPr>
            <w:r>
              <w:rPr>
                <w:sz w:val="20"/>
                <w:szCs w:val="20"/>
              </w:rPr>
              <w:t xml:space="preserve">2013-05-13</w:t>
            </w:r>
          </w:p>
        </w:tc>
        <w:tc>
          <w:tcPr>
            <w:tcW w:w="0" w:type="auto"/>
          </w:tcPr>
          <w:p>
            <w:pPr>
              <w:spacing w:line="240" w:lineRule="auto" w:before="0" w:after="0"/>
              <w:pStyle w:val="Compact"/>
            </w:pPr>
            <w:r>
              <w:rPr>
                <w:sz w:val="20"/>
                <w:szCs w:val="20"/>
              </w:rPr>
              <w:t xml:space="preserve">DN-2 (possible)</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3.5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2013-05-13</w:t>
            </w:r>
          </w:p>
        </w:tc>
        <w:tc>
          <w:tcPr>
            <w:tcW w:w="0" w:type="auto"/>
          </w:tcPr>
          <w:p>
            <w:pPr>
              <w:spacing w:line="240" w:lineRule="auto" w:before="0" w:after="0"/>
              <w:pStyle w:val="Compact"/>
            </w:pPr>
            <w:r>
              <w:rPr>
                <w:sz w:val="20"/>
                <w:szCs w:val="20"/>
              </w:rPr>
              <w:t xml:space="preserve">2014-07-23</w:t>
            </w:r>
          </w:p>
        </w:tc>
        <w:tc>
          <w:tcPr>
            <w:tcW w:w="0" w:type="auto"/>
          </w:tcPr>
          <w:p>
            <w:pPr>
              <w:spacing w:line="240" w:lineRule="auto" w:before="0" w:after="0"/>
              <w:pStyle w:val="Compact"/>
            </w:pPr>
            <w:r>
              <w:rPr>
                <w:sz w:val="20"/>
                <w:szCs w:val="20"/>
              </w:rPr>
              <w:t xml:space="preserve">DN-2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14.3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2014-07-23</w:t>
            </w:r>
          </w:p>
        </w:tc>
        <w:tc>
          <w:tcPr>
            <w:tcW w:w="0" w:type="auto"/>
          </w:tcPr>
          <w:p>
            <w:pPr>
              <w:spacing w:line="240" w:lineRule="auto" w:before="0" w:after="0"/>
              <w:pStyle w:val="Compact"/>
            </w:pPr>
            <w:r>
              <w:rPr>
                <w:sz w:val="20"/>
                <w:szCs w:val="20"/>
              </w:rPr>
              <w:t xml:space="preserve">2015-10-30</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15.2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2015-10-30</w:t>
            </w:r>
          </w:p>
        </w:tc>
        <w:tc>
          <w:tcPr>
            <w:tcW w:w="0" w:type="auto"/>
          </w:tcPr>
          <w:p>
            <w:pPr>
              <w:spacing w:line="240" w:lineRule="auto" w:before="0" w:after="0"/>
              <w:pStyle w:val="Compact"/>
            </w:pPr>
            <w:r>
              <w:rPr>
                <w:sz w:val="20"/>
                <w:szCs w:val="20"/>
              </w:rPr>
              <w:t xml:space="preserve">2017-07-23</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20.8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2017-07-23</w:t>
            </w:r>
          </w:p>
        </w:tc>
        <w:tc>
          <w:tcPr>
            <w:tcW w:w="0" w:type="auto"/>
          </w:tcPr>
          <w:p>
            <w:pPr>
              <w:spacing w:line="240" w:lineRule="auto" w:before="0" w:after="0"/>
              <w:pStyle w:val="Compact"/>
            </w:pPr>
            <w:r>
              <w:rPr>
                <w:sz w:val="20"/>
                <w:szCs w:val="20"/>
              </w:rPr>
              <w:t xml:space="preserve">2018-02-05</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6.5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2018-02-05</w:t>
            </w:r>
          </w:p>
        </w:tc>
        <w:tc>
          <w:tcPr>
            <w:tcW w:w="0" w:type="auto"/>
          </w:tcPr>
          <w:p>
            <w:pPr>
              <w:spacing w:line="240" w:lineRule="auto" w:before="0" w:after="0"/>
              <w:pStyle w:val="Compact"/>
            </w:pPr>
            <w:r>
              <w:rPr>
                <w:sz w:val="20"/>
                <w:szCs w:val="20"/>
              </w:rPr>
              <w:t xml:space="preserve">2021-02-04</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36</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2021-02-04</w:t>
            </w:r>
          </w:p>
        </w:tc>
        <w:tc>
          <w:tcPr>
            <w:tcW w:w="0" w:type="auto"/>
          </w:tcPr>
          <w:p>
            <w:pPr>
              <w:spacing w:line="240" w:lineRule="auto" w:before="0" w:after="0"/>
              <w:pStyle w:val="Compact"/>
            </w:pPr>
            <w:r>
              <w:rPr>
                <w:sz w:val="20"/>
                <w:szCs w:val="20"/>
              </w:rPr>
              <w:t xml:space="preserve">2022-06-19</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16.4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2022-06-19</w:t>
            </w:r>
          </w:p>
        </w:tc>
        <w:tc>
          <w:tcPr>
            <w:tcW w:w="0" w:type="auto"/>
          </w:tcPr>
          <w:p>
            <w:pPr>
              <w:spacing w:line="240" w:lineRule="auto" w:before="0" w:after="0"/>
              <w:pStyle w:val="Compact"/>
            </w:pPr>
            <w:r>
              <w:rPr>
                <w:sz w:val="20"/>
                <w:szCs w:val="20"/>
              </w:rPr>
              <w:t xml:space="preserve">2023-04-14</w:t>
            </w:r>
          </w:p>
        </w:tc>
        <w:tc>
          <w:tcPr>
            <w:tcW w:w="0" w:type="auto"/>
          </w:tcPr>
          <w:p>
            <w:pPr>
              <w:spacing w:line="240" w:lineRule="auto" w:before="0" w:after="0"/>
              <w:pStyle w:val="Compact"/>
            </w:pPr>
            <w:r>
              <w:rPr>
                <w:sz w:val="20"/>
                <w:szCs w:val="20"/>
              </w:rPr>
              <w:t xml:space="preserve">DN-3 (possible)</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9.8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12</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China</w:t>
            </w:r>
          </w:p>
        </w:tc>
        <w:tc>
          <w:tcPr>
            <w:tcW w:w="0" w:type="auto"/>
          </w:tcPr>
          <w:p>
            <w:pPr>
              <w:spacing w:line="240" w:lineRule="auto" w:before="0" w:after="0"/>
              <w:pStyle w:val="Compact"/>
            </w:pPr>
            <w:r>
              <w:rPr>
                <w:sz w:val="20"/>
                <w:szCs w:val="20"/>
              </w:rPr>
              <w:t xml:space="preserve">2023-04-14</w:t>
            </w:r>
          </w:p>
        </w:tc>
        <w:tc>
          <w:tcPr>
            <w:tcW w:w="0" w:type="auto"/>
          </w:tcPr>
          <w:p>
            <w:pPr>
              <w:spacing w:line="240" w:lineRule="auto" w:before="0" w:after="0"/>
              <w:pStyle w:val="Compact"/>
            </w:pPr>
            <w:r>
              <w:rPr>
                <w:sz w:val="20"/>
                <w:szCs w:val="20"/>
              </w:rPr>
              <w:t xml:space="preserve">2026-06-12</w:t>
            </w:r>
          </w:p>
        </w:tc>
        <w:tc>
          <w:tcPr>
            <w:tcW w:w="0" w:type="auto"/>
          </w:tcPr>
          <w:p>
            <w:pPr>
              <w:spacing w:line="240" w:lineRule="auto" w:before="0" w:after="0"/>
              <w:pStyle w:val="Compact"/>
            </w:pPr>
            <w:r>
              <w:rPr>
                <w:sz w:val="20"/>
                <w:szCs w:val="20"/>
              </w:rPr>
              <w:t xml:space="preserve">none observed</w:t>
            </w:r>
          </w:p>
        </w:tc>
        <w:tc>
          <w:tcPr>
            <w:tcW w:w="0" w:type="auto"/>
          </w:tcPr>
          <w:p>
            <w:pPr>
              <w:spacing w:line="240" w:lineRule="auto" w:before="0" w:after="0"/>
              <w:pStyle w:val="Compact"/>
            </w:pPr>
            <w:r>
              <w:rPr>
                <w:sz w:val="20"/>
                <w:szCs w:val="20"/>
              </w:rPr>
              <w:t xml:space="preserve">censored</w:t>
            </w:r>
          </w:p>
        </w:tc>
        <w:tc>
          <w:tcPr>
            <w:tcW w:w="0" w:type="auto"/>
          </w:tcPr>
          <w:p>
            <w:pPr>
              <w:spacing w:line="240" w:lineRule="auto" w:before="0" w:after="0"/>
              <w:pStyle w:val="Compact"/>
            </w:pPr>
            <w:r>
              <w:rPr>
                <w:sz w:val="20"/>
                <w:szCs w:val="20"/>
              </w:rPr>
              <w:t xml:space="preserve">37.9</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Chinese Direct-Ascent Anti-Satellite Testing fact sheet (June 2026), Summary of Known or Suspected Chinese DA-ASAT Tests in Space</w:t>
            </w:r>
          </w:p>
        </w:tc>
      </w:tr>
      <w:tr>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2019-02-12</w:t>
            </w:r>
          </w:p>
        </w:tc>
        <w:tc>
          <w:tcPr>
            <w:tcW w:w="0" w:type="auto"/>
          </w:tcPr>
          <w:p>
            <w:pPr>
              <w:spacing w:line="240" w:lineRule="auto" w:before="0" w:after="0"/>
              <w:pStyle w:val="Compact"/>
            </w:pPr>
            <w:r>
              <w:rPr>
                <w:sz w:val="20"/>
                <w:szCs w:val="20"/>
              </w:rPr>
              <w:t xml:space="preserve">2019-03-27</w:t>
            </w:r>
          </w:p>
        </w:tc>
        <w:tc>
          <w:tcPr>
            <w:tcW w:w="0" w:type="auto"/>
          </w:tcPr>
          <w:p>
            <w:pPr>
              <w:spacing w:line="240" w:lineRule="auto" w:before="0" w:after="0"/>
              <w:pStyle w:val="Compact"/>
            </w:pPr>
            <w:r>
              <w:rPr>
                <w:sz w:val="20"/>
                <w:szCs w:val="20"/>
              </w:rPr>
              <w:t xml:space="preserve">PDV-MK II</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1.4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Indian Direct-Ascent Anti-Satellite Testing fact sheet (June 2026), Summary of Known or Suspected Indian DA-ASAT Tests in Space</w:t>
            </w:r>
          </w:p>
        </w:tc>
      </w:tr>
      <w:tr>
        <w:tc>
          <w:tcPr>
            <w:tcW w:w="0" w:type="auto"/>
          </w:tcPr>
          <w:p>
            <w:pPr>
              <w:spacing w:line="240" w:lineRule="auto" w:before="0" w:after="0"/>
              <w:pStyle w:val="Compact"/>
            </w:pPr>
            <w:r>
              <w:rPr>
                <w:sz w:val="20"/>
                <w:szCs w:val="20"/>
              </w:rPr>
              <w:t xml:space="preserve">India</w:t>
            </w:r>
          </w:p>
        </w:tc>
        <w:tc>
          <w:tcPr>
            <w:tcW w:w="0" w:type="auto"/>
          </w:tcPr>
          <w:p>
            <w:pPr>
              <w:spacing w:line="240" w:lineRule="auto" w:before="0" w:after="0"/>
              <w:pStyle w:val="Compact"/>
            </w:pPr>
            <w:r>
              <w:rPr>
                <w:sz w:val="20"/>
                <w:szCs w:val="20"/>
              </w:rPr>
              <w:t xml:space="preserve">2019-03-27</w:t>
            </w:r>
          </w:p>
        </w:tc>
        <w:tc>
          <w:tcPr>
            <w:tcW w:w="0" w:type="auto"/>
          </w:tcPr>
          <w:p>
            <w:pPr>
              <w:spacing w:line="240" w:lineRule="auto" w:before="0" w:after="0"/>
              <w:pStyle w:val="Compact"/>
            </w:pPr>
            <w:r>
              <w:rPr>
                <w:sz w:val="20"/>
                <w:szCs w:val="20"/>
              </w:rPr>
              <w:t xml:space="preserve">2026-06-12</w:t>
            </w:r>
          </w:p>
        </w:tc>
        <w:tc>
          <w:tcPr>
            <w:tcW w:w="0" w:type="auto"/>
          </w:tcPr>
          <w:p>
            <w:pPr>
              <w:spacing w:line="240" w:lineRule="auto" w:before="0" w:after="0"/>
              <w:pStyle w:val="Compact"/>
            </w:pPr>
            <w:r>
              <w:rPr>
                <w:sz w:val="20"/>
                <w:szCs w:val="20"/>
              </w:rPr>
              <w:t xml:space="preserve">none observed</w:t>
            </w:r>
          </w:p>
        </w:tc>
        <w:tc>
          <w:tcPr>
            <w:tcW w:w="0" w:type="auto"/>
          </w:tcPr>
          <w:p>
            <w:pPr>
              <w:spacing w:line="240" w:lineRule="auto" w:before="0" w:after="0"/>
              <w:pStyle w:val="Compact"/>
            </w:pPr>
            <w:r>
              <w:rPr>
                <w:sz w:val="20"/>
                <w:szCs w:val="20"/>
              </w:rPr>
              <w:t xml:space="preserve">censored</w:t>
            </w:r>
          </w:p>
        </w:tc>
        <w:tc>
          <w:tcPr>
            <w:tcW w:w="0" w:type="auto"/>
          </w:tcPr>
          <w:p>
            <w:pPr>
              <w:spacing w:line="240" w:lineRule="auto" w:before="0" w:after="0"/>
              <w:pStyle w:val="Compact"/>
            </w:pPr>
            <w:r>
              <w:rPr>
                <w:sz w:val="20"/>
                <w:szCs w:val="20"/>
              </w:rPr>
              <w:t xml:space="preserve">86.5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Indian Direct-Ascent Anti-Satellite Testing fact sheet (June 2026), Summary of Known or Suspected Indian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2014-08-15 [illustrative]</w:t>
            </w:r>
          </w:p>
        </w:tc>
        <w:tc>
          <w:tcPr>
            <w:tcW w:w="0" w:type="auto"/>
          </w:tcPr>
          <w:p>
            <w:pPr>
              <w:spacing w:line="240" w:lineRule="auto" w:before="0" w:after="0"/>
              <w:pStyle w:val="Compact"/>
            </w:pPr>
            <w:r>
              <w:rPr>
                <w:sz w:val="20"/>
                <w:szCs w:val="20"/>
              </w:rPr>
              <w:t xml:space="preserve">2015-04-22</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8.2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2015-04-22</w:t>
            </w:r>
          </w:p>
        </w:tc>
        <w:tc>
          <w:tcPr>
            <w:tcW w:w="0" w:type="auto"/>
          </w:tcPr>
          <w:p>
            <w:pPr>
              <w:spacing w:line="240" w:lineRule="auto" w:before="0" w:after="0"/>
              <w:pStyle w:val="Compact"/>
            </w:pPr>
            <w:r>
              <w:rPr>
                <w:sz w:val="20"/>
                <w:szCs w:val="20"/>
              </w:rPr>
              <w:t xml:space="preserve">2015-11-18</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6.9</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2015-11-18</w:t>
            </w:r>
          </w:p>
        </w:tc>
        <w:tc>
          <w:tcPr>
            <w:tcW w:w="0" w:type="auto"/>
          </w:tcPr>
          <w:p>
            <w:pPr>
              <w:spacing w:line="240" w:lineRule="auto" w:before="0" w:after="0"/>
              <w:pStyle w:val="Compact"/>
            </w:pPr>
            <w:r>
              <w:rPr>
                <w:sz w:val="20"/>
                <w:szCs w:val="20"/>
              </w:rPr>
              <w:t xml:space="preserve">2016-05-25</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6.2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2016-05-25</w:t>
            </w:r>
          </w:p>
        </w:tc>
        <w:tc>
          <w:tcPr>
            <w:tcW w:w="0" w:type="auto"/>
          </w:tcPr>
          <w:p>
            <w:pPr>
              <w:spacing w:line="240" w:lineRule="auto" w:before="0" w:after="0"/>
              <w:pStyle w:val="Compact"/>
            </w:pPr>
            <w:r>
              <w:rPr>
                <w:sz w:val="20"/>
                <w:szCs w:val="20"/>
              </w:rPr>
              <w:t xml:space="preserve">2016-12-16</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rocket_test_no_target</w:t>
            </w:r>
          </w:p>
        </w:tc>
        <w:tc>
          <w:tcPr>
            <w:tcW w:w="0" w:type="auto"/>
          </w:tcPr>
          <w:p>
            <w:pPr>
              <w:spacing w:line="240" w:lineRule="auto" w:before="0" w:after="0"/>
              <w:pStyle w:val="Compact"/>
            </w:pPr>
            <w:r>
              <w:rPr>
                <w:sz w:val="20"/>
                <w:szCs w:val="20"/>
              </w:rPr>
              <w:t xml:space="preserve">6.7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2016-12-16</w:t>
            </w:r>
          </w:p>
        </w:tc>
        <w:tc>
          <w:tcPr>
            <w:tcW w:w="0" w:type="auto"/>
          </w:tcPr>
          <w:p>
            <w:pPr>
              <w:spacing w:line="240" w:lineRule="auto" w:before="0" w:after="0"/>
              <w:pStyle w:val="Compact"/>
            </w:pPr>
            <w:r>
              <w:rPr>
                <w:sz w:val="20"/>
                <w:szCs w:val="20"/>
              </w:rPr>
              <w:t xml:space="preserve">2018-03-26</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15.3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2018-03-26</w:t>
            </w:r>
          </w:p>
        </w:tc>
        <w:tc>
          <w:tcPr>
            <w:tcW w:w="0" w:type="auto"/>
          </w:tcPr>
          <w:p>
            <w:pPr>
              <w:spacing w:line="240" w:lineRule="auto" w:before="0" w:after="0"/>
              <w:pStyle w:val="Compact"/>
            </w:pPr>
            <w:r>
              <w:rPr>
                <w:sz w:val="20"/>
                <w:szCs w:val="20"/>
              </w:rPr>
              <w:t xml:space="preserve">2018-12-23</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8.9</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2018-12-23</w:t>
            </w:r>
          </w:p>
        </w:tc>
        <w:tc>
          <w:tcPr>
            <w:tcW w:w="0" w:type="auto"/>
          </w:tcPr>
          <w:p>
            <w:pPr>
              <w:spacing w:line="240" w:lineRule="auto" w:before="0" w:after="0"/>
              <w:pStyle w:val="Compact"/>
            </w:pPr>
            <w:r>
              <w:rPr>
                <w:sz w:val="20"/>
                <w:szCs w:val="20"/>
              </w:rPr>
              <w:t xml:space="preserve">2019-11-15</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 [illustrative]</w:t>
            </w:r>
          </w:p>
        </w:tc>
        <w:tc>
          <w:tcPr>
            <w:tcW w:w="0" w:type="auto"/>
          </w:tcPr>
          <w:p>
            <w:pPr>
              <w:spacing w:line="240" w:lineRule="auto" w:before="0" w:after="0"/>
              <w:pStyle w:val="Compact"/>
            </w:pPr>
            <w:r>
              <w:rPr>
                <w:sz w:val="20"/>
                <w:szCs w:val="20"/>
              </w:rPr>
              <w:t xml:space="preserve">10.7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7</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2019-11-15 [illustrative]</w:t>
            </w:r>
          </w:p>
        </w:tc>
        <w:tc>
          <w:tcPr>
            <w:tcW w:w="0" w:type="auto"/>
          </w:tcPr>
          <w:p>
            <w:pPr>
              <w:spacing w:line="240" w:lineRule="auto" w:before="0" w:after="0"/>
              <w:pStyle w:val="Compact"/>
            </w:pPr>
            <w:r>
              <w:rPr>
                <w:sz w:val="20"/>
                <w:szCs w:val="20"/>
              </w:rPr>
              <w:t xml:space="preserve">2020-04-15</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2020-04-15</w:t>
            </w:r>
          </w:p>
        </w:tc>
        <w:tc>
          <w:tcPr>
            <w:tcW w:w="0" w:type="auto"/>
          </w:tcPr>
          <w:p>
            <w:pPr>
              <w:spacing w:line="240" w:lineRule="auto" w:before="0" w:after="0"/>
              <w:pStyle w:val="Compact"/>
            </w:pPr>
            <w:r>
              <w:rPr>
                <w:sz w:val="20"/>
                <w:szCs w:val="20"/>
              </w:rPr>
              <w:t xml:space="preserve">2020-12-16</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9</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2020-12-16</w:t>
            </w:r>
          </w:p>
        </w:tc>
        <w:tc>
          <w:tcPr>
            <w:tcW w:w="0" w:type="auto"/>
          </w:tcPr>
          <w:p>
            <w:pPr>
              <w:spacing w:line="240" w:lineRule="auto" w:before="0" w:after="0"/>
              <w:pStyle w:val="Compact"/>
            </w:pPr>
            <w:r>
              <w:rPr>
                <w:sz w:val="20"/>
                <w:szCs w:val="20"/>
              </w:rPr>
              <w:t xml:space="preserve">2021-11-15</w:t>
            </w:r>
          </w:p>
        </w:tc>
        <w:tc>
          <w:tcPr>
            <w:tcW w:w="0" w:type="auto"/>
          </w:tcPr>
          <w:p>
            <w:pPr>
              <w:spacing w:line="240" w:lineRule="auto" w:before="0" w:after="0"/>
              <w:pStyle w:val="Compact"/>
            </w:pPr>
            <w:r>
              <w:rPr>
                <w:sz w:val="20"/>
                <w:szCs w:val="20"/>
              </w:rPr>
              <w:t xml:space="preserve">Nudol</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Russia</w:t>
            </w:r>
          </w:p>
        </w:tc>
        <w:tc>
          <w:tcPr>
            <w:tcW w:w="0" w:type="auto"/>
          </w:tcPr>
          <w:p>
            <w:pPr>
              <w:spacing w:line="240" w:lineRule="auto" w:before="0" w:after="0"/>
              <w:pStyle w:val="Compact"/>
            </w:pPr>
            <w:r>
              <w:rPr>
                <w:sz w:val="20"/>
                <w:szCs w:val="20"/>
              </w:rPr>
              <w:t xml:space="preserve">2021-11-15</w:t>
            </w:r>
          </w:p>
        </w:tc>
        <w:tc>
          <w:tcPr>
            <w:tcW w:w="0" w:type="auto"/>
          </w:tcPr>
          <w:p>
            <w:pPr>
              <w:spacing w:line="240" w:lineRule="auto" w:before="0" w:after="0"/>
              <w:pStyle w:val="Compact"/>
            </w:pPr>
            <w:r>
              <w:rPr>
                <w:sz w:val="20"/>
                <w:szCs w:val="20"/>
              </w:rPr>
              <w:t xml:space="preserve">2026-06-12</w:t>
            </w:r>
          </w:p>
        </w:tc>
        <w:tc>
          <w:tcPr>
            <w:tcW w:w="0" w:type="auto"/>
          </w:tcPr>
          <w:p>
            <w:pPr>
              <w:spacing w:line="240" w:lineRule="auto" w:before="0" w:after="0"/>
              <w:pStyle w:val="Compact"/>
            </w:pPr>
            <w:r>
              <w:rPr>
                <w:sz w:val="20"/>
                <w:szCs w:val="20"/>
              </w:rPr>
              <w:t xml:space="preserve">none observed</w:t>
            </w:r>
          </w:p>
        </w:tc>
        <w:tc>
          <w:tcPr>
            <w:tcW w:w="0" w:type="auto"/>
          </w:tcPr>
          <w:p>
            <w:pPr>
              <w:spacing w:line="240" w:lineRule="auto" w:before="0" w:after="0"/>
              <w:pStyle w:val="Compact"/>
            </w:pPr>
            <w:r>
              <w:rPr>
                <w:sz w:val="20"/>
                <w:szCs w:val="20"/>
              </w:rPr>
              <w:t xml:space="preserve">censored</w:t>
            </w:r>
          </w:p>
        </w:tc>
        <w:tc>
          <w:tcPr>
            <w:tcW w:w="0" w:type="auto"/>
          </w:tcPr>
          <w:p>
            <w:pPr>
              <w:spacing w:line="240" w:lineRule="auto" w:before="0" w:after="0"/>
              <w:pStyle w:val="Compact"/>
            </w:pPr>
            <w:r>
              <w:rPr>
                <w:sz w:val="20"/>
                <w:szCs w:val="20"/>
              </w:rPr>
              <w:t xml:space="preserve">54.9</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Russian Direct Ascent Anti-Satellite Testing fact sheet (Dec 2024), Summary of Known or Suspected Russian DA-ASAT Tests in Space</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1984-01-21</w:t>
            </w:r>
          </w:p>
        </w:tc>
        <w:tc>
          <w:tcPr>
            <w:tcW w:w="0" w:type="auto"/>
          </w:tcPr>
          <w:p>
            <w:pPr>
              <w:spacing w:line="240" w:lineRule="auto" w:before="0" w:after="0"/>
              <w:pStyle w:val="Compact"/>
            </w:pPr>
            <w:r>
              <w:rPr>
                <w:sz w:val="20"/>
                <w:szCs w:val="20"/>
              </w:rPr>
              <w:t xml:space="preserve">1984-11-13</w:t>
            </w:r>
          </w:p>
        </w:tc>
        <w:tc>
          <w:tcPr>
            <w:tcW w:w="0" w:type="auto"/>
          </w:tcPr>
          <w:p>
            <w:pPr>
              <w:spacing w:line="240" w:lineRule="auto" w:before="0" w:after="0"/>
              <w:pStyle w:val="Compact"/>
            </w:pPr>
            <w:r>
              <w:rPr>
                <w:sz w:val="20"/>
                <w:szCs w:val="20"/>
              </w:rPr>
              <w:t xml:space="preserve">ASM-135</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9.8</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1984-11-13</w:t>
            </w:r>
          </w:p>
        </w:tc>
        <w:tc>
          <w:tcPr>
            <w:tcW w:w="0" w:type="auto"/>
          </w:tcPr>
          <w:p>
            <w:pPr>
              <w:spacing w:line="240" w:lineRule="auto" w:before="0" w:after="0"/>
              <w:pStyle w:val="Compact"/>
            </w:pPr>
            <w:r>
              <w:rPr>
                <w:sz w:val="20"/>
                <w:szCs w:val="20"/>
              </w:rPr>
              <w:t xml:space="preserve">1985-09-13</w:t>
            </w:r>
          </w:p>
        </w:tc>
        <w:tc>
          <w:tcPr>
            <w:tcW w:w="0" w:type="auto"/>
          </w:tcPr>
          <w:p>
            <w:pPr>
              <w:spacing w:line="240" w:lineRule="auto" w:before="0" w:after="0"/>
              <w:pStyle w:val="Compact"/>
            </w:pPr>
            <w:r>
              <w:rPr>
                <w:sz w:val="20"/>
                <w:szCs w:val="20"/>
              </w:rPr>
              <w:t xml:space="preserve">ASM-135</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10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2</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1985-09-13</w:t>
            </w:r>
          </w:p>
        </w:tc>
        <w:tc>
          <w:tcPr>
            <w:tcW w:w="0" w:type="auto"/>
          </w:tcPr>
          <w:p>
            <w:pPr>
              <w:spacing w:line="240" w:lineRule="auto" w:before="0" w:after="0"/>
              <w:pStyle w:val="Compact"/>
            </w:pPr>
            <w:r>
              <w:rPr>
                <w:sz w:val="20"/>
                <w:szCs w:val="20"/>
              </w:rPr>
              <w:t xml:space="preserve">1986-08-22</w:t>
            </w:r>
          </w:p>
        </w:tc>
        <w:tc>
          <w:tcPr>
            <w:tcW w:w="0" w:type="auto"/>
          </w:tcPr>
          <w:p>
            <w:pPr>
              <w:spacing w:line="240" w:lineRule="auto" w:before="0" w:after="0"/>
              <w:pStyle w:val="Compact"/>
            </w:pPr>
            <w:r>
              <w:rPr>
                <w:sz w:val="20"/>
                <w:szCs w:val="20"/>
              </w:rPr>
              <w:t xml:space="preserve">ASM-135</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11.3</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3</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1986-08-22</w:t>
            </w:r>
          </w:p>
        </w:tc>
        <w:tc>
          <w:tcPr>
            <w:tcW w:w="0" w:type="auto"/>
          </w:tcPr>
          <w:p>
            <w:pPr>
              <w:spacing w:line="240" w:lineRule="auto" w:before="0" w:after="0"/>
              <w:pStyle w:val="Compact"/>
            </w:pPr>
            <w:r>
              <w:rPr>
                <w:sz w:val="20"/>
                <w:szCs w:val="20"/>
              </w:rPr>
              <w:t xml:space="preserve">1986-09-29</w:t>
            </w:r>
          </w:p>
        </w:tc>
        <w:tc>
          <w:tcPr>
            <w:tcW w:w="0" w:type="auto"/>
          </w:tcPr>
          <w:p>
            <w:pPr>
              <w:spacing w:line="240" w:lineRule="auto" w:before="0" w:after="0"/>
              <w:pStyle w:val="Compact"/>
            </w:pPr>
            <w:r>
              <w:rPr>
                <w:sz w:val="20"/>
                <w:szCs w:val="20"/>
              </w:rPr>
              <w:t xml:space="preserve">ASM-135</w:t>
            </w:r>
          </w:p>
        </w:tc>
        <w:tc>
          <w:tcPr>
            <w:tcW w:w="0" w:type="auto"/>
          </w:tcPr>
          <w:p>
            <w:pPr>
              <w:spacing w:line="240" w:lineRule="auto" w:before="0" w:after="0"/>
              <w:pStyle w:val="Compact"/>
            </w:pPr>
            <w:r>
              <w:rPr>
                <w:sz w:val="20"/>
                <w:szCs w:val="20"/>
              </w:rPr>
              <w:t xml:space="preserve">kinetic_suborbital_target</w:t>
            </w:r>
          </w:p>
        </w:tc>
        <w:tc>
          <w:tcPr>
            <w:tcW w:w="0" w:type="auto"/>
          </w:tcPr>
          <w:p>
            <w:pPr>
              <w:spacing w:line="240" w:lineRule="auto" w:before="0" w:after="0"/>
              <w:pStyle w:val="Compact"/>
            </w:pPr>
            <w:r>
              <w:rPr>
                <w:sz w:val="20"/>
                <w:szCs w:val="20"/>
              </w:rPr>
              <w:t xml:space="preserve">1.2</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4</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1986-09-29</w:t>
            </w:r>
          </w:p>
        </w:tc>
        <w:tc>
          <w:tcPr>
            <w:tcW w:w="0" w:type="auto"/>
          </w:tcPr>
          <w:p>
            <w:pPr>
              <w:spacing w:line="240" w:lineRule="auto" w:before="0" w:after="0"/>
              <w:pStyle w:val="Compact"/>
            </w:pPr>
            <w:r>
              <w:rPr>
                <w:sz w:val="20"/>
                <w:szCs w:val="20"/>
              </w:rPr>
              <w:t xml:space="preserve">2008-02-20</w:t>
            </w:r>
          </w:p>
        </w:tc>
        <w:tc>
          <w:tcPr>
            <w:tcW w:w="0" w:type="auto"/>
          </w:tcPr>
          <w:p>
            <w:pPr>
              <w:spacing w:line="240" w:lineRule="auto" w:before="0" w:after="0"/>
              <w:pStyle w:val="Compact"/>
            </w:pPr>
            <w:r>
              <w:rPr>
                <w:sz w:val="20"/>
                <w:szCs w:val="20"/>
              </w:rPr>
              <w:t xml:space="preserve">SM-3 Block IA</w:t>
            </w:r>
          </w:p>
        </w:tc>
        <w:tc>
          <w:tcPr>
            <w:tcW w:w="0" w:type="auto"/>
          </w:tcPr>
          <w:p>
            <w:pPr>
              <w:spacing w:line="240" w:lineRule="auto" w:before="0" w:after="0"/>
              <w:pStyle w:val="Compact"/>
            </w:pPr>
            <w:r>
              <w:rPr>
                <w:sz w:val="20"/>
                <w:szCs w:val="20"/>
              </w:rPr>
              <w:t xml:space="preserve">kinetic_orbital_target</w:t>
            </w:r>
          </w:p>
        </w:tc>
        <w:tc>
          <w:tcPr>
            <w:tcW w:w="0" w:type="auto"/>
          </w:tcPr>
          <w:p>
            <w:pPr>
              <w:spacing w:line="240" w:lineRule="auto" w:before="0" w:after="0"/>
              <w:pStyle w:val="Compact"/>
            </w:pPr>
            <w:r>
              <w:rPr>
                <w:sz w:val="20"/>
                <w:szCs w:val="20"/>
              </w:rPr>
              <w:t xml:space="preserve">256.7</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5</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r>
        <w:tc>
          <w:tcPr>
            <w:tcW w:w="0" w:type="auto"/>
          </w:tcPr>
          <w:p>
            <w:pPr>
              <w:spacing w:line="240" w:lineRule="auto" w:before="0" w:after="0"/>
              <w:pStyle w:val="Compact"/>
            </w:pPr>
            <w:r>
              <w:rPr>
                <w:sz w:val="20"/>
                <w:szCs w:val="20"/>
              </w:rPr>
              <w:t xml:space="preserve">United States</w:t>
            </w:r>
          </w:p>
        </w:tc>
        <w:tc>
          <w:tcPr>
            <w:tcW w:w="0" w:type="auto"/>
          </w:tcPr>
          <w:p>
            <w:pPr>
              <w:spacing w:line="240" w:lineRule="auto" w:before="0" w:after="0"/>
              <w:pStyle w:val="Compact"/>
            </w:pPr>
            <w:r>
              <w:rPr>
                <w:sz w:val="20"/>
                <w:szCs w:val="20"/>
              </w:rPr>
              <w:t xml:space="preserve">2008-02-20</w:t>
            </w:r>
          </w:p>
        </w:tc>
        <w:tc>
          <w:tcPr>
            <w:tcW w:w="0" w:type="auto"/>
          </w:tcPr>
          <w:p>
            <w:pPr>
              <w:spacing w:line="240" w:lineRule="auto" w:before="0" w:after="0"/>
              <w:pStyle w:val="Compact"/>
            </w:pPr>
            <w:r>
              <w:rPr>
                <w:sz w:val="20"/>
                <w:szCs w:val="20"/>
              </w:rPr>
              <w:t xml:space="preserve">2026-06-12</w:t>
            </w:r>
          </w:p>
        </w:tc>
        <w:tc>
          <w:tcPr>
            <w:tcW w:w="0" w:type="auto"/>
          </w:tcPr>
          <w:p>
            <w:pPr>
              <w:spacing w:line="240" w:lineRule="auto" w:before="0" w:after="0"/>
              <w:pStyle w:val="Compact"/>
            </w:pPr>
            <w:r>
              <w:rPr>
                <w:sz w:val="20"/>
                <w:szCs w:val="20"/>
              </w:rPr>
              <w:t xml:space="preserve">none observed</w:t>
            </w:r>
          </w:p>
        </w:tc>
        <w:tc>
          <w:tcPr>
            <w:tcW w:w="0" w:type="auto"/>
          </w:tcPr>
          <w:p>
            <w:pPr>
              <w:spacing w:line="240" w:lineRule="auto" w:before="0" w:after="0"/>
              <w:pStyle w:val="Compact"/>
            </w:pPr>
            <w:r>
              <w:rPr>
                <w:sz w:val="20"/>
                <w:szCs w:val="20"/>
              </w:rPr>
              <w:t xml:space="preserve">censored</w:t>
            </w:r>
          </w:p>
        </w:tc>
        <w:tc>
          <w:tcPr>
            <w:tcW w:w="0" w:type="auto"/>
          </w:tcPr>
          <w:p>
            <w:pPr>
              <w:spacing w:line="240" w:lineRule="auto" w:before="0" w:after="0"/>
              <w:pStyle w:val="Compact"/>
            </w:pPr>
            <w:r>
              <w:rPr>
                <w:sz w:val="20"/>
                <w:szCs w:val="20"/>
              </w:rPr>
              <w:t xml:space="preserve">219.7</w:t>
            </w:r>
          </w:p>
        </w:tc>
        <w:tc>
          <w:tcPr>
            <w:tcW w:w="0" w:type="auto"/>
          </w:tcPr>
          <w:p>
            <w:pPr>
              <w:spacing w:line="240" w:lineRule="auto" w:before="0" w:after="0"/>
              <w:pStyle w:val="Compact"/>
            </w:pPr>
            <w:r>
              <w:rPr>
                <w:sz w:val="20"/>
                <w:szCs w:val="20"/>
              </w:rPr>
              <w:t xml:space="preserve">0</w:t>
            </w:r>
          </w:p>
        </w:tc>
        <w:tc>
          <w:tcPr>
            <w:tcW w:w="0" w:type="auto"/>
          </w:tcPr>
          <w:p>
            <w:pPr>
              <w:spacing w:line="240" w:lineRule="auto" w:before="0" w:after="0"/>
              <w:pStyle w:val="Compact"/>
            </w:pPr>
            <w:r>
              <w:rPr>
                <w:sz w:val="20"/>
                <w:szCs w:val="20"/>
              </w:rPr>
              <w:t xml:space="preserve">6</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1</w:t>
            </w:r>
          </w:p>
        </w:tc>
        <w:tc>
          <w:tcPr>
            <w:tcW w:w="0" w:type="auto"/>
          </w:tcPr>
          <w:p>
            <w:pPr>
              <w:spacing w:line="240" w:lineRule="auto" w:before="0" w:after="0"/>
              <w:pStyle w:val="Compact"/>
            </w:pPr>
            <w:r>
              <w:rPr>
                <w:sz w:val="20"/>
                <w:szCs w:val="20"/>
              </w:rPr>
              <w:t xml:space="preserve">SWF US Direct-Ascent Anti-Satellite Testing fact sheet (June 2026), History of US DA-ASAT Testing</w:t>
            </w:r>
          </w:p>
        </w:tc>
      </w:tr>
    </w:tbl>
    <w:bookmarkEnd w:id="96"/>
    <w:bookmarkStart w:id="97" w:name="variable-construction"/>
    <w:p>
      <w:pPr>
        <w:pStyle w:val="Heading3"/>
      </w:pPr>
      <w:r>
        <w:t xml:space="preserve">Variable construction</w:t>
      </w:r>
    </w:p>
    <w:tbl>
      <w:tblPr>
        <w:tblStyle w:val="Table"/>
        <w:tblLook w:firstRow="1" w:lastRow="0" w:firstColumn="0" w:lastColumn="0" w:noHBand="0" w:noVBand="0" w:val="0020"/>
        <w:tblLayout w:type="autofit"/>
        <w:tblW w:w="0" w:type="auto"/>
      </w:tblPr>
      <w:tblGrid>
        <w:gridCol w:w="2640"/>
        <w:gridCol w:w="2640"/>
        <w:gridCol w:w="2640"/>
      </w:tblGrid>
      <w:tr>
        <w:trPr>
          <w:tblHeader w:val="on"/>
        </w:trPr>
        <w:tc>
          <w:tcPr>
            <w:tcW w:w="0" w:type="auto"/>
          </w:tcPr>
          <w:p>
            <w:pPr>
              <w:spacing w:line="240" w:lineRule="auto" w:before="0" w:after="0"/>
              <w:pStyle w:val="Compact"/>
            </w:pPr>
            <w:r>
              <w:rPr>
                <w:sz w:val="20"/>
                <w:szCs w:val="20"/>
              </w:rPr>
              <w:t xml:space="preserve">Variable</w:t>
            </w:r>
          </w:p>
        </w:tc>
        <w:tc>
          <w:tcPr>
            <w:tcW w:w="0" w:type="auto"/>
          </w:tcPr>
          <w:p>
            <w:pPr>
              <w:spacing w:line="240" w:lineRule="auto" w:before="0" w:after="0"/>
              <w:pStyle w:val="Compact"/>
            </w:pPr>
            <w:r>
              <w:rPr>
                <w:sz w:val="20"/>
                <w:szCs w:val="20"/>
              </w:rPr>
              <w:t xml:space="preserve">Definition</w:t>
            </w:r>
          </w:p>
        </w:tc>
        <w:tc>
          <w:tcPr>
            <w:tcW w:w="0" w:type="auto"/>
          </w:tcPr>
          <w:p>
            <w:pPr>
              <w:spacing w:line="240" w:lineRule="auto" w:before="0" w:after="0"/>
              <w:pStyle w:val="Compact"/>
            </w:pPr>
            <w:r>
              <w:rPr>
                <w:sz w:val="20"/>
                <w:szCs w:val="20"/>
              </w:rPr>
              <w:t xml:space="preserve">Construction / source</w:t>
            </w:r>
          </w:p>
        </w:tc>
      </w:tr>
      <w:tr>
        <w:tc>
          <w:tcPr>
            <w:tcW w:w="0" w:type="auto"/>
          </w:tcPr>
          <w:p>
            <w:pPr>
              <w:spacing w:line="240" w:lineRule="auto" w:before="0" w:after="0"/>
              <w:pStyle w:val="Compact"/>
            </w:pPr>
            <w:r>
              <w:rPr>
                <w:sz w:val="20"/>
                <w:szCs w:val="20"/>
              </w:rPr>
              <w:t xml:space="preserve">duration_months</w:t>
            </w:r>
          </w:p>
        </w:tc>
        <w:tc>
          <w:tcPr>
            <w:tcW w:w="0" w:type="auto"/>
          </w:tcPr>
          <w:p>
            <w:pPr>
              <w:spacing w:line="240" w:lineRule="auto" w:before="0" w:after="0"/>
              <w:pStyle w:val="Compact"/>
            </w:pPr>
            <w:r>
              <w:rPr>
                <w:sz w:val="20"/>
                <w:szCs w:val="20"/>
              </w:rPr>
              <w:t xml:space="preserve">Elapsed time in months between an actor’s observed direct-ascent anti-satellite (DA-ASAT) flight test and that actor’s next observed test. For the final spell of each actor the interval runs to the 12 June 2026 evidence cutoff and is right-censored. Months are computed as elapsed days divided by 30.4375.</w:t>
            </w:r>
          </w:p>
        </w:tc>
        <w:tc>
          <w:tcPr>
            <w:tcW w:w="0" w:type="auto"/>
          </w:tcPr>
          <w:p>
            <w:pPr>
              <w:spacing w:line="240" w:lineRule="auto" w:before="0" w:after="0"/>
              <w:pStyle w:val="Compact"/>
            </w:pPr>
            <w:r>
              <w:rPr>
                <w:sz w:val="20"/>
                <w:szCs w:val="20"/>
              </w:rPr>
              <w:t xml:space="preserve">Test dates from the Secure World Foundation DA-ASAT fact-sheet series for China, Russia, the United States and India [1][2][3][4]; interval arithmetic by the author</w:t>
            </w:r>
          </w:p>
        </w:tc>
      </w:tr>
      <w:tr>
        <w:tc>
          <w:tcPr>
            <w:tcW w:w="0" w:type="auto"/>
          </w:tcPr>
          <w:p>
            <w:pPr>
              <w:spacing w:line="240" w:lineRule="auto" w:before="0" w:after="0"/>
              <w:pStyle w:val="Compact"/>
            </w:pPr>
            <w:r>
              <w:rPr>
                <w:sz w:val="20"/>
                <w:szCs w:val="20"/>
              </w:rPr>
              <w:t xml:space="preserve">event</w:t>
            </w:r>
          </w:p>
        </w:tc>
        <w:tc>
          <w:tcPr>
            <w:tcW w:w="0" w:type="auto"/>
          </w:tcPr>
          <w:p>
            <w:pPr>
              <w:spacing w:line="240" w:lineRule="auto" w:before="0" w:after="0"/>
              <w:pStyle w:val="Compact"/>
            </w:pPr>
            <w:r>
              <w:rPr>
                <w:sz w:val="20"/>
                <w:szCs w:val="20"/>
              </w:rPr>
              <w:t xml:space="preserve">Survival indicator: 1 if the spell terminates in an observed DA-ASAT flight test by the same actor, 0 if the spell is right-censored at the 12 June 2026 evidence cutoff with no further test observed. Twenty-eight of thirty-two spells are uncensored.</w:t>
            </w:r>
          </w:p>
        </w:tc>
        <w:tc>
          <w:tcPr>
            <w:tcW w:w="0" w:type="auto"/>
          </w:tcPr>
          <w:p>
            <w:pPr>
              <w:spacing w:line="240" w:lineRule="auto" w:before="0" w:after="0"/>
              <w:pStyle w:val="Compact"/>
            </w:pPr>
            <w:r>
              <w:rPr>
                <w:sz w:val="20"/>
                <w:szCs w:val="20"/>
              </w:rPr>
              <w:t xml:space="preserve">Constructed by the author from the SWF DA-ASAT test tables [1][2][3][4]</w:t>
            </w:r>
          </w:p>
        </w:tc>
      </w:tr>
      <w:tr>
        <w:tc>
          <w:tcPr>
            <w:tcW w:w="0" w:type="auto"/>
          </w:tcPr>
          <w:p>
            <w:pPr>
              <w:spacing w:line="240" w:lineRule="auto" w:before="0" w:after="0"/>
              <w:pStyle w:val="Compact"/>
            </w:pPr>
            <w:r>
              <w:rPr>
                <w:sz w:val="20"/>
                <w:szCs w:val="20"/>
              </w:rPr>
              <w:t xml:space="preserve">prior_tests</w:t>
            </w:r>
          </w:p>
        </w:tc>
        <w:tc>
          <w:tcPr>
            <w:tcW w:w="0" w:type="auto"/>
          </w:tcPr>
          <w:p>
            <w:pPr>
              <w:spacing w:line="240" w:lineRule="auto" w:before="0" w:after="0"/>
              <w:pStyle w:val="Compact"/>
            </w:pPr>
            <w:r>
              <w:rPr>
                <w:sz w:val="20"/>
                <w:szCs w:val="20"/>
              </w:rPr>
              <w:t xml:space="preserve">Cumulative count of that actor’s documented DA-ASAT flight tests up to and including the test that opens the spell; a measure of accumulated programme experience and standing test infrastructure at risk-set entry.</w:t>
            </w:r>
          </w:p>
        </w:tc>
        <w:tc>
          <w:tcPr>
            <w:tcW w:w="0" w:type="auto"/>
          </w:tcPr>
          <w:p>
            <w:pPr>
              <w:spacing w:line="240" w:lineRule="auto" w:before="0" w:after="0"/>
              <w:pStyle w:val="Compact"/>
            </w:pPr>
            <w:r>
              <w:rPr>
                <w:sz w:val="20"/>
                <w:szCs w:val="20"/>
              </w:rPr>
              <w:t xml:space="preserve">Counted by the author from the SWF DA-ASAT test tables [1][2][3][4]</w:t>
            </w:r>
          </w:p>
        </w:tc>
      </w:tr>
      <w:tr>
        <w:tc>
          <w:tcPr>
            <w:tcW w:w="0" w:type="auto"/>
          </w:tcPr>
          <w:p>
            <w:pPr>
              <w:spacing w:line="240" w:lineRule="auto" w:before="0" w:after="0"/>
              <w:pStyle w:val="Compact"/>
            </w:pPr>
            <w:r>
              <w:rPr>
                <w:sz w:val="20"/>
                <w:szCs w:val="20"/>
              </w:rPr>
              <w:t xml:space="preserve">rival_tests_24mo</w:t>
            </w:r>
          </w:p>
        </w:tc>
        <w:tc>
          <w:tcPr>
            <w:tcW w:w="0" w:type="auto"/>
          </w:tcPr>
          <w:p>
            <w:pPr>
              <w:spacing w:line="240" w:lineRule="auto" w:before="0" w:after="0"/>
              <w:pStyle w:val="Compact"/>
            </w:pPr>
            <w:r>
              <w:rPr>
                <w:sz w:val="20"/>
                <w:szCs w:val="20"/>
              </w:rPr>
              <w:t xml:space="preserve">Number of DA-ASAT flight tests conducted by any actor other than the focal actor during the twenty-four months ending on the spell-start date; the action-reaction or reciprocal-signalling covariate.</w:t>
            </w:r>
          </w:p>
        </w:tc>
        <w:tc>
          <w:tcPr>
            <w:tcW w:w="0" w:type="auto"/>
          </w:tcPr>
          <w:p>
            <w:pPr>
              <w:spacing w:line="240" w:lineRule="auto" w:before="0" w:after="0"/>
              <w:pStyle w:val="Compact"/>
            </w:pPr>
            <w:r>
              <w:rPr>
                <w:sz w:val="20"/>
                <w:szCs w:val="20"/>
              </w:rPr>
              <w:t xml:space="preserve">Counted by the author across the pooled SWF DA-ASAT test tables [1][2][3][4]</w:t>
            </w:r>
          </w:p>
        </w:tc>
      </w:tr>
      <w:tr>
        <w:tc>
          <w:tcPr>
            <w:tcW w:w="0" w:type="auto"/>
          </w:tcPr>
          <w:p>
            <w:pPr>
              <w:spacing w:line="240" w:lineRule="auto" w:before="0" w:after="0"/>
              <w:pStyle w:val="Compact"/>
            </w:pPr>
            <w:r>
              <w:rPr>
                <w:sz w:val="20"/>
                <w:szCs w:val="20"/>
              </w:rPr>
              <w:t xml:space="preserve">prior_kinetic</w:t>
            </w:r>
          </w:p>
        </w:tc>
        <w:tc>
          <w:tcPr>
            <w:tcW w:w="0" w:type="auto"/>
          </w:tcPr>
          <w:p>
            <w:pPr>
              <w:spacing w:line="240" w:lineRule="auto" w:before="0" w:after="0"/>
              <w:pStyle w:val="Compact"/>
            </w:pPr>
            <w:r>
              <w:rPr>
                <w:sz w:val="20"/>
                <w:szCs w:val="20"/>
              </w:rPr>
              <w:t xml:space="preserve">Binary indicator equal to 1 if the test opening the spell flew a kill vehicle against a designated target, orbital or suborbital, and 0 if the Secure World Foundation classifies it as a rocket or launcher test with no known target. It encodes whether the actor’s most recent demonstration carried intercept content rather than propulsion content only.</w:t>
            </w:r>
          </w:p>
        </w:tc>
        <w:tc>
          <w:tcPr>
            <w:tcW w:w="0" w:type="auto"/>
          </w:tcPr>
          <w:p>
            <w:pPr>
              <w:spacing w:line="240" w:lineRule="auto" w:before="0" w:after="0"/>
              <w:pStyle w:val="Compact"/>
            </w:pPr>
            <w:r>
              <w:rPr>
                <w:sz w:val="20"/>
                <w:szCs w:val="20"/>
              </w:rPr>
              <w:t xml:space="preserve">Coded by the author from the SWF Result and Comment columns [1][2][3][4]</w:t>
            </w:r>
          </w:p>
        </w:tc>
      </w:tr>
      <w:tr>
        <w:tc>
          <w:tcPr>
            <w:tcW w:w="0" w:type="auto"/>
          </w:tcPr>
          <w:p>
            <w:pPr>
              <w:spacing w:line="240" w:lineRule="auto" w:before="0" w:after="0"/>
              <w:pStyle w:val="Compact"/>
            </w:pPr>
            <w:r>
              <w:rPr>
                <w:sz w:val="20"/>
                <w:szCs w:val="20"/>
              </w:rPr>
              <w:t xml:space="preserve">actor</w:t>
            </w:r>
          </w:p>
        </w:tc>
        <w:tc>
          <w:tcPr>
            <w:tcW w:w="0" w:type="auto"/>
          </w:tcPr>
          <w:p>
            <w:pPr>
              <w:spacing w:line="240" w:lineRule="auto" w:before="0" w:after="0"/>
              <w:pStyle w:val="Compact"/>
            </w:pPr>
            <w:r>
              <w:rPr>
                <w:sz w:val="20"/>
                <w:szCs w:val="20"/>
              </w:rPr>
              <w:t xml:space="preserve">State conducting the test programme: China, Russia, the United States or India.</w:t>
            </w:r>
          </w:p>
        </w:tc>
        <w:tc>
          <w:tcPr>
            <w:tcW w:w="0" w:type="auto"/>
          </w:tcPr>
          <w:p>
            <w:pPr>
              <w:spacing w:line="240" w:lineRule="auto" w:before="0" w:after="0"/>
              <w:pStyle w:val="Compact"/>
            </w:pPr>
            <w:r>
              <w:rPr>
                <w:sz w:val="20"/>
                <w:szCs w:val="20"/>
              </w:rPr>
              <w:t xml:space="preserve">SWF DA-ASAT fact-sheet series [1][2][3][4]</w:t>
            </w:r>
          </w:p>
        </w:tc>
      </w:tr>
      <w:tr>
        <w:tc>
          <w:tcPr>
            <w:tcW w:w="0" w:type="auto"/>
          </w:tcPr>
          <w:p>
            <w:pPr>
              <w:spacing w:line="240" w:lineRule="auto" w:before="0" w:after="0"/>
              <w:pStyle w:val="Compact"/>
            </w:pPr>
            <w:r>
              <w:rPr>
                <w:sz w:val="20"/>
                <w:szCs w:val="20"/>
              </w:rPr>
              <w:t xml:space="preserve">prior_test_date</w:t>
            </w:r>
          </w:p>
        </w:tc>
        <w:tc>
          <w:tcPr>
            <w:tcW w:w="0" w:type="auto"/>
          </w:tcPr>
          <w:p>
            <w:pPr>
              <w:spacing w:line="240" w:lineRule="auto" w:before="0" w:after="0"/>
              <w:pStyle w:val="Compact"/>
            </w:pPr>
            <w:r>
              <w:rPr>
                <w:sz w:val="20"/>
                <w:szCs w:val="20"/>
              </w:rPr>
              <w:t xml:space="preserve">Calendar date of the test that opens the spell. The Russian August 2014 entry is dated to mid-month because the Secure World Foundation reports month and year only for that launch.</w:t>
            </w:r>
          </w:p>
        </w:tc>
        <w:tc>
          <w:tcPr>
            <w:tcW w:w="0" w:type="auto"/>
          </w:tcPr>
          <w:p>
            <w:pPr>
              <w:spacing w:line="240" w:lineRule="auto" w:before="0" w:after="0"/>
              <w:pStyle w:val="Compact"/>
            </w:pPr>
            <w:r>
              <w:rPr>
                <w:sz w:val="20"/>
                <w:szCs w:val="20"/>
              </w:rPr>
              <w:t xml:space="preserve">SWF Russian, Chinese, US and Indian DA-ASAT fact sheets [1][2][3][4]</w:t>
            </w:r>
          </w:p>
        </w:tc>
      </w:tr>
      <w:tr>
        <w:tc>
          <w:tcPr>
            <w:tcW w:w="0" w:type="auto"/>
          </w:tcPr>
          <w:p>
            <w:pPr>
              <w:spacing w:line="240" w:lineRule="auto" w:before="0" w:after="0"/>
              <w:pStyle w:val="Compact"/>
            </w:pPr>
            <w:r>
              <w:rPr>
                <w:sz w:val="20"/>
                <w:szCs w:val="20"/>
              </w:rPr>
              <w:t xml:space="preserve">test_date</w:t>
            </w:r>
          </w:p>
        </w:tc>
        <w:tc>
          <w:tcPr>
            <w:tcW w:w="0" w:type="auto"/>
          </w:tcPr>
          <w:p>
            <w:pPr>
              <w:spacing w:line="240" w:lineRule="auto" w:before="0" w:after="0"/>
              <w:pStyle w:val="Compact"/>
            </w:pPr>
            <w:r>
              <w:rPr>
                <w:sz w:val="20"/>
                <w:szCs w:val="20"/>
              </w:rPr>
              <w:t xml:space="preserve">Calendar date of the test that closes the spell, or 12 June 2026 for right-censored spells.</w:t>
            </w:r>
          </w:p>
        </w:tc>
        <w:tc>
          <w:tcPr>
            <w:tcW w:w="0" w:type="auto"/>
          </w:tcPr>
          <w:p>
            <w:pPr>
              <w:spacing w:line="240" w:lineRule="auto" w:before="0" w:after="0"/>
              <w:pStyle w:val="Compact"/>
            </w:pPr>
            <w:r>
              <w:rPr>
                <w:sz w:val="20"/>
                <w:szCs w:val="20"/>
              </w:rPr>
              <w:t xml:space="preserve">SWF DA-ASAT fact-sheet series [1][2][3][4]</w:t>
            </w:r>
          </w:p>
        </w:tc>
      </w:tr>
      <w:tr>
        <w:tc>
          <w:tcPr>
            <w:tcW w:w="0" w:type="auto"/>
          </w:tcPr>
          <w:p>
            <w:pPr>
              <w:spacing w:line="240" w:lineRule="auto" w:before="0" w:after="0"/>
              <w:pStyle w:val="Compact"/>
            </w:pPr>
            <w:r>
              <w:rPr>
                <w:sz w:val="20"/>
                <w:szCs w:val="20"/>
              </w:rPr>
              <w:t xml:space="preserve">system</w:t>
            </w:r>
          </w:p>
        </w:tc>
        <w:tc>
          <w:tcPr>
            <w:tcW w:w="0" w:type="auto"/>
          </w:tcPr>
          <w:p>
            <w:pPr>
              <w:spacing w:line="240" w:lineRule="auto" w:before="0" w:after="0"/>
              <w:pStyle w:val="Compact"/>
            </w:pPr>
            <w:r>
              <w:rPr>
                <w:sz w:val="20"/>
                <w:szCs w:val="20"/>
              </w:rPr>
              <w:t xml:space="preserve">Interceptor designation associated with the closing test: SC-19, DN-2, DN-3, Nudol, ASM-135, SM-3 Block IA or PDV-MK II.</w:t>
            </w:r>
          </w:p>
        </w:tc>
        <w:tc>
          <w:tcPr>
            <w:tcW w:w="0" w:type="auto"/>
          </w:tcPr>
          <w:p>
            <w:pPr>
              <w:spacing w:line="240" w:lineRule="auto" w:before="0" w:after="0"/>
              <w:pStyle w:val="Compact"/>
            </w:pPr>
            <w:r>
              <w:rPr>
                <w:sz w:val="20"/>
                <w:szCs w:val="20"/>
              </w:rPr>
              <w:t xml:space="preserve">SWF DA-ASAT fact-sheet series [1][2][3][4]</w:t>
            </w:r>
          </w:p>
        </w:tc>
      </w:tr>
      <w:tr>
        <w:tc>
          <w:tcPr>
            <w:tcW w:w="0" w:type="auto"/>
          </w:tcPr>
          <w:p>
            <w:pPr>
              <w:spacing w:line="240" w:lineRule="auto" w:before="0" w:after="0"/>
              <w:pStyle w:val="Compact"/>
            </w:pPr>
            <w:r>
              <w:rPr>
                <w:sz w:val="20"/>
                <w:szCs w:val="20"/>
              </w:rPr>
              <w:t xml:space="preserve">test_type</w:t>
            </w:r>
          </w:p>
        </w:tc>
        <w:tc>
          <w:tcPr>
            <w:tcW w:w="0" w:type="auto"/>
          </w:tcPr>
          <w:p>
            <w:pPr>
              <w:spacing w:line="240" w:lineRule="auto" w:before="0" w:after="0"/>
              <w:pStyle w:val="Compact"/>
            </w:pPr>
            <w:r>
              <w:rPr>
                <w:sz w:val="20"/>
                <w:szCs w:val="20"/>
              </w:rPr>
              <w:t xml:space="preserve">Classification of the closing test as kinetic_orbital_target, kinetic_suborbital_target or rocket_test_no_target, with</w:t>
            </w:r>
            <w:r>
              <w:rPr>
                <w:sz w:val="20"/>
                <w:szCs w:val="20"/>
              </w:rPr>
              <w:t xml:space="preserve"> </w:t>
            </w:r>
            <w:r>
              <w:rPr>
                <w:sz w:val="20"/>
                <w:szCs w:val="20"/>
              </w:rPr>
              <w:t xml:space="preserve">‘censored’</w:t>
            </w:r>
            <w:r>
              <w:rPr>
                <w:sz w:val="20"/>
                <w:szCs w:val="20"/>
              </w:rPr>
              <w:t xml:space="preserve"> </w:t>
            </w:r>
            <w:r>
              <w:rPr>
                <w:sz w:val="20"/>
                <w:szCs w:val="20"/>
              </w:rPr>
              <w:t xml:space="preserve">where no further test is observed. The Russian 15 November 2019 entry is flagged illustrative because the SWF result cell reads only</w:t>
            </w:r>
            <w:r>
              <w:rPr>
                <w:sz w:val="20"/>
                <w:szCs w:val="20"/>
              </w:rPr>
              <w:t xml:space="preserve"> </w:t>
            </w:r>
            <w:r>
              <w:rPr>
                <w:sz w:val="20"/>
                <w:szCs w:val="20"/>
              </w:rPr>
              <w:t xml:space="preserve">‘?’</w:t>
            </w:r>
            <w:r>
              <w:rPr>
                <w:sz w:val="20"/>
                <w:szCs w:val="20"/>
              </w:rPr>
              <w:t xml:space="preserve">.</w:t>
            </w:r>
          </w:p>
        </w:tc>
        <w:tc>
          <w:tcPr>
            <w:tcW w:w="0" w:type="auto"/>
          </w:tcPr>
          <w:p>
            <w:pPr>
              <w:spacing w:line="240" w:lineRule="auto" w:before="0" w:after="0"/>
              <w:pStyle w:val="Compact"/>
            </w:pPr>
            <w:r>
              <w:rPr>
                <w:sz w:val="20"/>
                <w:szCs w:val="20"/>
              </w:rPr>
              <w:t xml:space="preserve">Coded by the author from SWF Target, Altitude and Result columns [1][2][3][4]</w:t>
            </w:r>
          </w:p>
        </w:tc>
      </w:tr>
      <w:tr>
        <w:tc>
          <w:tcPr>
            <w:tcW w:w="0" w:type="auto"/>
          </w:tcPr>
          <w:p>
            <w:pPr>
              <w:spacing w:line="240" w:lineRule="auto" w:before="0" w:after="0"/>
              <w:pStyle w:val="Compact"/>
            </w:pPr>
            <w:r>
              <w:rPr>
                <w:sz w:val="20"/>
                <w:szCs w:val="20"/>
              </w:rPr>
              <w:t xml:space="preserve">source</w:t>
            </w:r>
          </w:p>
        </w:tc>
        <w:tc>
          <w:tcPr>
            <w:tcW w:w="0" w:type="auto"/>
          </w:tcPr>
          <w:p>
            <w:pPr>
              <w:spacing w:line="240" w:lineRule="auto" w:before="0" w:after="0"/>
              <w:pStyle w:val="Compact"/>
            </w:pPr>
            <w:r>
              <w:rPr>
                <w:sz w:val="20"/>
                <w:szCs w:val="20"/>
              </w:rPr>
              <w:t xml:space="preserve">Provenance string naming the specific Secure World Foundation fact sheet and summary table from which the row’s dates, system and outcome classification were taken.</w:t>
            </w:r>
          </w:p>
        </w:tc>
        <w:tc>
          <w:tcPr>
            <w:tcW w:w="0" w:type="auto"/>
          </w:tcPr>
          <w:p>
            <w:pPr>
              <w:spacing w:line="240" w:lineRule="auto" w:before="0" w:after="0"/>
              <w:pStyle w:val="Compact"/>
            </w:pPr>
            <w:r>
              <w:rPr>
                <w:sz w:val="20"/>
                <w:szCs w:val="20"/>
              </w:rPr>
              <w:t xml:space="preserve">Compiled by the author from [1][2][3][4]</w:t>
            </w:r>
          </w:p>
        </w:tc>
      </w:tr>
    </w:tbl>
    <w:bookmarkEnd w:id="97"/>
    <w:bookmarkStart w:id="98" w:name="estimator-output"/>
    <w:p>
      <w:pPr>
        <w:pStyle w:val="Heading3"/>
      </w:pPr>
      <w:r>
        <w:t xml:space="preserve">Estimator output</w:t>
      </w:r>
    </w:p>
    <w:tbl>
      <w:tblPr>
        <w:tblStyle w:val="Table"/>
        <w:tblLook w:firstRow="1" w:lastRow="0" w:firstColumn="0" w:lastColumn="0" w:noHBand="0" w:noVBand="0" w:val="0020"/>
        <w:tblLayout w:type="autofit"/>
        <w:tblW w:w="0" w:type="auto"/>
      </w:tblPr>
      <w:tblGrid>
        <w:gridCol w:w="1131"/>
        <w:gridCol w:w="1131"/>
        <w:gridCol w:w="1131"/>
        <w:gridCol w:w="1131"/>
        <w:gridCol w:w="1131"/>
        <w:gridCol w:w="1131"/>
        <w:gridCol w:w="1131"/>
      </w:tblGrid>
      <w:tr>
        <w:trPr>
          <w:tblHeader w:val="on"/>
        </w:trPr>
        <w:tc>
          <w:tcPr>
            <w:tcW w:w="0" w:type="auto"/>
          </w:tcPr>
          <w:p>
            <w:pPr>
              <w:spacing w:line="240" w:lineRule="auto" w:before="0" w:after="0"/>
              <w:pStyle w:val="Compact"/>
            </w:pPr>
            <w:r>
              <w:rPr>
                <w:sz w:val="20"/>
                <w:szCs w:val="20"/>
              </w:rPr>
              <w:t xml:space="preserve">Term</w:t>
            </w:r>
          </w:p>
        </w:tc>
        <w:tc>
          <w:tcPr>
            <w:tcW w:w="0" w:type="auto"/>
          </w:tcPr>
          <w:p>
            <w:pPr>
              <w:spacing w:line="240" w:lineRule="auto" w:before="0" w:after="0"/>
              <w:pStyle w:val="Compact"/>
            </w:pPr>
            <w:r>
              <w:rPr>
                <w:sz w:val="20"/>
                <w:szCs w:val="20"/>
              </w:rPr>
              <w:t xml:space="preserve">Coef.</w:t>
            </w:r>
          </w:p>
        </w:tc>
        <w:tc>
          <w:tcPr>
            <w:tcW w:w="0" w:type="auto"/>
          </w:tcPr>
          <w:p>
            <w:pPr>
              <w:spacing w:line="240" w:lineRule="auto" w:before="0" w:after="0"/>
              <w:pStyle w:val="Compact"/>
            </w:pPr>
            <w:r>
              <w:rPr>
                <w:sz w:val="20"/>
                <w:szCs w:val="20"/>
              </w:rPr>
              <w:t xml:space="preserve">Std. err.</w:t>
            </w:r>
          </w:p>
        </w:tc>
        <w:tc>
          <w:tcPr>
            <w:tcW w:w="0" w:type="auto"/>
          </w:tcPr>
          <w:p>
            <w:pPr>
              <w:spacing w:line="240" w:lineRule="auto" w:before="0" w:after="0"/>
              <w:pStyle w:val="Compact"/>
            </w:pPr>
            <w:r>
              <w:rPr>
                <w:sz w:val="20"/>
                <w:szCs w:val="20"/>
              </w:rPr>
              <w:t xml:space="preserve">z</w:t>
            </w:r>
          </w:p>
        </w:tc>
        <w:tc>
          <w:tcPr>
            <w:tcW w:w="0" w:type="auto"/>
          </w:tcPr>
          <w:p>
            <w:pPr>
              <w:spacing w:line="240" w:lineRule="auto" w:before="0" w:after="0"/>
              <w:pStyle w:val="Compact"/>
            </w:pPr>
            <w:r>
              <w:rPr>
                <w:sz w:val="20"/>
                <w:szCs w:val="20"/>
              </w:rPr>
              <w:t xml:space="preserve">p</w:t>
            </w:r>
          </w:p>
        </w:tc>
        <w:tc>
          <w:tcPr>
            <w:tcW w:w="0" w:type="auto"/>
          </w:tcPr>
          <w:p>
            <w:pPr>
              <w:spacing w:line="240" w:lineRule="auto" w:before="0" w:after="0"/>
              <w:pStyle w:val="Compact"/>
            </w:pPr>
            <w:r>
              <w:rPr>
                <w:sz w:val="20"/>
                <w:szCs w:val="20"/>
              </w:rPr>
              <w:t xml:space="preserve">95% CI</w:t>
            </w:r>
          </w:p>
        </w:tc>
        <w:tc>
          <w:tcPr>
            <w:tcW w:w="0" w:type="auto"/>
          </w:tcPr>
          <w:p>
            <w:pPr>
              <w:spacing w:line="240" w:lineRule="auto" w:before="0" w:after="0"/>
              <w:pStyle w:val="Compact"/>
            </w:pPr>
            <w:r>
              <w:rPr>
                <w:sz w:val="20"/>
                <w:szCs w:val="20"/>
              </w:rPr>
              <w:t xml:space="preserve">Hazard ratio</w:t>
            </w:r>
          </w:p>
        </w:tc>
      </w:tr>
      <w:tr>
        <w:tc>
          <w:tcPr>
            <w:tcW w:w="0" w:type="auto"/>
          </w:tcPr>
          <w:p>
            <w:pPr>
              <w:spacing w:line="240" w:lineRule="auto" w:before="0" w:after="0"/>
              <w:pStyle w:val="Compact"/>
            </w:pPr>
            <w:r>
              <w:rPr>
                <w:sz w:val="20"/>
                <w:szCs w:val="20"/>
              </w:rPr>
              <w:t xml:space="preserve">prior_tests</w:t>
            </w:r>
          </w:p>
        </w:tc>
        <w:tc>
          <w:tcPr>
            <w:tcW w:w="0" w:type="auto"/>
          </w:tcPr>
          <w:p>
            <w:pPr>
              <w:spacing w:line="240" w:lineRule="auto" w:before="0" w:after="0"/>
              <w:pStyle w:val="Compact"/>
            </w:pPr>
            <w:r>
              <w:rPr>
                <w:sz w:val="20"/>
                <w:szCs w:val="20"/>
              </w:rPr>
              <w:t xml:space="preserve">-0.0803</w:t>
            </w:r>
          </w:p>
        </w:tc>
        <w:tc>
          <w:tcPr>
            <w:tcW w:w="0" w:type="auto"/>
          </w:tcPr>
          <w:p>
            <w:pPr>
              <w:spacing w:line="240" w:lineRule="auto" w:before="0" w:after="0"/>
              <w:pStyle w:val="Compact"/>
            </w:pPr>
            <w:r>
              <w:rPr>
                <w:sz w:val="20"/>
                <w:szCs w:val="20"/>
              </w:rPr>
              <w:t xml:space="preserve">0.0595</w:t>
            </w:r>
          </w:p>
        </w:tc>
        <w:tc>
          <w:tcPr>
            <w:tcW w:w="0" w:type="auto"/>
          </w:tcPr>
          <w:p>
            <w:pPr>
              <w:spacing w:line="240" w:lineRule="auto" w:before="0" w:after="0"/>
              <w:pStyle w:val="Compact"/>
            </w:pPr>
            <w:r>
              <w:rPr>
                <w:sz w:val="20"/>
                <w:szCs w:val="20"/>
              </w:rPr>
              <w:t xml:space="preserve">-1.3503</w:t>
            </w:r>
          </w:p>
        </w:tc>
        <w:tc>
          <w:tcPr>
            <w:tcW w:w="0" w:type="auto"/>
          </w:tcPr>
          <w:p>
            <w:pPr>
              <w:spacing w:line="240" w:lineRule="auto" w:before="0" w:after="0"/>
              <w:pStyle w:val="Compact"/>
            </w:pPr>
            <w:r>
              <w:rPr>
                <w:sz w:val="20"/>
                <w:szCs w:val="20"/>
              </w:rPr>
              <w:t xml:space="preserve">0.1769</w:t>
            </w:r>
          </w:p>
        </w:tc>
        <w:tc>
          <w:tcPr>
            <w:tcW w:w="0" w:type="auto"/>
          </w:tcPr>
          <w:p>
            <w:pPr>
              <w:spacing w:line="240" w:lineRule="auto" w:before="0" w:after="0"/>
              <w:pStyle w:val="Compact"/>
            </w:pPr>
            <w:r>
              <w:rPr>
                <w:sz w:val="20"/>
                <w:szCs w:val="20"/>
              </w:rPr>
              <w:t xml:space="preserve">[-0.1969, 0.0363]</w:t>
            </w:r>
          </w:p>
        </w:tc>
        <w:tc>
          <w:tcPr>
            <w:tcW w:w="0" w:type="auto"/>
          </w:tcPr>
          <w:p>
            <w:pPr>
              <w:spacing w:line="240" w:lineRule="auto" w:before="0" w:after="0"/>
              <w:pStyle w:val="Compact"/>
            </w:pPr>
            <w:r>
              <w:rPr>
                <w:sz w:val="20"/>
                <w:szCs w:val="20"/>
              </w:rPr>
              <w:t xml:space="preserve">0.9228</w:t>
            </w:r>
          </w:p>
        </w:tc>
      </w:tr>
      <w:tr>
        <w:tc>
          <w:tcPr>
            <w:tcW w:w="0" w:type="auto"/>
          </w:tcPr>
          <w:p>
            <w:pPr>
              <w:spacing w:line="240" w:lineRule="auto" w:before="0" w:after="0"/>
              <w:pStyle w:val="Compact"/>
            </w:pPr>
            <w:r>
              <w:rPr>
                <w:sz w:val="20"/>
                <w:szCs w:val="20"/>
              </w:rPr>
              <w:t xml:space="preserve">rival_tests_24mo</w:t>
            </w:r>
          </w:p>
        </w:tc>
        <w:tc>
          <w:tcPr>
            <w:tcW w:w="0" w:type="auto"/>
          </w:tcPr>
          <w:p>
            <w:pPr>
              <w:spacing w:line="240" w:lineRule="auto" w:before="0" w:after="0"/>
              <w:pStyle w:val="Compact"/>
            </w:pPr>
            <w:r>
              <w:rPr>
                <w:sz w:val="20"/>
                <w:szCs w:val="20"/>
              </w:rPr>
              <w:t xml:space="preserve">0.1122</w:t>
            </w:r>
          </w:p>
        </w:tc>
        <w:tc>
          <w:tcPr>
            <w:tcW w:w="0" w:type="auto"/>
          </w:tcPr>
          <w:p>
            <w:pPr>
              <w:spacing w:line="240" w:lineRule="auto" w:before="0" w:after="0"/>
              <w:pStyle w:val="Compact"/>
            </w:pPr>
            <w:r>
              <w:rPr>
                <w:sz w:val="20"/>
                <w:szCs w:val="20"/>
              </w:rPr>
              <w:t xml:space="preserve">0.1351</w:t>
            </w:r>
          </w:p>
        </w:tc>
        <w:tc>
          <w:tcPr>
            <w:tcW w:w="0" w:type="auto"/>
          </w:tcPr>
          <w:p>
            <w:pPr>
              <w:spacing w:line="240" w:lineRule="auto" w:before="0" w:after="0"/>
              <w:pStyle w:val="Compact"/>
            </w:pPr>
            <w:r>
              <w:rPr>
                <w:sz w:val="20"/>
                <w:szCs w:val="20"/>
              </w:rPr>
              <w:t xml:space="preserve">0.8302</w:t>
            </w:r>
          </w:p>
        </w:tc>
        <w:tc>
          <w:tcPr>
            <w:tcW w:w="0" w:type="auto"/>
          </w:tcPr>
          <w:p>
            <w:pPr>
              <w:spacing w:line="240" w:lineRule="auto" w:before="0" w:after="0"/>
              <w:pStyle w:val="Compact"/>
            </w:pPr>
            <w:r>
              <w:rPr>
                <w:sz w:val="20"/>
                <w:szCs w:val="20"/>
              </w:rPr>
              <w:t xml:space="preserve">0.4064</w:t>
            </w:r>
          </w:p>
        </w:tc>
        <w:tc>
          <w:tcPr>
            <w:tcW w:w="0" w:type="auto"/>
          </w:tcPr>
          <w:p>
            <w:pPr>
              <w:spacing w:line="240" w:lineRule="auto" w:before="0" w:after="0"/>
              <w:pStyle w:val="Compact"/>
            </w:pPr>
            <w:r>
              <w:rPr>
                <w:sz w:val="20"/>
                <w:szCs w:val="20"/>
              </w:rPr>
              <w:t xml:space="preserve">[-0.1527, 0.377]</w:t>
            </w:r>
          </w:p>
        </w:tc>
        <w:tc>
          <w:tcPr>
            <w:tcW w:w="0" w:type="auto"/>
          </w:tcPr>
          <w:p>
            <w:pPr>
              <w:spacing w:line="240" w:lineRule="auto" w:before="0" w:after="0"/>
              <w:pStyle w:val="Compact"/>
            </w:pPr>
            <w:r>
              <w:rPr>
                <w:sz w:val="20"/>
                <w:szCs w:val="20"/>
              </w:rPr>
              <w:t xml:space="preserve">1.1187</w:t>
            </w:r>
          </w:p>
        </w:tc>
      </w:tr>
      <w:tr>
        <w:tc>
          <w:tcPr>
            <w:tcW w:w="0" w:type="auto"/>
          </w:tcPr>
          <w:p>
            <w:pPr>
              <w:spacing w:line="240" w:lineRule="auto" w:before="0" w:after="0"/>
              <w:pStyle w:val="Compact"/>
            </w:pPr>
            <w:r>
              <w:rPr>
                <w:sz w:val="20"/>
                <w:szCs w:val="20"/>
              </w:rPr>
              <w:t xml:space="preserve">prior_kinetic</w:t>
            </w:r>
          </w:p>
        </w:tc>
        <w:tc>
          <w:tcPr>
            <w:tcW w:w="0" w:type="auto"/>
          </w:tcPr>
          <w:p>
            <w:pPr>
              <w:spacing w:line="240" w:lineRule="auto" w:before="0" w:after="0"/>
              <w:pStyle w:val="Compact"/>
            </w:pPr>
            <w:r>
              <w:rPr>
                <w:sz w:val="20"/>
                <w:szCs w:val="20"/>
              </w:rPr>
              <w:t xml:space="preserve">-0.642</w:t>
            </w:r>
          </w:p>
        </w:tc>
        <w:tc>
          <w:tcPr>
            <w:tcW w:w="0" w:type="auto"/>
          </w:tcPr>
          <w:p>
            <w:pPr>
              <w:spacing w:line="240" w:lineRule="auto" w:before="0" w:after="0"/>
              <w:pStyle w:val="Compact"/>
            </w:pPr>
            <w:r>
              <w:rPr>
                <w:sz w:val="20"/>
                <w:szCs w:val="20"/>
              </w:rPr>
              <w:t xml:space="preserve">0.4418</w:t>
            </w:r>
          </w:p>
        </w:tc>
        <w:tc>
          <w:tcPr>
            <w:tcW w:w="0" w:type="auto"/>
          </w:tcPr>
          <w:p>
            <w:pPr>
              <w:spacing w:line="240" w:lineRule="auto" w:before="0" w:after="0"/>
              <w:pStyle w:val="Compact"/>
            </w:pPr>
            <w:r>
              <w:rPr>
                <w:sz w:val="20"/>
                <w:szCs w:val="20"/>
              </w:rPr>
              <w:t xml:space="preserve">-1.4531</w:t>
            </w:r>
          </w:p>
        </w:tc>
        <w:tc>
          <w:tcPr>
            <w:tcW w:w="0" w:type="auto"/>
          </w:tcPr>
          <w:p>
            <w:pPr>
              <w:spacing w:line="240" w:lineRule="auto" w:before="0" w:after="0"/>
              <w:pStyle w:val="Compact"/>
            </w:pPr>
            <w:r>
              <w:rPr>
                <w:sz w:val="20"/>
                <w:szCs w:val="20"/>
              </w:rPr>
              <w:t xml:space="preserve">0.1462</w:t>
            </w:r>
          </w:p>
        </w:tc>
        <w:tc>
          <w:tcPr>
            <w:tcW w:w="0" w:type="auto"/>
          </w:tcPr>
          <w:p>
            <w:pPr>
              <w:spacing w:line="240" w:lineRule="auto" w:before="0" w:after="0"/>
              <w:pStyle w:val="Compact"/>
            </w:pPr>
            <w:r>
              <w:rPr>
                <w:sz w:val="20"/>
                <w:szCs w:val="20"/>
              </w:rPr>
              <w:t xml:space="preserve">[-1.508, 0.224]</w:t>
            </w:r>
          </w:p>
        </w:tc>
        <w:tc>
          <w:tcPr>
            <w:tcW w:w="0" w:type="auto"/>
          </w:tcPr>
          <w:p>
            <w:pPr>
              <w:spacing w:line="240" w:lineRule="auto" w:before="0" w:after="0"/>
              <w:pStyle w:val="Compact"/>
            </w:pPr>
            <w:r>
              <w:rPr>
                <w:sz w:val="20"/>
                <w:szCs w:val="20"/>
              </w:rPr>
              <w:t xml:space="preserve">0.5262</w:t>
            </w:r>
          </w:p>
        </w:tc>
      </w:tr>
    </w:tbl>
    <w:p>
      <w:pPr>
        <w:pStyle w:val="BodyText"/>
      </w:pPr>
      <w:r>
        <w:t xml:space="preserve">Fit: N = 32 events = 28</w:t>
      </w:r>
    </w:p>
    <w:bookmarkEnd w:id="98"/>
    <w:bookmarkEnd w:id="99"/>
    <w:bookmarkEnd w:id="100"/>
    <w:sectPr w:rsidR="009F3179">
      <w:type w:val="continuous"/>
      <w:pgSz w:h="15840" w:w="12240"/>
      <w:pgMar w:bottom="280" w:footer="720" w:gutter="0" w:header="720" w:left="1060" w:right="1240" w:top="150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CC"/>
    <w:family w:val="swiss"/>
    <w:pitch w:val="variable"/>
    <w:sig w:usb0="E0002EFF" w:usb1="C000247B" w:usb2="00000009" w:usb3="00000000" w:csb0="000001FF" w:csb1="00000000"/>
  </w:font>
  <w:font w:name="TimesNewRomanPS-BoldItalicMT">
    <w:altName w:val="Times New Roman"/>
    <w:panose1 w:val="020B0604020202020204"/>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B9303" w14:textId="77777777" w:rsidR="009F3179" w:rsidRDefault="00C10B24">
    <w:pPr>
      <w:pStyle w:val="BodyText"/>
      <w:spacing w:line="14" w:lineRule="auto"/>
      <w:ind w:left="0"/>
      <w:rPr>
        <w:sz w:val="20"/>
      </w:rPr>
    </w:pPr>
    <w:r>
      <w:rPr>
        <w:noProof/>
      </w:rPr>
      <mc:AlternateContent>
        <mc:Choice Requires="wps">
          <w:drawing>
            <wp:anchor distT="0" distB="0" distL="114300" distR="114300" simplePos="0" relativeHeight="485509120" behindDoc="1" locked="0" layoutInCell="1" allowOverlap="1" wp14:anchorId="1173D16B" wp14:editId="2335BC15">
              <wp:simplePos x="0" y="0"/>
              <wp:positionH relativeFrom="page">
                <wp:posOffset>3763010</wp:posOffset>
              </wp:positionH>
              <wp:positionV relativeFrom="page">
                <wp:posOffset>9495790</wp:posOffset>
              </wp:positionV>
              <wp:extent cx="246380" cy="167640"/>
              <wp:effectExtent l="0" t="0" r="0" b="0"/>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638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73D16B" id="_x0000_t202" coordsize="21600,21600" o:spt="202" path="m,l,21600r21600,l21600,xe">
              <v:stroke joinstyle="miter"/>
              <v:path gradientshapeok="t" o:connecttype="rect"/>
            </v:shapetype>
            <v:shape id="Text Box 2" o:spid="_x0000_s1098" type="#_x0000_t202" style="position:absolute;margin-left:296.3pt;margin-top:747.7pt;width:19.4pt;height:13.2pt;z-index:-17807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" filled="f" stroked="f">
              <v:path arrowok="t"/>
              <v:textbox inset="0,0,0,0">
                <w:txbxContent>
                  <w:p w14:paraId="718ED471" w14:textId="77777777" w:rsidR="009F3179" w:rsidRDefault="00C54E59">
                    <w:pPr>
                      <w:spacing w:before="13"/>
                      <w:ind w:left="60"/>
                      <w:rPr>
                        <w:sz w:val="20"/>
                      </w:rPr>
                    </w:pPr>
                    <w:r>
                      <w:fldChar w:fldCharType="begin"/>
                    </w:r>
                    <w:r>
                      <w:rPr>
                        <w:sz w:val="20"/>
                      </w:rPr>
                      <w:instrText xml:space="preserve"> PAGE  \* roman </w:instrText>
                    </w:r>
                    <w:r>
                      <w:fldChar w:fldCharType="separate"/>
                    </w:r>
                    <w:r>
                      <w:t>viii</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2D622" w14:textId="77777777" w:rsidR="009F3179" w:rsidRDefault="00C10B24">
    <w:pPr>
      <w:pStyle w:val="BodyText"/>
      <w:spacing w:line="14" w:lineRule="auto"/>
      <w:ind w:left="0"/>
      <w:rPr>
        <w:sz w:val="14"/>
      </w:rPr>
    </w:pPr>
    <w:r>
      <w:rPr>
        <w:noProof/>
      </w:rPr>
      <mc:AlternateContent>
        <mc:Choice Requires="wps">
          <w:drawing>
            <wp:anchor distT="0" distB="0" distL="114300" distR="114300" simplePos="0" relativeHeight="485509632" behindDoc="1" locked="0" layoutInCell="1" allowOverlap="1" wp14:anchorId="5F7D2CAC" wp14:editId="6027A16B">
              <wp:simplePos x="0" y="0"/>
              <wp:positionH relativeFrom="page">
                <wp:posOffset>3753485</wp:posOffset>
              </wp:positionH>
              <wp:positionV relativeFrom="page">
                <wp:posOffset>9495790</wp:posOffset>
              </wp:positionV>
              <wp:extent cx="266700" cy="167640"/>
              <wp:effectExtent l="0" t="0" r="0" b="0"/>
              <wp:wrapNone/>
              <wp:docPr id="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670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7D2CAC" id="_x0000_t202" coordsize="21600,21600" o:spt="202" path="m,l,21600r21600,l21600,xe">
              <v:stroke joinstyle="miter"/>
              <v:path gradientshapeok="t" o:connecttype="rect"/>
            </v:shapetype>
            <v:shape id="Text Box 1" o:spid="_x0000_s1099" type="#_x0000_t202" style="position:absolute;margin-left:295.55pt;margin-top:747.7pt;width:21pt;height:13.2pt;z-index:-1780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" filled="f" stroked="f">
              <v:path arrowok="t"/>
              <v:textbox inset="0,0,0,0">
                <w:txbxContent>
                  <w:p w14:paraId="2B167905" w14:textId="77777777" w:rsidR="009F3179" w:rsidRDefault="00C54E59">
                    <w:pPr>
                      <w:spacing w:before="13"/>
                      <w:ind w:left="60"/>
                      <w:rPr>
                        <w:sz w:val="20"/>
                      </w:rPr>
                    </w:pPr>
                    <w:r>
                      <w:fldChar w:fldCharType="begin"/>
                    </w:r>
                    <w:r>
                      <w:rPr>
                        <w:sz w:val="20"/>
                      </w:rPr>
                      <w:instrText xml:space="preserve"> PAGE </w:instrText>
                    </w:r>
                    <w:r>
                      <w:fldChar w:fldCharType="separate"/>
                    </w:r>
                    <w:r>
                      <w:t>100</w:t>
                    </w:r>
                    <w:r>
                      <w:fldChar w:fldCharType="end"/>
                    </w:r>
                  </w:p>
                </w:txbxContent>
              </v:textbox>
              <w10:wrap anchorx="page" anchory="page"/>
            </v:shape>
          </w:pict>
        </mc:Fallback>
      </mc:AlternateConten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p14">
  <w:abstractNum w15:restartNumberingAfterBreak="0" w:abstractNumId="0">
    <w:nsid w:val="0755065F"/>
    <w:multiLevelType w:val="hybridMultilevel"/>
    <w:tmpl w:val="437073C0"/>
    <w:lvl w:ilvl="0" w:tplc="F014BDD8">
      <w:start w:val="1"/>
      <w:numFmt w:val="decimal"/>
      <w:lvlText w:val="%1."/>
      <w:lvlJc w:val="left"/>
      <w:pPr>
        <w:ind w:hanging="289" w:left="1100"/>
        <w:jc w:val="left"/>
      </w:pPr>
      <w:rPr>
        <w:rFonts w:ascii="Times New Roman" w:cs="Times New Roman" w:eastAsia="Times New Roman" w:hAnsi="Times New Roman" w:hint="default"/>
        <w:w w:val="100"/>
        <w:sz w:val="24"/>
        <w:szCs w:val="24"/>
      </w:rPr>
    </w:lvl>
    <w:lvl w:ilvl="1" w:tplc="9A704740">
      <w:numFmt w:val="bullet"/>
      <w:lvlText w:val="•"/>
      <w:lvlJc w:val="left"/>
      <w:pPr>
        <w:ind w:hanging="289" w:left="1984"/>
      </w:pPr>
      <w:rPr>
        <w:rFonts w:hint="default"/>
      </w:rPr>
    </w:lvl>
    <w:lvl w:ilvl="2" w:tplc="D2C4459C">
      <w:numFmt w:val="bullet"/>
      <w:lvlText w:val="•"/>
      <w:lvlJc w:val="left"/>
      <w:pPr>
        <w:ind w:hanging="289" w:left="2868"/>
      </w:pPr>
      <w:rPr>
        <w:rFonts w:hint="default"/>
      </w:rPr>
    </w:lvl>
    <w:lvl w:ilvl="3" w:tplc="E4B6D344">
      <w:numFmt w:val="bullet"/>
      <w:lvlText w:val="•"/>
      <w:lvlJc w:val="left"/>
      <w:pPr>
        <w:ind w:hanging="289" w:left="3752"/>
      </w:pPr>
      <w:rPr>
        <w:rFonts w:hint="default"/>
      </w:rPr>
    </w:lvl>
    <w:lvl w:ilvl="4" w:tplc="79504C92">
      <w:numFmt w:val="bullet"/>
      <w:lvlText w:val="•"/>
      <w:lvlJc w:val="left"/>
      <w:pPr>
        <w:ind w:hanging="289" w:left="4636"/>
      </w:pPr>
      <w:rPr>
        <w:rFonts w:hint="default"/>
      </w:rPr>
    </w:lvl>
    <w:lvl w:ilvl="5" w:tplc="CFB2858E">
      <w:numFmt w:val="bullet"/>
      <w:lvlText w:val="•"/>
      <w:lvlJc w:val="left"/>
      <w:pPr>
        <w:ind w:hanging="289" w:left="5520"/>
      </w:pPr>
      <w:rPr>
        <w:rFonts w:hint="default"/>
      </w:rPr>
    </w:lvl>
    <w:lvl w:ilvl="6" w:tplc="351E15F6">
      <w:numFmt w:val="bullet"/>
      <w:lvlText w:val="•"/>
      <w:lvlJc w:val="left"/>
      <w:pPr>
        <w:ind w:hanging="289" w:left="6404"/>
      </w:pPr>
      <w:rPr>
        <w:rFonts w:hint="default"/>
      </w:rPr>
    </w:lvl>
    <w:lvl w:ilvl="7" w:tplc="F726FE44">
      <w:numFmt w:val="bullet"/>
      <w:lvlText w:val="•"/>
      <w:lvlJc w:val="left"/>
      <w:pPr>
        <w:ind w:hanging="289" w:left="7288"/>
      </w:pPr>
      <w:rPr>
        <w:rFonts w:hint="default"/>
      </w:rPr>
    </w:lvl>
    <w:lvl w:ilvl="8" w:tplc="1B18AE82">
      <w:numFmt w:val="bullet"/>
      <w:lvlText w:val="•"/>
      <w:lvlJc w:val="left"/>
      <w:pPr>
        <w:ind w:hanging="289" w:left="8172"/>
      </w:pPr>
      <w:rPr>
        <w:rFonts w:hint="default"/>
      </w:rPr>
    </w:lvl>
  </w:abstractNum>
  <w:abstractNum w15:restartNumberingAfterBreak="0" w:abstractNumId="1">
    <w:nsid w:val="20ED600A"/>
    <w:multiLevelType w:val="hybridMultilevel"/>
    <w:tmpl w:val="3DF660D8"/>
    <w:lvl w:ilvl="0" w:tplc="DBD4E4B2">
      <w:start w:val="1"/>
      <w:numFmt w:val="decimal"/>
      <w:lvlText w:val="%1."/>
      <w:lvlJc w:val="left"/>
      <w:pPr>
        <w:ind w:hanging="116" w:left="0"/>
        <w:jc w:val="left"/>
      </w:pPr>
      <w:rPr>
        <w:rFonts w:ascii="Arial" w:cs="Arial" w:eastAsia="Arial" w:hAnsi="Arial" w:hint="default"/>
        <w:color w:val="0B2338"/>
        <w:spacing w:val="-1"/>
        <w:w w:val="94"/>
        <w:sz w:val="11"/>
        <w:szCs w:val="11"/>
      </w:rPr>
    </w:lvl>
    <w:lvl w:ilvl="1" w:tplc="1DF49AAE">
      <w:numFmt w:val="bullet"/>
      <w:lvlText w:val="•"/>
      <w:lvlJc w:val="left"/>
      <w:pPr>
        <w:ind w:hanging="116" w:left="118"/>
      </w:pPr>
      <w:rPr>
        <w:rFonts w:hint="default"/>
      </w:rPr>
    </w:lvl>
    <w:lvl w:ilvl="2" w:tplc="8696922E">
      <w:numFmt w:val="bullet"/>
      <w:lvlText w:val="•"/>
      <w:lvlJc w:val="left"/>
      <w:pPr>
        <w:ind w:hanging="116" w:left="237"/>
      </w:pPr>
      <w:rPr>
        <w:rFonts w:hint="default"/>
      </w:rPr>
    </w:lvl>
    <w:lvl w:ilvl="3" w:tplc="53CC4070">
      <w:numFmt w:val="bullet"/>
      <w:lvlText w:val="•"/>
      <w:lvlJc w:val="left"/>
      <w:pPr>
        <w:ind w:hanging="116" w:left="356"/>
      </w:pPr>
      <w:rPr>
        <w:rFonts w:hint="default"/>
      </w:rPr>
    </w:lvl>
    <w:lvl w:ilvl="4" w:tplc="670C966A">
      <w:numFmt w:val="bullet"/>
      <w:lvlText w:val="•"/>
      <w:lvlJc w:val="left"/>
      <w:pPr>
        <w:ind w:hanging="116" w:left="475"/>
      </w:pPr>
      <w:rPr>
        <w:rFonts w:hint="default"/>
      </w:rPr>
    </w:lvl>
    <w:lvl w:ilvl="5" w:tplc="F7786108">
      <w:numFmt w:val="bullet"/>
      <w:lvlText w:val="•"/>
      <w:lvlJc w:val="left"/>
      <w:pPr>
        <w:ind w:hanging="116" w:left="593"/>
      </w:pPr>
      <w:rPr>
        <w:rFonts w:hint="default"/>
      </w:rPr>
    </w:lvl>
    <w:lvl w:ilvl="6" w:tplc="CAE43504">
      <w:numFmt w:val="bullet"/>
      <w:lvlText w:val="•"/>
      <w:lvlJc w:val="left"/>
      <w:pPr>
        <w:ind w:hanging="116" w:left="712"/>
      </w:pPr>
      <w:rPr>
        <w:rFonts w:hint="default"/>
      </w:rPr>
    </w:lvl>
    <w:lvl w:ilvl="7" w:tplc="405095FA">
      <w:numFmt w:val="bullet"/>
      <w:lvlText w:val="•"/>
      <w:lvlJc w:val="left"/>
      <w:pPr>
        <w:ind w:hanging="116" w:left="831"/>
      </w:pPr>
      <w:rPr>
        <w:rFonts w:hint="default"/>
      </w:rPr>
    </w:lvl>
    <w:lvl w:ilvl="8" w:tplc="4662B30C">
      <w:numFmt w:val="bullet"/>
      <w:lvlText w:val="•"/>
      <w:lvlJc w:val="left"/>
      <w:pPr>
        <w:ind w:hanging="116" w:left="950"/>
      </w:pPr>
      <w:rPr>
        <w:rFonts w:hint="default"/>
      </w:rPr>
    </w:lvl>
  </w:abstractNum>
  <w:abstractNum w15:restartNumberingAfterBreak="0" w:abstractNumId="2">
    <w:nsid w:val="2364631C"/>
    <w:multiLevelType w:val="hybridMultilevel"/>
    <w:tmpl w:val="EF7CE616"/>
    <w:lvl w:ilvl="0" w:tplc="5A4CA9FE">
      <w:start w:val="1"/>
      <w:numFmt w:val="decimal"/>
      <w:lvlText w:val="%1."/>
      <w:lvlJc w:val="left"/>
      <w:pPr>
        <w:ind w:hanging="240" w:left="2150"/>
        <w:jc w:val="left"/>
      </w:pPr>
      <w:rPr>
        <w:rFonts w:ascii="Times New Roman" w:cs="Times New Roman" w:eastAsia="Times New Roman" w:hAnsi="Times New Roman" w:hint="default"/>
        <w:w w:val="100"/>
        <w:sz w:val="24"/>
        <w:szCs w:val="24"/>
      </w:rPr>
    </w:lvl>
    <w:lvl w:ilvl="1" w:tplc="E40AEBAA">
      <w:numFmt w:val="bullet"/>
      <w:lvlText w:val="•"/>
      <w:lvlJc w:val="left"/>
      <w:pPr>
        <w:ind w:hanging="240" w:left="2938"/>
      </w:pPr>
      <w:rPr>
        <w:rFonts w:hint="default"/>
      </w:rPr>
    </w:lvl>
    <w:lvl w:ilvl="2" w:tplc="8CBA5F66">
      <w:numFmt w:val="bullet"/>
      <w:lvlText w:val="•"/>
      <w:lvlJc w:val="left"/>
      <w:pPr>
        <w:ind w:hanging="240" w:left="3716"/>
      </w:pPr>
      <w:rPr>
        <w:rFonts w:hint="default"/>
      </w:rPr>
    </w:lvl>
    <w:lvl w:ilvl="3" w:tplc="592A2702">
      <w:numFmt w:val="bullet"/>
      <w:lvlText w:val="•"/>
      <w:lvlJc w:val="left"/>
      <w:pPr>
        <w:ind w:hanging="240" w:left="4494"/>
      </w:pPr>
      <w:rPr>
        <w:rFonts w:hint="default"/>
      </w:rPr>
    </w:lvl>
    <w:lvl w:ilvl="4" w:tplc="FB988598">
      <w:numFmt w:val="bullet"/>
      <w:lvlText w:val="•"/>
      <w:lvlJc w:val="left"/>
      <w:pPr>
        <w:ind w:hanging="240" w:left="5272"/>
      </w:pPr>
      <w:rPr>
        <w:rFonts w:hint="default"/>
      </w:rPr>
    </w:lvl>
    <w:lvl w:ilvl="5" w:tplc="BB6A8AD4">
      <w:numFmt w:val="bullet"/>
      <w:lvlText w:val="•"/>
      <w:lvlJc w:val="left"/>
      <w:pPr>
        <w:ind w:hanging="240" w:left="6050"/>
      </w:pPr>
      <w:rPr>
        <w:rFonts w:hint="default"/>
      </w:rPr>
    </w:lvl>
    <w:lvl w:ilvl="6" w:tplc="5F467E0C">
      <w:numFmt w:val="bullet"/>
      <w:lvlText w:val="•"/>
      <w:lvlJc w:val="left"/>
      <w:pPr>
        <w:ind w:hanging="240" w:left="6828"/>
      </w:pPr>
      <w:rPr>
        <w:rFonts w:hint="default"/>
      </w:rPr>
    </w:lvl>
    <w:lvl w:ilvl="7" w:tplc="172665EE">
      <w:numFmt w:val="bullet"/>
      <w:lvlText w:val="•"/>
      <w:lvlJc w:val="left"/>
      <w:pPr>
        <w:ind w:hanging="240" w:left="7606"/>
      </w:pPr>
      <w:rPr>
        <w:rFonts w:hint="default"/>
      </w:rPr>
    </w:lvl>
    <w:lvl w:ilvl="8" w:tplc="E5F453FC">
      <w:numFmt w:val="bullet"/>
      <w:lvlText w:val="•"/>
      <w:lvlJc w:val="left"/>
      <w:pPr>
        <w:ind w:hanging="240" w:left="8384"/>
      </w:pPr>
      <w:rPr>
        <w:rFonts w:hint="default"/>
      </w:rPr>
    </w:lvl>
  </w:abstractNum>
  <w:abstractNum w15:restartNumberingAfterBreak="0" w:abstractNumId="3">
    <w:nsid w:val="25306CB1"/>
    <w:multiLevelType w:val="hybridMultilevel"/>
    <w:tmpl w:val="297AB564"/>
    <w:lvl w:ilvl="0" w:tplc="3710B952">
      <w:start w:val="3"/>
      <w:numFmt w:val="decimal"/>
      <w:lvlText w:val="%1"/>
      <w:lvlJc w:val="left"/>
      <w:pPr>
        <w:ind w:hanging="130" w:left="0"/>
        <w:jc w:val="left"/>
      </w:pPr>
      <w:rPr>
        <w:rFonts w:hint="default"/>
      </w:rPr>
    </w:lvl>
    <w:lvl w:ilvl="1" w:tplc="0352D56A">
      <w:start w:val="1"/>
      <w:numFmt w:val="upperLetter"/>
      <w:lvlText w:val="%1.%2"/>
      <w:lvlJc w:val="left"/>
      <w:pPr>
        <w:ind w:hanging="130" w:left="0"/>
        <w:jc w:val="left"/>
      </w:pPr>
      <w:rPr>
        <w:rFonts w:ascii="Arial" w:cs="Arial" w:eastAsia="Arial" w:hAnsi="Arial" w:hint="default"/>
        <w:color w:val="0B2338"/>
        <w:w w:val="90"/>
        <w:sz w:val="8"/>
        <w:szCs w:val="8"/>
      </w:rPr>
    </w:lvl>
    <w:lvl w:ilvl="2" w:tplc="04CC5664">
      <w:numFmt w:val="bullet"/>
      <w:lvlText w:val="•"/>
      <w:lvlJc w:val="left"/>
      <w:pPr>
        <w:ind w:hanging="130" w:left="243"/>
      </w:pPr>
      <w:rPr>
        <w:rFonts w:hint="default"/>
      </w:rPr>
    </w:lvl>
    <w:lvl w:ilvl="3" w:tplc="8C226828">
      <w:numFmt w:val="bullet"/>
      <w:lvlText w:val="•"/>
      <w:lvlJc w:val="left"/>
      <w:pPr>
        <w:ind w:hanging="130" w:left="365"/>
      </w:pPr>
      <w:rPr>
        <w:rFonts w:hint="default"/>
      </w:rPr>
    </w:lvl>
    <w:lvl w:ilvl="4" w:tplc="3134F5D2">
      <w:numFmt w:val="bullet"/>
      <w:lvlText w:val="•"/>
      <w:lvlJc w:val="left"/>
      <w:pPr>
        <w:ind w:hanging="130" w:left="487"/>
      </w:pPr>
      <w:rPr>
        <w:rFonts w:hint="default"/>
      </w:rPr>
    </w:lvl>
    <w:lvl w:ilvl="5" w:tplc="05444F5A">
      <w:numFmt w:val="bullet"/>
      <w:lvlText w:val="•"/>
      <w:lvlJc w:val="left"/>
      <w:pPr>
        <w:ind w:hanging="130" w:left="609"/>
      </w:pPr>
      <w:rPr>
        <w:rFonts w:hint="default"/>
      </w:rPr>
    </w:lvl>
    <w:lvl w:ilvl="6" w:tplc="7E28672E">
      <w:numFmt w:val="bullet"/>
      <w:lvlText w:val="•"/>
      <w:lvlJc w:val="left"/>
      <w:pPr>
        <w:ind w:hanging="130" w:left="730"/>
      </w:pPr>
      <w:rPr>
        <w:rFonts w:hint="default"/>
      </w:rPr>
    </w:lvl>
    <w:lvl w:ilvl="7" w:tplc="BE009B9A">
      <w:numFmt w:val="bullet"/>
      <w:lvlText w:val="•"/>
      <w:lvlJc w:val="left"/>
      <w:pPr>
        <w:ind w:hanging="130" w:left="852"/>
      </w:pPr>
      <w:rPr>
        <w:rFonts w:hint="default"/>
      </w:rPr>
    </w:lvl>
    <w:lvl w:ilvl="8" w:tplc="EDE64DD8">
      <w:numFmt w:val="bullet"/>
      <w:lvlText w:val="•"/>
      <w:lvlJc w:val="left"/>
      <w:pPr>
        <w:ind w:hanging="130" w:left="974"/>
      </w:pPr>
      <w:rPr>
        <w:rFonts w:hint="default"/>
      </w:rPr>
    </w:lvl>
  </w:abstractNum>
  <w:abstractNum w15:restartNumberingAfterBreak="0" w:abstractNumId="4">
    <w:nsid w:val="26D153E0"/>
    <w:multiLevelType w:val="hybridMultilevel"/>
    <w:tmpl w:val="03CC114C"/>
    <w:lvl w:ilvl="0" w:tplc="CC102BDE">
      <w:start w:val="1"/>
      <w:numFmt w:val="decimal"/>
      <w:lvlText w:val="%1."/>
      <w:lvlJc w:val="left"/>
      <w:pPr>
        <w:ind w:hanging="240" w:left="1910"/>
        <w:jc w:val="left"/>
      </w:pPr>
      <w:rPr>
        <w:rFonts w:ascii="Times New Roman" w:cs="Times New Roman" w:eastAsia="Times New Roman" w:hAnsi="Times New Roman" w:hint="default"/>
        <w:w w:val="100"/>
        <w:sz w:val="24"/>
        <w:szCs w:val="24"/>
      </w:rPr>
    </w:lvl>
    <w:lvl w:ilvl="1" w:tplc="2FCE3DC8">
      <w:numFmt w:val="bullet"/>
      <w:lvlText w:val="•"/>
      <w:lvlJc w:val="left"/>
      <w:pPr>
        <w:ind w:hanging="240" w:left="2722"/>
      </w:pPr>
      <w:rPr>
        <w:rFonts w:hint="default"/>
      </w:rPr>
    </w:lvl>
    <w:lvl w:ilvl="2" w:tplc="7F02E6CC">
      <w:numFmt w:val="bullet"/>
      <w:lvlText w:val="•"/>
      <w:lvlJc w:val="left"/>
      <w:pPr>
        <w:ind w:hanging="240" w:left="3524"/>
      </w:pPr>
      <w:rPr>
        <w:rFonts w:hint="default"/>
      </w:rPr>
    </w:lvl>
    <w:lvl w:ilvl="3" w:tplc="BFC0DA7A">
      <w:numFmt w:val="bullet"/>
      <w:lvlText w:val="•"/>
      <w:lvlJc w:val="left"/>
      <w:pPr>
        <w:ind w:hanging="240" w:left="4326"/>
      </w:pPr>
      <w:rPr>
        <w:rFonts w:hint="default"/>
      </w:rPr>
    </w:lvl>
    <w:lvl w:ilvl="4" w:tplc="359AD53A">
      <w:numFmt w:val="bullet"/>
      <w:lvlText w:val="•"/>
      <w:lvlJc w:val="left"/>
      <w:pPr>
        <w:ind w:hanging="240" w:left="5128"/>
      </w:pPr>
      <w:rPr>
        <w:rFonts w:hint="default"/>
      </w:rPr>
    </w:lvl>
    <w:lvl w:ilvl="5" w:tplc="96FE3888">
      <w:numFmt w:val="bullet"/>
      <w:lvlText w:val="•"/>
      <w:lvlJc w:val="left"/>
      <w:pPr>
        <w:ind w:hanging="240" w:left="5930"/>
      </w:pPr>
      <w:rPr>
        <w:rFonts w:hint="default"/>
      </w:rPr>
    </w:lvl>
    <w:lvl w:ilvl="6" w:tplc="40AEAAF2">
      <w:numFmt w:val="bullet"/>
      <w:lvlText w:val="•"/>
      <w:lvlJc w:val="left"/>
      <w:pPr>
        <w:ind w:hanging="240" w:left="6732"/>
      </w:pPr>
      <w:rPr>
        <w:rFonts w:hint="default"/>
      </w:rPr>
    </w:lvl>
    <w:lvl w:ilvl="7" w:tplc="9376846A">
      <w:numFmt w:val="bullet"/>
      <w:lvlText w:val="•"/>
      <w:lvlJc w:val="left"/>
      <w:pPr>
        <w:ind w:hanging="240" w:left="7534"/>
      </w:pPr>
      <w:rPr>
        <w:rFonts w:hint="default"/>
      </w:rPr>
    </w:lvl>
    <w:lvl w:ilvl="8" w:tplc="7832A2AE">
      <w:numFmt w:val="bullet"/>
      <w:lvlText w:val="•"/>
      <w:lvlJc w:val="left"/>
      <w:pPr>
        <w:ind w:hanging="240" w:left="8336"/>
      </w:pPr>
      <w:rPr>
        <w:rFonts w:hint="default"/>
      </w:rPr>
    </w:lvl>
  </w:abstractNum>
  <w:abstractNum w15:restartNumberingAfterBreak="0" w:abstractNumId="5">
    <w:nsid w:val="27C57A4E"/>
    <w:multiLevelType w:val="hybridMultilevel"/>
    <w:tmpl w:val="CA280CE0"/>
    <w:lvl w:ilvl="0" w:tplc="5442CA4A">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058E9C00">
      <w:numFmt w:val="bullet"/>
      <w:lvlText w:val="•"/>
      <w:lvlJc w:val="left"/>
      <w:pPr>
        <w:ind w:hanging="240" w:left="1336"/>
      </w:pPr>
      <w:rPr>
        <w:rFonts w:hint="default"/>
      </w:rPr>
    </w:lvl>
    <w:lvl w:ilvl="2" w:tplc="54C0D304">
      <w:numFmt w:val="bullet"/>
      <w:lvlText w:val="•"/>
      <w:lvlJc w:val="left"/>
      <w:pPr>
        <w:ind w:hanging="240" w:left="2292"/>
      </w:pPr>
      <w:rPr>
        <w:rFonts w:hint="default"/>
      </w:rPr>
    </w:lvl>
    <w:lvl w:ilvl="3" w:tplc="C164C8F4">
      <w:numFmt w:val="bullet"/>
      <w:lvlText w:val="•"/>
      <w:lvlJc w:val="left"/>
      <w:pPr>
        <w:ind w:hanging="240" w:left="3248"/>
      </w:pPr>
      <w:rPr>
        <w:rFonts w:hint="default"/>
      </w:rPr>
    </w:lvl>
    <w:lvl w:ilvl="4" w:tplc="E72C3952">
      <w:numFmt w:val="bullet"/>
      <w:lvlText w:val="•"/>
      <w:lvlJc w:val="left"/>
      <w:pPr>
        <w:ind w:hanging="240" w:left="4204"/>
      </w:pPr>
      <w:rPr>
        <w:rFonts w:hint="default"/>
      </w:rPr>
    </w:lvl>
    <w:lvl w:ilvl="5" w:tplc="48DCA6B0">
      <w:numFmt w:val="bullet"/>
      <w:lvlText w:val="•"/>
      <w:lvlJc w:val="left"/>
      <w:pPr>
        <w:ind w:hanging="240" w:left="5160"/>
      </w:pPr>
      <w:rPr>
        <w:rFonts w:hint="default"/>
      </w:rPr>
    </w:lvl>
    <w:lvl w:ilvl="6" w:tplc="163A1B6C">
      <w:numFmt w:val="bullet"/>
      <w:lvlText w:val="•"/>
      <w:lvlJc w:val="left"/>
      <w:pPr>
        <w:ind w:hanging="240" w:left="6116"/>
      </w:pPr>
      <w:rPr>
        <w:rFonts w:hint="default"/>
      </w:rPr>
    </w:lvl>
    <w:lvl w:ilvl="7" w:tplc="756E69AE">
      <w:numFmt w:val="bullet"/>
      <w:lvlText w:val="•"/>
      <w:lvlJc w:val="left"/>
      <w:pPr>
        <w:ind w:hanging="240" w:left="7072"/>
      </w:pPr>
      <w:rPr>
        <w:rFonts w:hint="default"/>
      </w:rPr>
    </w:lvl>
    <w:lvl w:ilvl="8" w:tplc="D908A9B4">
      <w:numFmt w:val="bullet"/>
      <w:lvlText w:val="•"/>
      <w:lvlJc w:val="left"/>
      <w:pPr>
        <w:ind w:hanging="240" w:left="8028"/>
      </w:pPr>
      <w:rPr>
        <w:rFonts w:hint="default"/>
      </w:rPr>
    </w:lvl>
  </w:abstractNum>
  <w:abstractNum w15:restartNumberingAfterBreak="0" w:abstractNumId="6">
    <w:nsid w:val="27E6655F"/>
    <w:multiLevelType w:val="hybridMultilevel"/>
    <w:tmpl w:val="5930EB48"/>
    <w:lvl w:ilvl="0" w:tplc="ED989EF0">
      <w:start w:val="1"/>
      <w:numFmt w:val="decimal"/>
      <w:lvlText w:val="%1."/>
      <w:lvlJc w:val="left"/>
      <w:pPr>
        <w:ind w:hanging="240" w:left="1340"/>
        <w:jc w:val="left"/>
      </w:pPr>
      <w:rPr>
        <w:rFonts w:ascii="Times New Roman" w:cs="Times New Roman" w:eastAsia="Times New Roman" w:hAnsi="Times New Roman" w:hint="default"/>
        <w:w w:val="100"/>
        <w:sz w:val="24"/>
        <w:szCs w:val="24"/>
      </w:rPr>
    </w:lvl>
    <w:lvl w:ilvl="1" w:tplc="F3ACB3F4">
      <w:numFmt w:val="bullet"/>
      <w:lvlText w:val="•"/>
      <w:lvlJc w:val="left"/>
      <w:pPr>
        <w:ind w:hanging="240" w:left="2200"/>
      </w:pPr>
      <w:rPr>
        <w:rFonts w:hint="default"/>
      </w:rPr>
    </w:lvl>
    <w:lvl w:ilvl="2" w:tplc="3F587E2C">
      <w:numFmt w:val="bullet"/>
      <w:lvlText w:val="•"/>
      <w:lvlJc w:val="left"/>
      <w:pPr>
        <w:ind w:hanging="240" w:left="3060"/>
      </w:pPr>
      <w:rPr>
        <w:rFonts w:hint="default"/>
      </w:rPr>
    </w:lvl>
    <w:lvl w:ilvl="3" w:tplc="F1B40C68">
      <w:numFmt w:val="bullet"/>
      <w:lvlText w:val="•"/>
      <w:lvlJc w:val="left"/>
      <w:pPr>
        <w:ind w:hanging="240" w:left="3920"/>
      </w:pPr>
      <w:rPr>
        <w:rFonts w:hint="default"/>
      </w:rPr>
    </w:lvl>
    <w:lvl w:ilvl="4" w:tplc="4B6CC954">
      <w:numFmt w:val="bullet"/>
      <w:lvlText w:val="•"/>
      <w:lvlJc w:val="left"/>
      <w:pPr>
        <w:ind w:hanging="240" w:left="4780"/>
      </w:pPr>
      <w:rPr>
        <w:rFonts w:hint="default"/>
      </w:rPr>
    </w:lvl>
    <w:lvl w:ilvl="5" w:tplc="2FD2EA1C">
      <w:numFmt w:val="bullet"/>
      <w:lvlText w:val="•"/>
      <w:lvlJc w:val="left"/>
      <w:pPr>
        <w:ind w:hanging="240" w:left="5640"/>
      </w:pPr>
      <w:rPr>
        <w:rFonts w:hint="default"/>
      </w:rPr>
    </w:lvl>
    <w:lvl w:ilvl="6" w:tplc="D54EC946">
      <w:numFmt w:val="bullet"/>
      <w:lvlText w:val="•"/>
      <w:lvlJc w:val="left"/>
      <w:pPr>
        <w:ind w:hanging="240" w:left="6500"/>
      </w:pPr>
      <w:rPr>
        <w:rFonts w:hint="default"/>
      </w:rPr>
    </w:lvl>
    <w:lvl w:ilvl="7" w:tplc="099619E8">
      <w:numFmt w:val="bullet"/>
      <w:lvlText w:val="•"/>
      <w:lvlJc w:val="left"/>
      <w:pPr>
        <w:ind w:hanging="240" w:left="7360"/>
      </w:pPr>
      <w:rPr>
        <w:rFonts w:hint="default"/>
      </w:rPr>
    </w:lvl>
    <w:lvl w:ilvl="8" w:tplc="203AB1F4">
      <w:numFmt w:val="bullet"/>
      <w:lvlText w:val="•"/>
      <w:lvlJc w:val="left"/>
      <w:pPr>
        <w:ind w:hanging="240" w:left="8220"/>
      </w:pPr>
      <w:rPr>
        <w:rFonts w:hint="default"/>
      </w:rPr>
    </w:lvl>
  </w:abstractNum>
  <w:abstractNum w15:restartNumberingAfterBreak="0" w:abstractNumId="7">
    <w:nsid w:val="290C7095"/>
    <w:multiLevelType w:val="hybridMultilevel"/>
    <w:tmpl w:val="9A02C806"/>
    <w:lvl w:ilvl="0" w:tplc="0E5421C0">
      <w:numFmt w:val="bullet"/>
      <w:lvlText w:val="•"/>
      <w:lvlJc w:val="left"/>
      <w:pPr>
        <w:ind w:hanging="145" w:left="1100"/>
      </w:pPr>
      <w:rPr>
        <w:rFonts w:ascii="Times New Roman" w:cs="Times New Roman" w:eastAsia="Times New Roman" w:hAnsi="Times New Roman" w:hint="default"/>
        <w:w w:val="100"/>
        <w:sz w:val="24"/>
        <w:szCs w:val="24"/>
      </w:rPr>
    </w:lvl>
    <w:lvl w:ilvl="1" w:tplc="38D4ABC2">
      <w:numFmt w:val="bullet"/>
      <w:lvlText w:val="o"/>
      <w:lvlJc w:val="left"/>
      <w:pPr>
        <w:ind w:hanging="180" w:left="1820"/>
      </w:pPr>
      <w:rPr>
        <w:rFonts w:ascii="Times New Roman" w:cs="Times New Roman" w:eastAsia="Times New Roman" w:hAnsi="Times New Roman" w:hint="default"/>
        <w:w w:val="100"/>
        <w:sz w:val="24"/>
        <w:szCs w:val="24"/>
      </w:rPr>
    </w:lvl>
    <w:lvl w:ilvl="2" w:tplc="A656DEE0">
      <w:numFmt w:val="bullet"/>
      <w:lvlText w:val="•"/>
      <w:lvlJc w:val="left"/>
      <w:pPr>
        <w:ind w:hanging="180" w:left="2722"/>
      </w:pPr>
      <w:rPr>
        <w:rFonts w:hint="default"/>
      </w:rPr>
    </w:lvl>
    <w:lvl w:ilvl="3" w:tplc="C40C9186">
      <w:numFmt w:val="bullet"/>
      <w:lvlText w:val="•"/>
      <w:lvlJc w:val="left"/>
      <w:pPr>
        <w:ind w:hanging="180" w:left="3624"/>
      </w:pPr>
      <w:rPr>
        <w:rFonts w:hint="default"/>
      </w:rPr>
    </w:lvl>
    <w:lvl w:ilvl="4" w:tplc="2C5AC058">
      <w:numFmt w:val="bullet"/>
      <w:lvlText w:val="•"/>
      <w:lvlJc w:val="left"/>
      <w:pPr>
        <w:ind w:hanging="180" w:left="4526"/>
      </w:pPr>
      <w:rPr>
        <w:rFonts w:hint="default"/>
      </w:rPr>
    </w:lvl>
    <w:lvl w:ilvl="5" w:tplc="A26457AA">
      <w:numFmt w:val="bullet"/>
      <w:lvlText w:val="•"/>
      <w:lvlJc w:val="left"/>
      <w:pPr>
        <w:ind w:hanging="180" w:left="5428"/>
      </w:pPr>
      <w:rPr>
        <w:rFonts w:hint="default"/>
      </w:rPr>
    </w:lvl>
    <w:lvl w:ilvl="6" w:tplc="73AAB8D4">
      <w:numFmt w:val="bullet"/>
      <w:lvlText w:val="•"/>
      <w:lvlJc w:val="left"/>
      <w:pPr>
        <w:ind w:hanging="180" w:left="6331"/>
      </w:pPr>
      <w:rPr>
        <w:rFonts w:hint="default"/>
      </w:rPr>
    </w:lvl>
    <w:lvl w:ilvl="7" w:tplc="3D00B95A">
      <w:numFmt w:val="bullet"/>
      <w:lvlText w:val="•"/>
      <w:lvlJc w:val="left"/>
      <w:pPr>
        <w:ind w:hanging="180" w:left="7233"/>
      </w:pPr>
      <w:rPr>
        <w:rFonts w:hint="default"/>
      </w:rPr>
    </w:lvl>
    <w:lvl w:ilvl="8" w:tplc="37D0B230">
      <w:numFmt w:val="bullet"/>
      <w:lvlText w:val="•"/>
      <w:lvlJc w:val="left"/>
      <w:pPr>
        <w:ind w:hanging="180" w:left="8135"/>
      </w:pPr>
      <w:rPr>
        <w:rFonts w:hint="default"/>
      </w:rPr>
    </w:lvl>
  </w:abstractNum>
  <w:abstractNum w15:restartNumberingAfterBreak="0" w:abstractNumId="8">
    <w:nsid w:val="2DAC4F25"/>
    <w:multiLevelType w:val="hybridMultilevel"/>
    <w:tmpl w:val="05DADA5E"/>
    <w:lvl w:ilvl="0" w:tplc="E4344D00">
      <w:numFmt w:val="bullet"/>
      <w:lvlText w:val="–"/>
      <w:lvlJc w:val="left"/>
      <w:pPr>
        <w:ind w:hanging="180" w:left="380"/>
      </w:pPr>
      <w:rPr>
        <w:rFonts w:ascii="Times New Roman" w:cs="Times New Roman" w:eastAsia="Times New Roman" w:hAnsi="Times New Roman" w:hint="default"/>
        <w:w w:val="100"/>
        <w:sz w:val="24"/>
        <w:szCs w:val="24"/>
      </w:rPr>
    </w:lvl>
    <w:lvl w:ilvl="1" w:tplc="69BA635A">
      <w:numFmt w:val="bullet"/>
      <w:lvlText w:val="•"/>
      <w:lvlJc w:val="left"/>
      <w:pPr>
        <w:ind w:hanging="145" w:left="1100"/>
      </w:pPr>
      <w:rPr>
        <w:rFonts w:ascii="Times New Roman" w:cs="Times New Roman" w:eastAsia="Times New Roman" w:hAnsi="Times New Roman" w:hint="default"/>
        <w:w w:val="100"/>
        <w:sz w:val="24"/>
        <w:szCs w:val="24"/>
      </w:rPr>
    </w:lvl>
    <w:lvl w:ilvl="2" w:tplc="D632F716">
      <w:numFmt w:val="bullet"/>
      <w:lvlText w:val="•"/>
      <w:lvlJc w:val="left"/>
      <w:pPr>
        <w:ind w:hanging="145" w:left="1100"/>
      </w:pPr>
      <w:rPr>
        <w:rFonts w:ascii="Times New Roman" w:cs="Times New Roman" w:eastAsia="Times New Roman" w:hAnsi="Times New Roman" w:hint="default"/>
        <w:w w:val="100"/>
        <w:sz w:val="24"/>
        <w:szCs w:val="24"/>
      </w:rPr>
    </w:lvl>
    <w:lvl w:ilvl="3" w:tplc="A0542E92">
      <w:numFmt w:val="bullet"/>
      <w:lvlText w:val="•"/>
      <w:lvlJc w:val="left"/>
      <w:pPr>
        <w:ind w:hanging="145" w:left="3064"/>
      </w:pPr>
      <w:rPr>
        <w:rFonts w:hint="default"/>
      </w:rPr>
    </w:lvl>
    <w:lvl w:ilvl="4" w:tplc="F65490F0">
      <w:numFmt w:val="bullet"/>
      <w:lvlText w:val="•"/>
      <w:lvlJc w:val="left"/>
      <w:pPr>
        <w:ind w:hanging="145" w:left="4046"/>
      </w:pPr>
      <w:rPr>
        <w:rFonts w:hint="default"/>
      </w:rPr>
    </w:lvl>
    <w:lvl w:ilvl="5" w:tplc="C924DD40">
      <w:numFmt w:val="bullet"/>
      <w:lvlText w:val="•"/>
      <w:lvlJc w:val="left"/>
      <w:pPr>
        <w:ind w:hanging="145" w:left="5028"/>
      </w:pPr>
      <w:rPr>
        <w:rFonts w:hint="default"/>
      </w:rPr>
    </w:lvl>
    <w:lvl w:ilvl="6" w:tplc="7A1E37F4">
      <w:numFmt w:val="bullet"/>
      <w:lvlText w:val="•"/>
      <w:lvlJc w:val="left"/>
      <w:pPr>
        <w:ind w:hanging="145" w:left="6011"/>
      </w:pPr>
      <w:rPr>
        <w:rFonts w:hint="default"/>
      </w:rPr>
    </w:lvl>
    <w:lvl w:ilvl="7" w:tplc="126C25E6">
      <w:numFmt w:val="bullet"/>
      <w:lvlText w:val="•"/>
      <w:lvlJc w:val="left"/>
      <w:pPr>
        <w:ind w:hanging="145" w:left="6993"/>
      </w:pPr>
      <w:rPr>
        <w:rFonts w:hint="default"/>
      </w:rPr>
    </w:lvl>
    <w:lvl w:ilvl="8" w:tplc="510A661A">
      <w:numFmt w:val="bullet"/>
      <w:lvlText w:val="•"/>
      <w:lvlJc w:val="left"/>
      <w:pPr>
        <w:ind w:hanging="145" w:left="7975"/>
      </w:pPr>
      <w:rPr>
        <w:rFonts w:hint="default"/>
      </w:rPr>
    </w:lvl>
  </w:abstractNum>
  <w:abstractNum w15:restartNumberingAfterBreak="0" w:abstractNumId="9">
    <w:nsid w:val="2EBC18B3"/>
    <w:multiLevelType w:val="hybridMultilevel"/>
    <w:tmpl w:val="749870A4"/>
    <w:lvl w:ilvl="0" w:tplc="9C54DC90">
      <w:start w:val="2"/>
      <w:numFmt w:val="upperRoman"/>
      <w:lvlText w:val="%1."/>
      <w:lvlJc w:val="left"/>
      <w:pPr>
        <w:ind w:hanging="307" w:left="1406"/>
        <w:jc w:val="left"/>
      </w:pPr>
      <w:rPr>
        <w:rFonts w:ascii="Times New Roman" w:cs="Times New Roman" w:eastAsia="Times New Roman" w:hAnsi="Times New Roman" w:hint="default"/>
        <w:b/>
        <w:bCs/>
        <w:w w:val="100"/>
        <w:sz w:val="24"/>
        <w:szCs w:val="24"/>
      </w:rPr>
    </w:lvl>
    <w:lvl w:ilvl="1" w:tplc="38DA4E0C">
      <w:numFmt w:val="bullet"/>
      <w:lvlText w:val="•"/>
      <w:lvlJc w:val="left"/>
      <w:pPr>
        <w:ind w:hanging="307" w:left="2254"/>
      </w:pPr>
      <w:rPr>
        <w:rFonts w:hint="default"/>
      </w:rPr>
    </w:lvl>
    <w:lvl w:ilvl="2" w:tplc="9614FEC8">
      <w:numFmt w:val="bullet"/>
      <w:lvlText w:val="•"/>
      <w:lvlJc w:val="left"/>
      <w:pPr>
        <w:ind w:hanging="307" w:left="3108"/>
      </w:pPr>
      <w:rPr>
        <w:rFonts w:hint="default"/>
      </w:rPr>
    </w:lvl>
    <w:lvl w:ilvl="3" w:tplc="F0BE5556">
      <w:numFmt w:val="bullet"/>
      <w:lvlText w:val="•"/>
      <w:lvlJc w:val="left"/>
      <w:pPr>
        <w:ind w:hanging="307" w:left="3962"/>
      </w:pPr>
      <w:rPr>
        <w:rFonts w:hint="default"/>
      </w:rPr>
    </w:lvl>
    <w:lvl w:ilvl="4" w:tplc="3668A1A4">
      <w:numFmt w:val="bullet"/>
      <w:lvlText w:val="•"/>
      <w:lvlJc w:val="left"/>
      <w:pPr>
        <w:ind w:hanging="307" w:left="4816"/>
      </w:pPr>
      <w:rPr>
        <w:rFonts w:hint="default"/>
      </w:rPr>
    </w:lvl>
    <w:lvl w:ilvl="5" w:tplc="8C38D5F2">
      <w:numFmt w:val="bullet"/>
      <w:lvlText w:val="•"/>
      <w:lvlJc w:val="left"/>
      <w:pPr>
        <w:ind w:hanging="307" w:left="5670"/>
      </w:pPr>
      <w:rPr>
        <w:rFonts w:hint="default"/>
      </w:rPr>
    </w:lvl>
    <w:lvl w:ilvl="6" w:tplc="31B8BA0C">
      <w:numFmt w:val="bullet"/>
      <w:lvlText w:val="•"/>
      <w:lvlJc w:val="left"/>
      <w:pPr>
        <w:ind w:hanging="307" w:left="6524"/>
      </w:pPr>
      <w:rPr>
        <w:rFonts w:hint="default"/>
      </w:rPr>
    </w:lvl>
    <w:lvl w:ilvl="7" w:tplc="F0E4140C">
      <w:numFmt w:val="bullet"/>
      <w:lvlText w:val="•"/>
      <w:lvlJc w:val="left"/>
      <w:pPr>
        <w:ind w:hanging="307" w:left="7378"/>
      </w:pPr>
      <w:rPr>
        <w:rFonts w:hint="default"/>
      </w:rPr>
    </w:lvl>
    <w:lvl w:ilvl="8" w:tplc="96107570">
      <w:numFmt w:val="bullet"/>
      <w:lvlText w:val="•"/>
      <w:lvlJc w:val="left"/>
      <w:pPr>
        <w:ind w:hanging="307" w:left="8232"/>
      </w:pPr>
      <w:rPr>
        <w:rFonts w:hint="default"/>
      </w:rPr>
    </w:lvl>
  </w:abstractNum>
  <w:abstractNum w15:restartNumberingAfterBreak="0" w:abstractNumId="10">
    <w:nsid w:val="32BC1380"/>
    <w:multiLevelType w:val="hybridMultilevel"/>
    <w:tmpl w:val="ABBCE5A6"/>
    <w:lvl w:ilvl="0" w:tplc="AB16E606">
      <w:numFmt w:val="bullet"/>
      <w:lvlText w:val="•"/>
      <w:lvlJc w:val="left"/>
      <w:pPr>
        <w:ind w:hanging="145" w:left="380"/>
      </w:pPr>
      <w:rPr>
        <w:rFonts w:ascii="Times New Roman" w:cs="Times New Roman" w:eastAsia="Times New Roman" w:hAnsi="Times New Roman" w:hint="default"/>
        <w:w w:val="100"/>
        <w:sz w:val="24"/>
        <w:szCs w:val="24"/>
      </w:rPr>
    </w:lvl>
    <w:lvl w:ilvl="1" w:tplc="07627570">
      <w:numFmt w:val="bullet"/>
      <w:lvlText w:val="•"/>
      <w:lvlJc w:val="left"/>
      <w:pPr>
        <w:ind w:hanging="145" w:left="1820"/>
      </w:pPr>
      <w:rPr>
        <w:rFonts w:ascii="Times New Roman" w:cs="Times New Roman" w:eastAsia="Times New Roman" w:hAnsi="Times New Roman" w:hint="default"/>
        <w:w w:val="100"/>
        <w:sz w:val="24"/>
        <w:szCs w:val="24"/>
      </w:rPr>
    </w:lvl>
    <w:lvl w:ilvl="2" w:tplc="EEB08BC2">
      <w:numFmt w:val="bullet"/>
      <w:lvlText w:val="•"/>
      <w:lvlJc w:val="left"/>
      <w:pPr>
        <w:ind w:hanging="145" w:left="2722"/>
      </w:pPr>
      <w:rPr>
        <w:rFonts w:hint="default"/>
      </w:rPr>
    </w:lvl>
    <w:lvl w:ilvl="3" w:tplc="3000EE6A">
      <w:numFmt w:val="bullet"/>
      <w:lvlText w:val="•"/>
      <w:lvlJc w:val="left"/>
      <w:pPr>
        <w:ind w:hanging="145" w:left="3624"/>
      </w:pPr>
      <w:rPr>
        <w:rFonts w:hint="default"/>
      </w:rPr>
    </w:lvl>
    <w:lvl w:ilvl="4" w:tplc="E1AAD11A">
      <w:numFmt w:val="bullet"/>
      <w:lvlText w:val="•"/>
      <w:lvlJc w:val="left"/>
      <w:pPr>
        <w:ind w:hanging="145" w:left="4526"/>
      </w:pPr>
      <w:rPr>
        <w:rFonts w:hint="default"/>
      </w:rPr>
    </w:lvl>
    <w:lvl w:ilvl="5" w:tplc="92C64C84">
      <w:numFmt w:val="bullet"/>
      <w:lvlText w:val="•"/>
      <w:lvlJc w:val="left"/>
      <w:pPr>
        <w:ind w:hanging="145" w:left="5428"/>
      </w:pPr>
      <w:rPr>
        <w:rFonts w:hint="default"/>
      </w:rPr>
    </w:lvl>
    <w:lvl w:ilvl="6" w:tplc="DFA6701A">
      <w:numFmt w:val="bullet"/>
      <w:lvlText w:val="•"/>
      <w:lvlJc w:val="left"/>
      <w:pPr>
        <w:ind w:hanging="145" w:left="6331"/>
      </w:pPr>
      <w:rPr>
        <w:rFonts w:hint="default"/>
      </w:rPr>
    </w:lvl>
    <w:lvl w:ilvl="7" w:tplc="04CC7BE0">
      <w:numFmt w:val="bullet"/>
      <w:lvlText w:val="•"/>
      <w:lvlJc w:val="left"/>
      <w:pPr>
        <w:ind w:hanging="145" w:left="7233"/>
      </w:pPr>
      <w:rPr>
        <w:rFonts w:hint="default"/>
      </w:rPr>
    </w:lvl>
    <w:lvl w:ilvl="8" w:tplc="C9DC9118">
      <w:numFmt w:val="bullet"/>
      <w:lvlText w:val="•"/>
      <w:lvlJc w:val="left"/>
      <w:pPr>
        <w:ind w:hanging="145" w:left="8135"/>
      </w:pPr>
      <w:rPr>
        <w:rFonts w:hint="default"/>
      </w:rPr>
    </w:lvl>
  </w:abstractNum>
  <w:abstractNum w15:restartNumberingAfterBreak="0" w:abstractNumId="11">
    <w:nsid w:val="3B1847E9"/>
    <w:multiLevelType w:val="hybridMultilevel"/>
    <w:tmpl w:val="EEC21D3E"/>
    <w:lvl w:ilvl="0" w:tplc="191A4410">
      <w:numFmt w:val="bullet"/>
      <w:lvlText w:val="•"/>
      <w:lvlJc w:val="left"/>
      <w:pPr>
        <w:ind w:hanging="125" w:left="380"/>
      </w:pPr>
      <w:rPr>
        <w:rFonts w:ascii="Times New Roman" w:cs="Times New Roman" w:eastAsia="Times New Roman" w:hAnsi="Times New Roman" w:hint="default"/>
        <w:w w:val="100"/>
        <w:sz w:val="24"/>
        <w:szCs w:val="24"/>
      </w:rPr>
    </w:lvl>
    <w:lvl w:ilvl="1" w:tplc="9ADEBAA4">
      <w:numFmt w:val="bullet"/>
      <w:lvlText w:val="•"/>
      <w:lvlJc w:val="left"/>
      <w:pPr>
        <w:ind w:hanging="125" w:left="1336"/>
      </w:pPr>
      <w:rPr>
        <w:rFonts w:hint="default"/>
      </w:rPr>
    </w:lvl>
    <w:lvl w:ilvl="2" w:tplc="C7F6C83A">
      <w:numFmt w:val="bullet"/>
      <w:lvlText w:val="•"/>
      <w:lvlJc w:val="left"/>
      <w:pPr>
        <w:ind w:hanging="125" w:left="2292"/>
      </w:pPr>
      <w:rPr>
        <w:rFonts w:hint="default"/>
      </w:rPr>
    </w:lvl>
    <w:lvl w:ilvl="3" w:tplc="FD88F040">
      <w:numFmt w:val="bullet"/>
      <w:lvlText w:val="•"/>
      <w:lvlJc w:val="left"/>
      <w:pPr>
        <w:ind w:hanging="125" w:left="3248"/>
      </w:pPr>
      <w:rPr>
        <w:rFonts w:hint="default"/>
      </w:rPr>
    </w:lvl>
    <w:lvl w:ilvl="4" w:tplc="45682636">
      <w:numFmt w:val="bullet"/>
      <w:lvlText w:val="•"/>
      <w:lvlJc w:val="left"/>
      <w:pPr>
        <w:ind w:hanging="125" w:left="4204"/>
      </w:pPr>
      <w:rPr>
        <w:rFonts w:hint="default"/>
      </w:rPr>
    </w:lvl>
    <w:lvl w:ilvl="5" w:tplc="70C6DF50">
      <w:numFmt w:val="bullet"/>
      <w:lvlText w:val="•"/>
      <w:lvlJc w:val="left"/>
      <w:pPr>
        <w:ind w:hanging="125" w:left="5160"/>
      </w:pPr>
      <w:rPr>
        <w:rFonts w:hint="default"/>
      </w:rPr>
    </w:lvl>
    <w:lvl w:ilvl="6" w:tplc="89A649CE">
      <w:numFmt w:val="bullet"/>
      <w:lvlText w:val="•"/>
      <w:lvlJc w:val="left"/>
      <w:pPr>
        <w:ind w:hanging="125" w:left="6116"/>
      </w:pPr>
      <w:rPr>
        <w:rFonts w:hint="default"/>
      </w:rPr>
    </w:lvl>
    <w:lvl w:ilvl="7" w:tplc="E80E227A">
      <w:numFmt w:val="bullet"/>
      <w:lvlText w:val="•"/>
      <w:lvlJc w:val="left"/>
      <w:pPr>
        <w:ind w:hanging="125" w:left="7072"/>
      </w:pPr>
      <w:rPr>
        <w:rFonts w:hint="default"/>
      </w:rPr>
    </w:lvl>
    <w:lvl w:ilvl="8" w:tplc="1BB8EAB2">
      <w:numFmt w:val="bullet"/>
      <w:lvlText w:val="•"/>
      <w:lvlJc w:val="left"/>
      <w:pPr>
        <w:ind w:hanging="125" w:left="8028"/>
      </w:pPr>
      <w:rPr>
        <w:rFonts w:hint="default"/>
      </w:rPr>
    </w:lvl>
  </w:abstractNum>
  <w:abstractNum w15:restartNumberingAfterBreak="0" w:abstractNumId="12">
    <w:nsid w:val="3DE9534E"/>
    <w:multiLevelType w:val="hybridMultilevel"/>
    <w:tmpl w:val="2F8209A4"/>
    <w:lvl w:ilvl="0" w:tplc="4C9EC788">
      <w:start w:val="2"/>
      <w:numFmt w:val="lowerLetter"/>
      <w:lvlText w:val="%1)"/>
      <w:lvlJc w:val="left"/>
      <w:pPr>
        <w:ind w:hanging="139" w:left="368"/>
        <w:jc w:val="left"/>
      </w:pPr>
      <w:rPr>
        <w:rFonts w:ascii="Arial" w:cs="Arial" w:eastAsia="Arial" w:hAnsi="Arial" w:hint="default"/>
        <w:color w:val="FFFFFF"/>
        <w:spacing w:val="-1"/>
        <w:w w:val="95"/>
        <w:sz w:val="12"/>
        <w:szCs w:val="12"/>
      </w:rPr>
    </w:lvl>
    <w:lvl w:ilvl="1" w:tplc="6320225C">
      <w:numFmt w:val="bullet"/>
      <w:lvlText w:val="•"/>
      <w:lvlJc w:val="left"/>
      <w:pPr>
        <w:ind w:hanging="139" w:left="907"/>
      </w:pPr>
      <w:rPr>
        <w:rFonts w:hint="default"/>
      </w:rPr>
    </w:lvl>
    <w:lvl w:ilvl="2" w:tplc="9252C3E4">
      <w:numFmt w:val="bullet"/>
      <w:lvlText w:val="•"/>
      <w:lvlJc w:val="left"/>
      <w:pPr>
        <w:ind w:hanging="139" w:left="1454"/>
      </w:pPr>
      <w:rPr>
        <w:rFonts w:hint="default"/>
      </w:rPr>
    </w:lvl>
    <w:lvl w:ilvl="3" w:tplc="93C4366E">
      <w:numFmt w:val="bullet"/>
      <w:lvlText w:val="•"/>
      <w:lvlJc w:val="left"/>
      <w:pPr>
        <w:ind w:hanging="139" w:left="2002"/>
      </w:pPr>
      <w:rPr>
        <w:rFonts w:hint="default"/>
      </w:rPr>
    </w:lvl>
    <w:lvl w:ilvl="4" w:tplc="91AC1B42">
      <w:numFmt w:val="bullet"/>
      <w:lvlText w:val="•"/>
      <w:lvlJc w:val="left"/>
      <w:pPr>
        <w:ind w:hanging="139" w:left="2549"/>
      </w:pPr>
      <w:rPr>
        <w:rFonts w:hint="default"/>
      </w:rPr>
    </w:lvl>
    <w:lvl w:ilvl="5" w:tplc="112079EA">
      <w:numFmt w:val="bullet"/>
      <w:lvlText w:val="•"/>
      <w:lvlJc w:val="left"/>
      <w:pPr>
        <w:ind w:hanging="139" w:left="3096"/>
      </w:pPr>
      <w:rPr>
        <w:rFonts w:hint="default"/>
      </w:rPr>
    </w:lvl>
    <w:lvl w:ilvl="6" w:tplc="69B6E30A">
      <w:numFmt w:val="bullet"/>
      <w:lvlText w:val="•"/>
      <w:lvlJc w:val="left"/>
      <w:pPr>
        <w:ind w:hanging="139" w:left="3644"/>
      </w:pPr>
      <w:rPr>
        <w:rFonts w:hint="default"/>
      </w:rPr>
    </w:lvl>
    <w:lvl w:ilvl="7" w:tplc="9606D290">
      <w:numFmt w:val="bullet"/>
      <w:lvlText w:val="•"/>
      <w:lvlJc w:val="left"/>
      <w:pPr>
        <w:ind w:hanging="139" w:left="4191"/>
      </w:pPr>
      <w:rPr>
        <w:rFonts w:hint="default"/>
      </w:rPr>
    </w:lvl>
    <w:lvl w:ilvl="8" w:tplc="99641812">
      <w:numFmt w:val="bullet"/>
      <w:lvlText w:val="•"/>
      <w:lvlJc w:val="left"/>
      <w:pPr>
        <w:ind w:hanging="139" w:left="4738"/>
      </w:pPr>
      <w:rPr>
        <w:rFonts w:hint="default"/>
      </w:rPr>
    </w:lvl>
  </w:abstractNum>
  <w:abstractNum w15:restartNumberingAfterBreak="0" w:abstractNumId="13">
    <w:nsid w:val="3ECE26D1"/>
    <w:multiLevelType w:val="hybridMultilevel"/>
    <w:tmpl w:val="B0BA6734"/>
    <w:lvl w:ilvl="0" w:tplc="9C668716">
      <w:start w:val="1"/>
      <w:numFmt w:val="decimal"/>
      <w:lvlText w:val="%1."/>
      <w:lvlJc w:val="left"/>
      <w:pPr>
        <w:ind w:hanging="240" w:left="380"/>
        <w:jc w:val="left"/>
      </w:pPr>
      <w:rPr>
        <w:rFonts w:ascii="Times New Roman" w:cs="Times New Roman" w:eastAsia="Times New Roman" w:hAnsi="Times New Roman" w:hint="default"/>
        <w:w w:val="100"/>
        <w:sz w:val="24"/>
        <w:szCs w:val="24"/>
      </w:rPr>
    </w:lvl>
    <w:lvl w:ilvl="1" w:tplc="D25A4AE2">
      <w:numFmt w:val="bullet"/>
      <w:lvlText w:val="•"/>
      <w:lvlJc w:val="left"/>
      <w:pPr>
        <w:ind w:hanging="240" w:left="1336"/>
      </w:pPr>
      <w:rPr>
        <w:rFonts w:hint="default"/>
      </w:rPr>
    </w:lvl>
    <w:lvl w:ilvl="2" w:tplc="589CBAF4">
      <w:numFmt w:val="bullet"/>
      <w:lvlText w:val="•"/>
      <w:lvlJc w:val="left"/>
      <w:pPr>
        <w:ind w:hanging="240" w:left="2292"/>
      </w:pPr>
      <w:rPr>
        <w:rFonts w:hint="default"/>
      </w:rPr>
    </w:lvl>
    <w:lvl w:ilvl="3" w:tplc="ADA8AB4C">
      <w:numFmt w:val="bullet"/>
      <w:lvlText w:val="•"/>
      <w:lvlJc w:val="left"/>
      <w:pPr>
        <w:ind w:hanging="240" w:left="3248"/>
      </w:pPr>
      <w:rPr>
        <w:rFonts w:hint="default"/>
      </w:rPr>
    </w:lvl>
    <w:lvl w:ilvl="4" w:tplc="107A7108">
      <w:numFmt w:val="bullet"/>
      <w:lvlText w:val="•"/>
      <w:lvlJc w:val="left"/>
      <w:pPr>
        <w:ind w:hanging="240" w:left="4204"/>
      </w:pPr>
      <w:rPr>
        <w:rFonts w:hint="default"/>
      </w:rPr>
    </w:lvl>
    <w:lvl w:ilvl="5" w:tplc="A62C7202">
      <w:numFmt w:val="bullet"/>
      <w:lvlText w:val="•"/>
      <w:lvlJc w:val="left"/>
      <w:pPr>
        <w:ind w:hanging="240" w:left="5160"/>
      </w:pPr>
      <w:rPr>
        <w:rFonts w:hint="default"/>
      </w:rPr>
    </w:lvl>
    <w:lvl w:ilvl="6" w:tplc="5016AF82">
      <w:numFmt w:val="bullet"/>
      <w:lvlText w:val="•"/>
      <w:lvlJc w:val="left"/>
      <w:pPr>
        <w:ind w:hanging="240" w:left="6116"/>
      </w:pPr>
      <w:rPr>
        <w:rFonts w:hint="default"/>
      </w:rPr>
    </w:lvl>
    <w:lvl w:ilvl="7" w:tplc="A87C3212">
      <w:numFmt w:val="bullet"/>
      <w:lvlText w:val="•"/>
      <w:lvlJc w:val="left"/>
      <w:pPr>
        <w:ind w:hanging="240" w:left="7072"/>
      </w:pPr>
      <w:rPr>
        <w:rFonts w:hint="default"/>
      </w:rPr>
    </w:lvl>
    <w:lvl w:ilvl="8" w:tplc="6674EA14">
      <w:numFmt w:val="bullet"/>
      <w:lvlText w:val="•"/>
      <w:lvlJc w:val="left"/>
      <w:pPr>
        <w:ind w:hanging="240" w:left="8028"/>
      </w:pPr>
      <w:rPr>
        <w:rFonts w:hint="default"/>
      </w:rPr>
    </w:lvl>
  </w:abstractNum>
  <w:abstractNum w15:restartNumberingAfterBreak="0" w:abstractNumId="14">
    <w:nsid w:val="41632895"/>
    <w:multiLevelType w:val="hybridMultilevel"/>
    <w:tmpl w:val="2A5A2FCC"/>
    <w:lvl w:ilvl="0" w:tplc="275A2566">
      <w:numFmt w:val="bullet"/>
      <w:lvlText w:val="•"/>
      <w:lvlJc w:val="left"/>
      <w:pPr>
        <w:ind w:hanging="145" w:left="1190"/>
      </w:pPr>
      <w:rPr>
        <w:rFonts w:ascii="Times New Roman" w:cs="Times New Roman" w:eastAsia="Times New Roman" w:hAnsi="Times New Roman" w:hint="default"/>
        <w:w w:val="100"/>
        <w:sz w:val="24"/>
        <w:szCs w:val="24"/>
      </w:rPr>
    </w:lvl>
    <w:lvl w:ilvl="1" w:tplc="2F94BEE6">
      <w:numFmt w:val="bullet"/>
      <w:lvlText w:val="-"/>
      <w:lvlJc w:val="left"/>
      <w:pPr>
        <w:ind w:hanging="139" w:left="1100"/>
      </w:pPr>
      <w:rPr>
        <w:rFonts w:ascii="Lucida Grande" w:cs="Lucida Grande" w:eastAsia="Lucida Grande" w:hAnsi="Lucida Grande" w:hint="default"/>
        <w:w w:val="56"/>
        <w:sz w:val="24"/>
        <w:szCs w:val="24"/>
      </w:rPr>
    </w:lvl>
    <w:lvl w:ilvl="2" w:tplc="25C435CC">
      <w:numFmt w:val="bullet"/>
      <w:lvlText w:val="•"/>
      <w:lvlJc w:val="left"/>
      <w:pPr>
        <w:ind w:hanging="139" w:left="2171"/>
      </w:pPr>
      <w:rPr>
        <w:rFonts w:hint="default"/>
      </w:rPr>
    </w:lvl>
    <w:lvl w:ilvl="3" w:tplc="320415E4">
      <w:numFmt w:val="bullet"/>
      <w:lvlText w:val="•"/>
      <w:lvlJc w:val="left"/>
      <w:pPr>
        <w:ind w:hanging="139" w:left="3142"/>
      </w:pPr>
      <w:rPr>
        <w:rFonts w:hint="default"/>
      </w:rPr>
    </w:lvl>
    <w:lvl w:ilvl="4" w:tplc="39B091E2">
      <w:numFmt w:val="bullet"/>
      <w:lvlText w:val="•"/>
      <w:lvlJc w:val="left"/>
      <w:pPr>
        <w:ind w:hanging="139" w:left="4113"/>
      </w:pPr>
      <w:rPr>
        <w:rFonts w:hint="default"/>
      </w:rPr>
    </w:lvl>
    <w:lvl w:ilvl="5" w:tplc="0B480888">
      <w:numFmt w:val="bullet"/>
      <w:lvlText w:val="•"/>
      <w:lvlJc w:val="left"/>
      <w:pPr>
        <w:ind w:hanging="139" w:left="5084"/>
      </w:pPr>
      <w:rPr>
        <w:rFonts w:hint="default"/>
      </w:rPr>
    </w:lvl>
    <w:lvl w:ilvl="6" w:tplc="B0BA5252">
      <w:numFmt w:val="bullet"/>
      <w:lvlText w:val="•"/>
      <w:lvlJc w:val="left"/>
      <w:pPr>
        <w:ind w:hanging="139" w:left="6055"/>
      </w:pPr>
      <w:rPr>
        <w:rFonts w:hint="default"/>
      </w:rPr>
    </w:lvl>
    <w:lvl w:ilvl="7" w:tplc="9612BF8E">
      <w:numFmt w:val="bullet"/>
      <w:lvlText w:val="•"/>
      <w:lvlJc w:val="left"/>
      <w:pPr>
        <w:ind w:hanging="139" w:left="7026"/>
      </w:pPr>
      <w:rPr>
        <w:rFonts w:hint="default"/>
      </w:rPr>
    </w:lvl>
    <w:lvl w:ilvl="8" w:tplc="31CCE0D0">
      <w:numFmt w:val="bullet"/>
      <w:lvlText w:val="•"/>
      <w:lvlJc w:val="left"/>
      <w:pPr>
        <w:ind w:hanging="139" w:left="7997"/>
      </w:pPr>
      <w:rPr>
        <w:rFonts w:hint="default"/>
      </w:rPr>
    </w:lvl>
  </w:abstractNum>
  <w:abstractNum w15:restartNumberingAfterBreak="0" w:abstractNumId="15">
    <w:nsid w:val="48D26218"/>
    <w:multiLevelType w:val="hybridMultilevel"/>
    <w:tmpl w:val="EFD8E398"/>
    <w:lvl w:ilvl="0" w:tplc="F93644FA">
      <w:start w:val="2"/>
      <w:numFmt w:val="lowerLetter"/>
      <w:lvlText w:val="%1)"/>
      <w:lvlJc w:val="left"/>
      <w:pPr>
        <w:ind w:hanging="139" w:left="138"/>
        <w:jc w:val="left"/>
      </w:pPr>
      <w:rPr>
        <w:rFonts w:ascii="Arial" w:cs="Arial" w:eastAsia="Arial" w:hAnsi="Arial" w:hint="default"/>
        <w:b/>
        <w:bCs/>
        <w:color w:val="FFFFFF"/>
        <w:w w:val="95"/>
        <w:sz w:val="12"/>
        <w:szCs w:val="12"/>
      </w:rPr>
    </w:lvl>
    <w:lvl w:ilvl="1" w:tplc="C102FA7A">
      <w:numFmt w:val="bullet"/>
      <w:lvlText w:val="•"/>
      <w:lvlJc w:val="left"/>
      <w:pPr>
        <w:ind w:hanging="139" w:left="466"/>
      </w:pPr>
      <w:rPr>
        <w:rFonts w:hint="default"/>
      </w:rPr>
    </w:lvl>
    <w:lvl w:ilvl="2" w:tplc="B4B4E0D6">
      <w:numFmt w:val="bullet"/>
      <w:lvlText w:val="•"/>
      <w:lvlJc w:val="left"/>
      <w:pPr>
        <w:ind w:hanging="139" w:left="793"/>
      </w:pPr>
      <w:rPr>
        <w:rFonts w:hint="default"/>
      </w:rPr>
    </w:lvl>
    <w:lvl w:ilvl="3" w:tplc="1AB62204">
      <w:numFmt w:val="bullet"/>
      <w:lvlText w:val="•"/>
      <w:lvlJc w:val="left"/>
      <w:pPr>
        <w:ind w:hanging="139" w:left="1120"/>
      </w:pPr>
      <w:rPr>
        <w:rFonts w:hint="default"/>
      </w:rPr>
    </w:lvl>
    <w:lvl w:ilvl="4" w:tplc="642C443E">
      <w:numFmt w:val="bullet"/>
      <w:lvlText w:val="•"/>
      <w:lvlJc w:val="left"/>
      <w:pPr>
        <w:ind w:hanging="139" w:left="1447"/>
      </w:pPr>
      <w:rPr>
        <w:rFonts w:hint="default"/>
      </w:rPr>
    </w:lvl>
    <w:lvl w:ilvl="5" w:tplc="7408F73E">
      <w:numFmt w:val="bullet"/>
      <w:lvlText w:val="•"/>
      <w:lvlJc w:val="left"/>
      <w:pPr>
        <w:ind w:hanging="139" w:left="1774"/>
      </w:pPr>
      <w:rPr>
        <w:rFonts w:hint="default"/>
      </w:rPr>
    </w:lvl>
    <w:lvl w:ilvl="6" w:tplc="CEEA7A54">
      <w:numFmt w:val="bullet"/>
      <w:lvlText w:val="•"/>
      <w:lvlJc w:val="left"/>
      <w:pPr>
        <w:ind w:hanging="139" w:left="2101"/>
      </w:pPr>
      <w:rPr>
        <w:rFonts w:hint="default"/>
      </w:rPr>
    </w:lvl>
    <w:lvl w:ilvl="7" w:tplc="67A0DFD4">
      <w:numFmt w:val="bullet"/>
      <w:lvlText w:val="•"/>
      <w:lvlJc w:val="left"/>
      <w:pPr>
        <w:ind w:hanging="139" w:left="2428"/>
      </w:pPr>
      <w:rPr>
        <w:rFonts w:hint="default"/>
      </w:rPr>
    </w:lvl>
    <w:lvl w:ilvl="8" w:tplc="85C673F4">
      <w:numFmt w:val="bullet"/>
      <w:lvlText w:val="•"/>
      <w:lvlJc w:val="left"/>
      <w:pPr>
        <w:ind w:hanging="139" w:left="2755"/>
      </w:pPr>
      <w:rPr>
        <w:rFonts w:hint="default"/>
      </w:rPr>
    </w:lvl>
  </w:abstractNum>
  <w:abstractNum w15:restartNumberingAfterBreak="0" w:abstractNumId="16">
    <w:nsid w:val="4B0429D1"/>
    <w:multiLevelType w:val="hybridMultilevel"/>
    <w:tmpl w:val="D680A7D6"/>
    <w:lvl w:ilvl="0" w:tplc="69D224E8">
      <w:start w:val="1"/>
      <w:numFmt w:val="upperLetter"/>
      <w:lvlText w:val="%1."/>
      <w:lvlJc w:val="left"/>
      <w:pPr>
        <w:ind w:hanging="294" w:left="380"/>
        <w:jc w:val="left"/>
      </w:pPr>
      <w:rPr>
        <w:rFonts w:ascii="Times New Roman" w:cs="Times New Roman" w:eastAsia="Times New Roman" w:hAnsi="Times New Roman" w:hint="default"/>
        <w:b/>
        <w:bCs/>
        <w:w w:val="100"/>
        <w:sz w:val="24"/>
        <w:szCs w:val="24"/>
      </w:rPr>
    </w:lvl>
    <w:lvl w:ilvl="1" w:tplc="28F6B6AE">
      <w:numFmt w:val="bullet"/>
      <w:lvlText w:val="•"/>
      <w:lvlJc w:val="left"/>
      <w:pPr>
        <w:ind w:hanging="294" w:left="1336"/>
      </w:pPr>
      <w:rPr>
        <w:rFonts w:hint="default"/>
      </w:rPr>
    </w:lvl>
    <w:lvl w:ilvl="2" w:tplc="E702CBB0">
      <w:numFmt w:val="bullet"/>
      <w:lvlText w:val="•"/>
      <w:lvlJc w:val="left"/>
      <w:pPr>
        <w:ind w:hanging="294" w:left="2292"/>
      </w:pPr>
      <w:rPr>
        <w:rFonts w:hint="default"/>
      </w:rPr>
    </w:lvl>
    <w:lvl w:ilvl="3" w:tplc="BD364640">
      <w:numFmt w:val="bullet"/>
      <w:lvlText w:val="•"/>
      <w:lvlJc w:val="left"/>
      <w:pPr>
        <w:ind w:hanging="294" w:left="3248"/>
      </w:pPr>
      <w:rPr>
        <w:rFonts w:hint="default"/>
      </w:rPr>
    </w:lvl>
    <w:lvl w:ilvl="4" w:tplc="5A34F8E8">
      <w:numFmt w:val="bullet"/>
      <w:lvlText w:val="•"/>
      <w:lvlJc w:val="left"/>
      <w:pPr>
        <w:ind w:hanging="294" w:left="4204"/>
      </w:pPr>
      <w:rPr>
        <w:rFonts w:hint="default"/>
      </w:rPr>
    </w:lvl>
    <w:lvl w:ilvl="5" w:tplc="9F1EBC42">
      <w:numFmt w:val="bullet"/>
      <w:lvlText w:val="•"/>
      <w:lvlJc w:val="left"/>
      <w:pPr>
        <w:ind w:hanging="294" w:left="5160"/>
      </w:pPr>
      <w:rPr>
        <w:rFonts w:hint="default"/>
      </w:rPr>
    </w:lvl>
    <w:lvl w:ilvl="6" w:tplc="D8FE0B9A">
      <w:numFmt w:val="bullet"/>
      <w:lvlText w:val="•"/>
      <w:lvlJc w:val="left"/>
      <w:pPr>
        <w:ind w:hanging="294" w:left="6116"/>
      </w:pPr>
      <w:rPr>
        <w:rFonts w:hint="default"/>
      </w:rPr>
    </w:lvl>
    <w:lvl w:ilvl="7" w:tplc="89228348">
      <w:numFmt w:val="bullet"/>
      <w:lvlText w:val="•"/>
      <w:lvlJc w:val="left"/>
      <w:pPr>
        <w:ind w:hanging="294" w:left="7072"/>
      </w:pPr>
      <w:rPr>
        <w:rFonts w:hint="default"/>
      </w:rPr>
    </w:lvl>
    <w:lvl w:ilvl="8" w:tplc="E48C930C">
      <w:numFmt w:val="bullet"/>
      <w:lvlText w:val="•"/>
      <w:lvlJc w:val="left"/>
      <w:pPr>
        <w:ind w:hanging="294" w:left="8028"/>
      </w:pPr>
      <w:rPr>
        <w:rFonts w:hint="default"/>
      </w:rPr>
    </w:lvl>
  </w:abstractNum>
  <w:abstractNum w15:restartNumberingAfterBreak="0" w:abstractNumId="17">
    <w:nsid w:val="4B19352C"/>
    <w:multiLevelType w:val="hybridMultilevel"/>
    <w:tmpl w:val="42C05604"/>
    <w:lvl w:ilvl="0" w:tplc="4C9C5C6E">
      <w:start w:val="48"/>
      <w:numFmt w:val="decimal"/>
      <w:lvlText w:val="%1."/>
      <w:lvlJc w:val="left"/>
      <w:pPr>
        <w:ind w:hanging="360" w:left="380"/>
        <w:jc w:val="left"/>
      </w:pPr>
      <w:rPr>
        <w:rFonts w:ascii="Times New Roman" w:cs="Times New Roman" w:eastAsia="Times New Roman" w:hAnsi="Times New Roman" w:hint="default"/>
        <w:w w:val="100"/>
        <w:sz w:val="24"/>
        <w:szCs w:val="24"/>
      </w:rPr>
    </w:lvl>
    <w:lvl w:ilvl="1" w:tplc="64740ABA">
      <w:numFmt w:val="bullet"/>
      <w:lvlText w:val="•"/>
      <w:lvlJc w:val="left"/>
      <w:pPr>
        <w:ind w:hanging="360" w:left="1336"/>
      </w:pPr>
      <w:rPr>
        <w:rFonts w:hint="default"/>
      </w:rPr>
    </w:lvl>
    <w:lvl w:ilvl="2" w:tplc="C7B88A52">
      <w:numFmt w:val="bullet"/>
      <w:lvlText w:val="•"/>
      <w:lvlJc w:val="left"/>
      <w:pPr>
        <w:ind w:hanging="360" w:left="2292"/>
      </w:pPr>
      <w:rPr>
        <w:rFonts w:hint="default"/>
      </w:rPr>
    </w:lvl>
    <w:lvl w:ilvl="3" w:tplc="EF06602C">
      <w:numFmt w:val="bullet"/>
      <w:lvlText w:val="•"/>
      <w:lvlJc w:val="left"/>
      <w:pPr>
        <w:ind w:hanging="360" w:left="3248"/>
      </w:pPr>
      <w:rPr>
        <w:rFonts w:hint="default"/>
      </w:rPr>
    </w:lvl>
    <w:lvl w:ilvl="4" w:tplc="137831AA">
      <w:numFmt w:val="bullet"/>
      <w:lvlText w:val="•"/>
      <w:lvlJc w:val="left"/>
      <w:pPr>
        <w:ind w:hanging="360" w:left="4204"/>
      </w:pPr>
      <w:rPr>
        <w:rFonts w:hint="default"/>
      </w:rPr>
    </w:lvl>
    <w:lvl w:ilvl="5" w:tplc="94A287AE">
      <w:numFmt w:val="bullet"/>
      <w:lvlText w:val="•"/>
      <w:lvlJc w:val="left"/>
      <w:pPr>
        <w:ind w:hanging="360" w:left="5160"/>
      </w:pPr>
      <w:rPr>
        <w:rFonts w:hint="default"/>
      </w:rPr>
    </w:lvl>
    <w:lvl w:ilvl="6" w:tplc="A63E2B62">
      <w:numFmt w:val="bullet"/>
      <w:lvlText w:val="•"/>
      <w:lvlJc w:val="left"/>
      <w:pPr>
        <w:ind w:hanging="360" w:left="6116"/>
      </w:pPr>
      <w:rPr>
        <w:rFonts w:hint="default"/>
      </w:rPr>
    </w:lvl>
    <w:lvl w:ilvl="7" w:tplc="D26E8212">
      <w:numFmt w:val="bullet"/>
      <w:lvlText w:val="•"/>
      <w:lvlJc w:val="left"/>
      <w:pPr>
        <w:ind w:hanging="360" w:left="7072"/>
      </w:pPr>
      <w:rPr>
        <w:rFonts w:hint="default"/>
      </w:rPr>
    </w:lvl>
    <w:lvl w:ilvl="8" w:tplc="8FA2E5F6">
      <w:numFmt w:val="bullet"/>
      <w:lvlText w:val="•"/>
      <w:lvlJc w:val="left"/>
      <w:pPr>
        <w:ind w:hanging="360" w:left="8028"/>
      </w:pPr>
      <w:rPr>
        <w:rFonts w:hint="default"/>
      </w:rPr>
    </w:lvl>
  </w:abstractNum>
  <w:abstractNum w15:restartNumberingAfterBreak="0" w:abstractNumId="18">
    <w:nsid w:val="4C550E30"/>
    <w:multiLevelType w:val="hybridMultilevel"/>
    <w:tmpl w:val="F552D7F0"/>
    <w:lvl w:ilvl="0" w:tplc="C0C60A96">
      <w:start w:val="37"/>
      <w:numFmt w:val="decimal"/>
      <w:lvlText w:val="%1."/>
      <w:lvlJc w:val="left"/>
      <w:pPr>
        <w:ind w:hanging="360" w:left="380"/>
        <w:jc w:val="left"/>
      </w:pPr>
      <w:rPr>
        <w:rFonts w:ascii="Times New Roman" w:cs="Times New Roman" w:eastAsia="Times New Roman" w:hAnsi="Times New Roman" w:hint="default"/>
        <w:w w:val="100"/>
        <w:sz w:val="24"/>
        <w:szCs w:val="24"/>
      </w:rPr>
    </w:lvl>
    <w:lvl w:ilvl="1" w:tplc="9C56353E">
      <w:numFmt w:val="bullet"/>
      <w:lvlText w:val="•"/>
      <w:lvlJc w:val="left"/>
      <w:pPr>
        <w:ind w:hanging="360" w:left="1336"/>
      </w:pPr>
      <w:rPr>
        <w:rFonts w:hint="default"/>
      </w:rPr>
    </w:lvl>
    <w:lvl w:ilvl="2" w:tplc="EBE09820">
      <w:numFmt w:val="bullet"/>
      <w:lvlText w:val="•"/>
      <w:lvlJc w:val="left"/>
      <w:pPr>
        <w:ind w:hanging="360" w:left="2292"/>
      </w:pPr>
      <w:rPr>
        <w:rFonts w:hint="default"/>
      </w:rPr>
    </w:lvl>
    <w:lvl w:ilvl="3" w:tplc="73261024">
      <w:numFmt w:val="bullet"/>
      <w:lvlText w:val="•"/>
      <w:lvlJc w:val="left"/>
      <w:pPr>
        <w:ind w:hanging="360" w:left="3248"/>
      </w:pPr>
      <w:rPr>
        <w:rFonts w:hint="default"/>
      </w:rPr>
    </w:lvl>
    <w:lvl w:ilvl="4" w:tplc="AD24E87E">
      <w:numFmt w:val="bullet"/>
      <w:lvlText w:val="•"/>
      <w:lvlJc w:val="left"/>
      <w:pPr>
        <w:ind w:hanging="360" w:left="4204"/>
      </w:pPr>
      <w:rPr>
        <w:rFonts w:hint="default"/>
      </w:rPr>
    </w:lvl>
    <w:lvl w:ilvl="5" w:tplc="DFD2FD70">
      <w:numFmt w:val="bullet"/>
      <w:lvlText w:val="•"/>
      <w:lvlJc w:val="left"/>
      <w:pPr>
        <w:ind w:hanging="360" w:left="5160"/>
      </w:pPr>
      <w:rPr>
        <w:rFonts w:hint="default"/>
      </w:rPr>
    </w:lvl>
    <w:lvl w:ilvl="6" w:tplc="49C21FBA">
      <w:numFmt w:val="bullet"/>
      <w:lvlText w:val="•"/>
      <w:lvlJc w:val="left"/>
      <w:pPr>
        <w:ind w:hanging="360" w:left="6116"/>
      </w:pPr>
      <w:rPr>
        <w:rFonts w:hint="default"/>
      </w:rPr>
    </w:lvl>
    <w:lvl w:ilvl="7" w:tplc="94CE1F78">
      <w:numFmt w:val="bullet"/>
      <w:lvlText w:val="•"/>
      <w:lvlJc w:val="left"/>
      <w:pPr>
        <w:ind w:hanging="360" w:left="7072"/>
      </w:pPr>
      <w:rPr>
        <w:rFonts w:hint="default"/>
      </w:rPr>
    </w:lvl>
    <w:lvl w:ilvl="8" w:tplc="815E8C5E">
      <w:numFmt w:val="bullet"/>
      <w:lvlText w:val="•"/>
      <w:lvlJc w:val="left"/>
      <w:pPr>
        <w:ind w:hanging="360" w:left="8028"/>
      </w:pPr>
      <w:rPr>
        <w:rFonts w:hint="default"/>
      </w:rPr>
    </w:lvl>
  </w:abstractNum>
  <w:abstractNum w15:restartNumberingAfterBreak="0" w:abstractNumId="19">
    <w:nsid w:val="585A439E"/>
    <w:multiLevelType w:val="hybridMultilevel"/>
    <w:tmpl w:val="7DFCC86E"/>
    <w:lvl w:ilvl="0" w:tplc="D97CE1B0">
      <w:start w:val="1"/>
      <w:numFmt w:val="decimal"/>
      <w:lvlText w:val="%1."/>
      <w:lvlJc w:val="left"/>
      <w:pPr>
        <w:ind w:hanging="249" w:left="380"/>
        <w:jc w:val="left"/>
      </w:pPr>
      <w:rPr>
        <w:rFonts w:ascii="Times New Roman" w:cs="Times New Roman" w:eastAsia="Times New Roman" w:hAnsi="Times New Roman" w:hint="default"/>
        <w:w w:val="100"/>
        <w:sz w:val="24"/>
        <w:szCs w:val="24"/>
      </w:rPr>
    </w:lvl>
    <w:lvl w:ilvl="1" w:tplc="D1FC5A54">
      <w:numFmt w:val="bullet"/>
      <w:lvlText w:val="•"/>
      <w:lvlJc w:val="left"/>
      <w:pPr>
        <w:ind w:hanging="249" w:left="1336"/>
      </w:pPr>
      <w:rPr>
        <w:rFonts w:hint="default"/>
      </w:rPr>
    </w:lvl>
    <w:lvl w:ilvl="2" w:tplc="E356DFB2">
      <w:numFmt w:val="bullet"/>
      <w:lvlText w:val="•"/>
      <w:lvlJc w:val="left"/>
      <w:pPr>
        <w:ind w:hanging="249" w:left="2292"/>
      </w:pPr>
      <w:rPr>
        <w:rFonts w:hint="default"/>
      </w:rPr>
    </w:lvl>
    <w:lvl w:ilvl="3" w:tplc="52CA6A02">
      <w:numFmt w:val="bullet"/>
      <w:lvlText w:val="•"/>
      <w:lvlJc w:val="left"/>
      <w:pPr>
        <w:ind w:hanging="249" w:left="3248"/>
      </w:pPr>
      <w:rPr>
        <w:rFonts w:hint="default"/>
      </w:rPr>
    </w:lvl>
    <w:lvl w:ilvl="4" w:tplc="66C86D2E">
      <w:numFmt w:val="bullet"/>
      <w:lvlText w:val="•"/>
      <w:lvlJc w:val="left"/>
      <w:pPr>
        <w:ind w:hanging="249" w:left="4204"/>
      </w:pPr>
      <w:rPr>
        <w:rFonts w:hint="default"/>
      </w:rPr>
    </w:lvl>
    <w:lvl w:ilvl="5" w:tplc="F67EE0CC">
      <w:numFmt w:val="bullet"/>
      <w:lvlText w:val="•"/>
      <w:lvlJc w:val="left"/>
      <w:pPr>
        <w:ind w:hanging="249" w:left="5160"/>
      </w:pPr>
      <w:rPr>
        <w:rFonts w:hint="default"/>
      </w:rPr>
    </w:lvl>
    <w:lvl w:ilvl="6" w:tplc="9868466C">
      <w:numFmt w:val="bullet"/>
      <w:lvlText w:val="•"/>
      <w:lvlJc w:val="left"/>
      <w:pPr>
        <w:ind w:hanging="249" w:left="6116"/>
      </w:pPr>
      <w:rPr>
        <w:rFonts w:hint="default"/>
      </w:rPr>
    </w:lvl>
    <w:lvl w:ilvl="7" w:tplc="EDFECF74">
      <w:numFmt w:val="bullet"/>
      <w:lvlText w:val="•"/>
      <w:lvlJc w:val="left"/>
      <w:pPr>
        <w:ind w:hanging="249" w:left="7072"/>
      </w:pPr>
      <w:rPr>
        <w:rFonts w:hint="default"/>
      </w:rPr>
    </w:lvl>
    <w:lvl w:ilvl="8" w:tplc="3462F932">
      <w:numFmt w:val="bullet"/>
      <w:lvlText w:val="•"/>
      <w:lvlJc w:val="left"/>
      <w:pPr>
        <w:ind w:hanging="249" w:left="8028"/>
      </w:pPr>
      <w:rPr>
        <w:rFonts w:hint="default"/>
      </w:rPr>
    </w:lvl>
  </w:abstractNum>
  <w:abstractNum w15:restartNumberingAfterBreak="0" w:abstractNumId="20">
    <w:nsid w:val="5C271A63"/>
    <w:multiLevelType w:val="hybridMultilevel"/>
    <w:tmpl w:val="0C9E4902"/>
    <w:lvl w:ilvl="0" w:tplc="26FE5788">
      <w:numFmt w:val="bullet"/>
      <w:lvlText w:val="•"/>
      <w:lvlJc w:val="left"/>
      <w:pPr>
        <w:ind w:hanging="145" w:left="1100"/>
      </w:pPr>
      <w:rPr>
        <w:rFonts w:ascii="Times New Roman" w:cs="Times New Roman" w:eastAsia="Times New Roman" w:hAnsi="Times New Roman" w:hint="default"/>
        <w:w w:val="100"/>
        <w:sz w:val="24"/>
        <w:szCs w:val="24"/>
      </w:rPr>
    </w:lvl>
    <w:lvl w:ilvl="1" w:tplc="91003610">
      <w:numFmt w:val="bullet"/>
      <w:lvlText w:val="•"/>
      <w:lvlJc w:val="left"/>
      <w:pPr>
        <w:ind w:hanging="145" w:left="1984"/>
      </w:pPr>
      <w:rPr>
        <w:rFonts w:hint="default"/>
      </w:rPr>
    </w:lvl>
    <w:lvl w:ilvl="2" w:tplc="703E80E6">
      <w:numFmt w:val="bullet"/>
      <w:lvlText w:val="•"/>
      <w:lvlJc w:val="left"/>
      <w:pPr>
        <w:ind w:hanging="145" w:left="2868"/>
      </w:pPr>
      <w:rPr>
        <w:rFonts w:hint="default"/>
      </w:rPr>
    </w:lvl>
    <w:lvl w:ilvl="3" w:tplc="6FACB176">
      <w:numFmt w:val="bullet"/>
      <w:lvlText w:val="•"/>
      <w:lvlJc w:val="left"/>
      <w:pPr>
        <w:ind w:hanging="145" w:left="3752"/>
      </w:pPr>
      <w:rPr>
        <w:rFonts w:hint="default"/>
      </w:rPr>
    </w:lvl>
    <w:lvl w:ilvl="4" w:tplc="88522D02">
      <w:numFmt w:val="bullet"/>
      <w:lvlText w:val="•"/>
      <w:lvlJc w:val="left"/>
      <w:pPr>
        <w:ind w:hanging="145" w:left="4636"/>
      </w:pPr>
      <w:rPr>
        <w:rFonts w:hint="default"/>
      </w:rPr>
    </w:lvl>
    <w:lvl w:ilvl="5" w:tplc="15E2E914">
      <w:numFmt w:val="bullet"/>
      <w:lvlText w:val="•"/>
      <w:lvlJc w:val="left"/>
      <w:pPr>
        <w:ind w:hanging="145" w:left="5520"/>
      </w:pPr>
      <w:rPr>
        <w:rFonts w:hint="default"/>
      </w:rPr>
    </w:lvl>
    <w:lvl w:ilvl="6" w:tplc="49940F64">
      <w:numFmt w:val="bullet"/>
      <w:lvlText w:val="•"/>
      <w:lvlJc w:val="left"/>
      <w:pPr>
        <w:ind w:hanging="145" w:left="6404"/>
      </w:pPr>
      <w:rPr>
        <w:rFonts w:hint="default"/>
      </w:rPr>
    </w:lvl>
    <w:lvl w:ilvl="7" w:tplc="E4FA0B0A">
      <w:numFmt w:val="bullet"/>
      <w:lvlText w:val="•"/>
      <w:lvlJc w:val="left"/>
      <w:pPr>
        <w:ind w:hanging="145" w:left="7288"/>
      </w:pPr>
      <w:rPr>
        <w:rFonts w:hint="default"/>
      </w:rPr>
    </w:lvl>
    <w:lvl w:ilvl="8" w:tplc="D242C9EE">
      <w:numFmt w:val="bullet"/>
      <w:lvlText w:val="•"/>
      <w:lvlJc w:val="left"/>
      <w:pPr>
        <w:ind w:hanging="145" w:left="8172"/>
      </w:pPr>
      <w:rPr>
        <w:rFonts w:hint="default"/>
      </w:rPr>
    </w:lvl>
  </w:abstractNum>
  <w:abstractNum w15:restartNumberingAfterBreak="0" w:abstractNumId="21">
    <w:nsid w:val="5F2B4CE8"/>
    <w:multiLevelType w:val="hybridMultilevel"/>
    <w:tmpl w:val="6DF600FA"/>
    <w:lvl w:ilvl="0" w:tplc="E778A908">
      <w:start w:val="79"/>
      <w:numFmt w:val="decimal"/>
      <w:lvlText w:val="%1."/>
      <w:lvlJc w:val="left"/>
      <w:pPr>
        <w:ind w:hanging="360" w:left="380"/>
        <w:jc w:val="left"/>
      </w:pPr>
      <w:rPr>
        <w:rFonts w:ascii="Times New Roman" w:cs="Times New Roman" w:eastAsia="Times New Roman" w:hAnsi="Times New Roman" w:hint="default"/>
        <w:w w:val="100"/>
        <w:sz w:val="24"/>
        <w:szCs w:val="24"/>
      </w:rPr>
    </w:lvl>
    <w:lvl w:ilvl="1" w:tplc="488483E2">
      <w:numFmt w:val="bullet"/>
      <w:lvlText w:val="•"/>
      <w:lvlJc w:val="left"/>
      <w:pPr>
        <w:ind w:hanging="360" w:left="1336"/>
      </w:pPr>
      <w:rPr>
        <w:rFonts w:hint="default"/>
      </w:rPr>
    </w:lvl>
    <w:lvl w:ilvl="2" w:tplc="181A138E">
      <w:numFmt w:val="bullet"/>
      <w:lvlText w:val="•"/>
      <w:lvlJc w:val="left"/>
      <w:pPr>
        <w:ind w:hanging="360" w:left="2292"/>
      </w:pPr>
      <w:rPr>
        <w:rFonts w:hint="default"/>
      </w:rPr>
    </w:lvl>
    <w:lvl w:ilvl="3" w:tplc="8CE6E9D2">
      <w:numFmt w:val="bullet"/>
      <w:lvlText w:val="•"/>
      <w:lvlJc w:val="left"/>
      <w:pPr>
        <w:ind w:hanging="360" w:left="3248"/>
      </w:pPr>
      <w:rPr>
        <w:rFonts w:hint="default"/>
      </w:rPr>
    </w:lvl>
    <w:lvl w:ilvl="4" w:tplc="C696F484">
      <w:numFmt w:val="bullet"/>
      <w:lvlText w:val="•"/>
      <w:lvlJc w:val="left"/>
      <w:pPr>
        <w:ind w:hanging="360" w:left="4204"/>
      </w:pPr>
      <w:rPr>
        <w:rFonts w:hint="default"/>
      </w:rPr>
    </w:lvl>
    <w:lvl w:ilvl="5" w:tplc="0BDEB236">
      <w:numFmt w:val="bullet"/>
      <w:lvlText w:val="•"/>
      <w:lvlJc w:val="left"/>
      <w:pPr>
        <w:ind w:hanging="360" w:left="5160"/>
      </w:pPr>
      <w:rPr>
        <w:rFonts w:hint="default"/>
      </w:rPr>
    </w:lvl>
    <w:lvl w:ilvl="6" w:tplc="4B2AE438">
      <w:numFmt w:val="bullet"/>
      <w:lvlText w:val="•"/>
      <w:lvlJc w:val="left"/>
      <w:pPr>
        <w:ind w:hanging="360" w:left="6116"/>
      </w:pPr>
      <w:rPr>
        <w:rFonts w:hint="default"/>
      </w:rPr>
    </w:lvl>
    <w:lvl w:ilvl="7" w:tplc="E7462AA0">
      <w:numFmt w:val="bullet"/>
      <w:lvlText w:val="•"/>
      <w:lvlJc w:val="left"/>
      <w:pPr>
        <w:ind w:hanging="360" w:left="7072"/>
      </w:pPr>
      <w:rPr>
        <w:rFonts w:hint="default"/>
      </w:rPr>
    </w:lvl>
    <w:lvl w:ilvl="8" w:tplc="C60E97A8">
      <w:numFmt w:val="bullet"/>
      <w:lvlText w:val="•"/>
      <w:lvlJc w:val="left"/>
      <w:pPr>
        <w:ind w:hanging="360" w:left="8028"/>
      </w:pPr>
      <w:rPr>
        <w:rFonts w:hint="default"/>
      </w:rPr>
    </w:lvl>
  </w:abstractNum>
  <w:abstractNum w15:restartNumberingAfterBreak="0" w:abstractNumId="22">
    <w:nsid w:val="60240682"/>
    <w:multiLevelType w:val="hybridMultilevel"/>
    <w:tmpl w:val="A28207FE"/>
    <w:lvl w:ilvl="0" w:tplc="DEF2ADF4">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FEF0ED2A">
      <w:numFmt w:val="bullet"/>
      <w:lvlText w:val="•"/>
      <w:lvlJc w:val="left"/>
      <w:pPr>
        <w:ind w:hanging="139" w:left="707"/>
      </w:pPr>
      <w:rPr>
        <w:rFonts w:hint="default"/>
      </w:rPr>
    </w:lvl>
    <w:lvl w:ilvl="2" w:tplc="F0242D82">
      <w:numFmt w:val="bullet"/>
      <w:lvlText w:val="•"/>
      <w:lvlJc w:val="left"/>
      <w:pPr>
        <w:ind w:hanging="139" w:left="1055"/>
      </w:pPr>
      <w:rPr>
        <w:rFonts w:hint="default"/>
      </w:rPr>
    </w:lvl>
    <w:lvl w:ilvl="3" w:tplc="54F0026E">
      <w:numFmt w:val="bullet"/>
      <w:lvlText w:val="•"/>
      <w:lvlJc w:val="left"/>
      <w:pPr>
        <w:ind w:hanging="139" w:left="1403"/>
      </w:pPr>
      <w:rPr>
        <w:rFonts w:hint="default"/>
      </w:rPr>
    </w:lvl>
    <w:lvl w:ilvl="4" w:tplc="94E47BC4">
      <w:numFmt w:val="bullet"/>
      <w:lvlText w:val="•"/>
      <w:lvlJc w:val="left"/>
      <w:pPr>
        <w:ind w:hanging="139" w:left="1750"/>
      </w:pPr>
      <w:rPr>
        <w:rFonts w:hint="default"/>
      </w:rPr>
    </w:lvl>
    <w:lvl w:ilvl="5" w:tplc="AC780DB4">
      <w:numFmt w:val="bullet"/>
      <w:lvlText w:val="•"/>
      <w:lvlJc w:val="left"/>
      <w:pPr>
        <w:ind w:hanging="139" w:left="2098"/>
      </w:pPr>
      <w:rPr>
        <w:rFonts w:hint="default"/>
      </w:rPr>
    </w:lvl>
    <w:lvl w:ilvl="6" w:tplc="F2A8A3A4">
      <w:numFmt w:val="bullet"/>
      <w:lvlText w:val="•"/>
      <w:lvlJc w:val="left"/>
      <w:pPr>
        <w:ind w:hanging="139" w:left="2446"/>
      </w:pPr>
      <w:rPr>
        <w:rFonts w:hint="default"/>
      </w:rPr>
    </w:lvl>
    <w:lvl w:ilvl="7" w:tplc="62409EBE">
      <w:numFmt w:val="bullet"/>
      <w:lvlText w:val="•"/>
      <w:lvlJc w:val="left"/>
      <w:pPr>
        <w:ind w:hanging="139" w:left="2794"/>
      </w:pPr>
      <w:rPr>
        <w:rFonts w:hint="default"/>
      </w:rPr>
    </w:lvl>
    <w:lvl w:ilvl="8" w:tplc="6E3677A6">
      <w:numFmt w:val="bullet"/>
      <w:lvlText w:val="•"/>
      <w:lvlJc w:val="left"/>
      <w:pPr>
        <w:ind w:hanging="139" w:left="3141"/>
      </w:pPr>
      <w:rPr>
        <w:rFonts w:hint="default"/>
      </w:rPr>
    </w:lvl>
  </w:abstractNum>
  <w:abstractNum w15:restartNumberingAfterBreak="0" w:abstractNumId="23">
    <w:nsid w:val="60A44B76"/>
    <w:multiLevelType w:val="hybridMultilevel"/>
    <w:tmpl w:val="820805E2"/>
    <w:lvl w:ilvl="0" w:tplc="14C29D8E">
      <w:numFmt w:val="bullet"/>
      <w:lvlText w:val="-"/>
      <w:lvlJc w:val="left"/>
      <w:pPr>
        <w:ind w:hanging="140" w:left="380"/>
      </w:pPr>
      <w:rPr>
        <w:rFonts w:ascii="Times New Roman" w:cs="Times New Roman" w:eastAsia="Times New Roman" w:hAnsi="Times New Roman" w:hint="default"/>
        <w:w w:val="100"/>
        <w:sz w:val="24"/>
        <w:szCs w:val="24"/>
      </w:rPr>
    </w:lvl>
    <w:lvl w:ilvl="1" w:tplc="DADE3A60">
      <w:numFmt w:val="bullet"/>
      <w:lvlText w:val="•"/>
      <w:lvlJc w:val="left"/>
      <w:pPr>
        <w:ind w:hanging="140" w:left="1336"/>
      </w:pPr>
      <w:rPr>
        <w:rFonts w:hint="default"/>
      </w:rPr>
    </w:lvl>
    <w:lvl w:ilvl="2" w:tplc="EBA240E0">
      <w:numFmt w:val="bullet"/>
      <w:lvlText w:val="•"/>
      <w:lvlJc w:val="left"/>
      <w:pPr>
        <w:ind w:hanging="140" w:left="2292"/>
      </w:pPr>
      <w:rPr>
        <w:rFonts w:hint="default"/>
      </w:rPr>
    </w:lvl>
    <w:lvl w:ilvl="3" w:tplc="2E3E59D4">
      <w:numFmt w:val="bullet"/>
      <w:lvlText w:val="•"/>
      <w:lvlJc w:val="left"/>
      <w:pPr>
        <w:ind w:hanging="140" w:left="3248"/>
      </w:pPr>
      <w:rPr>
        <w:rFonts w:hint="default"/>
      </w:rPr>
    </w:lvl>
    <w:lvl w:ilvl="4" w:tplc="7144CC94">
      <w:numFmt w:val="bullet"/>
      <w:lvlText w:val="•"/>
      <w:lvlJc w:val="left"/>
      <w:pPr>
        <w:ind w:hanging="140" w:left="4204"/>
      </w:pPr>
      <w:rPr>
        <w:rFonts w:hint="default"/>
      </w:rPr>
    </w:lvl>
    <w:lvl w:ilvl="5" w:tplc="CA1ABD74">
      <w:numFmt w:val="bullet"/>
      <w:lvlText w:val="•"/>
      <w:lvlJc w:val="left"/>
      <w:pPr>
        <w:ind w:hanging="140" w:left="5160"/>
      </w:pPr>
      <w:rPr>
        <w:rFonts w:hint="default"/>
      </w:rPr>
    </w:lvl>
    <w:lvl w:ilvl="6" w:tplc="A27E3790">
      <w:numFmt w:val="bullet"/>
      <w:lvlText w:val="•"/>
      <w:lvlJc w:val="left"/>
      <w:pPr>
        <w:ind w:hanging="140" w:left="6116"/>
      </w:pPr>
      <w:rPr>
        <w:rFonts w:hint="default"/>
      </w:rPr>
    </w:lvl>
    <w:lvl w:ilvl="7" w:tplc="1A38424A">
      <w:numFmt w:val="bullet"/>
      <w:lvlText w:val="•"/>
      <w:lvlJc w:val="left"/>
      <w:pPr>
        <w:ind w:hanging="140" w:left="7072"/>
      </w:pPr>
      <w:rPr>
        <w:rFonts w:hint="default"/>
      </w:rPr>
    </w:lvl>
    <w:lvl w:ilvl="8" w:tplc="7E66B2F8">
      <w:numFmt w:val="bullet"/>
      <w:lvlText w:val="•"/>
      <w:lvlJc w:val="left"/>
      <w:pPr>
        <w:ind w:hanging="140" w:left="8028"/>
      </w:pPr>
      <w:rPr>
        <w:rFonts w:hint="default"/>
      </w:rPr>
    </w:lvl>
  </w:abstractNum>
  <w:abstractNum w15:restartNumberingAfterBreak="0" w:abstractNumId="24">
    <w:nsid w:val="6745089E"/>
    <w:multiLevelType w:val="hybridMultilevel"/>
    <w:tmpl w:val="A4108986"/>
    <w:lvl w:ilvl="0" w:tplc="3D100C1A">
      <w:numFmt w:val="bullet"/>
      <w:lvlText w:val="•"/>
      <w:lvlJc w:val="left"/>
      <w:pPr>
        <w:ind w:hanging="81" w:left="303"/>
      </w:pPr>
      <w:rPr>
        <w:rFonts w:ascii="Arial" w:cs="Arial" w:eastAsia="Arial" w:hAnsi="Arial" w:hint="default"/>
        <w:color w:val="FFFFFF"/>
        <w:w w:val="98"/>
        <w:sz w:val="11"/>
        <w:szCs w:val="11"/>
      </w:rPr>
    </w:lvl>
    <w:lvl w:ilvl="1" w:tplc="8C121B78">
      <w:numFmt w:val="bullet"/>
      <w:lvlText w:val="•"/>
      <w:lvlJc w:val="left"/>
      <w:pPr>
        <w:ind w:hanging="81" w:left="722"/>
      </w:pPr>
      <w:rPr>
        <w:rFonts w:ascii="Arial" w:cs="Arial" w:eastAsia="Arial" w:hAnsi="Arial" w:hint="default"/>
        <w:color w:val="FFFFFF"/>
        <w:w w:val="98"/>
        <w:sz w:val="11"/>
        <w:szCs w:val="11"/>
      </w:rPr>
    </w:lvl>
    <w:lvl w:ilvl="2" w:tplc="1B281B14">
      <w:numFmt w:val="bullet"/>
      <w:lvlText w:val="•"/>
      <w:lvlJc w:val="left"/>
      <w:pPr>
        <w:ind w:hanging="81" w:left="1656"/>
      </w:pPr>
      <w:rPr>
        <w:rFonts w:ascii="Arial" w:cs="Arial" w:eastAsia="Arial" w:hAnsi="Arial" w:hint="default"/>
        <w:color w:val="FFFFFF"/>
        <w:w w:val="98"/>
        <w:sz w:val="11"/>
        <w:szCs w:val="11"/>
      </w:rPr>
    </w:lvl>
    <w:lvl w:ilvl="3" w:tplc="3F003290">
      <w:numFmt w:val="bullet"/>
      <w:lvlText w:val="•"/>
      <w:lvlJc w:val="left"/>
      <w:pPr>
        <w:ind w:hanging="81" w:left="1992"/>
      </w:pPr>
      <w:rPr>
        <w:rFonts w:hint="default"/>
      </w:rPr>
    </w:lvl>
    <w:lvl w:ilvl="4" w:tplc="3356D466">
      <w:numFmt w:val="bullet"/>
      <w:lvlText w:val="•"/>
      <w:lvlJc w:val="left"/>
      <w:pPr>
        <w:ind w:hanging="81" w:left="2325"/>
      </w:pPr>
      <w:rPr>
        <w:rFonts w:hint="default"/>
      </w:rPr>
    </w:lvl>
    <w:lvl w:ilvl="5" w:tplc="EE98CAB4">
      <w:numFmt w:val="bullet"/>
      <w:lvlText w:val="•"/>
      <w:lvlJc w:val="left"/>
      <w:pPr>
        <w:ind w:hanging="81" w:left="2658"/>
      </w:pPr>
      <w:rPr>
        <w:rFonts w:hint="default"/>
      </w:rPr>
    </w:lvl>
    <w:lvl w:ilvl="6" w:tplc="0EE2533A">
      <w:numFmt w:val="bullet"/>
      <w:lvlText w:val="•"/>
      <w:lvlJc w:val="left"/>
      <w:pPr>
        <w:ind w:hanging="81" w:left="2990"/>
      </w:pPr>
      <w:rPr>
        <w:rFonts w:hint="default"/>
      </w:rPr>
    </w:lvl>
    <w:lvl w:ilvl="7" w:tplc="58368886">
      <w:numFmt w:val="bullet"/>
      <w:lvlText w:val="•"/>
      <w:lvlJc w:val="left"/>
      <w:pPr>
        <w:ind w:hanging="81" w:left="3323"/>
      </w:pPr>
      <w:rPr>
        <w:rFonts w:hint="default"/>
      </w:rPr>
    </w:lvl>
    <w:lvl w:ilvl="8" w:tplc="075A6BC8">
      <w:numFmt w:val="bullet"/>
      <w:lvlText w:val="•"/>
      <w:lvlJc w:val="left"/>
      <w:pPr>
        <w:ind w:hanging="81" w:left="3656"/>
      </w:pPr>
      <w:rPr>
        <w:rFonts w:hint="default"/>
      </w:rPr>
    </w:lvl>
  </w:abstractNum>
  <w:abstractNum w15:restartNumberingAfterBreak="0" w:abstractNumId="25">
    <w:nsid w:val="6D5F36D6"/>
    <w:multiLevelType w:val="hybridMultilevel"/>
    <w:tmpl w:val="E9E45750"/>
    <w:lvl w:ilvl="0" w:tplc="1FFE990E">
      <w:start w:val="2"/>
      <w:numFmt w:val="lowerLetter"/>
      <w:lvlText w:val="%1)"/>
      <w:lvlJc w:val="left"/>
      <w:pPr>
        <w:ind w:hanging="139" w:left="366"/>
        <w:jc w:val="left"/>
      </w:pPr>
      <w:rPr>
        <w:rFonts w:ascii="Arial" w:cs="Arial" w:eastAsia="Arial" w:hAnsi="Arial" w:hint="default"/>
        <w:color w:val="FFFFFF"/>
        <w:spacing w:val="-1"/>
        <w:w w:val="95"/>
        <w:sz w:val="12"/>
        <w:szCs w:val="12"/>
      </w:rPr>
    </w:lvl>
    <w:lvl w:ilvl="1" w:tplc="3F1A5478">
      <w:numFmt w:val="bullet"/>
      <w:lvlText w:val="•"/>
      <w:lvlJc w:val="left"/>
      <w:pPr>
        <w:ind w:hanging="139" w:left="724"/>
      </w:pPr>
      <w:rPr>
        <w:rFonts w:hint="default"/>
      </w:rPr>
    </w:lvl>
    <w:lvl w:ilvl="2" w:tplc="0422FA34">
      <w:numFmt w:val="bullet"/>
      <w:lvlText w:val="•"/>
      <w:lvlJc w:val="left"/>
      <w:pPr>
        <w:ind w:hanging="139" w:left="1088"/>
      </w:pPr>
      <w:rPr>
        <w:rFonts w:hint="default"/>
      </w:rPr>
    </w:lvl>
    <w:lvl w:ilvl="3" w:tplc="621E8D90">
      <w:numFmt w:val="bullet"/>
      <w:lvlText w:val="•"/>
      <w:lvlJc w:val="left"/>
      <w:pPr>
        <w:ind w:hanging="139" w:left="1452"/>
      </w:pPr>
      <w:rPr>
        <w:rFonts w:hint="default"/>
      </w:rPr>
    </w:lvl>
    <w:lvl w:ilvl="4" w:tplc="67FE0436">
      <w:numFmt w:val="bullet"/>
      <w:lvlText w:val="•"/>
      <w:lvlJc w:val="left"/>
      <w:pPr>
        <w:ind w:hanging="139" w:left="1816"/>
      </w:pPr>
      <w:rPr>
        <w:rFonts w:hint="default"/>
      </w:rPr>
    </w:lvl>
    <w:lvl w:ilvl="5" w:tplc="E138C4D4">
      <w:numFmt w:val="bullet"/>
      <w:lvlText w:val="•"/>
      <w:lvlJc w:val="left"/>
      <w:pPr>
        <w:ind w:hanging="139" w:left="2180"/>
      </w:pPr>
      <w:rPr>
        <w:rFonts w:hint="default"/>
      </w:rPr>
    </w:lvl>
    <w:lvl w:ilvl="6" w:tplc="6D92E108">
      <w:numFmt w:val="bullet"/>
      <w:lvlText w:val="•"/>
      <w:lvlJc w:val="left"/>
      <w:pPr>
        <w:ind w:hanging="139" w:left="2544"/>
      </w:pPr>
      <w:rPr>
        <w:rFonts w:hint="default"/>
      </w:rPr>
    </w:lvl>
    <w:lvl w:ilvl="7" w:tplc="7EB8EC08">
      <w:numFmt w:val="bullet"/>
      <w:lvlText w:val="•"/>
      <w:lvlJc w:val="left"/>
      <w:pPr>
        <w:ind w:hanging="139" w:left="2908"/>
      </w:pPr>
      <w:rPr>
        <w:rFonts w:hint="default"/>
      </w:rPr>
    </w:lvl>
    <w:lvl w:ilvl="8" w:tplc="B256F8FE">
      <w:numFmt w:val="bullet"/>
      <w:lvlText w:val="•"/>
      <w:lvlJc w:val="left"/>
      <w:pPr>
        <w:ind w:hanging="139" w:left="3273"/>
      </w:pPr>
      <w:rPr>
        <w:rFonts w:hint="default"/>
      </w:rPr>
    </w:lvl>
  </w:abstractNum>
  <w:abstractNum w15:restartNumberingAfterBreak="0" w:abstractNumId="26">
    <w:nsid w:val="7822774E"/>
    <w:multiLevelType w:val="hybridMultilevel"/>
    <w:tmpl w:val="8A7C5C50"/>
    <w:lvl w:ilvl="0" w:tplc="F538E75C">
      <w:start w:val="1"/>
      <w:numFmt w:val="decimal"/>
      <w:lvlText w:val="%1"/>
      <w:lvlJc w:val="left"/>
      <w:pPr>
        <w:ind w:hanging="122" w:left="0"/>
        <w:jc w:val="left"/>
      </w:pPr>
      <w:rPr>
        <w:rFonts w:hint="default"/>
      </w:rPr>
    </w:lvl>
    <w:lvl w:ilvl="1" w:tplc="45F2A2CC">
      <w:start w:val="1"/>
      <w:numFmt w:val="lowerLetter"/>
      <w:lvlText w:val="%1.%2"/>
      <w:lvlJc w:val="left"/>
      <w:pPr>
        <w:ind w:hanging="122" w:left="0"/>
        <w:jc w:val="left"/>
      </w:pPr>
      <w:rPr>
        <w:rFonts w:ascii="Arial" w:cs="Arial" w:eastAsia="Arial" w:hAnsi="Arial" w:hint="default"/>
        <w:color w:val="0B2338"/>
        <w:w w:val="90"/>
        <w:sz w:val="8"/>
        <w:szCs w:val="8"/>
      </w:rPr>
    </w:lvl>
    <w:lvl w:ilvl="2" w:tplc="00A407BA">
      <w:numFmt w:val="bullet"/>
      <w:lvlText w:val="•"/>
      <w:lvlJc w:val="left"/>
      <w:pPr>
        <w:ind w:hanging="122" w:left="243"/>
      </w:pPr>
      <w:rPr>
        <w:rFonts w:hint="default"/>
      </w:rPr>
    </w:lvl>
    <w:lvl w:ilvl="3" w:tplc="EC5C0C7C">
      <w:numFmt w:val="bullet"/>
      <w:lvlText w:val="•"/>
      <w:lvlJc w:val="left"/>
      <w:pPr>
        <w:ind w:hanging="122" w:left="365"/>
      </w:pPr>
      <w:rPr>
        <w:rFonts w:hint="default"/>
      </w:rPr>
    </w:lvl>
    <w:lvl w:ilvl="4" w:tplc="762CD6CA">
      <w:numFmt w:val="bullet"/>
      <w:lvlText w:val="•"/>
      <w:lvlJc w:val="left"/>
      <w:pPr>
        <w:ind w:hanging="122" w:left="487"/>
      </w:pPr>
      <w:rPr>
        <w:rFonts w:hint="default"/>
      </w:rPr>
    </w:lvl>
    <w:lvl w:ilvl="5" w:tplc="BCA0EF16">
      <w:numFmt w:val="bullet"/>
      <w:lvlText w:val="•"/>
      <w:lvlJc w:val="left"/>
      <w:pPr>
        <w:ind w:hanging="122" w:left="609"/>
      </w:pPr>
      <w:rPr>
        <w:rFonts w:hint="default"/>
      </w:rPr>
    </w:lvl>
    <w:lvl w:ilvl="6" w:tplc="D92E7A88">
      <w:numFmt w:val="bullet"/>
      <w:lvlText w:val="•"/>
      <w:lvlJc w:val="left"/>
      <w:pPr>
        <w:ind w:hanging="122" w:left="730"/>
      </w:pPr>
      <w:rPr>
        <w:rFonts w:hint="default"/>
      </w:rPr>
    </w:lvl>
    <w:lvl w:ilvl="7" w:tplc="59DA74AA">
      <w:numFmt w:val="bullet"/>
      <w:lvlText w:val="•"/>
      <w:lvlJc w:val="left"/>
      <w:pPr>
        <w:ind w:hanging="122" w:left="852"/>
      </w:pPr>
      <w:rPr>
        <w:rFonts w:hint="default"/>
      </w:rPr>
    </w:lvl>
    <w:lvl w:ilvl="8" w:tplc="3F0AF542">
      <w:numFmt w:val="bullet"/>
      <w:lvlText w:val="•"/>
      <w:lvlJc w:val="left"/>
      <w:pPr>
        <w:ind w:hanging="122" w:left="974"/>
      </w:pPr>
      <w:rPr>
        <w:rFonts w:hint="default"/>
      </w:rPr>
    </w:lvl>
  </w:abstractNum>
  <w:abstractNum w15:restartNumberingAfterBreak="0" w:abstractNumId="27">
    <w:nsid w:val="7EE60259"/>
    <w:multiLevelType w:val="hybridMultilevel"/>
    <w:tmpl w:val="A386D078"/>
    <w:lvl w:ilvl="0" w:tplc="09B6E642">
      <w:start w:val="1"/>
      <w:numFmt w:val="decimal"/>
      <w:lvlText w:val="%1."/>
      <w:lvlJc w:val="left"/>
      <w:pPr>
        <w:ind w:hanging="240" w:left="2780"/>
        <w:jc w:val="left"/>
      </w:pPr>
      <w:rPr>
        <w:rFonts w:ascii="Times New Roman" w:cs="Times New Roman" w:eastAsia="Times New Roman" w:hAnsi="Times New Roman" w:hint="default"/>
        <w:w w:val="100"/>
        <w:sz w:val="24"/>
        <w:szCs w:val="24"/>
      </w:rPr>
    </w:lvl>
    <w:lvl w:ilvl="1" w:tplc="EF66CA2E">
      <w:numFmt w:val="bullet"/>
      <w:lvlText w:val="•"/>
      <w:lvlJc w:val="left"/>
      <w:pPr>
        <w:ind w:hanging="240" w:left="3496"/>
      </w:pPr>
      <w:rPr>
        <w:rFonts w:hint="default"/>
      </w:rPr>
    </w:lvl>
    <w:lvl w:ilvl="2" w:tplc="EA4AD032">
      <w:numFmt w:val="bullet"/>
      <w:lvlText w:val="•"/>
      <w:lvlJc w:val="left"/>
      <w:pPr>
        <w:ind w:hanging="240" w:left="4212"/>
      </w:pPr>
      <w:rPr>
        <w:rFonts w:hint="default"/>
      </w:rPr>
    </w:lvl>
    <w:lvl w:ilvl="3" w:tplc="843A2CB8">
      <w:numFmt w:val="bullet"/>
      <w:lvlText w:val="•"/>
      <w:lvlJc w:val="left"/>
      <w:pPr>
        <w:ind w:hanging="240" w:left="4928"/>
      </w:pPr>
      <w:rPr>
        <w:rFonts w:hint="default"/>
      </w:rPr>
    </w:lvl>
    <w:lvl w:ilvl="4" w:tplc="15DCF3BA">
      <w:numFmt w:val="bullet"/>
      <w:lvlText w:val="•"/>
      <w:lvlJc w:val="left"/>
      <w:pPr>
        <w:ind w:hanging="240" w:left="5644"/>
      </w:pPr>
      <w:rPr>
        <w:rFonts w:hint="default"/>
      </w:rPr>
    </w:lvl>
    <w:lvl w:ilvl="5" w:tplc="C85A9B32">
      <w:numFmt w:val="bullet"/>
      <w:lvlText w:val="•"/>
      <w:lvlJc w:val="left"/>
      <w:pPr>
        <w:ind w:hanging="240" w:left="6360"/>
      </w:pPr>
      <w:rPr>
        <w:rFonts w:hint="default"/>
      </w:rPr>
    </w:lvl>
    <w:lvl w:ilvl="6" w:tplc="64C43918">
      <w:numFmt w:val="bullet"/>
      <w:lvlText w:val="•"/>
      <w:lvlJc w:val="left"/>
      <w:pPr>
        <w:ind w:hanging="240" w:left="7076"/>
      </w:pPr>
      <w:rPr>
        <w:rFonts w:hint="default"/>
      </w:rPr>
    </w:lvl>
    <w:lvl w:ilvl="7" w:tplc="D22C6592">
      <w:numFmt w:val="bullet"/>
      <w:lvlText w:val="•"/>
      <w:lvlJc w:val="left"/>
      <w:pPr>
        <w:ind w:hanging="240" w:left="7792"/>
      </w:pPr>
      <w:rPr>
        <w:rFonts w:hint="default"/>
      </w:rPr>
    </w:lvl>
    <w:lvl w:ilvl="8" w:tplc="2718246A">
      <w:numFmt w:val="bullet"/>
      <w:lvlText w:val="•"/>
      <w:lvlJc w:val="left"/>
      <w:pPr>
        <w:ind w:hanging="240" w:left="8508"/>
      </w:pPr>
      <w:rPr>
        <w:rFonts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abstractNumId w:val="27"/>
  </w:num>
  <w:num w:numId="2">
    <w:abstractNumId w:val="12"/>
  </w:num>
  <w:num w:numId="3">
    <w:abstractNumId w:val="25"/>
  </w:num>
  <w:num w:numId="4">
    <w:abstractNumId w:val="22"/>
  </w:num>
  <w:num w:numId="5">
    <w:abstractNumId w:val="21"/>
  </w:num>
  <w:num w:numId="6">
    <w:abstractNumId w:val="17"/>
  </w:num>
  <w:num w:numId="7">
    <w:abstractNumId w:val="18"/>
  </w:num>
  <w:num w:numId="8">
    <w:abstractNumId w:val="9"/>
  </w:num>
  <w:num w:numId="9">
    <w:abstractNumId w:val="19"/>
  </w:num>
  <w:num w:numId="10">
    <w:abstractNumId w:val="13"/>
  </w:num>
  <w:num w:numId="11">
    <w:abstractNumId w:val="16"/>
  </w:num>
  <w:num w:numId="12">
    <w:abstractNumId w:val="23"/>
  </w:num>
  <w:num w:numId="13">
    <w:abstractNumId w:val="11"/>
  </w:num>
  <w:num w:numId="14">
    <w:abstractNumId w:val="2"/>
  </w:num>
  <w:num w:numId="15">
    <w:abstractNumId w:val="4"/>
  </w:num>
  <w:num w:numId="16">
    <w:abstractNumId w:val="10"/>
  </w:num>
  <w:num w:numId="17">
    <w:abstractNumId w:val="20"/>
  </w:num>
  <w:num w:numId="18">
    <w:abstractNumId w:val="8"/>
  </w:num>
  <w:num w:numId="19">
    <w:abstractNumId w:val="7"/>
  </w:num>
  <w:num w:numId="20">
    <w:abstractNumId w:val="15"/>
  </w:num>
  <w:num w:numId="21">
    <w:abstractNumId w:val="24"/>
  </w:num>
  <w:num w:numId="22">
    <w:abstractNumId w:val="1"/>
  </w:num>
  <w:num w:numId="23">
    <w:abstractNumId w:val="3"/>
  </w:num>
  <w:num w:numId="24">
    <w:abstractNumId w:val="26"/>
  </w:num>
  <w:num w:numId="25">
    <w:abstractNumId w:val="14"/>
  </w:num>
  <w:num w:numId="26">
    <w:abstractNumId w:val="0"/>
  </w:num>
  <w:num w:numId="27">
    <w:abstractNumId w:val="6"/>
  </w:num>
  <w:num w:numId="28">
    <w:abstractNumId w:val="5"/>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72"/>
  <w:embedSystemFonts/>
  <w:proofState w:grammar="clean" w:spelling="clean"/>
  <w:stylePaneFormatFilter w:val="0004"/>
  <w:doNotTrackMoves/>
  <w:defaultTabStop w:val="720"/>
  <w:drawingGridHorizontalSpacing w:val="110"/>
  <w:drawingGridVerticalSpacing w:val="360"/>
  <w:displayHorizontalDrawingGridEvery w:val="2"/>
  <w:displayVerticalDrawingGridEvery w:val="0"/>
  <w:characterSpacingControl w:val="doNotCompress"/>
  <w:savePreviewPicture/>
  <w:hdrShapeDefaults>
    <o:shapedefaults spidmax="2049" v:ext="edit"/>
  </w:hdrShapeDefault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179"/>
    <w:rsid w:val="009F3179"/>
    <w:rsid w:val="00C10B24"/>
    <w:rsid w:val="00C54E59"/>
  </w:rsids>
  <w:themeFontLang w:val="en-US"/>
  <w:clrSchemeMapping w:accent1="accent1" w:accent2="accent2" w:accent3="accent3" w:accent4="accent4" w:accent5="accent5" w:accent6="accent6" w:bg1="light1" w:bg2="light2" w:followedHyperlink="followedHyperlink" w:hyperlink="hyperlink" w:t1="dark1" w:t2="dark2"/>
  <w:shapeDefaults>
    <o:shapedefaults spidmax="2049"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e="http://schemas.microsoft.com/office/word/2015/wordml/symex" mc:Ignorable="w14 w15 w16se w16cid w16 w16cex">
  <w:docDefaults>
    <w:rPrDefault>
      <w:rPr>
        <w:rFonts w:asciiTheme="minorHAnsi" w:cstheme="minorBidi" w:eastAsiaTheme="minorHAnsi" w:hAnsiTheme="minorHAnsi"/>
        <w:sz w:val="22"/>
        <w:szCs w:val="22"/>
        <w:lang w:bidi="ar-SA" w:eastAsia="en-US" w:val="en-US"/>
      </w:rPr>
    </w:rPrDefault>
    <w:pPrDefault>
      <w:pPr>
        <w:widowControl w:val="0"/>
        <w:autoSpaceDE w:val="0"/>
        <w:autoSpaceDN w:val="0"/>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Pr>
      <w:rFonts w:ascii="Times New Roman" w:cs="Times New Roman" w:eastAsia="Times New Roman" w:hAnsi="Times New Roman"/>
    </w:rPr>
  </w:style>
  <w:style w:styleId="Heading1" w:type="paragraph">
    <w:name w:val="heading 1"/>
    <w:basedOn w:val="Normal"/>
    <w:uiPriority w:val="9"/>
    <w:qFormat/>
    <w:pPr>
      <w:ind w:left="380"/>
      <w:outlineLvl w:val="0"/>
    </w:pPr>
    <w:rPr>
      <w:b/>
      <w:bCs/>
      <w:sz w:val="26"/>
      <w:szCs w:val="26"/>
    </w:rPr>
  </w:style>
  <w:style w:styleId="Heading2" w:type="paragraph">
    <w:name w:val="heading 2"/>
    <w:basedOn w:val="Normal"/>
    <w:uiPriority w:val="9"/>
    <w:unhideWhenUsed/>
    <w:qFormat/>
    <w:pPr>
      <w:spacing w:before="63"/>
      <w:ind w:left="667"/>
      <w:outlineLvl w:val="1"/>
    </w:pPr>
    <w:rPr>
      <w:sz w:val="26"/>
      <w:szCs w:val="26"/>
    </w:rPr>
  </w:style>
  <w:style w:styleId="Heading3" w:type="paragraph">
    <w:name w:val="heading 3"/>
    <w:basedOn w:val="Normal"/>
    <w:uiPriority w:val="9"/>
    <w:unhideWhenUsed/>
    <w:qFormat/>
    <w:pPr>
      <w:ind w:left="380"/>
      <w:outlineLvl w:val="2"/>
    </w:pPr>
    <w:rPr>
      <w:b/>
      <w:bCs/>
      <w:sz w:val="24"/>
      <w:szCs w:val="24"/>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TOC1" w:type="paragraph">
    <w:name w:val="toc 1"/>
    <w:basedOn w:val="Normal"/>
    <w:uiPriority w:val="1"/>
    <w:qFormat/>
    <w:pPr>
      <w:spacing w:before="135"/>
      <w:ind w:left="380"/>
    </w:pPr>
    <w:rPr>
      <w:rFonts w:ascii="Arial" w:cs="Arial" w:eastAsia="Arial" w:hAnsi="Arial"/>
      <w:b/>
      <w:bCs/>
      <w:sz w:val="20"/>
      <w:szCs w:val="20"/>
    </w:rPr>
  </w:style>
  <w:style w:styleId="TOC2" w:type="paragraph">
    <w:name w:val="toc 2"/>
    <w:basedOn w:val="Normal"/>
    <w:uiPriority w:val="1"/>
    <w:qFormat/>
    <w:pPr>
      <w:spacing w:before="30"/>
      <w:ind w:left="620"/>
    </w:pPr>
    <w:rPr>
      <w:rFonts w:ascii="Arial" w:cs="Arial" w:eastAsia="Arial" w:hAnsi="Arial"/>
      <w:sz w:val="20"/>
      <w:szCs w:val="20"/>
    </w:rPr>
  </w:style>
  <w:style w:styleId="TOC3" w:type="paragraph">
    <w:name w:val="toc 3"/>
    <w:basedOn w:val="Normal"/>
    <w:uiPriority w:val="1"/>
    <w:qFormat/>
    <w:pPr>
      <w:spacing w:before="15"/>
      <w:ind w:left="620"/>
    </w:pPr>
    <w:rPr>
      <w:rFonts w:ascii="Arial" w:cs="Arial" w:eastAsia="Arial" w:hAnsi="Arial"/>
      <w:sz w:val="16"/>
      <w:szCs w:val="16"/>
    </w:rPr>
  </w:style>
  <w:style w:styleId="TOC4" w:type="paragraph">
    <w:name w:val="toc 4"/>
    <w:basedOn w:val="Normal"/>
    <w:uiPriority w:val="1"/>
    <w:qFormat/>
    <w:pPr>
      <w:spacing w:before="15"/>
      <w:ind w:left="620"/>
    </w:pPr>
    <w:rPr>
      <w:rFonts w:ascii="Arial" w:cs="Arial" w:eastAsia="Arial" w:hAnsi="Arial"/>
      <w:b/>
      <w:bCs/>
      <w:i/>
    </w:rPr>
  </w:style>
  <w:style w:styleId="TOC5" w:type="paragraph">
    <w:name w:val="toc 5"/>
    <w:basedOn w:val="Normal"/>
    <w:uiPriority w:val="1"/>
    <w:qFormat/>
    <w:pPr>
      <w:spacing w:before="15"/>
      <w:ind w:left="860"/>
    </w:pPr>
    <w:rPr>
      <w:rFonts w:ascii="Arial" w:cs="Arial" w:eastAsia="Arial" w:hAnsi="Arial"/>
      <w:i/>
      <w:sz w:val="20"/>
      <w:szCs w:val="20"/>
    </w:rPr>
  </w:style>
  <w:style w:styleId="BodyText" w:type="paragraph">
    <w:name w:val="Body Text"/>
    <w:basedOn w:val="Normal"/>
    <w:uiPriority w:val="1"/>
    <w:qFormat/>
    <w:pPr>
      <w:ind w:left="380"/>
    </w:pPr>
    <w:rPr>
      <w:sz w:val="24"/>
      <w:szCs w:val="24"/>
    </w:rPr>
  </w:style>
  <w:style w:styleId="Title" w:type="paragraph">
    <w:name w:val="Title"/>
    <w:basedOn w:val="Normal"/>
    <w:uiPriority w:val="10"/>
    <w:qFormat/>
    <w:pPr>
      <w:spacing w:before="88"/>
      <w:ind w:left="1007" w:right="826"/>
      <w:jc w:val="center"/>
    </w:pPr>
    <w:rPr>
      <w:b/>
      <w:bCs/>
      <w:sz w:val="32"/>
      <w:szCs w:val="32"/>
    </w:rPr>
  </w:style>
  <w:style w:styleId="ListParagraph" w:type="paragraph">
    <w:name w:val="List Paragraph"/>
    <w:basedOn w:val="Normal"/>
    <w:uiPriority w:val="1"/>
    <w:qFormat/>
    <w:pPr>
      <w:ind w:firstLine="720" w:left="380"/>
    </w:pPr>
  </w:style>
  <w:style w:customStyle="1" w:styleId="TableParagraph" w:type="paragraph">
    <w:name w:val="Table Paragraph"/>
    <w:basedOn w:val="Normal"/>
    <w:uiPriority w:val="1"/>
    <w:qFormat/>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Relationships xmlns="http://schemas.openxmlformats.org/package/2006/relationships"><Relationship Type="http://schemas.openxmlformats.org/officeDocument/2006/relationships/numbering" Id="rId60" Target="numbering.xml" /><Relationship Type="http://schemas.openxmlformats.org/officeDocument/2006/relationships/styles" Id="rId59" Target="styles.xml" /><Relationship Type="http://schemas.openxmlformats.org/officeDocument/2006/relationships/settings" Id="rId58" Target="settings.xml" /><Relationship Type="http://schemas.openxmlformats.org/officeDocument/2006/relationships/webSettings" Id="rId57" Target="webSettings.xml" /><Relationship Type="http://schemas.openxmlformats.org/officeDocument/2006/relationships/fontTable" Id="rId56" Target="fontTable.xml" /><Relationship Type="http://schemas.openxmlformats.org/officeDocument/2006/relationships/theme" Id="rId55" Target="theme/theme1.xml" /><Relationship Type="http://schemas.openxmlformats.org/officeDocument/2006/relationships/footnotes" Id="rId54" Target="footnotes.xml" /><Relationship Type="http://schemas.openxmlformats.org/officeDocument/2006/relationships/comments" Id="rId53" Target="comments.xml" /><Relationship Id="rId13" Target="media/image5.png" Type="http://schemas.openxmlformats.org/officeDocument/2006/relationships/image" /><Relationship Id="rId18" Target="media/image10.png" Type="http://schemas.openxmlformats.org/officeDocument/2006/relationships/image" /><Relationship Id="rId26" Target="media/image17.png" Type="http://schemas.openxmlformats.org/officeDocument/2006/relationships/image" /><Relationship Id="rId21" Target="media/image13.png" Type="http://schemas.openxmlformats.org/officeDocument/2006/relationships/image" /><Relationship Id="rId50" Target="media/image23.png" Type="http://schemas.openxmlformats.org/officeDocument/2006/relationships/image" /><Relationship Id="rId7" Target="footer1.xml" Type="http://schemas.openxmlformats.org/officeDocument/2006/relationships/footer" /><Relationship Id="rId16" Target="media/image8.jpeg" Type="http://schemas.openxmlformats.org/officeDocument/2006/relationships/image" /><Relationship Id="rId29" Target="media/image20.png" Type="http://schemas.openxmlformats.org/officeDocument/2006/relationships/image" /><Relationship Id="rId11" Target="media/image3.png" Type="http://schemas.openxmlformats.org/officeDocument/2006/relationships/image" /><Relationship Id="rId24" Target="media/image16.png" Type="http://schemas.openxmlformats.org/officeDocument/2006/relationships/image" /><Relationship Id="rId19" Target="media/image11.png" Type="http://schemas.openxmlformats.org/officeDocument/2006/relationships/image" /><Relationship Id="rId9" Target="media/image1.jpeg" Type="http://schemas.openxmlformats.org/officeDocument/2006/relationships/image" /><Relationship Id="rId14" Target="media/image6.png" Type="http://schemas.openxmlformats.org/officeDocument/2006/relationships/image" /><Relationship Id="rId22" Target="media/image14.jpeg" Type="http://schemas.openxmlformats.org/officeDocument/2006/relationships/image" /><Relationship Id="rId27" Target="media/image18.png" Type="http://schemas.openxmlformats.org/officeDocument/2006/relationships/image" /><Relationship Id="rId30" Target="media/image21.png" Type="http://schemas.openxmlformats.org/officeDocument/2006/relationships/image" /><Relationship Id="rId8" Target="footer2.xml" Type="http://schemas.openxmlformats.org/officeDocument/2006/relationships/footer" /><Relationship Id="rId51" Target="media/image24.jpeg" Type="http://schemas.openxmlformats.org/officeDocument/2006/relationships/image" /><Relationship Id="rId12" Target="media/image4.png" Type="http://schemas.openxmlformats.org/officeDocument/2006/relationships/image" /><Relationship Id="rId17" Target="media/image9.png" Type="http://schemas.openxmlformats.org/officeDocument/2006/relationships/image" /><Relationship Id="rId20" Target="media/image12.png" Type="http://schemas.openxmlformats.org/officeDocument/2006/relationships/image" /><Relationship Id="rId15" Target="media/image7.png" Type="http://schemas.openxmlformats.org/officeDocument/2006/relationships/image" /><Relationship Id="rId23" Target="media/image15.jpeg" Type="http://schemas.openxmlformats.org/officeDocument/2006/relationships/image" /><Relationship Id="rId28" Target="media/image19.jpeg" Type="http://schemas.openxmlformats.org/officeDocument/2006/relationships/image" /><Relationship Id="rId10" Target="media/image2.jpeg" Type="http://schemas.openxmlformats.org/officeDocument/2006/relationships/image" /><Relationship Id="rId31" Target="media/image22.png" Type="http://schemas.openxmlformats.org/officeDocument/2006/relationships/image" /><Relationship Id="rId52" Target="media/image25.jpeg" Type="http://schemas.openxmlformats.org/officeDocument/2006/relationships/image" /><Relationship Type="http://schemas.openxmlformats.org/officeDocument/2006/relationships/image" Id="rId92" Target="media/rId92.png" /><Relationship Type="http://schemas.openxmlformats.org/officeDocument/2006/relationships/hyperlink" Id="rId78" Target="https://doi.org/10.1038/s41550-023-02173-9" TargetMode="External" /><Relationship Type="http://schemas.openxmlformats.org/officeDocument/2006/relationships/hyperlink" Id="rId82" Target="https://doi.org/10.1080/00396330701564752" TargetMode="External" /><Relationship Type="http://schemas.openxmlformats.org/officeDocument/2006/relationships/hyperlink" Id="rId76" Target="https://doi.org/10.1080/01402399908437759" TargetMode="External" /><Relationship Type="http://schemas.openxmlformats.org/officeDocument/2006/relationships/hyperlink" Id="rId89" Target="https://doi.org/10.21105/joss.01317" TargetMode="External" /><Relationship Type="http://schemas.openxmlformats.org/officeDocument/2006/relationships/hyperlink" Id="rId80" Target="https://doi.org/10.21236/ada577439" TargetMode="External" /><Relationship Type="http://schemas.openxmlformats.org/officeDocument/2006/relationships/hyperlink" Id="rId84" Target="https://doi.org/10.3366/edinburgh/9781474450485.001.0001" TargetMode="External" /></Relationships>
</file>

<file path=word/_rels/footnotes.xml.rels><?xml version="1.0" encoding="UTF-8"?><Relationships xmlns="http://schemas.openxmlformats.org/package/2006/relationships"><Relationship Type="http://schemas.openxmlformats.org/officeDocument/2006/relationships/hyperlink" Id="rId78" Target="https://doi.org/10.1038/s41550-023-02173-9" TargetMode="External" /><Relationship Type="http://schemas.openxmlformats.org/officeDocument/2006/relationships/hyperlink" Id="rId82" Target="https://doi.org/10.1080/00396330701564752" TargetMode="External" /><Relationship Type="http://schemas.openxmlformats.org/officeDocument/2006/relationships/hyperlink" Id="rId76" Target="https://doi.org/10.1080/01402399908437759" TargetMode="External" /><Relationship Type="http://schemas.openxmlformats.org/officeDocument/2006/relationships/hyperlink" Id="rId89" Target="https://doi.org/10.21105/joss.01317" TargetMode="External" /><Relationship Type="http://schemas.openxmlformats.org/officeDocument/2006/relationships/hyperlink" Id="rId80" Target="https://doi.org/10.21236/ada577439" TargetMode="External" /><Relationship Type="http://schemas.openxmlformats.org/officeDocument/2006/relationships/hyperlink" Id="rId84" Target="https://doi.org/10.3366/edinburgh/9781474450485.001.000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238</Pages>
  <Words>61900</Words>
  <Characters>352835</Characters>
  <Application>Microsoft Office Word</Application>
  <DocSecurity>0</DocSecurity>
  <Lines>2940</Lines>
  <Paragraphs>827</Paragraphs>
  <ScaleCrop>false</ScaleCrop>
  <Company/>
  <LinksUpToDate>false</LinksUpToDate>
  <CharactersWithSpaces>413908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2026-07-29T15:01:06Z</dcterms:created>
  <dcterms:modified xsi:type="dcterms:W3CDTF">2026-07-29T15:01:06Z</dcterms:modified>
</cp:coreProperties>
</file>

<file path=docProps/custom.xml><?xml version="1.0" encoding="utf-8"?>
<Properties xmlns="http://schemas.openxmlformats.org/officeDocument/2006/custom-properties" xmlns:vt="http://schemas.openxmlformats.org/officeDocument/2006/docPropsVTypes"/>
</file>