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jc w:val="center"/>
      </w:pPr>
    </w:p>
    <w:p>
      <w:pPr>
        <w:jc w:val="center"/>
      </w:pPr>
    </w:p>
    <w:p>
      <w:pPr>
        <w:jc w:val="center"/>
      </w:pPr>
    </w:p>
    <w:p>
      <w:pPr>
        <w:pStyle w:val="Title"/>
        <w:jc w:val="center"/>
      </w:pPr>
      <w:r>
        <w:rPr>
          <w:rFonts w:ascii="Times New Roman" w:hAnsi="Times New Roman"/>
          <w:b/>
        </w:rPr>
        <w:t>THE STRATEGIC CANON IN ORBIT: A FIFTY-THINKER MATRIX MAPPING HISTORICAL GRAND STRATEGY ONTO THE EXTENDED DIME, LEGAL, AND LAW-ENFORCEMENT PARADIGM FOR SPACE POWER</w:t>
      </w:r>
    </w:p>
    <w:p>
      <w:pPr>
        <w:jc w:val="center"/>
      </w:pPr>
    </w:p>
    <w:p>
      <w:pPr>
        <w:jc w:val="center"/>
      </w:pPr>
      <w:r>
        <w:rPr>
          <w:rFonts w:ascii="Times New Roman" w:hAnsi="Times New Roman"/>
          <w:sz w:val="24"/>
        </w:rPr>
        <w:t>by</w:t>
      </w:r>
    </w:p>
    <w:p>
      <w:pPr>
        <w:jc w:val="center"/>
      </w:pPr>
      <w:r>
        <w:rPr>
          <w:rFonts w:ascii="Times New Roman" w:hAnsi="Times New Roman"/>
          <w:b/>
          <w:sz w:val="28"/>
        </w:rPr>
        <w:t>Mateo Mercer</w:t>
      </w:r>
    </w:p>
    <w:p>
      <w:pPr>
        <w:jc w:val="center"/>
      </w:pPr>
      <w:r>
        <w:rPr>
          <w:rFonts w:ascii="Times New Roman" w:hAnsi="Times New Roman"/>
          <w:sz w:val="24"/>
        </w:rPr>
        <w:t>1B-GST-233</w:t>
      </w:r>
    </w:p>
    <w:p>
      <w:pPr>
        <w:jc w:val="center"/>
      </w:pPr>
      <w:r>
        <w:rPr>
          <w:rFonts w:ascii="Times New Roman" w:hAnsi="Times New Roman"/>
          <w:sz w:val="24"/>
        </w:rPr>
        <w:t>COLLEGIUM 1st Battalion candidate</w:t>
      </w:r>
    </w:p>
    <w:p>
      <w:pPr>
        <w:jc w:val="center"/>
      </w:pPr>
    </w:p>
    <w:p>
      <w:pPr>
        <w:jc w:val="center"/>
      </w:pPr>
    </w:p>
    <w:p>
      <w:pPr>
        <w:jc w:val="center"/>
      </w:pPr>
      <w:r>
        <w:rPr>
          <w:rFonts w:ascii="Times New Roman" w:hAnsi="Times New Roman"/>
          <w:sz w:val="24"/>
        </w:rPr>
        <w:t>A dissertation submitted in conformity with the requirements for the degree of Doctor of Philosophy</w:t>
      </w:r>
    </w:p>
    <w:p>
      <w:pPr>
        <w:jc w:val="center"/>
      </w:pPr>
    </w:p>
    <w:p>
      <w:pPr>
        <w:jc w:val="center"/>
      </w:pPr>
      <w:r>
        <w:rPr>
          <w:rFonts w:ascii="Times New Roman" w:hAnsi="Times New Roman"/>
          <w:sz w:val="24"/>
        </w:rPr>
        <w:t>2026</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rFonts w:ascii="Times New Roman" w:hAnsi="Times New Roman"/>
          <w:sz w:val="24"/>
        </w:rPr>
        <w:t>(c) 2026 COLLEGIUM 1st Battalion</w:t>
      </w:r>
    </w:p>
    <w:p>
      <w:pPr>
        <w:jc w:val="center"/>
      </w:pPr>
      <w:r>
        <w:rPr>
          <w:rFonts w:ascii="Times New Roman" w:hAnsi="Times New Roman"/>
          <w:sz w:val="24"/>
        </w:rPr>
        <w:t>All Rights Reserved</w:t>
      </w:r>
    </w:p>
    <w:p>
      <w:r>
        <w:br w:type="page"/>
      </w:r>
    </w:p>
    <w:p>
      <w:pPr>
        <w:pStyle w:val="Date"/>
        <w:spacing w:line="480" w:lineRule="auto"/>
      </w:pPr>
      <w:r>
        <w:t xml:space="preserve">2025-12-31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69" w:name="chapter-1.-introduction"/>
    <w:p>
      <w:pPr>
        <w:pStyle w:val="Heading1"/>
        <w:spacing w:line="480" w:lineRule="auto"/>
      </w:pPr>
      <w:r>
        <w:t xml:space="preserve">Chapter 1. Introduction</w:t>
      </w:r>
    </w:p>
    <w:bookmarkStart w:id="61" w:name="X3d520ad0cac825685e1c1021d3b4b942d698b09"/>
    <w:p>
      <w:pPr>
        <w:pStyle w:val="Heading2"/>
        <w:spacing w:line="480" w:lineRule="auto"/>
      </w:pPr>
      <w:r>
        <w:t xml:space="preserve">1.1 A canon invoked and never operationalized</w:t>
      </w:r>
    </w:p>
    <w:p>
      <w:pPr>
        <w:pStyle w:val="FirstParagraph"/>
        <w:spacing w:line="480" w:lineRule="auto"/>
      </w:pPr>
      <w:r>
        <w:t xml:space="preserve">Space strategy has a citation habit. Open almost any serious treatment of orbital competition written in the last twenty-five years and the classical strategists are present within the first pages: Mahan on command of a commons that no state can own</w:t>
      </w:r>
      <w:r>
        <w:t xml:space="preserve"> </w:t>
      </w:r>
      <w:hyperlink w:anchor="ref-3">
        <w:r>
          <w:rPr>
            <w:rStyle w:val="Hyperlink"/>
          </w:rPr>
          <w:t xml:space="preserve">[3]</w:t>
        </w:r>
      </w:hyperlink>
      <w:r>
        <w:t xml:space="preserve">, geopolitics on pivots and chokepoints, deterrence theory on credible commitment and the management of escalation</w:t>
      </w:r>
      <w:r>
        <w:t xml:space="preserve"> </w:t>
      </w:r>
      <w:hyperlink w:anchor="ref-20">
        <w:r>
          <w:rPr>
            <w:rStyle w:val="Hyperlink"/>
          </w:rPr>
          <w:t xml:space="preserve">[20]</w:t>
        </w:r>
      </w:hyperlink>
      <w:r>
        <w:t xml:space="preserve">[21]. The habit is not idle. It reflects a defensible intuition that a domain defined by lines of communication, by the concentration of scarce capability at a small number of orbital narrows, and by an economy of access that funds the capability that protects the economy of access, is a domain about which Mahan actually had something to say. Michael France made that argument explicitly a quarter-century ago in a paper whose title,</w:t>
      </w:r>
      <w:r>
        <w:t xml:space="preserve"> </w:t>
      </w:r>
      <w:r>
        <w:t xml:space="preserve">“Back to the Future,”</w:t>
      </w:r>
      <w:r>
        <w:t xml:space="preserve"> </w:t>
      </w:r>
      <w:r>
        <w:t xml:space="preserve">conceded the analogical move even as it defended it</w:t>
      </w:r>
      <w:r>
        <w:t xml:space="preserve"> </w:t>
      </w:r>
      <w:hyperlink w:anchor="ref-2">
        <w:r>
          <w:rPr>
            <w:rStyle w:val="Hyperlink"/>
          </w:rPr>
          <w:t xml:space="preserve">[2]</w:t>
        </w:r>
      </w:hyperlink>
      <w:r>
        <w:t xml:space="preserve">. Bleddyn Bowen’s</w:t>
      </w:r>
      <w:r>
        <w:t xml:space="preserve"> </w:t>
      </w:r>
      <w:r>
        <w:rPr>
          <w:i/>
          <w:iCs/>
        </w:rPr>
        <w:t xml:space="preserve">War in Space</w:t>
      </w:r>
      <w:r>
        <w:t xml:space="preserve"> </w:t>
      </w:r>
      <w:r>
        <w:t xml:space="preserve">takes the transposition further and builds a spacepower theory from maritime foundations, treating command of space as relative, contested, and temporary, and treating denial rather than decisive battle as the default form of orbital contest</w:t>
      </w:r>
      <w:r>
        <w:t xml:space="preserve"> </w:t>
      </w:r>
      <w:hyperlink w:anchor="ref-27">
        <w:r>
          <w:rPr>
            <w:rStyle w:val="Hyperlink"/>
          </w:rPr>
          <w:t xml:space="preserve">[27]</w:t>
        </w:r>
      </w:hyperlink>
      <w:r>
        <w:t xml:space="preserve">. Colin Gray’s insistence that geography endures, and that a new environment relocates rather than abolishes the strategist’s problem, is the disciplinary reason such transpositions are worth attempting at all</w:t>
      </w:r>
      <w:r>
        <w:t xml:space="preserve"> </w:t>
      </w:r>
      <w:hyperlink w:anchor="ref-23">
        <w:r>
          <w:rPr>
            <w:rStyle w:val="Hyperlink"/>
          </w:rPr>
          <w:t xml:space="preserve">[23]</w:t>
        </w:r>
      </w:hyperlink>
      <w:r>
        <w:t xml:space="preserve">.</w:t>
      </w:r>
    </w:p>
    <w:p>
      <w:pPr>
        <w:pStyle w:val="BodyText"/>
        <w:spacing w:line="480" w:lineRule="auto"/>
        <w:ind w:firstLine="720"/>
      </w:pPr>
      <w:r>
        <w:t xml:space="preserve">The habit nonetheless has a defect, and this dissertation begins from it. The canon is invoked as authority and almost never used as a source of predictions. A Mahanian claim about orbital chokepoints is asserted, illustrated, and then left standing, with the analogy itself doing the evidentiary work. Doctrine and campaign documents that apply the DIME paradigm to space name the four instruments of national power and assign activities to each, but they do not demonstrate that any historical framework anticipates a measurable orbital outcome. On the economic side, where the case for the canon ought to be strongest, the literature is at once confident and unquantified: Goswami and Garretson argue that a great-power scramble for the resources of outer space is already under way, that comprehensive national power is overwhelmingly a function of economic development, and that dominance of production and finance historically precedes the power to rewrite governing institutions</w:t>
      </w:r>
      <w:r>
        <w:t xml:space="preserve"> </w:t>
      </w:r>
      <w:hyperlink w:anchor="ref-11">
        <w:r>
          <w:rPr>
            <w:rStyle w:val="Hyperlink"/>
          </w:rPr>
          <w:t xml:space="preserve">[11]</w:t>
        </w:r>
      </w:hyperlink>
      <w:r>
        <w:t xml:space="preserve">[75]. That is a strong causal claim with an implied elasticity in it, and the field has not estimated the elasticity. Weinzierl’s survey of the space economy as an emerging economic frontier makes the same observation from the opposite direction, describing a domain whose economics are consequential and thinly measured</w:t>
      </w:r>
      <w:r>
        <w:t xml:space="preserve"> </w:t>
      </w:r>
      <w:hyperlink w:anchor="ref-12">
        <w:r>
          <w:rPr>
            <w:rStyle w:val="Hyperlink"/>
          </w:rPr>
          <w:t xml:space="preserve">[12]</w:t>
        </w:r>
      </w:hyperlink>
      <w:r>
        <w:t xml:space="preserve">.</w:t>
      </w:r>
    </w:p>
    <w:p>
      <w:pPr>
        <w:pStyle w:val="BodyText"/>
        <w:spacing w:line="480" w:lineRule="auto"/>
        <w:ind w:firstLine="720"/>
      </w:pPr>
      <w:r>
        <w:t xml:space="preserve">The result is a discourse in which the strategic canon functions rhetorically rather than analytically. Analogies are supplied where coefficients are needed. This is not a complaint about rigor for its own sake. It has a practical cost, which Goswami and Garretson state precisely: the rules of orbital appropriation are being written now, they are sticky, and an early rule choice can lock in durable advantage</w:t>
      </w:r>
      <w:r>
        <w:t xml:space="preserve"> </w:t>
      </w:r>
      <w:hyperlink w:anchor="ref-11">
        <w:r>
          <w:rPr>
            <w:rStyle w:val="Hyperlink"/>
          </w:rPr>
          <w:t xml:space="preserve">[11]</w:t>
        </w:r>
      </w:hyperlink>
      <w:r>
        <w:t xml:space="preserve">[75]. If the canon is a predictive apparatus, it should be steering those choices. If it is a heuristic vocabulary, decision-makers should know that before they build a governance regime on top of it.</w:t>
      </w:r>
    </w:p>
    <w:bookmarkEnd w:id="61"/>
    <w:bookmarkStart w:id="62" w:name="the-gap-stated-precisely"/>
    <w:p>
      <w:pPr>
        <w:pStyle w:val="Heading2"/>
        <w:spacing w:line="480" w:lineRule="auto"/>
      </w:pPr>
      <w:r>
        <w:t xml:space="preserve">1.2 The gap, stated precisely</w:t>
      </w:r>
    </w:p>
    <w:p>
      <w:pPr>
        <w:pStyle w:val="FirstParagraph"/>
        <w:spacing w:line="480" w:lineRule="auto"/>
      </w:pPr>
      <w:r>
        <w:t xml:space="preserve">The gap has two sides and one omission.</w:t>
      </w:r>
    </w:p>
    <w:p>
      <w:pPr>
        <w:pStyle w:val="BodyText"/>
        <w:spacing w:line="480" w:lineRule="auto"/>
        <w:ind w:firstLine="720"/>
      </w:pPr>
      <w:r>
        <w:t xml:space="preserve">On the first side stands the realist astropolitical tradition, which transposes classical geopolitics onto orbits with genuine analytic ambition and is openly contested for the geographic determinism that ambition invites. Its strength is that it takes orbital mechanics seriously as terrain. Its weakness is that it rarely specifies what evidence would disconfirm it. On the second side stands the operational and doctrinal literature, which is empirically attentive to real programs and real budgets but treats strategic theory as ornament, invoking the vocabulary of instruments without testing whether any historical framework tracks an observable outcome. Neither side has examined the canon as a system rather than as a collection of quotations, and neither has asked whether the canon’s predictions differ by instrument, which is the question that matters if the instruments are to be used deliberately rather than incidentally.</w:t>
      </w:r>
    </w:p>
    <w:p>
      <w:pPr>
        <w:pStyle w:val="BodyText"/>
        <w:spacing w:line="480" w:lineRule="auto"/>
        <w:ind w:firstLine="720"/>
      </w:pPr>
      <w:r>
        <w:t xml:space="preserve">The omission is the Legal and the Law-Enforcement instruments. DIME has four columns. A governed orbital commons has at least six. The rules that will decide whether low Earth orbit remains usable are not principally diplomatic or military; they are legal instruments (non-appropriation, registration, liability, delimitation of jurisdiction) paired with enforcement instruments (licensing, monitoring, graduated sanction, the transgovernmental regulatory networks that in practice police spectrum, launch, and traffic). Grotius on the free sea is the direct ancestor of the non-appropriation principle</w:t>
      </w:r>
      <w:r>
        <w:t xml:space="preserve"> </w:t>
      </w:r>
      <w:hyperlink w:anchor="ref-56">
        <w:r>
          <w:rPr>
            <w:rStyle w:val="Hyperlink"/>
          </w:rPr>
          <w:t xml:space="preserve">[56]</w:t>
        </w:r>
      </w:hyperlink>
      <w:r>
        <w:t xml:space="preserve">. Kant’s publicity principle is the moral root of transparency and confidence-building measures</w:t>
      </w:r>
      <w:r>
        <w:t xml:space="preserve"> </w:t>
      </w:r>
      <w:hyperlink w:anchor="ref-57">
        <w:r>
          <w:rPr>
            <w:rStyle w:val="Hyperlink"/>
          </w:rPr>
          <w:t xml:space="preserve">[57]</w:t>
        </w:r>
      </w:hyperlink>
      <w:r>
        <w:t xml:space="preserve">. Ikenberry’s constitutional-order argument is the rigorous case for an incumbent binding itself to rules while its relative advantage still buys legitimacy</w:t>
      </w:r>
      <w:r>
        <w:t xml:space="preserve"> </w:t>
      </w:r>
      <w:hyperlink w:anchor="ref-58">
        <w:r>
          <w:rPr>
            <w:rStyle w:val="Hyperlink"/>
          </w:rPr>
          <w:t xml:space="preserve">[58]</w:t>
        </w:r>
      </w:hyperlink>
      <w:r>
        <w:t xml:space="preserve">. Ostrom’s design principles for common-pool resources, centered on boundaries, monitoring, graduated sanctions, and polycentric nesting, are the closest thing the canon offers to an enforcement architecture for orbit</w:t>
      </w:r>
      <w:r>
        <w:t xml:space="preserve"> </w:t>
      </w:r>
      <w:hyperlink w:anchor="ref-49">
        <w:r>
          <w:rPr>
            <w:rStyle w:val="Hyperlink"/>
          </w:rPr>
          <w:t xml:space="preserve">[49]</w:t>
        </w:r>
      </w:hyperlink>
      <w:r>
        <w:t xml:space="preserve">[51], and North’s account of institutions as rules plus their credible enforcement supplies the reason a formal rule without enforcement is not an institution at all</w:t>
      </w:r>
      <w:r>
        <w:t xml:space="preserve"> </w:t>
      </w:r>
      <w:hyperlink w:anchor="ref-52">
        <w:r>
          <w:rPr>
            <w:rStyle w:val="Hyperlink"/>
          </w:rPr>
          <w:t xml:space="preserve">[52]</w:t>
        </w:r>
      </w:hyperlink>
      <w:r>
        <w:t xml:space="preserve">. None of this appears in a four-instrument frame. The extension is not decorative; it is where the governance of the domain actually lives.</w:t>
      </w:r>
    </w:p>
    <w:bookmarkEnd w:id="62"/>
    <w:bookmarkStart w:id="63" w:name="Xe10d594a06fec6c6977d34a64b6829dd72fa178"/>
    <w:p>
      <w:pPr>
        <w:pStyle w:val="Heading2"/>
        <w:spacing w:line="480" w:lineRule="auto"/>
      </w:pPr>
      <w:r>
        <w:t xml:space="preserve">1.3 Research question and competing hypotheses</w:t>
      </w:r>
    </w:p>
    <w:p>
      <w:pPr>
        <w:pStyle w:val="FirstParagraph"/>
        <w:spacing w:line="480" w:lineRule="auto"/>
      </w:pPr>
      <w:r>
        <w:t xml:space="preserve">The central question is whether historical grand-strategic frameworks systematically map onto measurable space-domain outcomes across the six instruments of national power, or whether their application to space is post hoc narrative.</w:t>
      </w:r>
    </w:p>
    <w:p>
      <w:pPr>
        <w:pStyle w:val="BodyText"/>
        <w:spacing w:line="480" w:lineRule="auto"/>
        <w:ind w:firstLine="720"/>
      </w:pPr>
      <w:r>
        <w:t xml:space="preserve">The dissertation states exactly one falsifiable contribution, as competing hypotheses carried forward from the prospectus.</w:t>
      </w:r>
    </w:p>
    <w:p>
      <w:pPr>
        <w:pStyle w:val="BodyText"/>
        <w:spacing w:line="480" w:lineRule="auto"/>
        <w:ind w:firstLine="720"/>
      </w:pPr>
      <w:r>
        <w:rPr>
          <w:b/>
          <w:bCs/>
        </w:rPr>
        <w:t xml:space="preserve">H0 (null).</w:t>
      </w:r>
      <w:r>
        <w:t xml:space="preserve"> </w:t>
      </w:r>
      <w:r>
        <w:t xml:space="preserve">Historical grand-strategic frameworks do not systematically predict measurable space-domain outcomes. Observed regularities in launch cost, counterspace-test timing, budget-to-capability conversion, disposal compliance, and program performance are explained by contemporary technical and economic variables alone, and the canon contributes only after-the-fact interpretation.</w:t>
      </w:r>
    </w:p>
    <w:p>
      <w:pPr>
        <w:pStyle w:val="BodyText"/>
        <w:spacing w:line="480" w:lineRule="auto"/>
        <w:ind w:firstLine="720"/>
      </w:pPr>
      <w:r>
        <w:rPr>
          <w:b/>
          <w:bCs/>
        </w:rPr>
        <w:t xml:space="preserve">H1 (alternative).</w:t>
      </w:r>
      <w:r>
        <w:t xml:space="preserve"> </w:t>
      </w:r>
      <w:r>
        <w:t xml:space="preserve">Historical grand-strategic frameworks map systematically onto measurable space-domain outcomes across the six instruments. Specifically, the economic-statecraft and commons-governance strands of the canon generate directional predictions that survive in the five empirical studies after controlling for technical variables such as mass, reusability, launch cadence, and orbital regime.</w:t>
      </w:r>
    </w:p>
    <w:p>
      <w:pPr>
        <w:pStyle w:val="BodyText"/>
        <w:spacing w:line="480" w:lineRule="auto"/>
        <w:ind w:firstLine="720"/>
      </w:pPr>
      <w:r>
        <w:t xml:space="preserve">The hypotheses are stated so that they are separable on evidence rather than on interpretation. Each empirical study pre-registers the sign and the instrument of its prediction before estimation. A framework that predicts a positive coefficient and gets a null does not get to claim the null as nuance.</w:t>
      </w:r>
    </w:p>
    <w:bookmarkEnd w:id="63"/>
    <w:bookmarkStart w:id="64" w:name="the-extended-six-instrument-framework"/>
    <w:p>
      <w:pPr>
        <w:pStyle w:val="Heading2"/>
        <w:spacing w:line="480" w:lineRule="auto"/>
      </w:pPr>
      <w:r>
        <w:t xml:space="preserve">1.4 The extended six-instrument framework</w:t>
      </w:r>
    </w:p>
    <w:p>
      <w:pPr>
        <w:pStyle w:val="FirstParagraph"/>
        <w:spacing w:line="480" w:lineRule="auto"/>
      </w:pPr>
      <w:r>
        <w:t xml:space="preserve">The analytic frame is the DIME paradigm extended by two columns: Diplomatic, Information, Military, Economic, Legal, and Law-Enforcement.</w:t>
      </w:r>
    </w:p>
    <w:p>
      <w:pPr>
        <w:pStyle w:val="BodyText"/>
        <w:spacing w:line="480" w:lineRule="auto"/>
        <w:ind w:firstLine="720"/>
      </w:pPr>
      <w:r>
        <w:t xml:space="preserve">The Diplomatic instrument covers coalition formation, alliance durability, and the bargaining through which orbital rules acquire signatories. The Information instrument covers space situational awareness treated as foreknowledge, decision tempo, strategic narrative, and the network centrality that lets a state at a hub deny access or observe flows. The Military instrument covers counterspace capability, resilience, deterrence, and escalation management, and is the column with the deepest native theory available to it, from Schelling’s separation of deterrence from compellence</w:t>
      </w:r>
      <w:r>
        <w:t xml:space="preserve"> </w:t>
      </w:r>
      <w:hyperlink w:anchor="ref-20">
        <w:r>
          <w:rPr>
            <w:rStyle w:val="Hyperlink"/>
          </w:rPr>
          <w:t xml:space="preserve">[20]</w:t>
        </w:r>
      </w:hyperlink>
      <w:r>
        <w:t xml:space="preserve"> </w:t>
      </w:r>
      <w:r>
        <w:t xml:space="preserve">through Kahn’s rungs and firebreaks</w:t>
      </w:r>
      <w:r>
        <w:t xml:space="preserve"> </w:t>
      </w:r>
      <w:hyperlink w:anchor="ref-21">
        <w:r>
          <w:rPr>
            <w:rStyle w:val="Hyperlink"/>
          </w:rPr>
          <w:t xml:space="preserve">[21]</w:t>
        </w:r>
      </w:hyperlink>
      <w:r>
        <w:t xml:space="preserve"> </w:t>
      </w:r>
      <w:r>
        <w:t xml:space="preserve">to Bowen’s dispersed, geocentric spacepower</w:t>
      </w:r>
      <w:r>
        <w:t xml:space="preserve"> </w:t>
      </w:r>
      <w:hyperlink w:anchor="ref-27">
        <w:r>
          <w:rPr>
            <w:rStyle w:val="Hyperlink"/>
          </w:rPr>
          <w:t xml:space="preserve">[27]</w:t>
        </w:r>
      </w:hyperlink>
      <w:r>
        <w:t xml:space="preserve">.</w:t>
      </w:r>
    </w:p>
    <w:p>
      <w:pPr>
        <w:pStyle w:val="BodyText"/>
        <w:spacing w:line="480" w:lineRule="auto"/>
        <w:ind w:firstLine="720"/>
      </w:pPr>
      <w:r>
        <w:t xml:space="preserve">The Economic instrument receives the greatest depth, and the choice is substantive rather than stylistic. If Goswami and Garretson are right that comprehensive national power is overwhelmingly economic and that production and finance precede rule-writing, then the economic column is the one on which the others rest</w:t>
      </w:r>
      <w:r>
        <w:t xml:space="preserve"> </w:t>
      </w:r>
      <w:hyperlink w:anchor="ref-11">
        <w:r>
          <w:rPr>
            <w:rStyle w:val="Hyperlink"/>
          </w:rPr>
          <w:t xml:space="preserve">[11]</w:t>
        </w:r>
      </w:hyperlink>
      <w:r>
        <w:t xml:space="preserve">[75]. That column braids four sub-traditions. Economic statecraft proper places economic tools on the same footing as force and judges any instrument against the cost of the alternatives actually available, which is Baldwin’s opportunity-cost standard</w:t>
      </w:r>
      <w:r>
        <w:t xml:space="preserve"> </w:t>
      </w:r>
      <w:hyperlink w:anchor="ref-32">
        <w:r>
          <w:rPr>
            <w:rStyle w:val="Hyperlink"/>
          </w:rPr>
          <w:t xml:space="preserve">[32]</w:t>
        </w:r>
      </w:hyperlink>
      <w:r>
        <w:t xml:space="preserve">. Geoeconomics supplies the operational toolkit of trade, investment, sanctions, aid, and financial policy</w:t>
      </w:r>
      <w:r>
        <w:t xml:space="preserve"> </w:t>
      </w:r>
      <w:hyperlink w:anchor="ref-37">
        <w:r>
          <w:rPr>
            <w:rStyle w:val="Hyperlink"/>
          </w:rPr>
          <w:t xml:space="preserve">[37]</w:t>
        </w:r>
      </w:hyperlink>
      <w:r>
        <w:t xml:space="preserve">, with Luttwak’s warning that a dominant posture invites its own counter</w:t>
      </w:r>
      <w:r>
        <w:t xml:space="preserve"> </w:t>
      </w:r>
      <w:hyperlink w:anchor="ref-71">
        <w:r>
          <w:rPr>
            <w:rStyle w:val="Hyperlink"/>
          </w:rPr>
          <w:t xml:space="preserve">[71]</w:t>
        </w:r>
      </w:hyperlink>
      <w:r>
        <w:t xml:space="preserve">. The principal-agent literature supplies the control problem of steering commercial actors whose incentives are not the state’s</w:t>
      </w:r>
      <w:r>
        <w:t xml:space="preserve"> </w:t>
      </w:r>
      <w:hyperlink w:anchor="ref-33">
        <w:r>
          <w:rPr>
            <w:rStyle w:val="Hyperlink"/>
          </w:rPr>
          <w:t xml:space="preserve">[33]</w:t>
        </w:r>
      </w:hyperlink>
      <w:r>
        <w:t xml:space="preserve">, while Hirschman supplies the older and sharper point that leverage lives in asymmetric dependence rather than aggregate volume</w:t>
      </w:r>
      <w:r>
        <w:t xml:space="preserve"> </w:t>
      </w:r>
      <w:hyperlink w:anchor="ref-34">
        <w:r>
          <w:rPr>
            <w:rStyle w:val="Hyperlink"/>
          </w:rPr>
          <w:t xml:space="preserve">[34]</w:t>
        </w:r>
      </w:hyperlink>
      <w:r>
        <w:t xml:space="preserve">. Institutional economics supplies the rest: property rights, transaction costs, and credible enforcement as the determinants of long-run performance</w:t>
      </w:r>
      <w:r>
        <w:t xml:space="preserve"> </w:t>
      </w:r>
      <w:hyperlink w:anchor="ref-52">
        <w:r>
          <w:rPr>
            <w:rStyle w:val="Hyperlink"/>
          </w:rPr>
          <w:t xml:space="preserve">[52]</w:t>
        </w:r>
      </w:hyperlink>
      <w:r>
        <w:t xml:space="preserve">[54], with Mazzucato’s entrepreneurial-state thesis as the account of who bears early risk and who should retain the upside</w:t>
      </w:r>
      <w:r>
        <w:t xml:space="preserve"> </w:t>
      </w:r>
      <w:hyperlink w:anchor="ref-35">
        <w:r>
          <w:rPr>
            <w:rStyle w:val="Hyperlink"/>
          </w:rPr>
          <w:t xml:space="preserve">[35]</w:t>
        </w:r>
      </w:hyperlink>
      <w:r>
        <w:t xml:space="preserve">[36], Ziarnick’s astronautical power model as the domain-native bridge that makes launch cadence and industrial vitality grand-strategic rather than procurement detail</w:t>
      </w:r>
      <w:r>
        <w:t xml:space="preserve"> </w:t>
      </w:r>
      <w:hyperlink w:anchor="ref-1">
        <w:r>
          <w:rPr>
            <w:rStyle w:val="Hyperlink"/>
          </w:rPr>
          <w:t xml:space="preserve">[1]</w:t>
        </w:r>
      </w:hyperlink>
      <w:r>
        <w:t xml:space="preserve">, Schumpeter’s separation of invention from innovation as the discipline on disruption claims</w:t>
      </w:r>
      <w:r>
        <w:t xml:space="preserve"> </w:t>
      </w:r>
      <w:hyperlink w:anchor="ref-4">
        <w:r>
          <w:rPr>
            <w:rStyle w:val="Hyperlink"/>
          </w:rPr>
          <w:t xml:space="preserve">[4]</w:t>
        </w:r>
      </w:hyperlink>
      <w:r>
        <w:t xml:space="preserve">, and Kennedy’s relative-productive-power and overstretch logic as the long-run frame</w:t>
      </w:r>
      <w:r>
        <w:t xml:space="preserve"> </w:t>
      </w:r>
      <w:hyperlink w:anchor="ref-67">
        <w:r>
          <w:rPr>
            <w:rStyle w:val="Hyperlink"/>
          </w:rPr>
          <w:t xml:space="preserve">[67]</w:t>
        </w:r>
      </w:hyperlink>
      <w:r>
        <w:t xml:space="preserve">.</w:t>
      </w:r>
    </w:p>
    <w:p>
      <w:pPr>
        <w:pStyle w:val="BodyText"/>
        <w:spacing w:line="480" w:lineRule="auto"/>
        <w:ind w:firstLine="720"/>
      </w:pPr>
      <w:r>
        <w:t xml:space="preserve">The Legal instrument covers the rules themselves and the processes that make them: non-appropriation and the res communis inheritance</w:t>
      </w:r>
      <w:r>
        <w:t xml:space="preserve"> </w:t>
      </w:r>
      <w:hyperlink w:anchor="ref-56">
        <w:r>
          <w:rPr>
            <w:rStyle w:val="Hyperlink"/>
          </w:rPr>
          <w:t xml:space="preserve">[56]</w:t>
        </w:r>
      </w:hyperlink>
      <w:r>
        <w:t xml:space="preserve">, federated rather than hegemonic order and the publicity principle</w:t>
      </w:r>
      <w:r>
        <w:t xml:space="preserve"> </w:t>
      </w:r>
      <w:hyperlink w:anchor="ref-57">
        <w:r>
          <w:rPr>
            <w:rStyle w:val="Hyperlink"/>
          </w:rPr>
          <w:t xml:space="preserve">[57]</w:t>
        </w:r>
      </w:hyperlink>
      <w:r>
        <w:t xml:space="preserve">, constitutional restraint by the leading power</w:t>
      </w:r>
      <w:r>
        <w:t xml:space="preserve"> </w:t>
      </w:r>
      <w:hyperlink w:anchor="ref-58">
        <w:r>
          <w:rPr>
            <w:rStyle w:val="Hyperlink"/>
          </w:rPr>
          <w:t xml:space="preserve">[58]</w:t>
        </w:r>
      </w:hyperlink>
      <w:r>
        <w:t xml:space="preserve">, and the codified debris-mitigation regime whose instruments include the IADC guidelines</w:t>
      </w:r>
      <w:r>
        <w:t xml:space="preserve"> </w:t>
      </w:r>
      <w:hyperlink w:anchor="ref-60">
        <w:r>
          <w:rPr>
            <w:rStyle w:val="Hyperlink"/>
          </w:rPr>
          <w:t xml:space="preserve">[60]</w:t>
        </w:r>
      </w:hyperlink>
      <w:r>
        <w:t xml:space="preserve">, the United Nations long-term sustainability guidelines</w:t>
      </w:r>
      <w:r>
        <w:t xml:space="preserve"> </w:t>
      </w:r>
      <w:hyperlink w:anchor="ref-61">
        <w:r>
          <w:rPr>
            <w:rStyle w:val="Hyperlink"/>
          </w:rPr>
          <w:t xml:space="preserve">[61]</w:t>
        </w:r>
      </w:hyperlink>
      <w:r>
        <w:t xml:space="preserve">, ISO 24113</w:t>
      </w:r>
      <w:r>
        <w:t xml:space="preserve"> </w:t>
      </w:r>
      <w:hyperlink w:anchor="ref-65">
        <w:r>
          <w:rPr>
            <w:rStyle w:val="Hyperlink"/>
          </w:rPr>
          <w:t xml:space="preserve">[65]</w:t>
        </w:r>
      </w:hyperlink>
      <w:r>
        <w:t xml:space="preserve">, and national licensing rules such as the United States orbital-debris orders</w:t>
      </w:r>
      <w:r>
        <w:t xml:space="preserve"> </w:t>
      </w:r>
      <w:hyperlink w:anchor="ref-62">
        <w:r>
          <w:rPr>
            <w:rStyle w:val="Hyperlink"/>
          </w:rPr>
          <w:t xml:space="preserve">[62]</w:t>
        </w:r>
      </w:hyperlink>
      <w:r>
        <w:t xml:space="preserve">. The Law-Enforcement instrument covers what happens when a rule is broken or ignored: monitoring, graduated sanction, licensing conditionality, and the horizontal networks of regulators that constitute the only enforcement layer orbit currently has</w:t>
      </w:r>
      <w:r>
        <w:t xml:space="preserve"> </w:t>
      </w:r>
      <w:hyperlink w:anchor="ref-49">
        <w:r>
          <w:rPr>
            <w:rStyle w:val="Hyperlink"/>
          </w:rPr>
          <w:t xml:space="preserve">[49]</w:t>
        </w:r>
      </w:hyperlink>
      <w:r>
        <w:t xml:space="preserve">[51]. The ESA annual space environment report is the standing empirical record against which any claim about enforcement effectiveness must be checked</w:t>
      </w:r>
      <w:r>
        <w:t xml:space="preserve"> </w:t>
      </w:r>
      <w:hyperlink w:anchor="ref-59">
        <w:r>
          <w:rPr>
            <w:rStyle w:val="Hyperlink"/>
          </w:rPr>
          <w:t xml:space="preserve">[59]</w:t>
        </w:r>
      </w:hyperlink>
      <w:r>
        <w:t xml:space="preserve">.</w:t>
      </w:r>
    </w:p>
    <w:bookmarkEnd w:id="64"/>
    <w:bookmarkStart w:id="65" w:name="the-fifty-thinker-matrix-as-method"/>
    <w:p>
      <w:pPr>
        <w:pStyle w:val="Heading2"/>
        <w:spacing w:line="480" w:lineRule="auto"/>
      </w:pPr>
      <w:r>
        <w:t xml:space="preserve">1.5 The fifty-thinker matrix as method</w:t>
      </w:r>
    </w:p>
    <w:p>
      <w:pPr>
        <w:pStyle w:val="FirstParagraph"/>
        <w:spacing w:line="480" w:lineRule="auto"/>
      </w:pPr>
      <w:r>
        <w:t xml:space="preserve">The analytic core of the dissertation is a matrix of the strategic canon scored against those six instruments. Each row states, for one thinker, four things: the core strategic concept in one line with a verified citation; the single instrument the concept most illuminates for space; a short application of that concept to a concrete space-domain problem, drawn from a fixed list (orbital slots, launch cadence, counterspace, spectrum, debris and the orbital commons, cislunar logistics, and space situational awareness); and a transfer-fit score from one to five with a one-line justification.</w:t>
      </w:r>
    </w:p>
    <w:p>
      <w:pPr>
        <w:pStyle w:val="BodyText"/>
        <w:spacing w:line="480" w:lineRule="auto"/>
        <w:ind w:firstLine="720"/>
      </w:pPr>
      <w:r>
        <w:t xml:space="preserve">The forced single-instrument assignment is deliberate. A thinker whose ideas can be placed anywhere explains nothing in particular, and the discipline of choosing the column that a concept most illuminates is what converts a reading list into an analytic instrument. The fit score is likewise a commitment. A score of five means the transfer is load-bearing rather than metaphorical, which is the claim made for the native spacepower theorists and for the commons-governance and economic-statecraft rows. A score of two means the framework illuminates framing and resists measurement, which is stated plainly for the civilizational-morphology rows rather than concealed. Roughly seventy rows are grounded in a reviewer-brain dossier whose framework section supplies a precise concept statement and a verified citation; the remaining rows are grounded in the thinker’s canonical primary work, cited directly. No source, date, or identifier in the matrix is invented, and unverified specifics were omitted rather than supplied.</w:t>
      </w:r>
    </w:p>
    <w:p>
      <w:pPr>
        <w:pStyle w:val="BodyText"/>
        <w:spacing w:line="480" w:lineRule="auto"/>
        <w:ind w:firstLine="720"/>
      </w:pPr>
      <w:r>
        <w:t xml:space="preserve">The matrix is the dissertation’s principal artifact. It is also the mechanism by which the empirical program is generated, because the pre-registered predictions of the five studies are read off matrix rows rather than chosen after the data are seen.</w:t>
      </w:r>
    </w:p>
    <w:bookmarkEnd w:id="65"/>
    <w:bookmarkStart w:id="66" w:name="five-empirical-probes"/>
    <w:p>
      <w:pPr>
        <w:pStyle w:val="Heading2"/>
        <w:spacing w:line="480" w:lineRule="auto"/>
      </w:pPr>
      <w:r>
        <w:t xml:space="preserve">1.6 Five empirical probes</w:t>
      </w:r>
    </w:p>
    <w:p>
      <w:pPr>
        <w:pStyle w:val="FirstParagraph"/>
        <w:spacing w:line="480" w:lineRule="auto"/>
      </w:pPr>
      <w:r>
        <w:t xml:space="preserve">Five quantitative studies operationalize the matrix. They are probes, not a survey: each anchors one instrument-specific prediction to a real dataset, and each is small, because the honest datasets in this domain are small.</w:t>
      </w:r>
    </w:p>
    <w:p>
      <w:pPr>
        <w:pStyle w:val="BodyText"/>
        <w:spacing w:line="480" w:lineRule="auto"/>
        <w:ind w:firstLine="720"/>
      </w:pPr>
      <w:r>
        <w:t xml:space="preserve">The first study estimates an experience curve on launch cost, regressing inflation-adjusted cost per kilogram to low Earth orbit against cumulative launches, following the classical learning-curve formulation</w:t>
      </w:r>
      <w:r>
        <w:t xml:space="preserve"> </w:t>
      </w:r>
      <w:hyperlink w:anchor="ref-10">
        <w:r>
          <w:rPr>
            <w:rStyle w:val="Hyperlink"/>
          </w:rPr>
          <w:t xml:space="preserve">[10]</w:t>
        </w:r>
      </w:hyperlink>
      <w:r>
        <w:t xml:space="preserve"> </w:t>
      </w:r>
      <w:r>
        <w:t xml:space="preserve">and the modern space-specific treatment</w:t>
      </w:r>
      <w:r>
        <w:t xml:space="preserve"> </w:t>
      </w:r>
      <w:hyperlink w:anchor="ref-6">
        <w:r>
          <w:rPr>
            <w:rStyle w:val="Hyperlink"/>
          </w:rPr>
          <w:t xml:space="preserve">[6]</w:t>
        </w:r>
      </w:hyperlink>
      <w:r>
        <w:t xml:space="preserve">, on cost series from the CSIS Aerospace Security dataset as republished by Our World in Data</w:t>
      </w:r>
      <w:r>
        <w:t xml:space="preserve"> </w:t>
      </w:r>
      <w:hyperlink w:anchor="ref-7">
        <w:r>
          <w:rPr>
            <w:rStyle w:val="Hyperlink"/>
          </w:rPr>
          <w:t xml:space="preserve">[7]</w:t>
        </w:r>
      </w:hyperlink>
      <w:r>
        <w:t xml:space="preserve">[8] with launch counts from the GCAT catalogue</w:t>
      </w:r>
      <w:r>
        <w:t xml:space="preserve"> </w:t>
      </w:r>
      <w:hyperlink w:anchor="ref-9">
        <w:r>
          <w:rPr>
            <w:rStyle w:val="Hyperlink"/>
          </w:rPr>
          <w:t xml:space="preserve">[9]</w:t>
        </w:r>
      </w:hyperlink>
      <w:r>
        <w:t xml:space="preserve">. It tests the Ziarnick and Schumpeter prediction that cadence rather than program spending drives cost decline</w:t>
      </w:r>
      <w:r>
        <w:t xml:space="preserve"> </w:t>
      </w:r>
      <w:hyperlink w:anchor="ref-1">
        <w:r>
          <w:rPr>
            <w:rStyle w:val="Hyperlink"/>
          </w:rPr>
          <w:t xml:space="preserve">[1]</w:t>
        </w:r>
      </w:hyperlink>
      <w:r>
        <w:t xml:space="preserve">[4].</w:t>
      </w:r>
    </w:p>
    <w:p>
      <w:pPr>
        <w:pStyle w:val="BodyText"/>
        <w:spacing w:line="480" w:lineRule="auto"/>
        <w:ind w:firstLine="720"/>
      </w:pPr>
      <w:r>
        <w:t xml:space="preserve">The second study fits a Cox proportional-hazards model to the timing of destructive counterspace tests</w:t>
      </w:r>
      <w:r>
        <w:t xml:space="preserve"> </w:t>
      </w:r>
      <w:hyperlink w:anchor="ref-30">
        <w:r>
          <w:rPr>
            <w:rStyle w:val="Hyperlink"/>
          </w:rPr>
          <w:t xml:space="preserve">[30]</w:t>
        </w:r>
      </w:hyperlink>
      <w:r>
        <w:t xml:space="preserve">, using the Secure World Foundation and CSIS open-source counterspace assessments</w:t>
      </w:r>
      <w:r>
        <w:t xml:space="preserve"> </w:t>
      </w:r>
      <w:hyperlink w:anchor="ref-17">
        <w:r>
          <w:rPr>
            <w:rStyle w:val="Hyperlink"/>
          </w:rPr>
          <w:t xml:space="preserve">[17]</w:t>
        </w:r>
      </w:hyperlink>
      <w:r>
        <w:t xml:space="preserve">[19], with the debris consequences of such tests documented independently</w:t>
      </w:r>
      <w:r>
        <w:t xml:space="preserve"> </w:t>
      </w:r>
      <w:hyperlink w:anchor="ref-24">
        <w:r>
          <w:rPr>
            <w:rStyle w:val="Hyperlink"/>
          </w:rPr>
          <w:t xml:space="preserve">[24]</w:t>
        </w:r>
      </w:hyperlink>
      <w:r>
        <w:t xml:space="preserve">. It tests the deterrence and power-transition strands against observed escalation behavior</w:t>
      </w:r>
      <w:r>
        <w:t xml:space="preserve"> </w:t>
      </w:r>
      <w:hyperlink w:anchor="ref-20">
        <w:r>
          <w:rPr>
            <w:rStyle w:val="Hyperlink"/>
          </w:rPr>
          <w:t xml:space="preserve">[20]</w:t>
        </w:r>
      </w:hyperlink>
      <w:r>
        <w:t xml:space="preserve">[21][26].</w:t>
      </w:r>
    </w:p>
    <w:p>
      <w:pPr>
        <w:pStyle w:val="BodyText"/>
        <w:spacing w:line="480" w:lineRule="auto"/>
        <w:ind w:firstLine="720"/>
      </w:pPr>
      <w:r>
        <w:t xml:space="preserve">The third study estimates a log-log panel regression of national on-orbit payload stock on government space budget and gross domestic product, with heteroskedasticity-consistent standard errors</w:t>
      </w:r>
      <w:r>
        <w:t xml:space="preserve"> </w:t>
      </w:r>
      <w:hyperlink w:anchor="ref-48">
        <w:r>
          <w:rPr>
            <w:rStyle w:val="Hyperlink"/>
          </w:rPr>
          <w:t xml:space="preserve">[48]</w:t>
        </w:r>
      </w:hyperlink>
      <w:r>
        <w:t xml:space="preserve">, using the Euroconsult and Novaspace government space program series, World Bank national accounts</w:t>
      </w:r>
      <w:r>
        <w:t xml:space="preserve"> </w:t>
      </w:r>
      <w:hyperlink w:anchor="ref-44">
        <w:r>
          <w:rPr>
            <w:rStyle w:val="Hyperlink"/>
          </w:rPr>
          <w:t xml:space="preserve">[44]</w:t>
        </w:r>
      </w:hyperlink>
      <w:r>
        <w:t xml:space="preserve">, and the CelesTrak satellite catalogue</w:t>
      </w:r>
      <w:r>
        <w:t xml:space="preserve"> </w:t>
      </w:r>
      <w:hyperlink w:anchor="ref-45">
        <w:r>
          <w:rPr>
            <w:rStyle w:val="Hyperlink"/>
          </w:rPr>
          <w:t xml:space="preserve">[45]</w:t>
        </w:r>
      </w:hyperlink>
      <w:r>
        <w:t xml:space="preserve">, corroborated against the OECD space economy accounts</w:t>
      </w:r>
      <w:r>
        <w:t xml:space="preserve"> </w:t>
      </w:r>
      <w:hyperlink w:anchor="ref-47">
        <w:r>
          <w:rPr>
            <w:rStyle w:val="Hyperlink"/>
          </w:rPr>
          <w:t xml:space="preserve">[47]</w:t>
        </w:r>
      </w:hyperlink>
      <w:r>
        <w:t xml:space="preserve">[76]. It tests the economic-statecraft and principal-agent predictions about how efficiently states convert appropriation into orbital presence</w:t>
      </w:r>
      <w:r>
        <w:t xml:space="preserve"> </w:t>
      </w:r>
      <w:hyperlink w:anchor="ref-32">
        <w:r>
          <w:rPr>
            <w:rStyle w:val="Hyperlink"/>
          </w:rPr>
          <w:t xml:space="preserve">[32]</w:t>
        </w:r>
      </w:hyperlink>
      <w:r>
        <w:t xml:space="preserve">[33][34].</w:t>
      </w:r>
    </w:p>
    <w:p>
      <w:pPr>
        <w:pStyle w:val="BodyText"/>
        <w:spacing w:line="480" w:lineRule="auto"/>
        <w:ind w:firstLine="720"/>
      </w:pPr>
      <w:r>
        <w:t xml:space="preserve">The fourth study fits a logistic model of post-mission-disposal success on documented end-of-life events, using the ESA space environment record and the codified mitigation regime as the source of the regulatory variable</w:t>
      </w:r>
      <w:r>
        <w:t xml:space="preserve"> </w:t>
      </w:r>
      <w:hyperlink w:anchor="ref-59">
        <w:r>
          <w:rPr>
            <w:rStyle w:val="Hyperlink"/>
          </w:rPr>
          <w:t xml:space="preserve">[59]</w:t>
        </w:r>
      </w:hyperlink>
      <w:r>
        <w:t xml:space="preserve">[60][61][62][65]. It is the direct test of the Ostrom prediction that monitoring and graduated sanctions raise compliance</w:t>
      </w:r>
      <w:r>
        <w:t xml:space="preserve"> </w:t>
      </w:r>
      <w:hyperlink w:anchor="ref-49">
        <w:r>
          <w:rPr>
            <w:rStyle w:val="Hyperlink"/>
          </w:rPr>
          <w:t xml:space="preserve">[49]</w:t>
        </w:r>
      </w:hyperlink>
      <w:r>
        <w:t xml:space="preserve">[51].</w:t>
      </w:r>
    </w:p>
    <w:p>
      <w:pPr>
        <w:pStyle w:val="BodyText"/>
        <w:spacing w:line="480" w:lineRule="auto"/>
        <w:ind w:firstLine="720"/>
      </w:pPr>
      <w:r>
        <w:t xml:space="preserve">The fifth study regresses program cost overrun on space spending as a share of gross domestic product and on program duration, using GAO assessments of NASA major projects</w:t>
      </w:r>
      <w:r>
        <w:t xml:space="preserve"> </w:t>
      </w:r>
      <w:hyperlink w:anchor="ref-72">
        <w:r>
          <w:rPr>
            <w:rStyle w:val="Hyperlink"/>
          </w:rPr>
          <w:t xml:space="preserve">[72]</w:t>
        </w:r>
      </w:hyperlink>
      <w:r>
        <w:t xml:space="preserve"> </w:t>
      </w:r>
      <w:r>
        <w:t xml:space="preserve">together with budget and national accounts records. It tests the Kennedy overstretch prediction against the productive base</w:t>
      </w:r>
      <w:r>
        <w:t xml:space="preserve"> </w:t>
      </w:r>
      <w:hyperlink w:anchor="ref-67">
        <w:r>
          <w:rPr>
            <w:rStyle w:val="Hyperlink"/>
          </w:rPr>
          <w:t xml:space="preserve">[67]</w:t>
        </w:r>
      </w:hyperlink>
      <w:r>
        <w:t xml:space="preserve">.</w:t>
      </w:r>
    </w:p>
    <w:bookmarkEnd w:id="66"/>
    <w:bookmarkStart w:id="67" w:name="X8337f43c13fe8f816e942802c4237df0423623e"/>
    <w:p>
      <w:pPr>
        <w:pStyle w:val="Heading2"/>
        <w:spacing w:line="480" w:lineRule="auto"/>
      </w:pPr>
      <w:r>
        <w:t xml:space="preserve">1.7 What the probes return, and the posture that follows</w:t>
      </w:r>
    </w:p>
    <w:p>
      <w:pPr>
        <w:pStyle w:val="FirstParagraph"/>
        <w:spacing w:line="480" w:lineRule="auto"/>
      </w:pPr>
      <w:r>
        <w:t xml:space="preserve">The results are mixed by design and by outcome, and the dissertation reports them as such.</w:t>
      </w:r>
    </w:p>
    <w:p>
      <w:pPr>
        <w:pStyle w:val="BodyText"/>
        <w:spacing w:line="480" w:lineRule="auto"/>
        <w:ind w:firstLine="720"/>
      </w:pPr>
      <w:r>
        <w:t xml:space="preserve">The strongest finding is economic. In the panel of twenty-seven country-years, the elasticity of on-orbit payload stock with respect to the government space budget is 1.3190 with a robust standard error of 0.3127 and p below 0.0001, while the coefficient on log GDP is -0.3263 with a standard error of 0.5161 and p equal to 0.5272, that is, indistinguishable from zero once appropriation is controlled. The specification reaches an R-squared of 0.7988. A Wald test cannot distinguish the elasticity from unity (p = 0.308). The honest caveat is that log budget and log GDP correlate at 0.901, with variance inflation factors of 6.4 and 5.9, so the reading is that budget carries the explanatory content, not that national wealth is irrelevant to the capacity to fund a program. Directed appropriation, and not aggregate scale, is what converts into orbital presence.</w:t>
      </w:r>
    </w:p>
    <w:p>
      <w:pPr>
        <w:pStyle w:val="BodyText"/>
        <w:spacing w:line="480" w:lineRule="auto"/>
        <w:ind w:firstLine="720"/>
      </w:pPr>
      <w:r>
        <w:t xml:space="preserve">The experience-curve probe returns a statistically significant but weak relationship: an elasticity of -0.3292 (standard error 0.1575, p = 0.0366), a progress ratio of 0.796, which is roughly a twenty percent fall in cost per kilogram per doubling of cumulative launches, on an R-squared of 0.1217. The experience curve explains about twelve percent of the variance in launch cost. That is a real association and a poor explanation, and the dissertation says both.</w:t>
      </w:r>
    </w:p>
    <w:p>
      <w:pPr>
        <w:pStyle w:val="BodyText"/>
        <w:spacing w:line="480" w:lineRule="auto"/>
        <w:ind w:firstLine="720"/>
      </w:pPr>
      <w:r>
        <w:t xml:space="preserve">The counterspace-timing probe is largely null. Prior own tests reach only marginal significance (p = 0.0727); rival tests within twenty-four months (p = 0.3629) and the kinetic indicator (p = 0.8853) return nothing. The disposal-compliance probe returns a clean null on the variable the canon most wanted: licensing strength is estimated at essentially zero (p = 0.9728), and the one directional association, altitude, does not survive the removal of a single influential case. The overstretch probe refutes its own hypothesis: neither space spending as a share of GDP (p = 0.8945) nor the space effort ratio (p = 0.7043) predicts cost overrun, while program duration does, at about fourteen additional percentage points of overrun per additional year (p = 0.0025).</w:t>
      </w:r>
    </w:p>
    <w:p>
      <w:pPr>
        <w:pStyle w:val="BodyText"/>
        <w:spacing w:line="480" w:lineRule="auto"/>
        <w:ind w:firstLine="720"/>
      </w:pPr>
      <w:r>
        <w:t xml:space="preserve">Four of the five probes therefore fail to deliver what a confident reading of the canon would have predicted. That is the finding. The dissertation’s posture is accordingly that its contribution is the framework and the matrix, with the empirics as disciplined probes whose nulls are results rather than embarrassments. A canon that predicts one strong economic relationship, one weak cost relationship, and three nulls is a canon that is heuristic in most of its range and predictive in a narrow and identifiable part of it. Knowing which part is the practical payoff.</w:t>
      </w:r>
    </w:p>
    <w:bookmarkEnd w:id="67"/>
    <w:bookmarkStart w:id="68" w:name="plan-of-the-dissertation"/>
    <w:p>
      <w:pPr>
        <w:pStyle w:val="Heading2"/>
        <w:spacing w:line="480" w:lineRule="auto"/>
      </w:pPr>
      <w:r>
        <w:t xml:space="preserve">1.8 Plan of the dissertation</w:t>
      </w:r>
    </w:p>
    <w:p>
      <w:pPr>
        <w:pStyle w:val="FirstParagraph"/>
        <w:spacing w:line="480" w:lineRule="auto"/>
      </w:pPr>
      <w:r>
        <w:t xml:space="preserve">Chapter 2 surveys the two literatures whose separation defines the gap: the strategic canon and its space transpositions on one side, the operational and doctrinal application of DIME to space on the other. Chapter 3 develops the extension from four instruments to six and defends the Legal and Law-Enforcement columns as necessary rather than additive. Chapter 4 states the method: how matrix rows are grounded and scored, how the single-instrument assignment is enforced, and how instrument-specific predictions are pre-registered so that H0 and H1 remain separable. Chapter 5 treats the Economic instrument in the depth the framework promises, braiding statecraft, geoeconomics, the principal-agent problem, and institutional economics into one column. Chapter 6 presents the matrix itself, organized by school, with fit scores and a grounding ledger.</w:t>
      </w:r>
    </w:p>
    <w:p>
      <w:pPr>
        <w:pStyle w:val="BodyText"/>
        <w:spacing w:line="480" w:lineRule="auto"/>
        <w:ind w:firstLine="720"/>
      </w:pPr>
      <w:r>
        <w:t xml:space="preserve">Chapters 7 through 11 report the five empirical studies in turn: the experience curve on launch cost, the survival analysis of counterspace-test timing, the panel regression on budget-to-presence conversion, the logistic model of disposal compliance, and the regression on program performance. Each chapter states its pre-registered prediction, its data provenance, its estimates, and its limits, and each reports null results without reframing. Chapter 12 adjudicates H0 against H1 instrument by instrument, and argues that the evidence supports rejecting the null only for the economic column while leaving it standing elsewhere. Chapter 13 concludes with what follows for practice, in particular for the rule-writing window that the economic and governance literatures both identify as narrowing</w:t>
      </w:r>
      <w:r>
        <w:t xml:space="preserve"> </w:t>
      </w:r>
      <w:hyperlink w:anchor="ref-11">
        <w:r>
          <w:rPr>
            <w:rStyle w:val="Hyperlink"/>
          </w:rPr>
          <w:t xml:space="preserve">[11]</w:t>
        </w:r>
      </w:hyperlink>
      <w:r>
        <w:t xml:space="preserve">[75], for the incumbent’s case for early self-binding</w:t>
      </w:r>
      <w:r>
        <w:t xml:space="preserve"> </w:t>
      </w:r>
      <w:hyperlink w:anchor="ref-58">
        <w:r>
          <w:rPr>
            <w:rStyle w:val="Hyperlink"/>
          </w:rPr>
          <w:t xml:space="preserve">[58]</w:t>
        </w:r>
      </w:hyperlink>
      <w:r>
        <w:t xml:space="preserve">, and for the design of an enforcement architecture that the disposal evidence suggests is not yet doing measurable work</w:t>
      </w:r>
      <w:r>
        <w:t xml:space="preserve"> </w:t>
      </w:r>
      <w:hyperlink w:anchor="ref-49">
        <w:r>
          <w:rPr>
            <w:rStyle w:val="Hyperlink"/>
          </w:rPr>
          <w:t xml:space="preserve">[49]</w:t>
        </w:r>
      </w:hyperlink>
      <w:r>
        <w:t xml:space="preserve">.</w:t>
      </w:r>
    </w:p>
    <w:bookmarkEnd w:id="68"/>
    <w:bookmarkEnd w:id="69"/>
    <w:bookmarkStart w:id="80" w:name="chapter-2.-literature-review"/>
    <w:p>
      <w:pPr>
        <w:pStyle w:val="Heading1"/>
        <w:spacing w:line="480" w:lineRule="auto"/>
      </w:pPr>
      <w:r>
        <w:t xml:space="preserve">Chapter 2. Literature Review</w:t>
      </w:r>
    </w:p>
    <w:bookmarkStart w:id="70" w:name="X502da4df27ddf50871836a084718e0360677ece"/>
    <w:p>
      <w:pPr>
        <w:pStyle w:val="Heading2"/>
        <w:spacing w:line="480" w:lineRule="auto"/>
      </w:pPr>
      <w:r>
        <w:t xml:space="preserve">2.1 Two literatures and the seam between them</w:t>
      </w:r>
    </w:p>
    <w:p>
      <w:pPr>
        <w:pStyle w:val="FirstParagraph"/>
        <w:spacing w:line="480" w:lineRule="auto"/>
      </w:pPr>
      <w:r>
        <w:t xml:space="preserve">This dissertation sits on a seam. On one side of it lies the grand-strategic canon and its extension into the space domain, a literature that is conceptually ambitious, historically deep, and almost entirely unquantified. On the other lies the contemporary literature of space governance, space economics, orbital debris, and spectrum, a literature that is institutionally precise, empirically disciplined, increasingly well instrumented, and almost entirely innocent of strategic theory. The first tells us what orbit means. The second tells us what orbit measures. Neither, as a rule, reads the other with any seriousness, and the consequence is a domain in which the vocabulary of strategy floats free of the evidence and the evidence accumulates without a theory to organize it.</w:t>
      </w:r>
    </w:p>
    <w:p>
      <w:pPr>
        <w:pStyle w:val="BodyText"/>
        <w:spacing w:line="480" w:lineRule="auto"/>
        <w:ind w:firstLine="720"/>
      </w:pPr>
      <w:r>
        <w:t xml:space="preserve">The claim that the two literatures do not meet is not a rhetorical device. It is visible in citation practice. Works of astropolitical and spacepower theory routinely cite Mahan</w:t>
      </w:r>
      <w:r>
        <w:t xml:space="preserve"> </w:t>
      </w:r>
      <w:hyperlink w:anchor="ref-3">
        <w:r>
          <w:rPr>
            <w:rStyle w:val="Hyperlink"/>
          </w:rPr>
          <w:t xml:space="preserve">[3]</w:t>
        </w:r>
      </w:hyperlink>
      <w:r>
        <w:t xml:space="preserve">, Clausewitz, Corbett, and Mackinder, and rarely cite the European Space Agency’s annual environment reporting</w:t>
      </w:r>
      <w:r>
        <w:t xml:space="preserve"> </w:t>
      </w:r>
      <w:hyperlink w:anchor="ref-59">
        <w:r>
          <w:rPr>
            <w:rStyle w:val="Hyperlink"/>
          </w:rPr>
          <w:t xml:space="preserve">[59]</w:t>
        </w:r>
      </w:hyperlink>
      <w:r>
        <w:t xml:space="preserve">, the Inter-Agency Space Debris Coordination Committee’s mitigation guidelines</w:t>
      </w:r>
      <w:r>
        <w:t xml:space="preserve"> </w:t>
      </w:r>
      <w:hyperlink w:anchor="ref-60">
        <w:r>
          <w:rPr>
            <w:rStyle w:val="Hyperlink"/>
          </w:rPr>
          <w:t xml:space="preserve">[60]</w:t>
        </w:r>
      </w:hyperlink>
      <w:r>
        <w:t xml:space="preserve">, or the Organisation for Economic Co-operation and Development’s space-economy accounts</w:t>
      </w:r>
      <w:r>
        <w:t xml:space="preserve"> </w:t>
      </w:r>
      <w:hyperlink w:anchor="ref-47">
        <w:r>
          <w:rPr>
            <w:rStyle w:val="Hyperlink"/>
          </w:rPr>
          <w:t xml:space="preserve">[47]</w:t>
        </w:r>
      </w:hyperlink>
      <w:r>
        <w:t xml:space="preserve">[76]. Works of orbital-debris compliance analysis and space economics cite those instruments densely and cite the strategic canon, when at all, in an introductory paragraph that does no analytic work thereafter.</w:t>
      </w:r>
    </w:p>
    <w:p>
      <w:pPr>
        <w:pStyle w:val="BodyText"/>
        <w:spacing w:line="480" w:lineRule="auto"/>
        <w:ind w:firstLine="720"/>
      </w:pPr>
      <w:r>
        <w:t xml:space="preserve">One editorial note governs the whole review. This dissertation cites only from a verified reference pool assembled from texts and datasets actually retrieved and read. Several canonical figures who belong in any survey of space strategy, notably Everett Dolman, John Klein, James Clay Moltz, Joan Johnson-Freese, Walter McDougall, Thomas Gangale, Daniel Deudney, and the norm-diffusion partnership of Martha Finnemore and Kathryn Sikkink, are discussed here on the strength of the fifty-thinker matrix that Chapter 6 presents, where each is grounded in its own apparatus. Where a numbered citation does not appear beside such a name, that absence is a discipline against fabricating a reference rather than an oversight.</w:t>
      </w:r>
    </w:p>
    <w:bookmarkEnd w:id="70"/>
    <w:bookmarkStart w:id="71" w:name="X5f7b6a2f481cf8c800310b4cfabf7519de74bdf"/>
    <w:p>
      <w:pPr>
        <w:pStyle w:val="Heading2"/>
        <w:spacing w:line="480" w:lineRule="auto"/>
      </w:pPr>
      <w:r>
        <w:t xml:space="preserve">2.2 The canon and its first transposition to orbit</w:t>
      </w:r>
    </w:p>
    <w:p>
      <w:pPr>
        <w:pStyle w:val="FirstParagraph"/>
        <w:spacing w:line="480" w:lineRule="auto"/>
      </w:pPr>
      <w:r>
        <w:t xml:space="preserve">The transposition of classical strategy to space begins with sea power, and it begins there for a defensible reason rather than a decorative one. Mahan’s argument in</w:t>
      </w:r>
      <w:r>
        <w:t xml:space="preserve"> </w:t>
      </w:r>
      <w:r>
        <w:rPr>
          <w:i/>
          <w:iCs/>
        </w:rPr>
        <w:t xml:space="preserve">The Influence of Sea Power upon History</w:t>
      </w:r>
      <w:r>
        <w:t xml:space="preserve"> </w:t>
      </w:r>
      <w:r>
        <w:t xml:space="preserve">was not fundamentally about ships</w:t>
      </w:r>
      <w:r>
        <w:t xml:space="preserve"> </w:t>
      </w:r>
      <w:hyperlink w:anchor="ref-3">
        <w:r>
          <w:rPr>
            <w:rStyle w:val="Hyperlink"/>
          </w:rPr>
          <w:t xml:space="preserve">[3]</w:t>
        </w:r>
      </w:hyperlink>
      <w:r>
        <w:t xml:space="preserve">. It was about a self-reinforcing political economy in which maritime commerce generates wealth, wealth funds the fleet, and the fleet protects the commerce, with command exercised over the</w:t>
      </w:r>
      <w:r>
        <w:t xml:space="preserve"> </w:t>
      </w:r>
      <w:r>
        <w:rPr>
          <w:i/>
          <w:iCs/>
        </w:rPr>
        <w:t xml:space="preserve">use</w:t>
      </w:r>
      <w:r>
        <w:t xml:space="preserve"> </w:t>
      </w:r>
      <w:r>
        <w:t xml:space="preserve">of a commons that no state can own. That structure is the reason the analogy has survived scrutiny that the more decorative comparisons have not. Michael France’s revival of Mahanian space-power theory made the transposition explicit and gave it a scholarly footing that later work builds on</w:t>
      </w:r>
      <w:r>
        <w:t xml:space="preserve"> </w:t>
      </w:r>
      <w:hyperlink w:anchor="ref-2">
        <w:r>
          <w:rPr>
            <w:rStyle w:val="Hyperlink"/>
          </w:rPr>
          <w:t xml:space="preserve">[2]</w:t>
        </w:r>
      </w:hyperlink>
      <w:r>
        <w:t xml:space="preserve">.</w:t>
      </w:r>
    </w:p>
    <w:p>
      <w:pPr>
        <w:pStyle w:val="BodyText"/>
        <w:spacing w:line="480" w:lineRule="auto"/>
        <w:ind w:firstLine="720"/>
      </w:pPr>
      <w:r>
        <w:t xml:space="preserve">The land-power and geopolitical tradition supplies the second inheritance. Mackinder’s pivot geography, transposed by Dolman into an astropolitical model of differentiated orbital terrain with chokepoints, low Earth orbit as energetic high ground, and cislunar transfer lanes as lines of communication, is the single most cited and single most contested framework in the field. Its power is that it treats orbital mechanics as a genuine geography, a fixed structure that conditions strategy independently of the technology of the decade. Its exposure is geographic determinism, and Colin Gray’s insistence that geography is inescapable but not dispositive is the corrective the literature has generally adopted</w:t>
      </w:r>
      <w:r>
        <w:t xml:space="preserve"> </w:t>
      </w:r>
      <w:hyperlink w:anchor="ref-23">
        <w:r>
          <w:rPr>
            <w:rStyle w:val="Hyperlink"/>
          </w:rPr>
          <w:t xml:space="preserve">[23]</w:t>
        </w:r>
      </w:hyperlink>
      <w:r>
        <w:t xml:space="preserve">. Gray’s further contribution, that spacepower must be a special theory answerable to a general theory of strategy rather than an autonomous theory of victory, is the discipline that keeps the transposition honest</w:t>
      </w:r>
      <w:r>
        <w:t xml:space="preserve"> </w:t>
      </w:r>
      <w:hyperlink w:anchor="ref-23">
        <w:r>
          <w:rPr>
            <w:rStyle w:val="Hyperlink"/>
          </w:rPr>
          <w:t xml:space="preserve">[23]</w:t>
        </w:r>
      </w:hyperlink>
      <w:r>
        <w:t xml:space="preserve">.</w:t>
      </w:r>
    </w:p>
    <w:p>
      <w:pPr>
        <w:pStyle w:val="BodyText"/>
        <w:spacing w:line="480" w:lineRule="auto"/>
        <w:ind w:firstLine="720"/>
      </w:pPr>
      <w:r>
        <w:t xml:space="preserve">What the classical transposition does not do, in any of its variants, is generate a number. Mahan’s political-economy loop is stated as a causal mechanism, never as an elasticity. Dolman’s chokepoints are asserted as strategically decisive and never priced. The escalation apparatus of the nuclear canon, Schelling on credible commitment, focal points, and the distinction between deterrence and compellence</w:t>
      </w:r>
      <w:r>
        <w:t xml:space="preserve"> </w:t>
      </w:r>
      <w:hyperlink w:anchor="ref-20">
        <w:r>
          <w:rPr>
            <w:rStyle w:val="Hyperlink"/>
          </w:rPr>
          <w:t xml:space="preserve">[20]</w:t>
        </w:r>
      </w:hyperlink>
      <w:r>
        <w:t xml:space="preserve">, and Kahn on the escalation ladder and its firebreaks</w:t>
      </w:r>
      <w:r>
        <w:t xml:space="preserve"> </w:t>
      </w:r>
      <w:hyperlink w:anchor="ref-21">
        <w:r>
          <w:rPr>
            <w:rStyle w:val="Hyperlink"/>
          </w:rPr>
          <w:t xml:space="preserve">[21]</w:t>
        </w:r>
      </w:hyperlink>
      <w:r>
        <w:t xml:space="preserve">, is analytically rigorous and empirically unattached to any orbital dataset. Waltz’s structural realism supplies a master variable, the distribution of capabilities, that no space scholar has yet operationalized against observable orbital behavior</w:t>
      </w:r>
      <w:r>
        <w:t xml:space="preserve"> </w:t>
      </w:r>
      <w:hyperlink w:anchor="ref-22">
        <w:r>
          <w:rPr>
            <w:rStyle w:val="Hyperlink"/>
          </w:rPr>
          <w:t xml:space="preserve">[22]</w:t>
        </w:r>
      </w:hyperlink>
      <w:r>
        <w:t xml:space="preserve">. This is the first half of the seam, and it is less a criticism of the canon than a description of what the canon is for. These are frameworks for thinking, and they were never designed to be estimated.</w:t>
      </w:r>
    </w:p>
    <w:bookmarkEnd w:id="71"/>
    <w:bookmarkStart w:id="72" w:name="X55f49286521d53dfdfd2bbcf6ec9edc1f75bfa6"/>
    <w:p>
      <w:pPr>
        <w:pStyle w:val="Heading2"/>
        <w:spacing w:line="480" w:lineRule="auto"/>
      </w:pPr>
      <w:r>
        <w:t xml:space="preserve">2.3 Native spacepower theory: rich in theory, thin in measurement</w:t>
      </w:r>
    </w:p>
    <w:p>
      <w:pPr>
        <w:pStyle w:val="FirstParagraph"/>
        <w:spacing w:line="480" w:lineRule="auto"/>
      </w:pPr>
      <w:r>
        <w:t xml:space="preserve">The domain-native literature is the field’s genuine achievement of the last two decades, and it inherits the same measurement problem in a sharper form, because it makes claims that are in principle testable and then does not test them.</w:t>
      </w:r>
    </w:p>
    <w:p>
      <w:pPr>
        <w:pStyle w:val="BodyText"/>
        <w:spacing w:line="480" w:lineRule="auto"/>
        <w:ind w:firstLine="720"/>
      </w:pPr>
      <w:r>
        <w:t xml:space="preserve">Bleddyn Bowen’s</w:t>
      </w:r>
      <w:r>
        <w:t xml:space="preserve"> </w:t>
      </w:r>
      <w:r>
        <w:rPr>
          <w:i/>
          <w:iCs/>
        </w:rPr>
        <w:t xml:space="preserve">War in Space</w:t>
      </w:r>
      <w:r>
        <w:t xml:space="preserve"> </w:t>
      </w:r>
      <w:r>
        <w:t xml:space="preserve">is the reference framework</w:t>
      </w:r>
      <w:r>
        <w:t xml:space="preserve"> </w:t>
      </w:r>
      <w:hyperlink w:anchor="ref-27">
        <w:r>
          <w:rPr>
            <w:rStyle w:val="Hyperlink"/>
          </w:rPr>
          <w:t xml:space="preserve">[27]</w:t>
        </w:r>
      </w:hyperlink>
      <w:r>
        <w:t xml:space="preserve">. Its propositions establish that command of space is relative, contested, and temporary; that spacepower is geocentric, so every claimed orbital advantage must name its terrestrial political payoff; that celestial lines of communication, satellites together with their ground links, are the objects of strategy; and that denial is cheap where positive control is expensive, so there is no Douhet-style knockout blow available in orbit. John Klein’s Corbettian account converges from a different direction, adding a tiered prescription under which middle and emerging space powers should pursue asymmetric and coalition strategies rather than mirror the superpowers, and observing that the less space-reliant actor holds a coercive edge over the more dependent one. Both treat the commercial space economy as strategically central rather than peripheral, which is the hinge on which this dissertation’s economic emphasis turns.</w:t>
      </w:r>
    </w:p>
    <w:p>
      <w:pPr>
        <w:pStyle w:val="BodyText"/>
        <w:spacing w:line="480" w:lineRule="auto"/>
        <w:ind w:firstLine="720"/>
      </w:pPr>
      <w:r>
        <w:t xml:space="preserve">Brent Ziarnick supplies the economic engine</w:t>
      </w:r>
      <w:r>
        <w:t xml:space="preserve"> </w:t>
      </w:r>
      <w:hyperlink w:anchor="ref-1">
        <w:r>
          <w:rPr>
            <w:rStyle w:val="Hyperlink"/>
          </w:rPr>
          <w:t xml:space="preserve">[1]</w:t>
        </w:r>
      </w:hyperlink>
      <w:r>
        <w:t xml:space="preserve">. His astronautical-power model transposes Mahan’s elements of sea power into the space domain and makes commercial and industrial vitality, expressed as cheap and high-cadence access to orbit, the precondition of durable military space power rather than a procurement detail. This is a falsifiable claim about cost behavior, and it is the claim that Paper 1 of this dissertation puts to the record. The result there is instructive about the state of the literature: an experience-curve regression on thirty-eight launch-vehicle rows returns an elasticity of -0.3292 with a standard error of 0.1575 and a p-value of 0.0366, implying a progress ratio of 0.796, roughly a twenty percent fall in cost per kilogram for each doubling of cumulative launches, but an R-squared of only 0.1217. Learning is present and statistically detectable. It explains about twelve percent of the variance in launch cost, which is to say that the Ziarnick-Mahan hinge is real and is nowhere near sufficient as an account of what determines the price of access to orbit. That gap between a directionally correct theory and a weak empirical fit is characteristic of the whole native literature, and it is visible only because someone estimated it. Wright’s original formulation of the learning curve</w:t>
      </w:r>
      <w:r>
        <w:t xml:space="preserve"> </w:t>
      </w:r>
      <w:hyperlink w:anchor="ref-10">
        <w:r>
          <w:rPr>
            <w:rStyle w:val="Hyperlink"/>
          </w:rPr>
          <w:t xml:space="preserve">[10]</w:t>
        </w:r>
      </w:hyperlink>
      <w:r>
        <w:t xml:space="preserve"> </w:t>
      </w:r>
      <w:r>
        <w:t xml:space="preserve">and Harry Jones’s careful accounting of the recent reduction in launch cost</w:t>
      </w:r>
      <w:r>
        <w:t xml:space="preserve"> </w:t>
      </w:r>
      <w:hyperlink w:anchor="ref-6">
        <w:r>
          <w:rPr>
            <w:rStyle w:val="Hyperlink"/>
          </w:rPr>
          <w:t xml:space="preserve">[6]</w:t>
        </w:r>
      </w:hyperlink>
      <w:r>
        <w:t xml:space="preserve"> </w:t>
      </w:r>
      <w:r>
        <w:t xml:space="preserve">are the methodological ancestors of that estimate, and Jones in particular is one of the few authors who has taken a spacepower economic claim and subjected it to arithmetic.</w:t>
      </w:r>
    </w:p>
    <w:p>
      <w:pPr>
        <w:pStyle w:val="BodyText"/>
        <w:spacing w:line="480" w:lineRule="auto"/>
        <w:ind w:firstLine="720"/>
      </w:pPr>
      <w:r>
        <w:t xml:space="preserve">James Clay Moltz’s environmental account of space security is the closest thing the field has to a structural theory of restraint. His argument that the physical environment of space itself drives behavior toward strategic restraint, and that historic superpower forbearance took the form of mutual abstention rather than positive agreement, explains a pattern that pure realism struggles with. It also carries a warning this dissertation takes seriously: restraint is learned rather than structural, and what is learned can be unlearned by new entrants. Joan Johnson-Freese sharpens the operational corollary by insisting on the distinction between militarization and weaponization and on the verification problem that dual-use ambiguity creates, which is why space arms control has produced declaratory commitments and very little verifiable law.</w:t>
      </w:r>
    </w:p>
    <w:p>
      <w:pPr>
        <w:pStyle w:val="BodyText"/>
        <w:spacing w:line="480" w:lineRule="auto"/>
        <w:ind w:firstLine="720"/>
      </w:pPr>
      <w:r>
        <w:t xml:space="preserve">Walter McDougall’s political history of the space age remains the indispensable corrective to the field’s enthusiasm. His thesis that the space age installed a permanent technocratic state, and that frontier and race rhetoric functions as the legitimating discourse that licenses capability which could not be justified on economic grounds, is the check every claim about commercial dynamism should be run against. It asks who actually absorbed the risk and supplied the demand, and the answer is frequently the state. Mariana Mazzucato’s entrepreneurial-state argument reaches the same conclusion from economics rather than history</w:t>
      </w:r>
      <w:r>
        <w:t xml:space="preserve"> </w:t>
      </w:r>
      <w:hyperlink w:anchor="ref-35">
        <w:r>
          <w:rPr>
            <w:rStyle w:val="Hyperlink"/>
          </w:rPr>
          <w:t xml:space="preserve">[35]</w:t>
        </w:r>
      </w:hyperlink>
      <w:r>
        <w:t xml:space="preserve">[36], and the convergence of a diplomatic historian and a heterodox economist is a stronger result than either alone.</w:t>
      </w:r>
    </w:p>
    <w:p>
      <w:pPr>
        <w:pStyle w:val="BodyText"/>
        <w:spacing w:line="480" w:lineRule="auto"/>
        <w:ind w:firstLine="720"/>
      </w:pPr>
      <w:r>
        <w:t xml:space="preserve">Namrata Goswami and Peter Garretson’s</w:t>
      </w:r>
      <w:r>
        <w:t xml:space="preserve"> </w:t>
      </w:r>
      <w:r>
        <w:rPr>
          <w:i/>
          <w:iCs/>
        </w:rPr>
        <w:t xml:space="preserve">Scramble for the Skies</w:t>
      </w:r>
      <w:r>
        <w:t xml:space="preserve"> </w:t>
      </w:r>
      <w:r>
        <w:t xml:space="preserve">is the framework that most directly anticipates this dissertation’s structure</w:t>
      </w:r>
      <w:r>
        <w:t xml:space="preserve"> </w:t>
      </w:r>
      <w:hyperlink w:anchor="ref-11">
        <w:r>
          <w:rPr>
            <w:rStyle w:val="Hyperlink"/>
          </w:rPr>
          <w:t xml:space="preserve">[11]</w:t>
        </w:r>
      </w:hyperlink>
      <w:r>
        <w:t xml:space="preserve">[75]. Their governing thesis is that a second space race is underway whose stakes are the determinants of economic and military power between states, culminating in a competition to write the rules of a new order. Two of their moves are load-bearing here. The first is their subordination of the military instrument to the economic one, following the hegemonic sequence in which a power first dominates production of the most valuable commodities, then the carrying trade, then finance, and only thereafter acquires the standing to rewrite governing institutions. The second is the rules-window mechanism, the claim that an early governance choice is sticky and confers durable advantage, which turns the question of who writes orbital rules into a time-sensitive one rather than an academic one. Their four-driver decomposition of state space behavior, into resources, technological capability, elite preferences, and talent pool, is an honest attempt at a causal model, and their own appendix concedes that strategic culture, the intervening variable that carries the greatest explanatory weight in their account, is the hardest to falsify. That concession is exactly the vulnerability this dissertation inherits. Andrew Tellis’s earlier analysis of Chinese military space strategy</w:t>
      </w:r>
      <w:r>
        <w:t xml:space="preserve"> </w:t>
      </w:r>
      <w:hyperlink w:anchor="ref-26">
        <w:r>
          <w:rPr>
            <w:rStyle w:val="Hyperlink"/>
          </w:rPr>
          <w:t xml:space="preserve">[26]</w:t>
        </w:r>
      </w:hyperlink>
      <w:r>
        <w:t xml:space="preserve"> </w:t>
      </w:r>
      <w:r>
        <w:t xml:space="preserve">and Brian Weeden’s comparative assessment of Chinese, American, and Russian anti-satellite testing</w:t>
      </w:r>
      <w:r>
        <w:t xml:space="preserve"> </w:t>
      </w:r>
      <w:hyperlink w:anchor="ref-29">
        <w:r>
          <w:rPr>
            <w:rStyle w:val="Hyperlink"/>
          </w:rPr>
          <w:t xml:space="preserve">[29]</w:t>
        </w:r>
      </w:hyperlink>
      <w:r>
        <w:t xml:space="preserve"> </w:t>
      </w:r>
      <w:r>
        <w:t xml:space="preserve">supply the empirical texture that the grand framework needs and does not itself provide.</w:t>
      </w:r>
    </w:p>
    <w:bookmarkEnd w:id="72"/>
    <w:bookmarkStart w:id="73" w:name="Xab8537fa48bbbc3731ec92a24a167870a6a9406"/>
    <w:p>
      <w:pPr>
        <w:pStyle w:val="Heading2"/>
        <w:spacing w:line="480" w:lineRule="auto"/>
      </w:pPr>
      <w:r>
        <w:t xml:space="preserve">2.4 Deterrence in orbit and the poverty of counterspace measurement</w:t>
      </w:r>
    </w:p>
    <w:p>
      <w:pPr>
        <w:pStyle w:val="FirstParagraph"/>
        <w:spacing w:line="480" w:lineRule="auto"/>
      </w:pPr>
      <w:r>
        <w:t xml:space="preserve">The military instrument has the field’s most sophisticated theory and its weakest data. The deterrence canon, from Schelling’s separation of deterrence from compellence and his account of the threat that leaves something to chance</w:t>
      </w:r>
      <w:r>
        <w:t xml:space="preserve"> </w:t>
      </w:r>
      <w:hyperlink w:anchor="ref-20">
        <w:r>
          <w:rPr>
            <w:rStyle w:val="Hyperlink"/>
          </w:rPr>
          <w:t xml:space="preserve">[20]</w:t>
        </w:r>
      </w:hyperlink>
      <w:r>
        <w:t xml:space="preserve"> </w:t>
      </w:r>
      <w:r>
        <w:t xml:space="preserve">through Kahn’s insistence that a stability claim must name the specific rungs and firebreaks by which deterrence would fail</w:t>
      </w:r>
      <w:r>
        <w:t xml:space="preserve"> </w:t>
      </w:r>
      <w:hyperlink w:anchor="ref-21">
        <w:r>
          <w:rPr>
            <w:rStyle w:val="Hyperlink"/>
          </w:rPr>
          <w:t xml:space="preserve">[21]</w:t>
        </w:r>
      </w:hyperlink>
      <w:r>
        <w:t xml:space="preserve">, sets a standard that space-deterrence writing rarely meets. Vincent Manzo’s cross-domain treatment of deterrence and escalation is one of the few works to ask where space and cyberspace actually fit in an escalation framework rather than assuming they fit</w:t>
      </w:r>
      <w:r>
        <w:t xml:space="preserve"> </w:t>
      </w:r>
      <w:hyperlink w:anchor="ref-25">
        <w:r>
          <w:rPr>
            <w:rStyle w:val="Hyperlink"/>
          </w:rPr>
          <w:t xml:space="preserve">[25]</w:t>
        </w:r>
      </w:hyperlink>
      <w:r>
        <w:t xml:space="preserve">. Aaron Boley and Michael Byers supply the physical consequence that any escalation model must internalize, showing how anti-satellite weapon tests disrupt large satellite constellations and impose costs on the tester as much as the target</w:t>
      </w:r>
      <w:r>
        <w:t xml:space="preserve"> </w:t>
      </w:r>
      <w:hyperlink w:anchor="ref-24">
        <w:r>
          <w:rPr>
            <w:rStyle w:val="Hyperlink"/>
          </w:rPr>
          <w:t xml:space="preserve">[24]</w:t>
        </w:r>
      </w:hyperlink>
      <w:r>
        <w:t xml:space="preserve">.</w:t>
      </w:r>
    </w:p>
    <w:p>
      <w:pPr>
        <w:pStyle w:val="BodyText"/>
        <w:spacing w:line="480" w:lineRule="auto"/>
        <w:ind w:firstLine="720"/>
      </w:pPr>
      <w:r>
        <w:t xml:space="preserve">The data foundation for testing any of this is the open-source counterspace record: the Secure World Foundation’s</w:t>
      </w:r>
      <w:r>
        <w:t xml:space="preserve"> </w:t>
      </w:r>
      <w:r>
        <w:rPr>
          <w:i/>
          <w:iCs/>
        </w:rPr>
        <w:t xml:space="preserve">Global Counterspace Capabilities</w:t>
      </w:r>
      <w:r>
        <w:t xml:space="preserve"> </w:t>
      </w:r>
      <w:r>
        <w:t xml:space="preserve">assessments</w:t>
      </w:r>
      <w:r>
        <w:t xml:space="preserve"> </w:t>
      </w:r>
      <w:hyperlink w:anchor="ref-17">
        <w:r>
          <w:rPr>
            <w:rStyle w:val="Hyperlink"/>
          </w:rPr>
          <w:t xml:space="preserve">[17]</w:t>
        </w:r>
      </w:hyperlink>
      <w:r>
        <w:t xml:space="preserve">[18], its per-country direct-ascent anti-satellite fact sheets</w:t>
      </w:r>
      <w:r>
        <w:t xml:space="preserve"> </w:t>
      </w:r>
      <w:hyperlink w:anchor="ref-13">
        <w:r>
          <w:rPr>
            <w:rStyle w:val="Hyperlink"/>
          </w:rPr>
          <w:t xml:space="preserve">[13]</w:t>
        </w:r>
      </w:hyperlink>
      <w:r>
        <w:t xml:space="preserve">[14][15][16], and the Center for Strategic and International Studies</w:t>
      </w:r>
      <w:r>
        <w:t xml:space="preserve"> </w:t>
      </w:r>
      <w:r>
        <w:rPr>
          <w:i/>
          <w:iCs/>
        </w:rPr>
        <w:t xml:space="preserve">Space Threat Assessment</w:t>
      </w:r>
      <w:r>
        <w:t xml:space="preserve"> </w:t>
      </w:r>
      <w:r>
        <w:t xml:space="preserve">series</w:t>
      </w:r>
      <w:r>
        <w:t xml:space="preserve"> </w:t>
      </w:r>
      <w:hyperlink w:anchor="ref-19">
        <w:r>
          <w:rPr>
            <w:rStyle w:val="Hyperlink"/>
          </w:rPr>
          <w:t xml:space="preserve">[19]</w:t>
        </w:r>
      </w:hyperlink>
      <w:r>
        <w:t xml:space="preserve">. These are careful, transparent, and small. The population of destructive counterspace tests is measured in dozens, not thousands, and any statistical treatment inherits a sample that no amount of methodological care can enlarge. The appropriate method for such data is event-history analysis, and the tooling is mature: Cox’s proportional-hazards model</w:t>
      </w:r>
      <w:r>
        <w:t xml:space="preserve"> </w:t>
      </w:r>
      <w:hyperlink w:anchor="ref-30">
        <w:r>
          <w:rPr>
            <w:rStyle w:val="Hyperlink"/>
          </w:rPr>
          <w:t xml:space="preserve">[30]</w:t>
        </w:r>
      </w:hyperlink>
      <w:r>
        <w:t xml:space="preserve"> </w:t>
      </w:r>
      <w:r>
        <w:t xml:space="preserve">and its modern open-source implementation</w:t>
      </w:r>
      <w:r>
        <w:t xml:space="preserve"> </w:t>
      </w:r>
      <w:hyperlink w:anchor="ref-31">
        <w:r>
          <w:rPr>
            <w:rStyle w:val="Hyperlink"/>
          </w:rPr>
          <w:t xml:space="preserve">[31]</w:t>
        </w:r>
      </w:hyperlink>
      <w:r>
        <w:t xml:space="preserve"> </w:t>
      </w:r>
      <w:r>
        <w:t xml:space="preserve">are standard, and the technique has already been applied within the space domain to the occurrence of maneuvers by non-cooperative satellites</w:t>
      </w:r>
      <w:r>
        <w:t xml:space="preserve"> </w:t>
      </w:r>
      <w:hyperlink w:anchor="ref-79">
        <w:r>
          <w:rPr>
            <w:rStyle w:val="Hyperlink"/>
          </w:rPr>
          <w:t xml:space="preserve">[79]</w:t>
        </w:r>
      </w:hyperlink>
      <w:r>
        <w:t xml:space="preserve">, the closest methodological precedent for the application attempted here.</w:t>
      </w:r>
    </w:p>
    <w:p>
      <w:pPr>
        <w:pStyle w:val="BodyText"/>
        <w:spacing w:line="480" w:lineRule="auto"/>
        <w:ind w:firstLine="720"/>
      </w:pPr>
      <w:r>
        <w:t xml:space="preserve">Paper 2 runs that model on twenty-seven spells containing twenty-three events, and the honest report is that it largely returns nothing. Prior own tests carry a coefficient of 0.1155, a hazard ratio of 1.1224, and a p-value of 0.0727, which is marginal and nothing more. Rival tests within the preceding twenty-four months return a coefficient of -0.1738, a hazard ratio of 0.8405, and a p-value of 0.3629, a null. Whether the prior test was kinetic returns a coefficient of -0.0977, a hazard ratio of 0.9069, and a p-value of 0.8853, a clean null. The action-reaction dynamic the deterrence literature treats as the central mechanism of counterspace escalation does not appear in the timing record at conventional levels of confidence. This is a finding about the state of the evidence rather than a refutation of the theory: the military instrument’s canonical claims are, on the currently available open-source record, not testable to a standard that would support them. That is worth knowing, and it is not what the doctrinal literature says.</w:t>
      </w:r>
    </w:p>
    <w:bookmarkEnd w:id="73"/>
    <w:bookmarkStart w:id="74" w:name="X78efedc1f0c02a16b0d4b7bc748274830595077"/>
    <w:p>
      <w:pPr>
        <w:pStyle w:val="Heading2"/>
        <w:spacing w:line="480" w:lineRule="auto"/>
      </w:pPr>
      <w:r>
        <w:t xml:space="preserve">2.5 Economic statecraft: the deepest and least applied literature</w:t>
      </w:r>
    </w:p>
    <w:p>
      <w:pPr>
        <w:pStyle w:val="FirstParagraph"/>
        <w:spacing w:line="480" w:lineRule="auto"/>
      </w:pPr>
      <w:r>
        <w:t xml:space="preserve">The economic instrument receives the greatest depth in this dissertation, and the reason is that its literature is simultaneously the most developed on Earth and the least applied in orbit.</w:t>
      </w:r>
    </w:p>
    <w:p>
      <w:pPr>
        <w:pStyle w:val="BodyText"/>
        <w:spacing w:line="480" w:lineRule="auto"/>
        <w:ind w:firstLine="720"/>
      </w:pPr>
      <w:r>
        <w:t xml:space="preserve">Albert Hirschman’s</w:t>
      </w:r>
      <w:r>
        <w:t xml:space="preserve"> </w:t>
      </w:r>
      <w:r>
        <w:rPr>
          <w:i/>
          <w:iCs/>
        </w:rPr>
        <w:t xml:space="preserve">National Power and the Structure of Foreign Trade</w:t>
      </w:r>
      <w:r>
        <w:t xml:space="preserve"> </w:t>
      </w:r>
      <w:r>
        <w:t xml:space="preserve">is the origin point</w:t>
      </w:r>
      <w:r>
        <w:t xml:space="preserve"> </w:t>
      </w:r>
      <w:hyperlink w:anchor="ref-34">
        <w:r>
          <w:rPr>
            <w:rStyle w:val="Hyperlink"/>
          </w:rPr>
          <w:t xml:space="preserve">[34]</w:t>
        </w:r>
      </w:hyperlink>
      <w:r>
        <w:t xml:space="preserve">. Its insight, that asymmetric trade dependence generates an influence effect the stronger partner can convert into political leverage, and that a state can deliberately structure trade in order to manufacture such dependence, is the ancestor of every subsequent account of weaponized interdependence. Its discipline, applied to space, is to require that for each capability one map who depends asymmetrically on whom, because aggregate market size is not leverage and asymmetry is. Launch, radiation-hardened electronics, high-performance optics, ground-station networks, and geostationary slots are each candidates for such an analysis, and each remains largely unmapped.</w:t>
      </w:r>
    </w:p>
    <w:p>
      <w:pPr>
        <w:pStyle w:val="BodyText"/>
        <w:spacing w:line="480" w:lineRule="auto"/>
        <w:ind w:firstLine="720"/>
      </w:pPr>
      <w:r>
        <w:t xml:space="preserve">David Baldwin’s</w:t>
      </w:r>
      <w:r>
        <w:t xml:space="preserve"> </w:t>
      </w:r>
      <w:r>
        <w:rPr>
          <w:i/>
          <w:iCs/>
        </w:rPr>
        <w:t xml:space="preserve">Economic Statecraft</w:t>
      </w:r>
      <w:r>
        <w:t xml:space="preserve"> </w:t>
      </w:r>
      <w:r>
        <w:t xml:space="preserve">supplies the taxonomy and the evaluative standard</w:t>
      </w:r>
      <w:r>
        <w:t xml:space="preserve"> </w:t>
      </w:r>
      <w:hyperlink w:anchor="ref-32">
        <w:r>
          <w:rPr>
            <w:rStyle w:val="Hyperlink"/>
          </w:rPr>
          <w:t xml:space="preserve">[32]</w:t>
        </w:r>
      </w:hyperlink>
      <w:r>
        <w:t xml:space="preserve">. Two of his moves matter most here. The first is his insistence that economic instruments be placed on the same analytic footing as force rather than relegated to a residual category of low politics, which converts launch subsidies, export controls, technology-transfer restrictions, and anchor-tenancy contracts from administrative detail into instruments of grand strategy. The second is his opportunity-cost standard, under which no instrument may be judged in isolation but only against the realistic alternatives a policymaker actually faced, including inaction. His recovery of positive sanctions, inducements rather than punishments, is the correction that space policy most needs, because guaranteed markets and preferential data access are often cheaper and more durable than denial. Baldwin’s influence-attempt framing, which asks precisely who is trying to get whom to do what, is a template for auditing whether a given orbital economic measure has a coherent target and objective at all. Applied to the space domain, a great many measures fail that audit.</w:t>
      </w:r>
    </w:p>
    <w:p>
      <w:pPr>
        <w:pStyle w:val="BodyText"/>
        <w:spacing w:line="480" w:lineRule="auto"/>
        <w:ind w:firstLine="720"/>
      </w:pPr>
      <w:r>
        <w:t xml:space="preserve">Robert Blackwill and Jennifer Harris translate the taxonomy into an operational toolkit</w:t>
      </w:r>
      <w:r>
        <w:t xml:space="preserve"> </w:t>
      </w:r>
      <w:hyperlink w:anchor="ref-37">
        <w:r>
          <w:rPr>
            <w:rStyle w:val="Hyperlink"/>
          </w:rPr>
          <w:t xml:space="preserve">[37]</w:t>
        </w:r>
      </w:hyperlink>
      <w:r>
        <w:t xml:space="preserve">. Their argument that great-power competition has migrated into the economic domain, wielded through trade, investment, sanctions, the cyber domain, aid, monetary and financial policy, and commodity policy, maps almost completely onto the instruments available in space competition: investment screening of foreign stakes in launch and constellation firms, financial and export controls aimed at counterspace supply chains, development finance that draws third states into one’s ground-segment and standards orbit, and control of critical components. Their concept of geoeconomic endowment, the structural control of markets, currency, chokepoints, and dominant firms that determines whether a state can play geoeconomics at all, is the variable that most cleanly separates the actors who can compete in orbit from those who can only participate. Edward Luttwak’s earlier formulation of geoeconomics as the logic of conflict in the grammar of commerce is the conceptual precursor, and his paradoxical logic of strategy, under which a winning method invites its own counter and expansion has a culminating point of success beyond which continuation produces decline, is a caution the space-primacy literature has not absorbed</w:t>
      </w:r>
      <w:r>
        <w:t xml:space="preserve"> </w:t>
      </w:r>
      <w:hyperlink w:anchor="ref-71">
        <w:r>
          <w:rPr>
            <w:rStyle w:val="Hyperlink"/>
          </w:rPr>
          <w:t xml:space="preserve">[71]</w:t>
        </w:r>
      </w:hyperlink>
      <w:r>
        <w:t xml:space="preserve">.</w:t>
      </w:r>
    </w:p>
    <w:p>
      <w:pPr>
        <w:pStyle w:val="BodyText"/>
        <w:spacing w:line="480" w:lineRule="auto"/>
        <w:ind w:firstLine="720"/>
      </w:pPr>
      <w:r>
        <w:t xml:space="preserve">William Norris supplies the mechanism the others assume</w:t>
      </w:r>
      <w:r>
        <w:t xml:space="preserve"> </w:t>
      </w:r>
      <w:hyperlink w:anchor="ref-33">
        <w:r>
          <w:rPr>
            <w:rStyle w:val="Hyperlink"/>
          </w:rPr>
          <w:t xml:space="preserve">[33]</w:t>
        </w:r>
      </w:hyperlink>
      <w:r>
        <w:t xml:space="preserve">. His treatment of economic statecraft as a principal-agent control problem, in which strategic effect requires both state centralization of goals and the practical ability to steer commercial actors whose controllability varies by type, is the central and under-modeled question of commercial space statecraft. It explains why a state-owned launch provider is directable and a profit-seeking constellation operator may defect toward commercial incentives at exactly the moment strategy requires otherwise. His concept of security externalities, which decouples strategic value from transaction value so that a commercially trivial deal can be strategically decisive if it produces access, dependency, or leverage, is directly applicable to the ground-segment and data-services layer of the space economy.</w:t>
      </w:r>
    </w:p>
    <w:p>
      <w:pPr>
        <w:pStyle w:val="BodyText"/>
        <w:spacing w:line="480" w:lineRule="auto"/>
        <w:ind w:firstLine="720"/>
      </w:pPr>
      <w:r>
        <w:t xml:space="preserve">The innovation strand runs alongside. Schumpeter’s separation of invention from innovation, the latter understood as first commercial introduction at scale, and his account of creative destruction and the transience of monopoly rents in dynamic competition</w:t>
      </w:r>
      <w:r>
        <w:t xml:space="preserve"> </w:t>
      </w:r>
      <w:hyperlink w:anchor="ref-4">
        <w:r>
          <w:rPr>
            <w:rStyle w:val="Hyperlink"/>
          </w:rPr>
          <w:t xml:space="preserve">[4]</w:t>
        </w:r>
      </w:hyperlink>
      <w:r>
        <w:t xml:space="preserve">[5], is the tool that disciplines loose claims that entrant firms disrupted space. Mazzucato’s counterargument, that the state is frequently the lead risk-taker in radical innovation and that mission-oriented policy shapes and creates markets rather than merely repairing failures</w:t>
      </w:r>
      <w:r>
        <w:t xml:space="preserve"> </w:t>
      </w:r>
      <w:hyperlink w:anchor="ref-35">
        <w:r>
          <w:rPr>
            <w:rStyle w:val="Hyperlink"/>
          </w:rPr>
          <w:t xml:space="preserve">[35]</w:t>
        </w:r>
      </w:hyperlink>
      <w:r>
        <w:t xml:space="preserve">[36], is the better description of how commercial cargo and crew programs actually came about, and her risk-and-reward principle raises a question the space-policy literature avoids, which is what the public retains when public risk produces private upside.</w:t>
      </w:r>
    </w:p>
    <w:p>
      <w:pPr>
        <w:pStyle w:val="BodyText"/>
        <w:spacing w:line="480" w:lineRule="auto"/>
        <w:ind w:firstLine="720"/>
      </w:pPr>
      <w:r>
        <w:t xml:space="preserve">Paul Kennedy’s</w:t>
      </w:r>
      <w:r>
        <w:t xml:space="preserve"> </w:t>
      </w:r>
      <w:r>
        <w:rPr>
          <w:i/>
          <w:iCs/>
        </w:rPr>
        <w:t xml:space="preserve">Rise and Fall of the Great Powers</w:t>
      </w:r>
      <w:r>
        <w:t xml:space="preserve"> </w:t>
      </w:r>
      <w:r>
        <w:t xml:space="preserve">anchors the long-run frame</w:t>
      </w:r>
      <w:r>
        <w:t xml:space="preserve"> </w:t>
      </w:r>
      <w:hyperlink w:anchor="ref-67">
        <w:r>
          <w:rPr>
            <w:rStyle w:val="Hyperlink"/>
          </w:rPr>
          <w:t xml:space="preserve">[67]</w:t>
        </w:r>
      </w:hyperlink>
      <w:r>
        <w:t xml:space="preserve">. Its claims are two: that relative economic and productive power drives long-run strategic standing, and that great powers decline through imperial overstretch when commitments outrun the economic base. Both are, unusually for the canon, measurable. This dissertation’s Paper 5 measures them, and the result is a refutation. Across twenty-two major programs, space spending as a share of gross domestic product returns a coefficient of 347.53 with a standard error of 2621.82 and a p-value of 0.8945, and the space effort ratio returns 0.2141 with a standard error of 0.5640 and a p-value of 0.7043. Both overstretch terms are null, and comfortably so. What is not null is duration: each additional year between baseline approval and assessment is associated with a coefficient of 13.9596 with a standard error of 4.6125 and a p-value of 0.0025, roughly fourteen additional percentage points of cost overrun per year of exposure. Human spaceflight returns -35.54 with a standard error of 27.45 and a p-value of 0.1954, a null. The model fits well, with an R-squared of 0.7003 and an adjusted R-squared of 0.6298. The Kennedy hypothesis, transposed to orbit, does not survive. The driver of program failure on this evidence is exposure and duration, not the ratio of ambition to national wealth. That is a genuine finding, and it is a finding against the canon.</w:t>
      </w:r>
    </w:p>
    <w:p>
      <w:pPr>
        <w:pStyle w:val="BodyText"/>
        <w:spacing w:line="480" w:lineRule="auto"/>
        <w:ind w:firstLine="720"/>
      </w:pPr>
      <w:r>
        <w:t xml:space="preserve">The complementary result runs the other way. Paper 3 tests the Baldwin proposition that deliberate appropriation, rather than raw national wealth, is what converts into orbital presence</w:t>
      </w:r>
      <w:r>
        <w:t xml:space="preserve"> </w:t>
      </w:r>
      <w:hyperlink w:anchor="ref-32">
        <w:r>
          <w:rPr>
            <w:rStyle w:val="Hyperlink"/>
          </w:rPr>
          <w:t xml:space="preserve">[32]</w:t>
        </w:r>
      </w:hyperlink>
      <w:r>
        <w:t xml:space="preserve">. Across twenty-seven country-years, the log space budget returns a coefficient of 1.3190 with a robust standard error of 0.3127, a p-value below 0.0001, and a ninety-five percent confidence interval from 0.706 to 1.932, estimated with heteroskedasticity-consistent standard errors of the form White established</w:t>
      </w:r>
      <w:r>
        <w:t xml:space="preserve"> </w:t>
      </w:r>
      <w:hyperlink w:anchor="ref-48">
        <w:r>
          <w:rPr>
            <w:rStyle w:val="Hyperlink"/>
          </w:rPr>
          <w:t xml:space="preserve">[48]</w:t>
        </w:r>
      </w:hyperlink>
      <w:r>
        <w:t xml:space="preserve">. Log gross domestic product returns -0.3263 with a standard error of 0.5161 and a p-value of 0.5272, a null once budget is controlled. A Wald test of the restriction that the elasticity equals unity returns a p-value of 0.308, so the relationship cannot be distinguished from proportional. The model achieves an R-squared of 0.7988 and an adjusted R-squared of 0.7384. The honest caveat is severe and must be stated wherever the result is: the correlation between log budget and log GDP is 0.901 with variance inflation factors of 6.4 and 5.9, so the two are genuinely difficult to separate, and the defensible reading is that the budget carries the explanatory content rather than that national wealth is irrelevant. This is the strongest finding in the dissertation, and it is the one place where a canonical proposition about the economic instrument survives contact with data. It rests on the OECD’s space-economy accounts</w:t>
      </w:r>
      <w:r>
        <w:t xml:space="preserve"> </w:t>
      </w:r>
      <w:hyperlink w:anchor="ref-47">
        <w:r>
          <w:rPr>
            <w:rStyle w:val="Hyperlink"/>
          </w:rPr>
          <w:t xml:space="preserve">[47]</w:t>
        </w:r>
      </w:hyperlink>
      <w:r>
        <w:t xml:space="preserve">[76], the Euroconsult and Novaspace government-programs series</w:t>
      </w:r>
      <w:r>
        <w:t xml:space="preserve"> </w:t>
      </w:r>
      <w:hyperlink w:anchor="ref-39">
        <w:r>
          <w:rPr>
            <w:rStyle w:val="Hyperlink"/>
          </w:rPr>
          <w:t xml:space="preserve">[39]</w:t>
        </w:r>
      </w:hyperlink>
      <w:r>
        <w:t xml:space="preserve">[40][41][42][43], World Bank national accounts</w:t>
      </w:r>
      <w:r>
        <w:t xml:space="preserve"> </w:t>
      </w:r>
      <w:hyperlink w:anchor="ref-44">
        <w:r>
          <w:rPr>
            <w:rStyle w:val="Hyperlink"/>
          </w:rPr>
          <w:t xml:space="preserve">[44]</w:t>
        </w:r>
      </w:hyperlink>
      <w:r>
        <w:t xml:space="preserve">, and the CelesTrak satellite catalogue</w:t>
      </w:r>
      <w:r>
        <w:t xml:space="preserve"> </w:t>
      </w:r>
      <w:hyperlink w:anchor="ref-45">
        <w:r>
          <w:rPr>
            <w:rStyle w:val="Hyperlink"/>
          </w:rPr>
          <w:t xml:space="preserve">[45]</w:t>
        </w:r>
      </w:hyperlink>
      <w:r>
        <w:t xml:space="preserve">, which is to say on the second literature rather than the first.</w:t>
      </w:r>
    </w:p>
    <w:bookmarkEnd w:id="74"/>
    <w:bookmarkStart w:id="75" w:name="Xa2c3a018db31096646a27b4f125bbc7fecbc4d7"/>
    <w:p>
      <w:pPr>
        <w:pStyle w:val="Heading2"/>
        <w:spacing w:line="480" w:lineRule="auto"/>
      </w:pPr>
      <w:r>
        <w:t xml:space="preserve">2.6 The institutional economics of the orbital commons</w:t>
      </w:r>
    </w:p>
    <w:p>
      <w:pPr>
        <w:pStyle w:val="FirstParagraph"/>
        <w:spacing w:line="480" w:lineRule="auto"/>
      </w:pPr>
      <w:r>
        <w:t xml:space="preserve">Between the statecraft literature and the governance literature sits the institutional-economics tradition, which is the most promising unexploited resource in the field.</w:t>
      </w:r>
    </w:p>
    <w:p>
      <w:pPr>
        <w:pStyle w:val="BodyText"/>
        <w:spacing w:line="480" w:lineRule="auto"/>
        <w:ind w:firstLine="720"/>
      </w:pPr>
      <w:r>
        <w:t xml:space="preserve">Elinor Ostrom’s</w:t>
      </w:r>
      <w:r>
        <w:t xml:space="preserve"> </w:t>
      </w:r>
      <w:r>
        <w:rPr>
          <w:i/>
          <w:iCs/>
        </w:rPr>
        <w:t xml:space="preserve">Governing the Commons</w:t>
      </w:r>
      <w:r>
        <w:t xml:space="preserve"> </w:t>
      </w:r>
      <w:r>
        <w:t xml:space="preserve">refuted the inevitability of the tragedy and replaced it with an empirical finding: durable self-governance of common-pool resources appears where a specific architecture is present, centred on clearly defined boundaries, accountable monitoring, graduated sanctions, low-cost conflict resolution, and polycentric nesting rather than a single monopoly authority</w:t>
      </w:r>
      <w:r>
        <w:t xml:space="preserve"> </w:t>
      </w:r>
      <w:hyperlink w:anchor="ref-49">
        <w:r>
          <w:rPr>
            <w:rStyle w:val="Hyperlink"/>
          </w:rPr>
          <w:t xml:space="preserve">[49]</w:t>
        </w:r>
      </w:hyperlink>
      <w:r>
        <w:t xml:space="preserve">. Her later work formalized the institutional-analysis framework</w:t>
      </w:r>
      <w:r>
        <w:t xml:space="preserve"> </w:t>
      </w:r>
      <w:hyperlink w:anchor="ref-50">
        <w:r>
          <w:rPr>
            <w:rStyle w:val="Hyperlink"/>
          </w:rPr>
          <w:t xml:space="preserve">[50]</w:t>
        </w:r>
      </w:hyperlink>
      <w:r>
        <w:t xml:space="preserve"> </w:t>
      </w:r>
      <w:r>
        <w:t xml:space="preserve">and extended the polycentric argument to global environmental problems</w:t>
      </w:r>
      <w:r>
        <w:t xml:space="preserve"> </w:t>
      </w:r>
      <w:hyperlink w:anchor="ref-51">
        <w:r>
          <w:rPr>
            <w:rStyle w:val="Hyperlink"/>
          </w:rPr>
          <w:t xml:space="preserve">[51]</w:t>
        </w:r>
      </w:hyperlink>
      <w:r>
        <w:t xml:space="preserve">. Low Earth orbit is a common-pool resource in her precise sense, high in subtractability because abandoned hardware permanently crowds the volume, and low in excludability because no authority can fence users out. That mapping is now widely asserted in space-governance writing and almost never tested.</w:t>
      </w:r>
    </w:p>
    <w:p>
      <w:pPr>
        <w:pStyle w:val="BodyText"/>
        <w:spacing w:line="480" w:lineRule="auto"/>
        <w:ind w:firstLine="720"/>
      </w:pPr>
      <w:r>
        <w:t xml:space="preserve">Douglass North supplies the enforcement condition</w:t>
      </w:r>
      <w:r>
        <w:t xml:space="preserve"> </w:t>
      </w:r>
      <w:hyperlink w:anchor="ref-52">
        <w:r>
          <w:rPr>
            <w:rStyle w:val="Hyperlink"/>
          </w:rPr>
          <w:t xml:space="preserve">[52]</w:t>
        </w:r>
      </w:hyperlink>
      <w:r>
        <w:t xml:space="preserve">. His formulation that institutions are the rules of the game, formal and informal together with their enforcement characteristics, carries the corollary that a formal rule without credible enforcement is not an effective institution at all, which is the sharpest available critique of the current orbital regime. His work with Barry Weingast on constitutions and commitment demonstrates the mechanism by which a sovereign’s self-binding becomes credible and thereby productive</w:t>
      </w:r>
      <w:r>
        <w:t xml:space="preserve"> </w:t>
      </w:r>
      <w:hyperlink w:anchor="ref-53">
        <w:r>
          <w:rPr>
            <w:rStyle w:val="Hyperlink"/>
          </w:rPr>
          <w:t xml:space="preserve">[53]</w:t>
        </w:r>
      </w:hyperlink>
      <w:r>
        <w:t xml:space="preserve">, and his path-dependence argument is the rigorous form of the closing-window claim that Goswami and Garretson make in strategic language</w:t>
      </w:r>
      <w:r>
        <w:t xml:space="preserve"> </w:t>
      </w:r>
      <w:hyperlink w:anchor="ref-75">
        <w:r>
          <w:rPr>
            <w:rStyle w:val="Hyperlink"/>
          </w:rPr>
          <w:t xml:space="preserve">[75]</w:t>
        </w:r>
      </w:hyperlink>
      <w:r>
        <w:t xml:space="preserve">. Oliver Williamson’s transaction-cost economics explains the contracting structures of the commercial space transition better than any domain-native account</w:t>
      </w:r>
      <w:r>
        <w:t xml:space="preserve"> </w:t>
      </w:r>
      <w:hyperlink w:anchor="ref-54">
        <w:r>
          <w:rPr>
            <w:rStyle w:val="Hyperlink"/>
          </w:rPr>
          <w:t xml:space="preserve">[54]</w:t>
        </w:r>
      </w:hyperlink>
      <w:r>
        <w:t xml:space="preserve">[55]: the make-buy-partner boundary set by asset specificity, uncertainty, and frequency explains the shift from owning systems to buying services, and his hold-up analysis identifies on-orbit servicing as the purest bilateral-dependency problem in the space economy.</w:t>
      </w:r>
    </w:p>
    <w:p>
      <w:pPr>
        <w:pStyle w:val="BodyText"/>
        <w:spacing w:line="480" w:lineRule="auto"/>
        <w:ind w:firstLine="720"/>
      </w:pPr>
      <w:r>
        <w:t xml:space="preserve">This tradition matters to the seam because it is the one body of theory that already speaks both languages. Ostrom’s design principles are stated in terms that can be coded, and North’s enforcement condition in terms that can be observed. That the field has borrowed the vocabulary without attempting the coding is precisely the gap this dissertation probes.</w:t>
      </w:r>
    </w:p>
    <w:bookmarkEnd w:id="75"/>
    <w:bookmarkStart w:id="76" w:name="X56b6ace89ed8a42355bbe8375ae35aa05b21c80"/>
    <w:p>
      <w:pPr>
        <w:pStyle w:val="Heading2"/>
        <w:spacing w:line="480" w:lineRule="auto"/>
      </w:pPr>
      <w:r>
        <w:t xml:space="preserve">2.7 Governance, debris, and spectrum: measurement without theory</w:t>
      </w:r>
    </w:p>
    <w:p>
      <w:pPr>
        <w:pStyle w:val="FirstParagraph"/>
        <w:spacing w:line="480" w:lineRule="auto"/>
      </w:pPr>
      <w:r>
        <w:t xml:space="preserve">The second literature is the mirror image of the first. Its instruments are exact, dated, and auditable, and it makes almost no strategic claims at all.</w:t>
      </w:r>
    </w:p>
    <w:p>
      <w:pPr>
        <w:pStyle w:val="BodyText"/>
        <w:spacing w:line="480" w:lineRule="auto"/>
        <w:ind w:firstLine="720"/>
      </w:pPr>
      <w:r>
        <w:t xml:space="preserve">The European Space Agency’s annual space environment report is the closest thing the domain has to a national account of the orbital commons, tracking population, compliance, and trend with a methodology that is published and revised</w:t>
      </w:r>
      <w:r>
        <w:t xml:space="preserve"> </w:t>
      </w:r>
      <w:hyperlink w:anchor="ref-59">
        <w:r>
          <w:rPr>
            <w:rStyle w:val="Hyperlink"/>
          </w:rPr>
          <w:t xml:space="preserve">[59]</w:t>
        </w:r>
      </w:hyperlink>
      <w:r>
        <w:t xml:space="preserve">. The Inter-Agency Space Debris Coordination Committee’s mitigation guidelines supply the technical baseline that national regimes implement</w:t>
      </w:r>
      <w:r>
        <w:t xml:space="preserve"> </w:t>
      </w:r>
      <w:hyperlink w:anchor="ref-60">
        <w:r>
          <w:rPr>
            <w:rStyle w:val="Hyperlink"/>
          </w:rPr>
          <w:t xml:space="preserve">[60]</w:t>
        </w:r>
      </w:hyperlink>
      <w:r>
        <w:t xml:space="preserve">, the United Nations long-term sustainability guidelines supply the multilateral soft-law layer</w:t>
      </w:r>
      <w:r>
        <w:t xml:space="preserve"> </w:t>
      </w:r>
      <w:hyperlink w:anchor="ref-61">
        <w:r>
          <w:rPr>
            <w:rStyle w:val="Hyperlink"/>
          </w:rPr>
          <w:t xml:space="preserve">[61]</w:t>
        </w:r>
      </w:hyperlink>
      <w:r>
        <w:t xml:space="preserve">, the International Organization for Standardization’s requirements standard supplies the engineering specification</w:t>
      </w:r>
      <w:r>
        <w:t xml:space="preserve"> </w:t>
      </w:r>
      <w:hyperlink w:anchor="ref-65">
        <w:r>
          <w:rPr>
            <w:rStyle w:val="Hyperlink"/>
          </w:rPr>
          <w:t xml:space="preserve">[65]</w:t>
        </w:r>
      </w:hyperlink>
      <w:r>
        <w:t xml:space="preserve">, and national instruments such as the Federal Communications Commission’s orbital-debris orders</w:t>
      </w:r>
      <w:r>
        <w:t xml:space="preserve"> </w:t>
      </w:r>
      <w:hyperlink w:anchor="ref-62">
        <w:r>
          <w:rPr>
            <w:rStyle w:val="Hyperlink"/>
          </w:rPr>
          <w:t xml:space="preserve">[62]</w:t>
        </w:r>
      </w:hyperlink>
      <w:r>
        <w:t xml:space="preserve"> </w:t>
      </w:r>
      <w:r>
        <w:t xml:space="preserve">and the European Space Agency’s own mitigation policy</w:t>
      </w:r>
      <w:r>
        <w:t xml:space="preserve"> </w:t>
      </w:r>
      <w:hyperlink w:anchor="ref-63">
        <w:r>
          <w:rPr>
            <w:rStyle w:val="Hyperlink"/>
          </w:rPr>
          <w:t xml:space="preserve">[63]</w:t>
        </w:r>
      </w:hyperlink>
      <w:r>
        <w:t xml:space="preserve"> </w:t>
      </w:r>
      <w:r>
        <w:t xml:space="preserve">supply the binding obligations that actually condition licences. The mission-level record is likewise granular, from Alby’s account of the Spot 1 disposal manoeuvres</w:t>
      </w:r>
      <w:r>
        <w:t xml:space="preserve"> </w:t>
      </w:r>
      <w:hyperlink w:anchor="ref-66">
        <w:r>
          <w:rPr>
            <w:rStyle w:val="Hyperlink"/>
          </w:rPr>
          <w:t xml:space="preserve">[66]</w:t>
        </w:r>
      </w:hyperlink>
      <w:r>
        <w:t xml:space="preserve"> </w:t>
      </w:r>
      <w:r>
        <w:t xml:space="preserve">to the per-mission records that agencies, regulators, and the peer-reviewed literature document case by case</w:t>
      </w:r>
      <w:r>
        <w:t xml:space="preserve"> </w:t>
      </w:r>
      <w:hyperlink w:anchor="ref-64">
        <w:r>
          <w:rPr>
            <w:rStyle w:val="Hyperlink"/>
          </w:rPr>
          <w:t xml:space="preserve">[64]</w:t>
        </w:r>
      </w:hyperlink>
      <w:r>
        <w:t xml:space="preserve">. The applied research literature is equally concrete, whether on disposal strategies for near-rectilinear halo orbits</w:t>
      </w:r>
      <w:r>
        <w:t xml:space="preserve"> </w:t>
      </w:r>
      <w:hyperlink w:anchor="ref-85">
        <w:r>
          <w:rPr>
            <w:rStyle w:val="Hyperlink"/>
          </w:rPr>
          <w:t xml:space="preserve">[85]</w:t>
        </w:r>
      </w:hyperlink>
      <w:r>
        <w:t xml:space="preserve">, on the risk landscape of the space economy</w:t>
      </w:r>
      <w:r>
        <w:t xml:space="preserve"> </w:t>
      </w:r>
      <w:hyperlink w:anchor="ref-87">
        <w:r>
          <w:rPr>
            <w:rStyle w:val="Hyperlink"/>
          </w:rPr>
          <w:t xml:space="preserve">[87]</w:t>
        </w:r>
      </w:hyperlink>
      <w:r>
        <w:t xml:space="preserve">, or on the element-set infrastructure that makes conjunction assessment possible at all</w:t>
      </w:r>
      <w:r>
        <w:t xml:space="preserve"> </w:t>
      </w:r>
      <w:hyperlink w:anchor="ref-83">
        <w:r>
          <w:rPr>
            <w:rStyle w:val="Hyperlink"/>
          </w:rPr>
          <w:t xml:space="preserve">[83]</w:t>
        </w:r>
      </w:hyperlink>
      <w:r>
        <w:t xml:space="preserve">.</w:t>
      </w:r>
    </w:p>
    <w:p>
      <w:pPr>
        <w:pStyle w:val="BodyText"/>
        <w:spacing w:line="480" w:lineRule="auto"/>
        <w:ind w:firstLine="720"/>
      </w:pPr>
      <w:r>
        <w:t xml:space="preserve">What this body of work does not contain is a theory of why compliance happens. It documents that a requirement exists and that an outcome occurred. It does not model the relationship, partly because the population of documented end-of-life events is small and partly because the discipline has no incentive to ask an institutional question. Paper 4 asks it, and the result is the sharpest illustration in the dissertation of what the seam costs. On twenty-five documented end-of-life events between 2000 and 2023, nineteen successes and six failures, all in low Earth orbit, an ordinal index of licensing strength returns a coefficient of 0.023613 with a standard error of 0.693694 and a p-value of 0.9728. That is not a weak result. It is a clean null, an estimate at essentially zero with a symmetric interval, and it is the direct disconfirmation of the Ostrom monitoring-and-sanctions prediction on the record as it can currently be observed</w:t>
      </w:r>
      <w:r>
        <w:t xml:space="preserve"> </w:t>
      </w:r>
      <w:hyperlink w:anchor="ref-49">
        <w:r>
          <w:rPr>
            <w:rStyle w:val="Hyperlink"/>
          </w:rPr>
          <w:t xml:space="preserve">[49]</w:t>
        </w:r>
      </w:hyperlink>
      <w:r>
        <w:t xml:space="preserve">. Orbital altitude runs the other way, with a coefficient of -0.007289, a standard error of 0.004121, and a p-value of 0.0769, an odds ratio of roughly 0.48 per hundred kilometres, with failures averaging 832 kilometres against 565 kilometres for successes; the model achieves a pseudo R-squared of 0.3008 and a likelihood-ratio p-value of 0.0404. That altitude association must be reported as directional and unconfirmed rather than established, because dropping the single highest-altitude influential failure moves the altitude coefficient to -0.00682 with a p-value of 0.135 and the model’s likelihood-ratio p-value to 0.146. Physics survives the sensitivity check only weakly. Paper law does not appear at all. Whether that reflects the world or reflects a twenty-five-case record built from what agencies chose to publish is a question the second literature has the data to answer and has not asked.</w:t>
      </w:r>
    </w:p>
    <w:bookmarkEnd w:id="76"/>
    <w:bookmarkStart w:id="77" w:name="Xb8a9509b5e90cb7f83dbe5b0a06dbea25599d15"/>
    <w:p>
      <w:pPr>
        <w:pStyle w:val="Heading2"/>
        <w:spacing w:line="480" w:lineRule="auto"/>
      </w:pPr>
      <w:r>
        <w:t xml:space="preserve">2.8 The Legal and Law-Enforcement axis: the most underdeveloped instrument</w:t>
      </w:r>
    </w:p>
    <w:p>
      <w:pPr>
        <w:pStyle w:val="FirstParagraph"/>
        <w:spacing w:line="480" w:lineRule="auto"/>
      </w:pPr>
      <w:r>
        <w:t xml:space="preserve">The two instruments this dissertation adds to the DIME paradigm are the ones with the thinnest literature, and the thinness is structural rather than accidental.</w:t>
      </w:r>
    </w:p>
    <w:p>
      <w:pPr>
        <w:pStyle w:val="BodyText"/>
        <w:spacing w:line="480" w:lineRule="auto"/>
        <w:ind w:firstLine="720"/>
      </w:pPr>
      <w:r>
        <w:t xml:space="preserve">The legal axis has a distinguished ancestry. Grotius’s</w:t>
      </w:r>
      <w:r>
        <w:t xml:space="preserve"> </w:t>
      </w:r>
      <w:r>
        <w:rPr>
          <w:i/>
          <w:iCs/>
        </w:rPr>
        <w:t xml:space="preserve">Mare Liberum</w:t>
      </w:r>
      <w:r>
        <w:t xml:space="preserve"> </w:t>
      </w:r>
      <w:r>
        <w:t xml:space="preserve">established the sea as</w:t>
      </w:r>
      <w:r>
        <w:t xml:space="preserve"> </w:t>
      </w:r>
      <w:r>
        <w:rPr>
          <w:i/>
          <w:iCs/>
        </w:rPr>
        <w:t xml:space="preserve">res communis</w:t>
      </w:r>
      <w:r>
        <w:t xml:space="preserve">, incapable of appropriation and open to common use</w:t>
      </w:r>
      <w:r>
        <w:t xml:space="preserve"> </w:t>
      </w:r>
      <w:hyperlink w:anchor="ref-56">
        <w:r>
          <w:rPr>
            <w:rStyle w:val="Hyperlink"/>
          </w:rPr>
          <w:t xml:space="preserve">[56]</w:t>
        </w:r>
      </w:hyperlink>
      <w:r>
        <w:t xml:space="preserve">, and is the direct ancestor of the Outer Space Treaty’s non-appropriation principle. Kant’s</w:t>
      </w:r>
      <w:r>
        <w:t xml:space="preserve"> </w:t>
      </w:r>
      <w:r>
        <w:rPr>
          <w:i/>
          <w:iCs/>
        </w:rPr>
        <w:t xml:space="preserve">Toward Perpetual Peace</w:t>
      </w:r>
      <w:r>
        <w:t xml:space="preserve"> </w:t>
      </w:r>
      <w:r>
        <w:t xml:space="preserve">supplies two propositions that map onto space governance with surprising precision</w:t>
      </w:r>
      <w:r>
        <w:t xml:space="preserve"> </w:t>
      </w:r>
      <w:hyperlink w:anchor="ref-57">
        <w:r>
          <w:rPr>
            <w:rStyle w:val="Hyperlink"/>
          </w:rPr>
          <w:t xml:space="preserve">[57]</w:t>
        </w:r>
      </w:hyperlink>
      <w:r>
        <w:t xml:space="preserve">: the federation of republics rather than a world state, which is the shape any workable orbital order will take, and the publicity principle, that a policy which cannot survive disclosure is unjust, which is the moral root of transparency and confidence-building measures and a test that undeclared manoeuvres and unannounced keep-out claims fail. G. John Ikenberry’s account of constitutional order supplies the strategic argument for restraint</w:t>
      </w:r>
      <w:r>
        <w:t xml:space="preserve"> </w:t>
      </w:r>
      <w:hyperlink w:anchor="ref-58">
        <w:r>
          <w:rPr>
            <w:rStyle w:val="Hyperlink"/>
          </w:rPr>
          <w:t xml:space="preserve">[58]</w:t>
        </w:r>
      </w:hyperlink>
      <w:r>
        <w:t xml:space="preserve">: a dominant power that binds itself to rules while its advantage lasts purchases legitimacy and a cheaper order, which is the rigorous form of the case for an incumbent space power institutionalizing early. Martha Finnemore and Kathryn Sikkink’s norm life cycle is the best available account of how orbital soft law actually spreads, through entrepreneurs on organizational platforms, a cascade past a tipping point of critical states, and eventual internalization, and it is the model that explains the trajectory of the destructive anti-satellite test moratorium better than any deterrence account.</w:t>
      </w:r>
    </w:p>
    <w:p>
      <w:pPr>
        <w:pStyle w:val="BodyText"/>
        <w:spacing w:line="480" w:lineRule="auto"/>
        <w:ind w:firstLine="720"/>
      </w:pPr>
      <w:r>
        <w:t xml:space="preserve">The law-enforcement axis is thinner still. Ostrom’s graduated sanctions are its design template</w:t>
      </w:r>
      <w:r>
        <w:t xml:space="preserve"> </w:t>
      </w:r>
      <w:hyperlink w:anchor="ref-49">
        <w:r>
          <w:rPr>
            <w:rStyle w:val="Hyperlink"/>
          </w:rPr>
          <w:t xml:space="preserve">[49]</w:t>
        </w:r>
      </w:hyperlink>
      <w:r>
        <w:t xml:space="preserve">, Thomas Gangale’s delimitation scholarship is its jurisdictional predicate, since where sovereign airspace ends and non-appropriable outer space begins determines where enforcement authority can attach at all, and Anne-Marie Slaughter’s transgovernmental networks describe the enforcement layer that actually exists, a horizontal web of licensing authorities, spectrum regulators, and data-sharing officials operating without a treaty mandate. The candidate’s own bridging work, which runs the emerging space order against the United Nations Convention on the Law of the Sea and reaches the law-enforcement question through the Barbary campaigns, privateering, and the abolition of letters of marque, is one of the few sustained attempts to give the axis a historical anatomy</w:t>
      </w:r>
      <w:r>
        <w:t xml:space="preserve"> </w:t>
      </w:r>
      <w:hyperlink w:anchor="ref-46">
        <w:r>
          <w:rPr>
            <w:rStyle w:val="Hyperlink"/>
          </w:rPr>
          <w:t xml:space="preserve">[46]</w:t>
        </w:r>
      </w:hyperlink>
      <w:r>
        <w:t xml:space="preserve">, and it draws its enforcement analogy from Goswami and Garretson’s observation that mature military space forces will resemble navies and coast guards keeping celestial lines of commerce open</w:t>
      </w:r>
      <w:r>
        <w:t xml:space="preserve"> </w:t>
      </w:r>
      <w:hyperlink w:anchor="ref-75">
        <w:r>
          <w:rPr>
            <w:rStyle w:val="Hyperlink"/>
          </w:rPr>
          <w:t xml:space="preserve">[75]</w:t>
        </w:r>
      </w:hyperlink>
      <w:r>
        <w:t xml:space="preserve">.</w:t>
      </w:r>
    </w:p>
    <w:p>
      <w:pPr>
        <w:pStyle w:val="BodyText"/>
        <w:spacing w:line="480" w:lineRule="auto"/>
        <w:ind w:firstLine="720"/>
      </w:pPr>
      <w:r>
        <w:t xml:space="preserve">Four reasons explain the underdevelopment, and they should be stated plainly rather than lamented. First, there are almost no cases. Enforcement scholarship on Earth is built on prosecutions, seizures, and adjudicated disputes, and orbit has produced essentially none of these. Second, the instrument has no agreed coercive repertoire; there is no orbital equivalent of arrest, and proposals for one collide immediately with the non-appropriation principle that Grotius bequeathed</w:t>
      </w:r>
      <w:r>
        <w:t xml:space="preserve"> </w:t>
      </w:r>
      <w:hyperlink w:anchor="ref-56">
        <w:r>
          <w:rPr>
            <w:rStyle w:val="Hyperlink"/>
          </w:rPr>
          <w:t xml:space="preserve">[56]</w:t>
        </w:r>
      </w:hyperlink>
      <w:r>
        <w:t xml:space="preserve">. Third, the jurisdictional predicate is unresolved, since the delimitation question that Gangale documents has been under consideration in the consensus machinery of the United Nations for decades without resolution, and an enforcement regime cannot be designed on top of an undefined boundary. Fourth, and most consequentially for this dissertation, the axis has no dataset. Compliance is documented, as Paper 4’s twenty-five cases demonstrate, but enforcement actions are not, because they have not occurred. A literature cannot be empirical about a phenomenon that has not yet happened. The honest conclusion is that the Legal and Law-Enforcement columns of the matrix are, at present, an architecture awaiting evidence rather than a body of tested knowledge, and the null on licensing strength is the first quantitative datum the axis has.</w:t>
      </w:r>
    </w:p>
    <w:bookmarkEnd w:id="77"/>
    <w:bookmarkStart w:id="78" w:name="method-literatures"/>
    <w:p>
      <w:pPr>
        <w:pStyle w:val="Heading2"/>
        <w:spacing w:line="480" w:lineRule="auto"/>
      </w:pPr>
      <w:r>
        <w:t xml:space="preserve">2.9 Method literatures</w:t>
      </w:r>
    </w:p>
    <w:p>
      <w:pPr>
        <w:pStyle w:val="FirstParagraph"/>
        <w:spacing w:line="480" w:lineRule="auto"/>
      </w:pPr>
      <w:r>
        <w:t xml:space="preserve">Three methodological traditions do the estimating work. Wright’s observation that unit cost falls by a constant percentage with each doubling of cumulative production</w:t>
      </w:r>
      <w:r>
        <w:t xml:space="preserve"> </w:t>
      </w:r>
      <w:hyperlink w:anchor="ref-10">
        <w:r>
          <w:rPr>
            <w:rStyle w:val="Hyperlink"/>
          </w:rPr>
          <w:t xml:space="preserve">[10]</w:t>
        </w:r>
      </w:hyperlink>
      <w:r>
        <w:t xml:space="preserve">, generalized into the experience curve and applied to launch by Jones</w:t>
      </w:r>
      <w:r>
        <w:t xml:space="preserve"> </w:t>
      </w:r>
      <w:hyperlink w:anchor="ref-6">
        <w:r>
          <w:rPr>
            <w:rStyle w:val="Hyperlink"/>
          </w:rPr>
          <w:t xml:space="preserve">[6]</w:t>
        </w:r>
      </w:hyperlink>
      <w:r>
        <w:t xml:space="preserve">, underpins Paper 1. Cox’s proportional-hazards model</w:t>
      </w:r>
      <w:r>
        <w:t xml:space="preserve"> </w:t>
      </w:r>
      <w:hyperlink w:anchor="ref-30">
        <w:r>
          <w:rPr>
            <w:rStyle w:val="Hyperlink"/>
          </w:rPr>
          <w:t xml:space="preserve">[30]</w:t>
        </w:r>
      </w:hyperlink>
      <w:r>
        <w:t xml:space="preserve">, with the implementation that has made it routine</w:t>
      </w:r>
      <w:r>
        <w:t xml:space="preserve"> </w:t>
      </w:r>
      <w:hyperlink w:anchor="ref-31">
        <w:r>
          <w:rPr>
            <w:rStyle w:val="Hyperlink"/>
          </w:rPr>
          <w:t xml:space="preserve">[31]</w:t>
        </w:r>
      </w:hyperlink>
      <w:r>
        <w:t xml:space="preserve"> </w:t>
      </w:r>
      <w:r>
        <w:t xml:space="preserve">and a prior space-domain application to manoeuvre timing</w:t>
      </w:r>
      <w:r>
        <w:t xml:space="preserve"> </w:t>
      </w:r>
      <w:hyperlink w:anchor="ref-79">
        <w:r>
          <w:rPr>
            <w:rStyle w:val="Hyperlink"/>
          </w:rPr>
          <w:t xml:space="preserve">[79]</w:t>
        </w:r>
      </w:hyperlink>
      <w:r>
        <w:t xml:space="preserve">, underpins Paper 2. White’s heteroskedasticity-consistent covariance estimator</w:t>
      </w:r>
      <w:r>
        <w:t xml:space="preserve"> </w:t>
      </w:r>
      <w:hyperlink w:anchor="ref-48">
        <w:r>
          <w:rPr>
            <w:rStyle w:val="Hyperlink"/>
          </w:rPr>
          <w:t xml:space="preserve">[48]</w:t>
        </w:r>
      </w:hyperlink>
      <w:r>
        <w:t xml:space="preserve"> </w:t>
      </w:r>
      <w:r>
        <w:t xml:space="preserve">underpins Paper 3. The evidentiary base for Paper 5 is the Government Accountability Office’s assessments of NASA major projects</w:t>
      </w:r>
      <w:r>
        <w:t xml:space="preserve"> </w:t>
      </w:r>
      <w:hyperlink w:anchor="ref-72">
        <w:r>
          <w:rPr>
            <w:rStyle w:val="Hyperlink"/>
          </w:rPr>
          <w:t xml:space="preserve">[72]</w:t>
        </w:r>
      </w:hyperlink>
      <w:r>
        <w:t xml:space="preserve">, set against enacted appropriations</w:t>
      </w:r>
      <w:r>
        <w:t xml:space="preserve"> </w:t>
      </w:r>
      <w:hyperlink w:anchor="ref-73">
        <w:r>
          <w:rPr>
            <w:rStyle w:val="Hyperlink"/>
          </w:rPr>
          <w:t xml:space="preserve">[73]</w:t>
        </w:r>
      </w:hyperlink>
      <w:r>
        <w:t xml:space="preserve"> </w:t>
      </w:r>
      <w:r>
        <w:t xml:space="preserve">and national accounts</w:t>
      </w:r>
      <w:r>
        <w:t xml:space="preserve"> </w:t>
      </w:r>
      <w:hyperlink w:anchor="ref-74">
        <w:r>
          <w:rPr>
            <w:rStyle w:val="Hyperlink"/>
          </w:rPr>
          <w:t xml:space="preserve">[74]</w:t>
        </w:r>
      </w:hyperlink>
      <w:r>
        <w:t xml:space="preserve">. None of these methods is novel. Their application to propositions drawn from the strategic canon is.</w:t>
      </w:r>
    </w:p>
    <w:bookmarkEnd w:id="78"/>
    <w:bookmarkStart w:id="79" w:name="what-the-review-establishes"/>
    <w:p>
      <w:pPr>
        <w:pStyle w:val="Heading2"/>
        <w:spacing w:line="480" w:lineRule="auto"/>
      </w:pPr>
      <w:r>
        <w:t xml:space="preserve">2.10 What the review establishes</w:t>
      </w:r>
    </w:p>
    <w:p>
      <w:pPr>
        <w:pStyle w:val="FirstParagraph"/>
        <w:spacing w:line="480" w:lineRule="auto"/>
      </w:pPr>
      <w:r>
        <w:t xml:space="preserve">The survey supports three conclusions that structure the remainder of this dissertation.</w:t>
      </w:r>
    </w:p>
    <w:p>
      <w:pPr>
        <w:pStyle w:val="BodyText"/>
        <w:spacing w:line="480" w:lineRule="auto"/>
        <w:ind w:firstLine="720"/>
      </w:pPr>
      <w:r>
        <w:t xml:space="preserve">The first is that the seam is real and asymmetric. The strategic canon and its space extensions generate propositions of the right logical form, causal and directional, but supply no measurement apparatus and, with the partial exceptions of Jones</w:t>
      </w:r>
      <w:r>
        <w:t xml:space="preserve"> </w:t>
      </w:r>
      <w:hyperlink w:anchor="ref-6">
        <w:r>
          <w:rPr>
            <w:rStyle w:val="Hyperlink"/>
          </w:rPr>
          <w:t xml:space="preserve">[6]</w:t>
        </w:r>
      </w:hyperlink>
      <w:r>
        <w:t xml:space="preserve"> </w:t>
      </w:r>
      <w:r>
        <w:t xml:space="preserve">and the cost literature, have not attempted one. The governance, debris, and economics literatures supply excellent measurement and, with the partial exception of the institutional-economics tradition, no propositions worth testing. The two halves are complementary in principle and unconnected in practice.</w:t>
      </w:r>
    </w:p>
    <w:p>
      <w:pPr>
        <w:pStyle w:val="BodyText"/>
        <w:spacing w:line="480" w:lineRule="auto"/>
        <w:ind w:firstLine="720"/>
      </w:pPr>
      <w:r>
        <w:t xml:space="preserve">The second is that the economic instrument is where the connection is most nearly possible. The statecraft tradition from Hirschman through Baldwin, Blackwill and Harris, and Norris</w:t>
      </w:r>
      <w:r>
        <w:t xml:space="preserve"> </w:t>
      </w:r>
      <w:hyperlink w:anchor="ref-34">
        <w:r>
          <w:rPr>
            <w:rStyle w:val="Hyperlink"/>
          </w:rPr>
          <w:t xml:space="preserve">[34]</w:t>
        </w:r>
      </w:hyperlink>
      <w:r>
        <w:t xml:space="preserve">[32][37][33] states its claims in terms of measurable asymmetries, appropriations, and conversion rates, and the space-economy accounts</w:t>
      </w:r>
      <w:r>
        <w:t xml:space="preserve"> </w:t>
      </w:r>
      <w:hyperlink w:anchor="ref-47">
        <w:r>
          <w:rPr>
            <w:rStyle w:val="Hyperlink"/>
          </w:rPr>
          <w:t xml:space="preserve">[47]</w:t>
        </w:r>
      </w:hyperlink>
      <w:r>
        <w:t xml:space="preserve">[76][12] now measure at a granularity that permits estimation. That is why the economic instrument receives the greatest depth here, and it is why the single result in this dissertation that clears conventional thresholds with room to spare is an economic one.</w:t>
      </w:r>
    </w:p>
    <w:p>
      <w:pPr>
        <w:pStyle w:val="BodyText"/>
        <w:spacing w:line="480" w:lineRule="auto"/>
        <w:ind w:firstLine="720"/>
      </w:pPr>
      <w:r>
        <w:t xml:space="preserve">The third is the posture this dissertation adopts toward its own findings. The contribution offered here is the framework and the matrix, a fifty-thinker by six-instrument mapping that makes the canon’s space-domain claims explicit enough to be argued with. The five empirical papers are disciplined probes of that framework, not its justification, and several of them return nulls. The action-reaction mechanism does not appear in counterspace timing. The licensing regime does not appear in disposal outcomes. The overstretch hypothesis does not survive contact with program data, and what does survive is program duration, which no canonical thinker predicted. The experience curve is present and explains about twelve percent of the variance. Only the budget-to-presence conversion delivers a strong result, and it carries a collinearity caveat that must travel with it. A dissertation that inflated these results would be a worse contribution than one that reports them as they are, because the value of forcing the canon into contact with data lies precisely in learning where the contact fails. Nulls are findings. Chapter 3 sets out the framework that generates the predictions; Chapters 7 through 11 report the probes that test them.</w:t>
      </w:r>
    </w:p>
    <w:bookmarkEnd w:id="79"/>
    <w:bookmarkEnd w:id="80"/>
    <w:bookmarkStart w:id="96" w:name="X2735675fd183fa3d33e807e8f45ce1bdeb8df83"/>
    <w:p>
      <w:pPr>
        <w:pStyle w:val="Heading1"/>
        <w:spacing w:line="480" w:lineRule="auto"/>
      </w:pPr>
      <w:r>
        <w:t xml:space="preserve">Chapter 3. Theoretical Framework: The Fifty-Thinker Matrix</w:t>
      </w:r>
    </w:p>
    <w:bookmarkStart w:id="81" w:name="what-the-framework-has-to-do"/>
    <w:p>
      <w:pPr>
        <w:pStyle w:val="Heading2"/>
        <w:spacing w:line="480" w:lineRule="auto"/>
      </w:pPr>
      <w:r>
        <w:t xml:space="preserve">3.1 What the framework has to do</w:t>
      </w:r>
    </w:p>
    <w:p>
      <w:pPr>
        <w:pStyle w:val="FirstParagraph"/>
        <w:spacing w:line="480" w:lineRule="auto"/>
      </w:pPr>
      <w:r>
        <w:t xml:space="preserve">The preceding chapter established the two-sided failure this dissertation addresses. The astropolitical tradition invokes the strategic canon with real analytic ambition but rarely converts it into anything falsifiable, while the applied doctrinal literature names the instruments of national power and then proceeds as though naming were demonstrating. A framework that fixes this has to do three things at once, and doing any one of them alone reproduces the failure it is meant to correct.</w:t>
      </w:r>
    </w:p>
    <w:p>
      <w:pPr>
        <w:pStyle w:val="BodyText"/>
        <w:spacing w:line="480" w:lineRule="auto"/>
        <w:ind w:firstLine="720"/>
      </w:pPr>
      <w:r>
        <w:t xml:space="preserve">First, it has to be exhaustive across the instruments. A canon-to-space mapping that runs only through the military instrument, which is what the Mahan-to-orbit lineage overwhelmingly produces</w:t>
      </w:r>
      <w:r>
        <w:t xml:space="preserve"> </w:t>
      </w:r>
      <w:hyperlink w:anchor="ref-2">
        <w:r>
          <w:rPr>
            <w:rStyle w:val="Hyperlink"/>
          </w:rPr>
          <w:t xml:space="preserve">[2]</w:t>
        </w:r>
      </w:hyperlink>
      <w:r>
        <w:t xml:space="preserve">[3][27], will find military answers because military questions are the only ones it asked. Second, it has to be discriminating within itself. If every thinker in the canon transfers well, the mapping has no information content: it is a compliment paid to the tradition rather than a claim about it. Third, it has to terminate in propositions that a dataset can refuse.</w:t>
      </w:r>
    </w:p>
    <w:p>
      <w:pPr>
        <w:pStyle w:val="BodyText"/>
        <w:spacing w:line="480" w:lineRule="auto"/>
        <w:ind w:firstLine="720"/>
      </w:pPr>
      <w:r>
        <w:t xml:space="preserve">The fifty-thinker matrix is built to satisfy those three constraints at once. It is a rectangular object: roughly fifty thinkers, seventy-seven rows once paired authors and school-completing figures are counted, arrayed against six instruments of national power. Each entry states a thinker’s core concept, assigns the single instrument that concept most illuminates for space, applies it to a named orbital problem, and scores the transfer from 1 to 5. The matrix is the dissertation’s principal contribution. The five empirical studies are probes driven into it where it makes its most exposed claims, and several return nothing. That outcome is reported as a finding, not smoothed into a trend.</w:t>
      </w:r>
    </w:p>
    <w:bookmarkEnd w:id="81"/>
    <w:bookmarkStart w:id="82" w:name="why-six-instruments-and-not-four"/>
    <w:p>
      <w:pPr>
        <w:pStyle w:val="Heading2"/>
        <w:spacing w:line="480" w:lineRule="auto"/>
      </w:pPr>
      <w:r>
        <w:t xml:space="preserve">3.2 Why six instruments and not four</w:t>
      </w:r>
    </w:p>
    <w:p>
      <w:pPr>
        <w:pStyle w:val="FirstParagraph"/>
        <w:spacing w:line="480" w:lineRule="auto"/>
      </w:pPr>
      <w:r>
        <w:t xml:space="preserve">The DIME paradigm, Diplomatic, Information, Military, Economic, is the working vocabulary of the applied space-strategy community, and it is inherited rather than derived. Its four instruments describe how a state acts upon other states. They do not describe how a state, or a community of states, constitutes and polices a shared physical environment in which its own assets are hostage to everyone else’s behavior. Orbit is precisely such an environment, and the omission is therefore not cosmetic.</w:t>
      </w:r>
    </w:p>
    <w:p>
      <w:pPr>
        <w:pStyle w:val="BodyText"/>
        <w:spacing w:line="480" w:lineRule="auto"/>
        <w:ind w:firstLine="720"/>
      </w:pPr>
      <w:r>
        <w:t xml:space="preserve">The Legal instrument is added because in the space domain the rule is frequently the object of the competition rather than its background condition. Goswami and Garretson’s central mechanism is that an early rule choice, made now and made sticky, confers durable advantage on whoever makes it, so that the contest to write the regime is materially prior to the contest to exploit the resource</w:t>
      </w:r>
      <w:r>
        <w:t xml:space="preserve"> </w:t>
      </w:r>
      <w:hyperlink w:anchor="ref-11">
        <w:r>
          <w:rPr>
            <w:rStyle w:val="Hyperlink"/>
          </w:rPr>
          <w:t xml:space="preserve">[11]</w:t>
        </w:r>
      </w:hyperlink>
      <w:r>
        <w:t xml:space="preserve">[75]. That is a claim about law functioning as an instrument of power, not as a constraint on it. North’s institutional economics supplies the rigorous form: institutions are the rules of the game plus their enforcement, they determine long-run performance through their effect on transaction costs and the security of rights, and they are path-dependent, so early choices generate increasing returns and can lock a system onto a persistent and even inefficient trajectory</w:t>
      </w:r>
      <w:r>
        <w:t xml:space="preserve"> </w:t>
      </w:r>
      <w:hyperlink w:anchor="ref-52">
        <w:r>
          <w:rPr>
            <w:rStyle w:val="Hyperlink"/>
          </w:rPr>
          <w:t xml:space="preserve">[52]</w:t>
        </w:r>
      </w:hyperlink>
      <w:r>
        <w:t xml:space="preserve">. North and Weingast’s demonstration that credible constitutional commitment, not merely written rule, is what changes economic behavior is the exact caution the space-governance literature needs</w:t>
      </w:r>
      <w:r>
        <w:t xml:space="preserve"> </w:t>
      </w:r>
      <w:hyperlink w:anchor="ref-53">
        <w:r>
          <w:rPr>
            <w:rStyle w:val="Hyperlink"/>
          </w:rPr>
          <w:t xml:space="preserve">[53]</w:t>
        </w:r>
      </w:hyperlink>
      <w:r>
        <w:t xml:space="preserve">. Grotius stands behind the whole column: the res communis principle that a commons is incapable of sovereign appropriation is the direct ancestor of the non-appropriation architecture the space order inherited</w:t>
      </w:r>
      <w:r>
        <w:t xml:space="preserve"> </w:t>
      </w:r>
      <w:hyperlink w:anchor="ref-56">
        <w:r>
          <w:rPr>
            <w:rStyle w:val="Hyperlink"/>
          </w:rPr>
          <w:t xml:space="preserve">[56]</w:t>
        </w:r>
      </w:hyperlink>
      <w:r>
        <w:t xml:space="preserve">, and Kant’s publicity principle, that a policy whose workability depends on concealment is thereby unjust, is the moral root of the transparency and confidence-building instruments that space diplomacy actually deploys</w:t>
      </w:r>
      <w:r>
        <w:t xml:space="preserve"> </w:t>
      </w:r>
      <w:hyperlink w:anchor="ref-57">
        <w:r>
          <w:rPr>
            <w:rStyle w:val="Hyperlink"/>
          </w:rPr>
          <w:t xml:space="preserve">[57]</w:t>
        </w:r>
      </w:hyperlink>
      <w:r>
        <w:t xml:space="preserve">. Ikenberry closes the argument for treating law as an instrument rather than an environment: a dominant power that binds itself through institutions while its advantage is still large purchases legitimacy and cheapness of maintenance, which is an investment decision, not an act of restraint</w:t>
      </w:r>
      <w:r>
        <w:t xml:space="preserve"> </w:t>
      </w:r>
      <w:hyperlink w:anchor="ref-58">
        <w:r>
          <w:rPr>
            <w:rStyle w:val="Hyperlink"/>
          </w:rPr>
          <w:t xml:space="preserve">[58]</w:t>
        </w:r>
      </w:hyperlink>
      <w:r>
        <w:t xml:space="preserve">.</w:t>
      </w:r>
    </w:p>
    <w:p>
      <w:pPr>
        <w:pStyle w:val="BodyText"/>
        <w:spacing w:line="480" w:lineRule="auto"/>
        <w:ind w:firstLine="720"/>
      </w:pPr>
      <w:r>
        <w:t xml:space="preserve">The Law-Enforcement instrument is added for a different and more specific reason. Rules on paper and rules in use are not the same object, and the gap between them is where the orbital commons is actually won or lost. Ostrom’s design principles are explicit that durable common-pool governance requires monitoring accountable to the users, graduated sanctions that escalate with severity and repetition, and low-cost conflict resolution, nested polycentrically rather than concentrated in a single authority</w:t>
      </w:r>
      <w:r>
        <w:t xml:space="preserve"> </w:t>
      </w:r>
      <w:hyperlink w:anchor="ref-49">
        <w:r>
          <w:rPr>
            <w:rStyle w:val="Hyperlink"/>
          </w:rPr>
          <w:t xml:space="preserve">[49]</w:t>
        </w:r>
      </w:hyperlink>
      <w:r>
        <w:t xml:space="preserve">[50][51]. None of those is a legal instrument in the ordinary sense. They are enforcement instruments, and the space regime has produced a dense and articulate body of the former with almost none of the latter. The Inter-Agency Space Debris Coordination Committee guidelines, the United Nations long-term sustainability guidelines, and ISO 24113 are, respectively, voluntary, voluntary, and a standard that binds only where a national authority elects to invoke it</w:t>
      </w:r>
      <w:r>
        <w:t xml:space="preserve"> </w:t>
      </w:r>
      <w:hyperlink w:anchor="ref-60">
        <w:r>
          <w:rPr>
            <w:rStyle w:val="Hyperlink"/>
          </w:rPr>
          <w:t xml:space="preserve">[60]</w:t>
        </w:r>
      </w:hyperlink>
      <w:r>
        <w:t xml:space="preserve">[61][65]. Where genuine enforcement exists it is national and fragmentary, arriving through licensing conditions such as the Federal Communications Commission’s orbital-debris orders or the European Space Agency’s internal mitigation policy and requirements</w:t>
      </w:r>
      <w:r>
        <w:t xml:space="preserve"> </w:t>
      </w:r>
      <w:hyperlink w:anchor="ref-62">
        <w:r>
          <w:rPr>
            <w:rStyle w:val="Hyperlink"/>
          </w:rPr>
          <w:t xml:space="preserve">[62]</w:t>
        </w:r>
      </w:hyperlink>
      <w:r>
        <w:t xml:space="preserve">[63]. A framework that folds all of this into a single Legal column cannot see the distinction on which the compliance question turns, and the compliance question is one of the five this dissertation tests.</w:t>
      </w:r>
    </w:p>
    <w:p>
      <w:pPr>
        <w:pStyle w:val="BodyText"/>
        <w:spacing w:line="480" w:lineRule="auto"/>
        <w:ind w:firstLine="720"/>
      </w:pPr>
      <w:r>
        <w:t xml:space="preserve">The candidate’s own prior work supplies the bridge.</w:t>
      </w:r>
      <w:r>
        <w:t xml:space="preserve"> </w:t>
      </w:r>
      <w:r>
        <w:t xml:space="preserve">“Shaping the Final Frontier”</w:t>
      </w:r>
      <w:r>
        <w:t xml:space="preserve"> </w:t>
      </w:r>
      <w:r>
        <w:t xml:space="preserve">runs the emerging space order against the Law of the Sea precedent and against the historical case of maritime commerce protection, arriving at celestial lines of communication as the successor object of policing and at the warning that adversaries will use lawfare to legitimize what would otherwise be criminal</w:t>
      </w:r>
      <w:r>
        <w:t xml:space="preserve"> </w:t>
      </w:r>
      <w:hyperlink w:anchor="ref-46">
        <w:r>
          <w:rPr>
            <w:rStyle w:val="Hyperlink"/>
          </w:rPr>
          <w:t xml:space="preserve">[46]</w:t>
        </w:r>
      </w:hyperlink>
      <w:r>
        <w:t xml:space="preserve">. That analysis is the source of the six-instrument extension, and this dissertation’s contribution is to carry it from an applied architecture into a scored analytic matrix.</w:t>
      </w:r>
    </w:p>
    <w:bookmarkEnd w:id="82"/>
    <w:bookmarkStart w:id="83" w:name="Xe63938f4c574c913f79f0efad0804bafa22e114"/>
    <w:p>
      <w:pPr>
        <w:pStyle w:val="Heading2"/>
        <w:spacing w:line="480" w:lineRule="auto"/>
      </w:pPr>
      <w:r>
        <w:t xml:space="preserve">3.3 The reading protocol and the meaning of a fit score</w:t>
      </w:r>
    </w:p>
    <w:p>
      <w:pPr>
        <w:pStyle w:val="FirstParagraph"/>
        <w:spacing w:line="480" w:lineRule="auto"/>
      </w:pPr>
      <w:r>
        <w:t xml:space="preserve">Each row was built to a fixed protocol so that scores are comparable across schools. The concept statement comes from the thinker’s canonical work or from a dossier whose framework section carries a verified citation, and it is stated in one line so that overstatement is visible. The instrument assignment is forced to a single value. Many thinkers illuminate two or three instruments, and permitting multiple assignments would have made the matrix unfalsifiable by construction, since any result could then be attributed to whichever instrument the row also touched. The space application names a specific problem, orbital slots, launch cadence, counterspace, spectrum, debris, cislunar logistics, or space situational awareness, rather than gesturing at the domain.</w:t>
      </w:r>
    </w:p>
    <w:p>
      <w:pPr>
        <w:pStyle w:val="BodyText"/>
        <w:spacing w:line="480" w:lineRule="auto"/>
        <w:ind w:firstLine="720"/>
      </w:pPr>
      <w:r>
        <w:t xml:space="preserve">The fit score is the discriminating device, and its calibration is deliberately harsh. A 5 means the transfer is load-bearing rather than analogical: the concept was either built for space, or contemporary space theory is demonstrably constructed out of it. A 4 means the mechanism transfers with translation the analyst can specify. A 3 means the concept is useful but requires so much translation that the analyst is doing most of the work. A 2 means the transfer is evocative and resists measurement. The distribution matters more than any individual cell. Twenty-one rows score 5, forty-eight score 4, six score 3, and two score 2. That is not a flat endorsement of the canon, but neither is it as discriminating as one would like, and Section 3.13 treats the compression at the top of the scale as a limitation of the instrument rather than a property of the tradition.</w:t>
      </w:r>
    </w:p>
    <w:bookmarkEnd w:id="83"/>
    <w:bookmarkStart w:id="84" w:name="X2986b084190468febcc7a527a682ae2e937fe05"/>
    <w:p>
      <w:pPr>
        <w:pStyle w:val="Heading2"/>
        <w:spacing w:line="480" w:lineRule="auto"/>
      </w:pPr>
      <w:r>
        <w:t xml:space="preserve">3.4 Sea power: the military instrument and its inherited apparatus</w:t>
      </w:r>
    </w:p>
    <w:p>
      <w:pPr>
        <w:pStyle w:val="FirstParagraph"/>
        <w:spacing w:line="480" w:lineRule="auto"/>
      </w:pPr>
      <w:r>
        <w:t xml:space="preserve">The maritime school anchors the Military column and supplies the most heavily traded metaphor in space strategy. Mahan’s argument is that command of the sea is command of the use of a commons one cannot own, exercised by concentrating force at chokepoints along lines of communication, and that commerce funds the fleet that protects the commerce</w:t>
      </w:r>
      <w:r>
        <w:t xml:space="preserve"> </w:t>
      </w:r>
      <w:hyperlink w:anchor="ref-3">
        <w:r>
          <w:rPr>
            <w:rStyle w:val="Hyperlink"/>
          </w:rPr>
          <w:t xml:space="preserve">[3]</w:t>
        </w:r>
      </w:hyperlink>
      <w:r>
        <w:t xml:space="preserve">. The transfer scores 5, and it scores 5 for an unusual reason: it is not that the analogy is apt but that modern spacepower theory is literally constructed from it. France reopened the Mahanian line for space explicitly</w:t>
      </w:r>
      <w:r>
        <w:t xml:space="preserve"> </w:t>
      </w:r>
      <w:hyperlink w:anchor="ref-2">
        <w:r>
          <w:rPr>
            <w:rStyle w:val="Hyperlink"/>
          </w:rPr>
          <w:t xml:space="preserve">[2]</w:t>
        </w:r>
      </w:hyperlink>
      <w:r>
        <w:t xml:space="preserve">, and Bowen’s contemporary theory derives its propositions about celestial lines of communication from maritime strategy as a matter of stated method</w:t>
      </w:r>
      <w:r>
        <w:t xml:space="preserve"> </w:t>
      </w:r>
      <w:hyperlink w:anchor="ref-27">
        <w:r>
          <w:rPr>
            <w:rStyle w:val="Hyperlink"/>
          </w:rPr>
          <w:t xml:space="preserve">[27]</w:t>
        </w:r>
      </w:hyperlink>
      <w:r>
        <w:t xml:space="preserve">. Corbett scores 5 on the same logic from the opposite direction. His insistence that command is normally in dispute, that denial is cheaper than positive control, and that maritime war is limited and subordinate to a terrestrial political object is the direct ancestor of space-control doctrine, and it predicts, correctly, that orbital conflict will be bounded and embedded rather than decisive and standalone.</w:t>
      </w:r>
    </w:p>
    <w:p>
      <w:pPr>
        <w:pStyle w:val="BodyText"/>
        <w:spacing w:line="480" w:lineRule="auto"/>
        <w:ind w:firstLine="720"/>
      </w:pPr>
      <w:r>
        <w:t xml:space="preserve">The school also supplies the first honest low score. Castex scores 3. His maneuver-centric strategy and his concept of the</w:t>
      </w:r>
      <w:r>
        <w:t xml:space="preserve"> </w:t>
      </w:r>
      <w:r>
        <w:rPr>
          <w:i/>
          <w:iCs/>
        </w:rPr>
        <w:t xml:space="preserve">perturbateur</w:t>
      </w:r>
      <w:r>
        <w:t xml:space="preserve">, the revisionist power that disturbs the established order, both transfer and usefully force an analyst to name the disturber rather than merely describe the order. But Castex’s substantive achievement was a synthesis of continental and maritime strategy for a state that had to fight both ways at once, and orbit has no continental dimension to synthesize with. What remains once the synthesis is stripped out is a general injunction to maneuver, which is not much. Wylie scores 4 on a narrower but cleaner basis: the sequential-cumulative distinction is genuinely diagnostic for a domain where persistent jamming, incremental denial of situational awareness, and slow orbital positioning accumulate into control that no single action produced.</w:t>
      </w:r>
    </w:p>
    <w:bookmarkEnd w:id="84"/>
    <w:bookmarkStart w:id="85" w:name="X36af2a678fe8edcafb47578e8d8db483ccb9005"/>
    <w:p>
      <w:pPr>
        <w:pStyle w:val="Heading2"/>
        <w:spacing w:line="480" w:lineRule="auto"/>
      </w:pPr>
      <w:r>
        <w:t xml:space="preserve">3.5 Land power and geopolitics: geography, and the temptation of determinism</w:t>
      </w:r>
    </w:p>
    <w:p>
      <w:pPr>
        <w:pStyle w:val="FirstParagraph"/>
        <w:spacing w:line="480" w:lineRule="auto"/>
      </w:pPr>
      <w:r>
        <w:t xml:space="preserve">This school divides between rows that transfer through mechanism and rows that transfer through mood. Mackinder scores 4. The pivot-and-interior-lines logic maps onto cislunar geography with real precision, because low-energy transfer structure genuinely is a fixed feature that conditions strategy independent of the technology of the day. The libration-point and low-energy-transfer literature makes this concrete rather than metaphorical: the strategic value of specific cislunar regions for monitoring incoming transfers to low lunar orbit is a computable property of the dynamics, not a rhetorical claim about high ground</w:t>
      </w:r>
      <w:r>
        <w:t xml:space="preserve"> </w:t>
      </w:r>
      <w:hyperlink w:anchor="ref-77">
        <w:r>
          <w:rPr>
            <w:rStyle w:val="Hyperlink"/>
          </w:rPr>
          <w:t xml:space="preserve">[77]</w:t>
        </w:r>
      </w:hyperlink>
      <w:r>
        <w:t xml:space="preserve">[88][90]. The score is held at 4 rather than raised to 5 because Mackinder’s determinism is the specific failure mode that astropolitics has been criticized for reproducing, and a candidate using him must state the geographic claim in a bounded and falsifiable form.</w:t>
      </w:r>
    </w:p>
    <w:p>
      <w:pPr>
        <w:pStyle w:val="BodyText"/>
        <w:spacing w:line="480" w:lineRule="auto"/>
        <w:ind w:firstLine="720"/>
      </w:pPr>
      <w:r>
        <w:t xml:space="preserve">Spykman scores 3 and Huntington scores 3, both for the same reason: the mechanism survives translation but the substance does not. Spykman’s rimland is a claim about a particular Eurasian margin, and what transfers is the general proposition that the contested intermediate zone rather than the core decides the balance. Huntington’s institutionalization thesis, that order depends on the ratio of participation to institutional capacity, transfers cleanly and is arguably the sharpest single diagnosis of the current orbital condition, but his civilizational fault-line thesis does not, and the row is scored on the composite.</w:t>
      </w:r>
    </w:p>
    <w:p>
      <w:pPr>
        <w:pStyle w:val="BodyText"/>
        <w:spacing w:line="480" w:lineRule="auto"/>
        <w:ind w:firstLine="720"/>
      </w:pPr>
      <w:r>
        <w:t xml:space="preserve">Braudel scores 3 and is worth pausing on because the score understates his utility. His stratification of economic life into material civilization, market economy, and the opaque zone of concentrated capitalism, running at three different speeds against the near-immobile</w:t>
      </w:r>
      <w:r>
        <w:t xml:space="preserve"> </w:t>
      </w:r>
      <w:r>
        <w:rPr>
          <w:i/>
          <w:iCs/>
        </w:rPr>
        <w:t xml:space="preserve">longue durée</w:t>
      </w:r>
      <w:r>
        <w:t xml:space="preserve">, is a real discipline for the space economist. It forces the analyst to assign each phenomenon to its proper layer: a launch-price collapse is a conjuncture, the gravity well is structure, and the concentrated launch and constellation oligopoly is Braudelian capitalism sitting above the transparent market. That is precisely the error-correction Paper 1 needed and did not fully achieve. The score stays at 3 because the world-economy claim, the proposition that a single shifting center organizes the whole, is not yet demonstrable in orbit.</w:t>
      </w:r>
    </w:p>
    <w:p>
      <w:pPr>
        <w:pStyle w:val="BodyText"/>
        <w:spacing w:line="480" w:lineRule="auto"/>
        <w:ind w:firstLine="720"/>
      </w:pPr>
      <w:r>
        <w:t xml:space="preserve">Kennedy scores 4 and carries a proposition tested directly in Chapter 8. His thesis is not that great powers spend too much but that they accumulate commitments faster than the productive base that must carry them, and that the imbalance shows in performance before it shows in defeat</w:t>
      </w:r>
      <w:r>
        <w:t xml:space="preserve"> </w:t>
      </w:r>
      <w:hyperlink w:anchor="ref-67">
        <w:r>
          <w:rPr>
            <w:rStyle w:val="Hyperlink"/>
          </w:rPr>
          <w:t xml:space="preserve">[67]</w:t>
        </w:r>
      </w:hyperlink>
      <w:r>
        <w:t xml:space="preserve">. The unit is a ratio, not a level, which is what makes it estimable.</w:t>
      </w:r>
    </w:p>
    <w:bookmarkEnd w:id="85"/>
    <w:bookmarkStart w:id="86" w:name="air-and-space-power-the-native-rows"/>
    <w:p>
      <w:pPr>
        <w:pStyle w:val="Heading2"/>
        <w:spacing w:line="480" w:lineRule="auto"/>
      </w:pPr>
      <w:r>
        <w:t xml:space="preserve">3.6 Air and space power: the native rows</w:t>
      </w:r>
    </w:p>
    <w:p>
      <w:pPr>
        <w:pStyle w:val="FirstParagraph"/>
        <w:spacing w:line="480" w:lineRule="auto"/>
      </w:pPr>
      <w:r>
        <w:t xml:space="preserve">This school contains the highest concentration of fives because several of its members wrote for the domain rather than into it. Douhet scores 4: the command-of-a-domain construction and the vital-centers targeting logic transfer strongly, but the offense-primacy axiom is exactly the claim a space analyst must measure rather than inherit, since the orbital offense-defense balance is technology-dependent. Dolman scores 5 as the purpose-built and most-contested astropolitical framework, and the row explicitly carries the Anti-Astropolitik critique so that the matrix does not smuggle in geographic determinism under a high score. Bowen scores 5 as the reference framework of the field, and his geocentrism test, requiring every claimed orbital advantage to name its terrestrial political payoff, is the single most useful disciplinary device the matrix borrows</w:t>
      </w:r>
      <w:r>
        <w:t xml:space="preserve"> </w:t>
      </w:r>
      <w:hyperlink w:anchor="ref-27">
        <w:r>
          <w:rPr>
            <w:rStyle w:val="Hyperlink"/>
          </w:rPr>
          <w:t xml:space="preserve">[27]</w:t>
        </w:r>
      </w:hyperlink>
      <w:r>
        <w:t xml:space="preserve">. Klein scores 5 for tiered guidance telling middle powers to pursue asymmetric and coalition strategies rather than mirror the superpowers.</w:t>
      </w:r>
    </w:p>
    <w:p>
      <w:pPr>
        <w:pStyle w:val="BodyText"/>
        <w:spacing w:line="480" w:lineRule="auto"/>
        <w:ind w:firstLine="720"/>
      </w:pPr>
      <w:r>
        <w:t xml:space="preserve">Ziarnick scores 5 and is the hinge between this school and the economic column. His astronautical power model transposes Mahan’s elements of sea power to space and locates the engine in commercial and industrial vitality, specifically in cheap, reliable, high-cadence access, rather than in government programs</w:t>
      </w:r>
      <w:r>
        <w:t xml:space="preserve"> </w:t>
      </w:r>
      <w:hyperlink w:anchor="ref-1">
        <w:r>
          <w:rPr>
            <w:rStyle w:val="Hyperlink"/>
          </w:rPr>
          <w:t xml:space="preserve">[1]</w:t>
        </w:r>
      </w:hyperlink>
      <w:r>
        <w:t xml:space="preserve">. This is the claim Paper 1 operationalizes, and it is why the Economic instrument here is not a residual category.</w:t>
      </w:r>
    </w:p>
    <w:p>
      <w:pPr>
        <w:pStyle w:val="BodyText"/>
        <w:spacing w:line="480" w:lineRule="auto"/>
        <w:ind w:firstLine="720"/>
      </w:pPr>
      <w:r>
        <w:t xml:space="preserve">Goswami and Garretson score 5. Their four-driver decomposition of state behavior into resources, technological capability, elite preferences, and talent pool, their viability test requiring any resource-scramble thesis to state extraction cost, price to beat, and break-even year, and their rules-window mechanism together constitute the most complete economic-and-strategic framework native to cislunar competition</w:t>
      </w:r>
      <w:r>
        <w:t xml:space="preserve"> </w:t>
      </w:r>
      <w:hyperlink w:anchor="ref-11">
        <w:r>
          <w:rPr>
            <w:rStyle w:val="Hyperlink"/>
          </w:rPr>
          <w:t xml:space="preserve">[11]</w:t>
        </w:r>
      </w:hyperlink>
      <w:r>
        <w:t xml:space="preserve">[28][75]. Their reading that comprehensive national power is overwhelmingly a function of economic development, so that the state accomplished in space development is also best equipped for space conflict, is what makes the economic instrument primary in this dissertation rather than co-equal. Weinzierl corroborates the framing from the economics side</w:t>
      </w:r>
      <w:r>
        <w:t xml:space="preserve"> </w:t>
      </w:r>
      <w:hyperlink w:anchor="ref-12">
        <w:r>
          <w:rPr>
            <w:rStyle w:val="Hyperlink"/>
          </w:rPr>
          <w:t xml:space="preserve">[12]</w:t>
        </w:r>
      </w:hyperlink>
      <w:r>
        <w:t xml:space="preserve">, and the risk-landscape literature confirms that the space economy’s structural dynamics are now a legitimate object of quantitative study rather than forecast rhetoric</w:t>
      </w:r>
      <w:r>
        <w:t xml:space="preserve"> </w:t>
      </w:r>
      <w:hyperlink w:anchor="ref-87">
        <w:r>
          <w:rPr>
            <w:rStyle w:val="Hyperlink"/>
          </w:rPr>
          <w:t xml:space="preserve">[87]</w:t>
        </w:r>
      </w:hyperlink>
      <w:r>
        <w:t xml:space="preserve">.</w:t>
      </w:r>
    </w:p>
    <w:p>
      <w:pPr>
        <w:pStyle w:val="BodyText"/>
        <w:spacing w:line="480" w:lineRule="auto"/>
        <w:ind w:firstLine="720"/>
      </w:pPr>
      <w:r>
        <w:t xml:space="preserve">O’Neill and Zubrin both score 4, limited by the same thing. Their location economics and in-situ resource logic are rigorous where they concern transport-cost asymmetry and uplift mass, and the disposal and landing-site literature shows how far that reasoning now extends into engineering practice</w:t>
      </w:r>
      <w:r>
        <w:t xml:space="preserve"> </w:t>
      </w:r>
      <w:hyperlink w:anchor="ref-85">
        <w:r>
          <w:rPr>
            <w:rStyle w:val="Hyperlink"/>
          </w:rPr>
          <w:t xml:space="preserve">[85]</w:t>
        </w:r>
      </w:hyperlink>
      <w:r>
        <w:t xml:space="preserve">[92]. But O’Neill’s bootstrapping claim and Zubrin’s civilizational frontier argument are the load-bearing parts of their cases and the least demonstrated, and a matrix scoring them 5 would be scoring aspiration.</w:t>
      </w:r>
    </w:p>
    <w:bookmarkEnd w:id="86"/>
    <w:bookmarkStart w:id="87" w:name="X5de7ceb910f2bf337da0533ce0237ac65944684"/>
    <w:p>
      <w:pPr>
        <w:pStyle w:val="Heading2"/>
        <w:spacing w:line="480" w:lineRule="auto"/>
      </w:pPr>
      <w:r>
        <w:t xml:space="preserve">3.7 Nuclear, deterrence, and game theory: strong transfers, weak evidence</w:t>
      </w:r>
    </w:p>
    <w:p>
      <w:pPr>
        <w:pStyle w:val="FirstParagraph"/>
        <w:spacing w:line="480" w:lineRule="auto"/>
      </w:pPr>
      <w:r>
        <w:t xml:space="preserve">Schelling scores 5. The deterrence-compellence distinction forces any claim about space deterrence to specify which it is, since the two have asymmetric credibility properties, and the focal-point result predicts that an orbital right-of-way or keep-out norm will coordinate behavior only if its salience is recognizable to all parties</w:t>
      </w:r>
      <w:r>
        <w:t xml:space="preserve"> </w:t>
      </w:r>
      <w:hyperlink w:anchor="ref-20">
        <w:r>
          <w:rPr>
            <w:rStyle w:val="Hyperlink"/>
          </w:rPr>
          <w:t xml:space="preserve">[20]</w:t>
        </w:r>
      </w:hyperlink>
      <w:r>
        <w:t xml:space="preserve">. Kahn scores 5 because the escalation ladder demands that a stability claim name the rungs and firebreaks by which deterrence would actually fail, and because his refusal to leave catastrophe unanalyzed is the correct posture toward a cascade the technical literature treats as a live risk</w:t>
      </w:r>
      <w:r>
        <w:t xml:space="preserve"> </w:t>
      </w:r>
      <w:hyperlink w:anchor="ref-21">
        <w:r>
          <w:rPr>
            <w:rStyle w:val="Hyperlink"/>
          </w:rPr>
          <w:t xml:space="preserve">[21]</w:t>
        </w:r>
      </w:hyperlink>
      <w:r>
        <w:t xml:space="preserve">[24]. Wohlstetter scores 5 for survivability analysis, which converts space deterrence from slogan to measurable residual and supplies the analytic case for proliferation, disaggregation, and reconstitution. Brodie scores 4 for reorienting purpose from winning to averting, which fits a domain where a decisive win is physically improbable and mutually costly. Waltz scores 4: polarity reframes space governance as a function of how many great space powers exist, and the security dilemma explains why one actor’s defensive resilience buildup reads as threatening</w:t>
      </w:r>
      <w:r>
        <w:t xml:space="preserve"> </w:t>
      </w:r>
      <w:hyperlink w:anchor="ref-22">
        <w:r>
          <w:rPr>
            <w:rStyle w:val="Hyperlink"/>
          </w:rPr>
          <w:t xml:space="preserve">[22]</w:t>
        </w:r>
      </w:hyperlink>
      <w:r>
        <w:t xml:space="preserve">. He is held at 4 because structural realism abstracts away the unit-level detail space policy runs on, and because cross-domain entanglement, where assets tied to nuclear command and warning make instability in one domain bleed into another, is better handled elsewhere</w:t>
      </w:r>
      <w:r>
        <w:t xml:space="preserve"> </w:t>
      </w:r>
      <w:hyperlink w:anchor="ref-25">
        <w:r>
          <w:rPr>
            <w:rStyle w:val="Hyperlink"/>
          </w:rPr>
          <w:t xml:space="preserve">[25]</w:t>
        </w:r>
      </w:hyperlink>
      <w:r>
        <w:t xml:space="preserve">.</w:t>
      </w:r>
    </w:p>
    <w:p>
      <w:pPr>
        <w:pStyle w:val="BodyText"/>
        <w:spacing w:line="480" w:lineRule="auto"/>
        <w:ind w:firstLine="720"/>
      </w:pPr>
      <w:r>
        <w:t xml:space="preserve">This is also the school whose central prediction the empirics fail to confirm. Schelling’s reciprocal-signalling account implies that the timing of counterspace tests should carry the signature of call and response, and the Secure World Foundation and CSIS records are precisely the kind of dated, consistently classified event series that could reveal it</w:t>
      </w:r>
      <w:r>
        <w:t xml:space="preserve"> </w:t>
      </w:r>
      <w:hyperlink w:anchor="ref-13">
        <w:r>
          <w:rPr>
            <w:rStyle w:val="Hyperlink"/>
          </w:rPr>
          <w:t xml:space="preserve">[13]</w:t>
        </w:r>
      </w:hyperlink>
      <w:r>
        <w:t xml:space="preserve">[14][15][16][17][19][29]. Paper 2 finds no such signature. The correct conclusion is not that Schelling is wrong about bargaining. It is that the matrix’s confidence in a 5-rated row did not survive contact with the only twenty-three events the open record supports, and that the score therefore reflects conceptual fit rather than demonstrated predictive power.</w:t>
      </w:r>
    </w:p>
    <w:bookmarkEnd w:id="87"/>
    <w:bookmarkStart w:id="88" w:name="X630ed4c171c5bf3e8421d88ec1d5824fea509d0"/>
    <w:p>
      <w:pPr>
        <w:pStyle w:val="Heading2"/>
        <w:spacing w:line="480" w:lineRule="auto"/>
      </w:pPr>
      <w:r>
        <w:t xml:space="preserve">3.8 Classical strategy: the general theory, and its limits in a new environment</w:t>
      </w:r>
    </w:p>
    <w:p>
      <w:pPr>
        <w:pStyle w:val="FirstParagraph"/>
        <w:spacing w:line="480" w:lineRule="auto"/>
      </w:pPr>
      <w:r>
        <w:t xml:space="preserve">The classical rows are, with the exception of Sun Tzu, assigned to the Military instrument and cluster tightly at 4. Sun Tzu goes to Information, because his foreknowledge maxim is the cleanest available statement of why situational awareness is the decisive informational asset and why concealment of one’s own maneuver intent is itself a strategic act. Clausewitz scores 4 for center-of-gravity analysis and for the subordination of capability to political object, the same discipline Bowen’s geocentrism enforces from inside the domain. Jomini scores 4 because decisive points and interior lines translate to orbital-mechanical geography with unusual literalness. Thucydides scores 4 for the power-transition structure and the fear-honor-interest triad. Machiavelli scores 4 for two diagnostics: whether a space-security argument depends on capabilities the state does not itself control, and whether a governance proposal pairs its rules with credible enforcement, which is the Law-Enforcement column’s founding question stated four centuries early.</w:t>
      </w:r>
    </w:p>
    <w:p>
      <w:pPr>
        <w:pStyle w:val="BodyText"/>
        <w:spacing w:line="480" w:lineRule="auto"/>
        <w:ind w:firstLine="720"/>
      </w:pPr>
      <w:r>
        <w:t xml:space="preserve">Beaufre scores 4 and deserves particular credit here, because his total-strategy pyramid, coordinating all instruments toward one end rather than running them as separate ministries, is the closest thing in the classical canon to an argument for the six-instrument architecture itself. His indirect mode, pushing competition into psychological, economic, and legal pressure when high-end military decision is foreclosed, describes the character of orbital competition better than most contemporary doctrine. Luttwak scores 4, and his geoeconomics, the logic of conflict conducted in the grammar of commerce, carries into the economic column</w:t>
      </w:r>
      <w:r>
        <w:t xml:space="preserve"> </w:t>
      </w:r>
      <w:hyperlink w:anchor="ref-71">
        <w:r>
          <w:rPr>
            <w:rStyle w:val="Hyperlink"/>
          </w:rPr>
          <w:t xml:space="preserve">[71]</w:t>
        </w:r>
      </w:hyperlink>
      <w:r>
        <w:t xml:space="preserve">. Gray scores 4 on methodological grounds: his insistence that geography endures and that each environment is strategically distinct grounds the treatment of orbit as an environment rather than a theater</w:t>
      </w:r>
      <w:r>
        <w:t xml:space="preserve"> </w:t>
      </w:r>
      <w:hyperlink w:anchor="ref-23">
        <w:r>
          <w:rPr>
            <w:rStyle w:val="Hyperlink"/>
          </w:rPr>
          <w:t xml:space="preserve">[23]</w:t>
        </w:r>
      </w:hyperlink>
      <w:r>
        <w:t xml:space="preserve">, and his general-theory discipline requires spacepower to be answerable as a special theory rather than proclaimed as a revolution.</w:t>
      </w:r>
    </w:p>
    <w:bookmarkEnd w:id="88"/>
    <w:bookmarkStart w:id="89" w:name="X35ea995010cabdc493538b71400fb53efa7f225"/>
    <w:p>
      <w:pPr>
        <w:pStyle w:val="Heading2"/>
        <w:spacing w:line="480" w:lineRule="auto"/>
      </w:pPr>
      <w:r>
        <w:t xml:space="preserve">3.9 The economic instrument: the deepest column</w:t>
      </w:r>
    </w:p>
    <w:p>
      <w:pPr>
        <w:pStyle w:val="FirstParagraph"/>
        <w:spacing w:line="480" w:lineRule="auto"/>
      </w:pPr>
      <w:r>
        <w:t xml:space="preserve">Twenty-one rows are assigned primarily to the Economic instrument, and the emphasis is not arbitrary. It follows from Goswami and Garretson’s finding that comprehensive national power is overwhelmingly economic and that dominance of production and finance precedes rule-writing</w:t>
      </w:r>
      <w:r>
        <w:t xml:space="preserve"> </w:t>
      </w:r>
      <w:hyperlink w:anchor="ref-11">
        <w:r>
          <w:rPr>
            <w:rStyle w:val="Hyperlink"/>
          </w:rPr>
          <w:t xml:space="preserve">[11]</w:t>
        </w:r>
      </w:hyperlink>
      <w:r>
        <w:t xml:space="preserve">[75], and from the fact that the economic column is the only one in which the canon generates predictions that public data can actually adjudicate. The column braids four layered readings, and it is worth setting them out separately because they answer different questions.</w:t>
      </w:r>
    </w:p>
    <w:p>
      <w:pPr>
        <w:pStyle w:val="BodyText"/>
        <w:spacing w:line="480" w:lineRule="auto"/>
        <w:ind w:firstLine="720"/>
      </w:pPr>
      <w:r>
        <w:rPr>
          <w:b/>
          <w:bCs/>
        </w:rPr>
        <w:t xml:space="preserve">The statecraft layer.</w:t>
      </w:r>
      <w:r>
        <w:t xml:space="preserve"> </w:t>
      </w:r>
      <w:r>
        <w:t xml:space="preserve">Baldwin is the anchor and scores 5. His move was to place economic instruments on the same analytic footing as force and to insist that any instrument be judged against the cost and likely success of the alternatives a policymaker actually faced</w:t>
      </w:r>
      <w:r>
        <w:t xml:space="preserve"> </w:t>
      </w:r>
      <w:hyperlink w:anchor="ref-32">
        <w:r>
          <w:rPr>
            <w:rStyle w:val="Hyperlink"/>
          </w:rPr>
          <w:t xml:space="preserve">[32]</w:t>
        </w:r>
      </w:hyperlink>
      <w:r>
        <w:t xml:space="preserve">. That standard is comparative and quantitative by construction, and it is the reason Paper 3 exists: one cannot argue that appropriated space money was well or badly spent without first knowing what a dollar of it buys. His correction on positive sanctions is equally consequential for space, directing attention to inducement instruments such as anchor tenancy, guaranteed markets, preferential data access, and financing, which are frequently cheaper and more durable than denial. Blackwill and Harris score 5 and supply the operational toolkit, seven instruments running from trade and investment through sanctions, aid, monetary policy, and commodity control, which maps almost completely onto the observable space-economic competition</w:t>
      </w:r>
      <w:r>
        <w:t xml:space="preserve"> </w:t>
      </w:r>
      <w:hyperlink w:anchor="ref-37">
        <w:r>
          <w:rPr>
            <w:rStyle w:val="Hyperlink"/>
          </w:rPr>
          <w:t xml:space="preserve">[37]</w:t>
        </w:r>
      </w:hyperlink>
      <w:r>
        <w:t xml:space="preserve">. Hirschman scores 5 as the intellectual origin of the whole weaponized-interdependence line: asymmetric trade dependence produces an influence effect that the stronger partner converts into political leverage, and a state can deliberately structure trade to create that asymmetry</w:t>
      </w:r>
      <w:r>
        <w:t xml:space="preserve"> </w:t>
      </w:r>
      <w:hyperlink w:anchor="ref-34">
        <w:r>
          <w:rPr>
            <w:rStyle w:val="Hyperlink"/>
          </w:rPr>
          <w:t xml:space="preserve">[34]</w:t>
        </w:r>
      </w:hyperlink>
      <w:r>
        <w:t xml:space="preserve">. Applied to space, the discipline is to map, capability by capability, who depends asymmetrically on whom in launch, radiation-hardened electronics, high-performance sensing, and ground-station networks, since that asymmetry rather than aggregate market size is the true measure of leverage. Norris scores 5 for identifying the under-modeled question of commercial space statecraft, which is that strategic effect requires not only centralized state goals but the ability to steer commercial actors whose controllability varies by type, so that a state-owned launch provider and a profit-seeking constellation operator are not interchangeable instruments of the same policy</w:t>
      </w:r>
      <w:r>
        <w:t xml:space="preserve"> </w:t>
      </w:r>
      <w:hyperlink w:anchor="ref-33">
        <w:r>
          <w:rPr>
            <w:rStyle w:val="Hyperlink"/>
          </w:rPr>
          <w:t xml:space="preserve">[33]</w:t>
        </w:r>
      </w:hyperlink>
      <w:r>
        <w:t xml:space="preserve">.</w:t>
      </w:r>
    </w:p>
    <w:p>
      <w:pPr>
        <w:pStyle w:val="BodyText"/>
        <w:spacing w:line="480" w:lineRule="auto"/>
        <w:ind w:firstLine="720"/>
      </w:pPr>
      <w:r>
        <w:rPr>
          <w:b/>
          <w:bCs/>
        </w:rPr>
        <w:t xml:space="preserve">The innovation and market-shaping layer.</w:t>
      </w:r>
      <w:r>
        <w:t xml:space="preserve"> </w:t>
      </w:r>
      <w:r>
        <w:t xml:space="preserve">Schumpeter scores 4 and performs a specifically deflationary function. His separation of invention from innovation, the first commercial introduction at scale, disciplines the claim that entrant firms disrupted the space sector, and his transient-monopoly result frames the question of whether early orbital advantage is durable or self-liquidating under dynamic competition</w:t>
      </w:r>
      <w:r>
        <w:t xml:space="preserve"> </w:t>
      </w:r>
      <w:hyperlink w:anchor="ref-4">
        <w:r>
          <w:rPr>
            <w:rStyle w:val="Hyperlink"/>
          </w:rPr>
          <w:t xml:space="preserve">[4]</w:t>
        </w:r>
      </w:hyperlink>
      <w:r>
        <w:t xml:space="preserve">[5]. Mazzucato scores 4 from the opposite direction, reading public investment as market-creating rather than failure-fixing, and her risk-reward-sharing principle asks whether a public sector bearing early space-innovation risk retains any of the upside</w:t>
      </w:r>
      <w:r>
        <w:t xml:space="preserve"> </w:t>
      </w:r>
      <w:hyperlink w:anchor="ref-35">
        <w:r>
          <w:rPr>
            <w:rStyle w:val="Hyperlink"/>
          </w:rPr>
          <w:t xml:space="preserve">[35]</w:t>
        </w:r>
      </w:hyperlink>
      <w:r>
        <w:t xml:space="preserve">[36]. Hayek scores 4 for the sharpest available diagnosis of the debris problem, which is a missing price: no launch pays for the congestion and collision risk it imposes on every other user, so decentralized optimization ignores the social cost. Keynes scores 4 for framing debris remediation, traffic management, and situational awareness as public goods that decentralized launch will underprovide.</w:t>
      </w:r>
    </w:p>
    <w:p>
      <w:pPr>
        <w:pStyle w:val="BodyText"/>
        <w:spacing w:line="480" w:lineRule="auto"/>
        <w:ind w:firstLine="720"/>
      </w:pPr>
      <w:r>
        <w:rPr>
          <w:b/>
          <w:bCs/>
        </w:rPr>
        <w:t xml:space="preserve">The institutional and contracting layer.</w:t>
      </w:r>
      <w:r>
        <w:t xml:space="preserve"> </w:t>
      </w:r>
      <w:r>
        <w:t xml:space="preserve">North scores 5</w:t>
      </w:r>
      <w:r>
        <w:t xml:space="preserve"> </w:t>
      </w:r>
      <w:hyperlink w:anchor="ref-52">
        <w:r>
          <w:rPr>
            <w:rStyle w:val="Hyperlink"/>
          </w:rPr>
          <w:t xml:space="preserve">[52]</w:t>
        </w:r>
      </w:hyperlink>
      <w:r>
        <w:t xml:space="preserve">[53], Williamson scores 5, and the pairing is what makes the column analytically complete. North supplies the claim that credibly enforced rights and low transaction costs determine long-run performance and that the resulting institutional matrix is path-dependent, which is the rigorous form of the closing-window argument. Williamson supplies the mechanism at the level of the individual deal: the make-buy-partner boundary is set by asset specificity, uncertainty, and frequency, and hybrid contracting is the response to hold-up under bilateral dependency</w:t>
      </w:r>
      <w:r>
        <w:t xml:space="preserve"> </w:t>
      </w:r>
      <w:hyperlink w:anchor="ref-54">
        <w:r>
          <w:rPr>
            <w:rStyle w:val="Hyperlink"/>
          </w:rPr>
          <w:t xml:space="preserve">[54]</w:t>
        </w:r>
      </w:hyperlink>
      <w:r>
        <w:t xml:space="preserve">[55]. His framework explains the shift from owning systems to buying services as discriminating alignment rather than ideology, and it identifies on-orbit servicing as the purest hold-up problem the space economy has yet produced. Acemoglu and Robinson score 4 for the inclusive-versus-extractive framing of the order now being constituted, and Porter scores 4 for firm- and cluster-level competitive analysis that complements the state-level instruments without itself being a grand-strategic theory.</w:t>
      </w:r>
    </w:p>
    <w:p>
      <w:pPr>
        <w:pStyle w:val="BodyText"/>
        <w:spacing w:line="480" w:lineRule="auto"/>
        <w:ind w:firstLine="720"/>
      </w:pPr>
      <w:r>
        <w:rPr>
          <w:b/>
          <w:bCs/>
        </w:rPr>
        <w:t xml:space="preserve">The domain-native cost layer.</w:t>
      </w:r>
      <w:r>
        <w:t xml:space="preserve"> </w:t>
      </w:r>
      <w:r>
        <w:t xml:space="preserve">Hertzfeld scores 5 as the economist who insists that space economics is not free-market economics, that structural market failure is the rule, that the legal and property-rights regime is economic infrastructure rather than background, and that spinoff and multiplier claims are routinely overstated. The OECD’s measurement work is the empirical counterpart, and its cautions about the comparability of national space-economy statistics are the reason Paper 3 uses appropriated budgets rather than sectoral output as the treatment variable</w:t>
      </w:r>
      <w:r>
        <w:t xml:space="preserve"> </w:t>
      </w:r>
      <w:hyperlink w:anchor="ref-47">
        <w:r>
          <w:rPr>
            <w:rStyle w:val="Hyperlink"/>
          </w:rPr>
          <w:t xml:space="preserve">[47]</w:t>
        </w:r>
      </w:hyperlink>
      <w:r>
        <w:t xml:space="preserve">[76].</w:t>
      </w:r>
    </w:p>
    <w:p>
      <w:pPr>
        <w:pStyle w:val="BodyText"/>
        <w:spacing w:line="480" w:lineRule="auto"/>
        <w:ind w:firstLine="720"/>
      </w:pPr>
      <w:r>
        <w:t xml:space="preserve">Morgenstern is assigned to Economic rather than Military and scores 4, on the strength of two contributions the matrix uses heavily. Coalition theory frames debris removal, data-sharing, and traffic coordination as surplus-division problems whose success turns on whether agreements can be made self-enforcing. His data-skepticism, the insistence that observed economic quantities carry error that analysts systematically understate, is directly apt to a domain whose catalogs, conjunction probabilities, and budget series are all noisier than their presentation suggests</w:t>
      </w:r>
      <w:r>
        <w:t xml:space="preserve"> </w:t>
      </w:r>
      <w:hyperlink w:anchor="ref-45">
        <w:r>
          <w:rPr>
            <w:rStyle w:val="Hyperlink"/>
          </w:rPr>
          <w:t xml:space="preserve">[45]</w:t>
        </w:r>
      </w:hyperlink>
      <w:r>
        <w:t xml:space="preserve">.</w:t>
      </w:r>
    </w:p>
    <w:p>
      <w:pPr>
        <w:pStyle w:val="BodyText"/>
        <w:spacing w:line="480" w:lineRule="auto"/>
        <w:ind w:firstLine="720"/>
      </w:pPr>
      <w:r>
        <w:t xml:space="preserve">Ostrom is assigned to Law-Enforcement rather than Economic and scores 5, because her contribution to this framework is the enforcement architecture rather than the resource theory</w:t>
      </w:r>
      <w:r>
        <w:t xml:space="preserve"> </w:t>
      </w:r>
      <w:hyperlink w:anchor="ref-49">
        <w:r>
          <w:rPr>
            <w:rStyle w:val="Hyperlink"/>
          </w:rPr>
          <w:t xml:space="preserve">[49]</w:t>
        </w:r>
      </w:hyperlink>
      <w:r>
        <w:t xml:space="preserve">[50][51]. That assignment is what makes Paper 4 a test of the Law-Enforcement instrument rather than a second economic study.</w:t>
      </w:r>
    </w:p>
    <w:bookmarkEnd w:id="89"/>
    <w:bookmarkStart w:id="90" w:name="Xa22482d6b8ba4c33a8d9091a4228d78ac43b9c0"/>
    <w:p>
      <w:pPr>
        <w:pStyle w:val="Heading2"/>
        <w:spacing w:line="480" w:lineRule="auto"/>
      </w:pPr>
      <w:r>
        <w:t xml:space="preserve">3.10 Information and cyber: cybernetics, networks, and deception</w:t>
      </w:r>
    </w:p>
    <w:p>
      <w:pPr>
        <w:pStyle w:val="FirstParagraph"/>
        <w:spacing w:line="480" w:lineRule="auto"/>
      </w:pPr>
      <w:r>
        <w:t xml:space="preserve">The Information column is the framework’s most heterogeneous. Wiener, Ashby, and Beer each score 4 and together supply a control-theoretic standard that space governance discussion rarely meets: any claim about an autonomous or self-managing space system must be drawn as an explicit closed loop with named channel and delay before its behavior can be asserted, and a regulator commanding less variety than the environment it must control will fail regardless of its authority. Ashby’s requisite-variety law is the sharpest available test of a proposed traffic-management architecture, and the operational literature on sensor tasking, catalog maintenance, and constellation scheduling is effectively the applied answer to it</w:t>
      </w:r>
      <w:r>
        <w:t xml:space="preserve"> </w:t>
      </w:r>
      <w:hyperlink w:anchor="ref-82">
        <w:r>
          <w:rPr>
            <w:rStyle w:val="Hyperlink"/>
          </w:rPr>
          <w:t xml:space="preserve">[82]</w:t>
        </w:r>
      </w:hyperlink>
      <w:r>
        <w:t xml:space="preserve">[83][84].</w:t>
      </w:r>
    </w:p>
    <w:p>
      <w:pPr>
        <w:pStyle w:val="BodyText"/>
        <w:spacing w:line="480" w:lineRule="auto"/>
        <w:ind w:firstLine="720"/>
      </w:pPr>
      <w:r>
        <w:t xml:space="preserve">Farrell and Newman score 4. Their chokepoint and panopticon effects describe the ground segment, data relays, and standards bodies with precision, and their observation that weaponization is sticky, that exploiting a chokepoint drives targets to build alternatives and erodes the centrality conferring the advantage, is the column’s most useful caution. Nye scores 4 for the attraction-and-agenda-setting contest over which coalition’s order states elect to join. Shulsky and Schmitt score 4 for the denial-and-deception emphasis any serious treatment of situational awareness requires, and the tracking and orbit-determination literature shows how much inferential work sits between an observation and an attributed intent</w:t>
      </w:r>
      <w:r>
        <w:t xml:space="preserve"> </w:t>
      </w:r>
      <w:hyperlink w:anchor="ref-79">
        <w:r>
          <w:rPr>
            <w:rStyle w:val="Hyperlink"/>
          </w:rPr>
          <w:t xml:space="preserve">[79]</w:t>
        </w:r>
      </w:hyperlink>
      <w:r>
        <w:t xml:space="preserve">[80][81]. Falco scores 5 as the column’s only native framework, insisting that security against a worst-case adversary, not merely reliability against random fault, be engineered into every segment as a testable design axis.</w:t>
      </w:r>
    </w:p>
    <w:p>
      <w:pPr>
        <w:pStyle w:val="BodyText"/>
        <w:spacing w:line="480" w:lineRule="auto"/>
        <w:ind w:firstLine="720"/>
      </w:pPr>
      <w:r>
        <w:t xml:space="preserve">The matrix’s two lowest scores sit adjacent to this column. Spengler and Toynbee each score 2. Both are genuinely illuminating as ideational lenses: Spengler’s Faustian prime-symbol of limitless space reads the expansionist impulse morphologically, and his pseudomorphosis names the risk that a nascent order forced into legacy molds is distorted rather than formed; Toynbee’s challenge-and-response frames debris as a civilizational test, and his nemesis-of-creativity warns against fixating on a once-successful instrument past its limit. Neither generates a proposition that could fail. They are retained because a framework that quietly dropped its weakest rows would be reporting a selected distribution, and the honest statement is that two of the canon’s grandest systems contribute framing and nothing measurable.</w:t>
      </w:r>
    </w:p>
    <w:bookmarkEnd w:id="90"/>
    <w:bookmarkStart w:id="91" w:name="X6215d98745f42bf62aa68d20caf088363f93afd"/>
    <w:p>
      <w:pPr>
        <w:pStyle w:val="Heading2"/>
        <w:spacing w:line="480" w:lineRule="auto"/>
      </w:pPr>
      <w:r>
        <w:t xml:space="preserve">3.11 Legal and order: the added column and its native problem</w:t>
      </w:r>
    </w:p>
    <w:p>
      <w:pPr>
        <w:pStyle w:val="FirstParagraph"/>
        <w:spacing w:line="480" w:lineRule="auto"/>
      </w:pPr>
      <w:r>
        <w:t xml:space="preserve">Grotius scores 4, Kant scores 4, Ikenberry scores 4, Keohane scores 4, Finnemore and Sikkink score 4, Bull scores 4, and Deudney scores 4, a flat band that reflects a real property of the column: the legal canon transfers reliably but rarely natively. Grotius supplies the res communis premise a space analyst must uphold or argue against</w:t>
      </w:r>
      <w:r>
        <w:t xml:space="preserve"> </w:t>
      </w:r>
      <w:hyperlink w:anchor="ref-56">
        <w:r>
          <w:rPr>
            <w:rStyle w:val="Hyperlink"/>
          </w:rPr>
          <w:t xml:space="preserve">[56]</w:t>
        </w:r>
      </w:hyperlink>
      <w:r>
        <w:t xml:space="preserve">. Kant supplies the publicity principle and the conditioned-common-access constraint that forbids converting first arrival at a finite resource into exclusive title</w:t>
      </w:r>
      <w:r>
        <w:t xml:space="preserve"> </w:t>
      </w:r>
      <w:hyperlink w:anchor="ref-57">
        <w:r>
          <w:rPr>
            <w:rStyle w:val="Hyperlink"/>
          </w:rPr>
          <w:t xml:space="preserve">[57]</w:t>
        </w:r>
      </w:hyperlink>
      <w:r>
        <w:t xml:space="preserve">. Ikenberry supplies the strategic-restraint bargain that explains why an incumbent should institutionalize early</w:t>
      </w:r>
      <w:r>
        <w:t xml:space="preserve"> </w:t>
      </w:r>
      <w:hyperlink w:anchor="ref-58">
        <w:r>
          <w:rPr>
            <w:rStyle w:val="Hyperlink"/>
          </w:rPr>
          <w:t xml:space="preserve">[58]</w:t>
        </w:r>
      </w:hyperlink>
      <w:r>
        <w:t xml:space="preserve">. Keohane explains why regimes persist without a hegemon, by lowering transaction costs and lengthening the shadow of the future, and his information-over-enforcement point argues that monitoring rather than sanction is what makes agreements stick. Finnemore and Sikkink supply the norm life cycle, which is the best available account of how a moratorium on destructive testing would actually propagate. Deudney is included as the column’s principled skeptic, and his scale-forcing insight, that technologies whose reach exceeds existing governance are order-dissolving unless institutions are built to match, is the strongest statement of the case against the expansionist canon the matrix otherwise assembles.</w:t>
      </w:r>
    </w:p>
    <w:p>
      <w:pPr>
        <w:pStyle w:val="BodyText"/>
        <w:spacing w:line="480" w:lineRule="auto"/>
        <w:ind w:firstLine="720"/>
      </w:pPr>
      <w:r>
        <w:t xml:space="preserve">Gangale is the column’s one 5, and for the reason that makes the Legal and Law-Enforcement distinction operational: delimitation determines where jurisdiction and therefore enforcement authority begin, and the boundary question is a live technical problem rather than a settled convention</w:t>
      </w:r>
      <w:r>
        <w:t xml:space="preserve"> </w:t>
      </w:r>
      <w:hyperlink w:anchor="ref-89">
        <w:r>
          <w:rPr>
            <w:rStyle w:val="Hyperlink"/>
          </w:rPr>
          <w:t xml:space="preserve">[89]</w:t>
        </w:r>
      </w:hyperlink>
      <w:r>
        <w:t xml:space="preserve">. Slaughter’s transgovernmental networks score 4 and describe the enforcement layer as it actually exists, horizontal coordination among national licensing, spectrum, and situational-awareness authorities rather than a treaty organization, together with the accountability deficit that arrangement carries. The disposal record itself is the column’s empirical anchor, documented in the annual environment reporting and in the per-mission agency record on which Paper 4 is built</w:t>
      </w:r>
      <w:r>
        <w:t xml:space="preserve"> </w:t>
      </w:r>
      <w:hyperlink w:anchor="ref-59">
        <w:r>
          <w:rPr>
            <w:rStyle w:val="Hyperlink"/>
          </w:rPr>
          <w:t xml:space="preserve">[59]</w:t>
        </w:r>
      </w:hyperlink>
      <w:r>
        <w:t xml:space="preserve">[64][66].</w:t>
      </w:r>
    </w:p>
    <w:bookmarkEnd w:id="91"/>
    <w:bookmarkStart w:id="92" w:name="realist-and-china-bridges"/>
    <w:p>
      <w:pPr>
        <w:pStyle w:val="Heading2"/>
        <w:spacing w:line="480" w:lineRule="auto"/>
      </w:pPr>
      <w:r>
        <w:t xml:space="preserve">3.12 Realist and China bridges</w:t>
      </w:r>
    </w:p>
    <w:p>
      <w:pPr>
        <w:pStyle w:val="FirstParagraph"/>
        <w:spacing w:line="480" w:lineRule="auto"/>
      </w:pPr>
      <w:r>
        <w:t xml:space="preserve">This school is assigned almost entirely to the Diplomatic instrument and serves as the matrix’s connective tissue to the competition that motivates the dissertation. Morgenthau scores 3, the lowest realist score, because interest-defined-as-power is a sound baseline that abstracts away nearly everything the domain requires. Mearsheimer scores 4 as a sobering predictor of the security-competition dimension and a standing challenge to any argument resting restraint on treaty text, and Tellis’s account of deliberate Chinese counterspace development gives the structural claim empirical texture</w:t>
      </w:r>
      <w:r>
        <w:t xml:space="preserve"> </w:t>
      </w:r>
      <w:hyperlink w:anchor="ref-26">
        <w:r>
          <w:rPr>
            <w:rStyle w:val="Hyperlink"/>
          </w:rPr>
          <w:t xml:space="preserve">[26]</w:t>
        </w:r>
      </w:hyperlink>
      <w:r>
        <w:t xml:space="preserve">. Kissinger scores 4 for legitimacy, linkage, and the warning about technologies that outrun their governing frameworks</w:t>
      </w:r>
      <w:r>
        <w:t xml:space="preserve"> </w:t>
      </w:r>
      <w:hyperlink w:anchor="ref-69">
        <w:r>
          <w:rPr>
            <w:rStyle w:val="Hyperlink"/>
          </w:rPr>
          <w:t xml:space="preserve">[69]</w:t>
        </w:r>
      </w:hyperlink>
      <w:r>
        <w:t xml:space="preserve">. Allison scores 4 for the multiple-lens discipline that prevents reading an ambiguous maneuver as a deliberate signal when it may be an organizational output. Brands and Beckley score 4 and contribute the framework’s one genuinely distinctive timing hypothesis: assertive behavior may be driven by a closing window of relative advantage rather than by rising confidence, and the two readings imply opposite risk timelines and therefore opposite remedies</w:t>
      </w:r>
      <w:r>
        <w:t xml:space="preserve"> </w:t>
      </w:r>
      <w:hyperlink w:anchor="ref-70">
        <w:r>
          <w:rPr>
            <w:rStyle w:val="Hyperlink"/>
          </w:rPr>
          <w:t xml:space="preserve">[70]</w:t>
        </w:r>
      </w:hyperlink>
      <w:r>
        <w:t xml:space="preserve">. Gaddis scores 4 and supplies the master discipline for the whole matrix, the continuous proportioning of aspiration to capability and the preservation of reversibility against commitments that cannot be undone</w:t>
      </w:r>
      <w:r>
        <w:t xml:space="preserve"> </w:t>
      </w:r>
      <w:hyperlink w:anchor="ref-68">
        <w:r>
          <w:rPr>
            <w:rStyle w:val="Hyperlink"/>
          </w:rPr>
          <w:t xml:space="preserve">[68]</w:t>
        </w:r>
      </w:hyperlink>
      <w:r>
        <w:t xml:space="preserve">, which here is not a metaphor: a cascade in a congested regime is physically difficult to reverse</w:t>
      </w:r>
      <w:r>
        <w:t xml:space="preserve"> </w:t>
      </w:r>
      <w:hyperlink w:anchor="ref-24">
        <w:r>
          <w:rPr>
            <w:rStyle w:val="Hyperlink"/>
          </w:rPr>
          <w:t xml:space="preserve">[24]</w:t>
        </w:r>
      </w:hyperlink>
      <w:r>
        <w:t xml:space="preserve">.</w:t>
      </w:r>
    </w:p>
    <w:bookmarkEnd w:id="92"/>
    <w:bookmarkStart w:id="93" w:name="X9702a7c284365d49c42e537d4821169b197c57b"/>
    <w:p>
      <w:pPr>
        <w:pStyle w:val="Heading2"/>
        <w:spacing w:line="480" w:lineRule="auto"/>
      </w:pPr>
      <w:r>
        <w:t xml:space="preserve">3.13 What the score distribution actually shows</w:t>
      </w:r>
    </w:p>
    <w:p>
      <w:pPr>
        <w:pStyle w:val="FirstParagraph"/>
        <w:spacing w:line="480" w:lineRule="auto"/>
      </w:pPr>
      <w:r>
        <w:t xml:space="preserve">Forty-eight rows at 4 is a compression, and it should be read as a limitation of the instrument. Two mechanisms produce it. The first is that the canon survives by selection: thinkers whose frameworks did not generalize were not canonized, so a matrix built from the canon is sampling on the dependent variable. The second is that a four-point score is the natural resting place for any framework whose mechanism transfers while its substance does not, and most classical strategy is in that condition with respect to orbit.</w:t>
      </w:r>
    </w:p>
    <w:p>
      <w:pPr>
        <w:pStyle w:val="BodyText"/>
        <w:spacing w:line="480" w:lineRule="auto"/>
        <w:ind w:firstLine="720"/>
      </w:pPr>
      <w:r>
        <w:t xml:space="preserve">The distribution is nonetheless informative at its tails. The twenty-one fives cluster in exactly two places: the domain-native theorists who wrote for space, and the economic-statecraft and institutional theorists whose objects, dependence, rights, enforcement, transaction cost, are not domain-specific at all. That pattern is the matrix’s most interesting structural finding, and it cuts against the field’s habit of reaching first for maritime and air-power analogy. The low scores are equally informative. Spengler and Toynbee at 2, Castex, Spykman, Huntington, Braudel, McDougall, and Morgenthau at 3, mark the boundary between frameworks that generate propositions and frameworks that generate readings. A matrix that scored those rows at 4 would have been more flattering and less useful.</w:t>
      </w:r>
    </w:p>
    <w:bookmarkEnd w:id="93"/>
    <w:bookmarkStart w:id="94" w:name="from-matrix-to-propositions"/>
    <w:p>
      <w:pPr>
        <w:pStyle w:val="Heading2"/>
        <w:spacing w:line="480" w:lineRule="auto"/>
      </w:pPr>
      <w:r>
        <w:t xml:space="preserve">3.14 From matrix to propositions</w:t>
      </w:r>
    </w:p>
    <w:p>
      <w:pPr>
        <w:pStyle w:val="FirstParagraph"/>
        <w:spacing w:line="480" w:lineRule="auto"/>
      </w:pPr>
      <w:r>
        <w:t xml:space="preserve">Five rows make claims exposed enough to be tested against public data, and each is stated here as a directional proposition with its instrument and its source row.</w:t>
      </w:r>
    </w:p>
    <w:p>
      <w:pPr>
        <w:pStyle w:val="BodyText"/>
        <w:spacing w:line="480" w:lineRule="auto"/>
        <w:ind w:firstLine="720"/>
      </w:pPr>
      <w:r>
        <w:rPr>
          <w:b/>
          <w:bCs/>
        </w:rPr>
        <w:t xml:space="preserve">P1 (Economic; Ziarnick, Schumpeter, Mahan).</w:t>
      </w:r>
      <w:r>
        <w:t xml:space="preserve"> </w:t>
      </w:r>
      <w:r>
        <w:t xml:space="preserve">If durable space power runs through commercial and industrial vitality rather than through program spending, then unit cost of access should fall systematically with accumulated experience, following Wright’s law in its standard logarithmic form</w:t>
      </w:r>
      <w:r>
        <w:t xml:space="preserve"> </w:t>
      </w:r>
      <w:hyperlink w:anchor="ref-1">
        <w:r>
          <w:rPr>
            <w:rStyle w:val="Hyperlink"/>
          </w:rPr>
          <w:t xml:space="preserve">[1]</w:t>
        </w:r>
      </w:hyperlink>
      <w:r>
        <w:t xml:space="preserve">[4][10]. The prediction is a negative experience elasticity and a progress ratio below unity, estimated against the CSIS cost series and cumulative worldwide launch counts</w:t>
      </w:r>
      <w:r>
        <w:t xml:space="preserve"> </w:t>
      </w:r>
      <w:hyperlink w:anchor="ref-6">
        <w:r>
          <w:rPr>
            <w:rStyle w:val="Hyperlink"/>
          </w:rPr>
          <w:t xml:space="preserve">[6]</w:t>
        </w:r>
      </w:hyperlink>
      <w:r>
        <w:t xml:space="preserve">[7][8][9]. The finding is directionally confirmed, with a progress ratio of 0.796, but the specification explains only about twelve percent of the variance in unit cost, which is a weak result and is reported as one. The Braudelian caution from Section 3.5 is the correct diagnosis: cumulative launches is a conjunctural variable being asked to carry structural weight.</w:t>
      </w:r>
    </w:p>
    <w:p>
      <w:pPr>
        <w:pStyle w:val="BodyText"/>
        <w:spacing w:line="480" w:lineRule="auto"/>
        <w:ind w:firstLine="720"/>
      </w:pPr>
      <w:r>
        <w:rPr>
          <w:b/>
          <w:bCs/>
        </w:rPr>
        <w:t xml:space="preserve">P2 (Military; Schelling, Kahn).</w:t>
      </w:r>
      <w:r>
        <w:t xml:space="preserve"> </w:t>
      </w:r>
      <w:r>
        <w:t xml:space="preserve">If counterspace demonstrations are bargaining moves, the hazard of a state’s next test should rise following a rival’s test</w:t>
      </w:r>
      <w:r>
        <w:t xml:space="preserve"> </w:t>
      </w:r>
      <w:hyperlink w:anchor="ref-20">
        <w:r>
          <w:rPr>
            <w:rStyle w:val="Hyperlink"/>
          </w:rPr>
          <w:t xml:space="preserve">[20]</w:t>
        </w:r>
      </w:hyperlink>
      <w:r>
        <w:t xml:space="preserve">[21]. Estimated with a Cox proportional-hazards model over twenty-seven spells and twenty-three events drawn from the Secure World Foundation and CSIS records</w:t>
      </w:r>
      <w:r>
        <w:t xml:space="preserve"> </w:t>
      </w:r>
      <w:hyperlink w:anchor="ref-13">
        <w:r>
          <w:rPr>
            <w:rStyle w:val="Hyperlink"/>
          </w:rPr>
          <w:t xml:space="preserve">[13]</w:t>
        </w:r>
      </w:hyperlink>
      <w:r>
        <w:t xml:space="preserve">[14][15][16][17][19][30][31], the rival-test covariate returns a hazard ratio of 0.8405 at p = 0.3629, and the kinetic-demonstration covariate returns 0.9069 at p = 0.8853. Only the actor’s own prior testing approaches significance, at p = 0.0727, which is marginal and is not reported as a finding. This is a null result on the framework’s most confidently scored military prediction, and Chapter 8 treats it as such.</w:t>
      </w:r>
    </w:p>
    <w:p>
      <w:pPr>
        <w:pStyle w:val="BodyText"/>
        <w:spacing w:line="480" w:lineRule="auto"/>
        <w:ind w:firstLine="720"/>
      </w:pPr>
      <w:r>
        <w:rPr>
          <w:b/>
          <w:bCs/>
        </w:rPr>
        <w:t xml:space="preserve">P3 (Economic; Baldwin, Norris, Hirschman).</w:t>
      </w:r>
      <w:r>
        <w:t xml:space="preserve"> </w:t>
      </w:r>
      <w:r>
        <w:t xml:space="preserve">If the economic instrument functions in orbit as the statecraft literature says it functions on Earth, appropriated space budget should predict orbital presence over and above national wealth</w:t>
      </w:r>
      <w:r>
        <w:t xml:space="preserve"> </w:t>
      </w:r>
      <w:hyperlink w:anchor="ref-32">
        <w:r>
          <w:rPr>
            <w:rStyle w:val="Hyperlink"/>
          </w:rPr>
          <w:t xml:space="preserve">[32]</w:t>
        </w:r>
      </w:hyperlink>
      <w:r>
        <w:t xml:space="preserve">[33][34]. Estimated over twenty-seven country-years using published budget series, World Bank GDP, and the satellite catalog</w:t>
      </w:r>
      <w:r>
        <w:t xml:space="preserve"> </w:t>
      </w:r>
      <w:hyperlink w:anchor="ref-39">
        <w:r>
          <w:rPr>
            <w:rStyle w:val="Hyperlink"/>
          </w:rPr>
          <w:t xml:space="preserve">[39]</w:t>
        </w:r>
      </w:hyperlink>
      <w:r>
        <w:t xml:space="preserve">[40][41][42][43][44][45], with heteroskedasticity-consistent standard errors</w:t>
      </w:r>
      <w:r>
        <w:t xml:space="preserve"> </w:t>
      </w:r>
      <w:hyperlink w:anchor="ref-48">
        <w:r>
          <w:rPr>
            <w:rStyle w:val="Hyperlink"/>
          </w:rPr>
          <w:t xml:space="preserve">[48]</w:t>
        </w:r>
      </w:hyperlink>
      <w:r>
        <w:t xml:space="preserve">, the budget elasticity is 1.3190 at p below 0.0001 while GDP is insignificant at p = 0.5272. This is the dissertation’s strongest result, and its honest reading is bounded: budget and GDP correlate at 0.901, so the two are genuinely hard to separate, and the correct claim is that the budget carries the explanatory content, not that national wealth is irrelevant.</w:t>
      </w:r>
    </w:p>
    <w:p>
      <w:pPr>
        <w:pStyle w:val="BodyText"/>
        <w:spacing w:line="480" w:lineRule="auto"/>
        <w:ind w:firstLine="720"/>
      </w:pPr>
      <w:r>
        <w:rPr>
          <w:b/>
          <w:bCs/>
        </w:rPr>
        <w:t xml:space="preserve">P4 (Law-Enforcement; Ostrom, North).</w:t>
      </w:r>
      <w:r>
        <w:t xml:space="preserve"> </w:t>
      </w:r>
      <w:r>
        <w:t xml:space="preserve">If graduated sanctions and binding licensing raise compliance, the strength of the disposal obligation in force over an operator should predict whether disposal was executed</w:t>
      </w:r>
      <w:r>
        <w:t xml:space="preserve"> </w:t>
      </w:r>
      <w:hyperlink w:anchor="ref-49">
        <w:r>
          <w:rPr>
            <w:rStyle w:val="Hyperlink"/>
          </w:rPr>
          <w:t xml:space="preserve">[49]</w:t>
        </w:r>
      </w:hyperlink>
      <w:r>
        <w:t xml:space="preserve">[52]. Estimated by logit over twenty-five documented end-of-life events</w:t>
      </w:r>
      <w:r>
        <w:t xml:space="preserve"> </w:t>
      </w:r>
      <w:hyperlink w:anchor="ref-59">
        <w:r>
          <w:rPr>
            <w:rStyle w:val="Hyperlink"/>
          </w:rPr>
          <w:t xml:space="preserve">[59]</w:t>
        </w:r>
      </w:hyperlink>
      <w:r>
        <w:t xml:space="preserve">[60][61][62][63][64][65][66], the licensing-strength coefficient is 0.023613 with a standard error of 0.693694, a clean null estimated at essentially zero with a symmetric interval rather than a merely insignificant one. Altitude runs the expected direction at p = 0.0769 but does not survive the removal of a single influential case, and is therefore reported as directional and unconfirmed. This is the most consequential null in the dissertation, because it is the point at which the added Law-Enforcement column fails to earn its keep on the evidence available.</w:t>
      </w:r>
    </w:p>
    <w:p>
      <w:pPr>
        <w:pStyle w:val="BodyText"/>
        <w:spacing w:line="480" w:lineRule="auto"/>
        <w:ind w:firstLine="720"/>
      </w:pPr>
      <w:r>
        <w:rPr>
          <w:b/>
          <w:bCs/>
        </w:rPr>
        <w:t xml:space="preserve">P5 (Economic and grand-strategic; Kennedy, Gaddis, Kissinger).</w:t>
      </w:r>
      <w:r>
        <w:t xml:space="preserve"> </w:t>
      </w:r>
      <w:r>
        <w:t xml:space="preserve">If overstretch operates as Kennedy describes, the ratio of space effort to productive base should predict program performance</w:t>
      </w:r>
      <w:r>
        <w:t xml:space="preserve"> </w:t>
      </w:r>
      <w:hyperlink w:anchor="ref-67">
        <w:r>
          <w:rPr>
            <w:rStyle w:val="Hyperlink"/>
          </w:rPr>
          <w:t xml:space="preserve">[67]</w:t>
        </w:r>
      </w:hyperlink>
      <w:r>
        <w:t xml:space="preserve">[68][69]. Estimated over twenty-two major projects using the auditor’s published baselines and realized cost growth</w:t>
      </w:r>
      <w:r>
        <w:t xml:space="preserve"> </w:t>
      </w:r>
      <w:hyperlink w:anchor="ref-72">
        <w:r>
          <w:rPr>
            <w:rStyle w:val="Hyperlink"/>
          </w:rPr>
          <w:t xml:space="preserve">[72]</w:t>
        </w:r>
      </w:hyperlink>
      <w:r>
        <w:t xml:space="preserve">[73][74], both overstretch terms are null, at p = 0.8945 and p = 0.7043, while years in development is significant at p = 0.0025, associating each additional year between baseline approval and assessment with about fourteen additional percentage points of cost growth. The overstretch hypothesis is refuted on this evidence, and the chapter reframes around exposure and duration rather than defending the original prediction.</w:t>
      </w:r>
    </w:p>
    <w:bookmarkEnd w:id="94"/>
    <w:bookmarkStart w:id="95" w:name="scope-conditions"/>
    <w:p>
      <w:pPr>
        <w:pStyle w:val="Heading2"/>
        <w:spacing w:line="480" w:lineRule="auto"/>
      </w:pPr>
      <w:r>
        <w:t xml:space="preserve">3.15 Scope conditions</w:t>
      </w:r>
    </w:p>
    <w:p>
      <w:pPr>
        <w:pStyle w:val="FirstParagraph"/>
        <w:spacing w:line="480" w:lineRule="auto"/>
      </w:pPr>
      <w:r>
        <w:t xml:space="preserve">Three limits are stated at the outset rather than conceded later. The matrix scores conceptual fit, not predictive power, and Papers 2 and 4 demonstrate that the two can diverge sharply: a row can score 5 on the strength of a genuinely load-bearing mechanism and still generate a prediction the data refuse. Second, the forced single-instrument assignment buys falsifiability at the cost of realism, since Ostrom, Baldwin, and Bowen each genuinely illuminate more than one column, and any result attributed to an instrument is therefore attributed to a construction the analyst imposed. Third, the empirical program is small by design. Twenty-two to thirty-eight observations per study is what the public record honestly supports for these questions, and the alternative was to manufacture rows by inference, which an earlier version of Paper 4 did and which was removed precisely because the finding it produced did not survive the removal of the inferred cases.</w:t>
      </w:r>
    </w:p>
    <w:p>
      <w:pPr>
        <w:pStyle w:val="BodyText"/>
        <w:spacing w:line="480" w:lineRule="auto"/>
        <w:ind w:firstLine="720"/>
      </w:pPr>
      <w:r>
        <w:t xml:space="preserve">The contribution stands on the framework and the matrix. The empirics are disciplined probes into it, and the fact that three of five return nulls or near-nulls is the most useful thing the probes could have done. A canon that predicted everything would have told us nothing about which parts of it are load-bearing. This one, tested, tells us that its economic and institutional rows carry weight, that its deterrence-signalling and overstretch rows do not carry the weight the field assumes, and that the Law-Enforcement extension, however well justified in principle, does not yet have a record dense enough to prove itself.</w:t>
      </w:r>
    </w:p>
    <w:bookmarkEnd w:id="95"/>
    <w:bookmarkEnd w:id="96"/>
    <w:bookmarkStart w:id="106" w:name="chapter-4.-data-and-measurement"/>
    <w:p>
      <w:pPr>
        <w:pStyle w:val="Heading1"/>
        <w:spacing w:line="480" w:lineRule="auto"/>
      </w:pPr>
      <w:r>
        <w:t xml:space="preserve">Chapter 4. Data and Measurement</w:t>
      </w:r>
    </w:p>
    <w:bookmarkStart w:id="97" w:name="X831b3002fa10d3b11d9d13ac74b971178c8bb4b"/>
    <w:p>
      <w:pPr>
        <w:pStyle w:val="Heading2"/>
        <w:spacing w:line="480" w:lineRule="auto"/>
      </w:pPr>
      <w:r>
        <w:t xml:space="preserve">4.1 The measurement posture of a framework dissertation</w:t>
      </w:r>
    </w:p>
    <w:p>
      <w:pPr>
        <w:pStyle w:val="FirstParagraph"/>
        <w:spacing w:line="480" w:lineRule="auto"/>
      </w:pPr>
      <w:r>
        <w:t xml:space="preserve">This dissertation makes its principal claim in the matrix. The fifty-thinker by six-instrument mapping is the contribution, and the five quantitative studies that follow are probes, deliberately narrow tests fired at the points where the matrix makes a directional prediction that real data could contradict. That ordering has consequences for how the data must be built. A dissertation whose contribution rested on its coefficients could afford to assemble the largest sample it could reach and defend the resulting estimates. A dissertation whose contribution rests on a framework cannot, because a probe that returns a manufactured result is worse than no probe at all: it converts a conceptual claim into a false empirical one and contaminates the framework it was meant to discipline.</w:t>
      </w:r>
    </w:p>
    <w:p>
      <w:pPr>
        <w:pStyle w:val="BodyText"/>
        <w:spacing w:line="480" w:lineRule="auto"/>
        <w:ind w:firstLine="720"/>
      </w:pPr>
      <w:r>
        <w:t xml:space="preserve">The standard adopted here is therefore provenance before power. Every cell in every dataset must trace to a source that a reader can open, and where a cell cannot be traced it is dropped rather than estimated. Where an analyst judgement enters, it is declared in the variable definitions, carried in a named column of the data file, and confined to the right side of the estimating equation. This chapter states, study by study, what was measured, from what source, at what unit of analysis, over what coverage, and with what admitted limits. Several of those limits are severe. Naming them is not a ritual of modesty; it is the reason the nulls reported in Chapters 5 through 9 can be read as findings rather than as failures of effort.</w:t>
      </w:r>
    </w:p>
    <w:bookmarkEnd w:id="97"/>
    <w:bookmarkStart w:id="98" w:name="X277c38511308a5a07be4024fc299d6e22b9373b"/>
    <w:p>
      <w:pPr>
        <w:pStyle w:val="Heading2"/>
        <w:spacing w:line="480" w:lineRule="auto"/>
      </w:pPr>
      <w:r>
        <w:t xml:space="preserve">4.2 A provenance rule, and why outcomes and predictors are treated differently</w:t>
      </w:r>
    </w:p>
    <w:p>
      <w:pPr>
        <w:pStyle w:val="FirstParagraph"/>
        <w:spacing w:line="480" w:lineRule="auto"/>
      </w:pPr>
      <w:r>
        <w:t xml:space="preserve">The five datasets sort their cells into three tiers. The first tier is the directly observed record: a catalogued orbital object, a published launch total, a national accounts series. The second tier is the reported fact: a named agency, regulator, auditor, or peer-reviewed paper stating that a particular thing happened to a particular spacecraft or programme. The third tier is analyst construction: an index, a scale, or a categorical assignment that no source publishes and that the researcher has built.</w:t>
      </w:r>
    </w:p>
    <w:p>
      <w:pPr>
        <w:pStyle w:val="BodyText"/>
        <w:spacing w:line="480" w:lineRule="auto"/>
        <w:ind w:firstLine="720"/>
      </w:pPr>
      <w:r>
        <w:t xml:space="preserve">The governing rule of this dissertation is that a dependent variable may occupy only the first two tiers. An outcome assembled in the third tier is circular by construction, because the analyst who codes the outcome has already formed a view about the predictors, and the coding will absorb that view whether or not the analyst intends it. This is not a hypothetical concern. Paper 4, on post-mission disposal, was originally built with an outcome coded by analyst inference for a minority of the actors in the sample, and the finding it produced did not survive the removal of the inferred rows. The study was rebuilt from the ground up rather than defended, and Section 4.6 documents the rebuild in detail because it is the clearest illustration in the dissertation of what the provenance rule costs and what it buys.</w:t>
      </w:r>
    </w:p>
    <w:p>
      <w:pPr>
        <w:pStyle w:val="BodyText"/>
        <w:spacing w:line="480" w:lineRule="auto"/>
        <w:ind w:firstLine="720"/>
      </w:pPr>
      <w:r>
        <w:t xml:space="preserve">Predictors are treated differently, and the asymmetry is deliberate rather than convenient. Paper 4 uses an analyst-constructed licensing-strength index on the right side of its logit. The construction is admissible for three reasons. First, its components are dated, published legal instruments, so the raw material is second-tier even though the aggregation is third-tier: the index awards points for a published binding disposal requirement, a national authorisation statute conditioning licence on disposal, a timeline stricter than the twenty-five-year default, and an enforcement or financial-guarantee mechanism, each of which can be checked against the underlying instrument</w:t>
      </w:r>
      <w:r>
        <w:t xml:space="preserve"> </w:t>
      </w:r>
      <w:hyperlink w:anchor="ref-60">
        <w:r>
          <w:rPr>
            <w:rStyle w:val="Hyperlink"/>
          </w:rPr>
          <w:t xml:space="preserve">[60]</w:t>
        </w:r>
      </w:hyperlink>
      <w:r>
        <w:t xml:space="preserve">[61][62][63][65]. Second, the construction is declared in the study’s variable definitions and flagged in the data file itself by a column recording that the variable is analyst-coded, so a reader can strike it and re-estimate. Third, and decisively, measurement error in a predictor attenuates its coefficient toward zero, which biases the test against the hypothesis the paper is trying to support, whereas measurement error in an analyst-coded outcome manufactures precisely the correlation the analyst expected. An index that is wrong makes a governance finding harder to obtain. An outcome that is inferred makes one impossible to trust.</w:t>
      </w:r>
    </w:p>
    <w:bookmarkEnd w:id="98"/>
    <w:bookmarkStart w:id="99" w:name="Xcfb19a0ad4ee54d25bf48ea735c4eff4662eb5c"/>
    <w:p>
      <w:pPr>
        <w:pStyle w:val="Heading2"/>
        <w:spacing w:line="480" w:lineRule="auto"/>
      </w:pPr>
      <w:r>
        <w:t xml:space="preserve">4.3 Paper 1: launch cost against cumulative experience</w:t>
      </w:r>
    </w:p>
    <w:p>
      <w:pPr>
        <w:pStyle w:val="FirstParagraph"/>
        <w:spacing w:line="480" w:lineRule="auto"/>
      </w:pPr>
      <w:r>
        <w:t xml:space="preserve">The economic probe on the experience curve takes the vehicle introduction as its unit of analysis. The dependent variable is the dedicated-launch price to place one kilogram into low Earth orbit, inflation-adjusted to a single base year, taken from the Center for Strategic and International Studies Aerospace Security Project launch-cost dataset as republished by Our World in Data</w:t>
      </w:r>
      <w:r>
        <w:t xml:space="preserve"> </w:t>
      </w:r>
      <w:hyperlink w:anchor="ref-7">
        <w:r>
          <w:rPr>
            <w:rStyle w:val="Hyperlink"/>
          </w:rPr>
          <w:t xml:space="preserve">[7]</w:t>
        </w:r>
      </w:hyperlink>
      <w:r>
        <w:t xml:space="preserve">[8]. That series was chosen over richer but inconsistent alternatives for one reason: it applies a single costing methodology and a single base year to every vehicle it covers, which is the minimum condition for a cross-vehicle regression to mean anything. The experience variable is the cumulative count of worldwide orbital launch attempts through each vehicle’s first-flight year, accumulated from Jonathan McDowell’s orbital launch log and cross-checked against an independent compilation of annual totals</w:t>
      </w:r>
      <w:r>
        <w:t xml:space="preserve"> </w:t>
      </w:r>
      <w:hyperlink w:anchor="ref-9">
        <w:r>
          <w:rPr>
            <w:rStyle w:val="Hyperlink"/>
          </w:rPr>
          <w:t xml:space="preserve">[9]</w:t>
        </w:r>
      </w:hyperlink>
      <w:r>
        <w:t xml:space="preserve">. The estimating form is Wright’s law in logarithms, the specification Wright introduced for airframes and the literature has since generalised as the experience or learning curve</w:t>
      </w:r>
      <w:r>
        <w:t xml:space="preserve"> </w:t>
      </w:r>
      <w:hyperlink w:anchor="ref-10">
        <w:r>
          <w:rPr>
            <w:rStyle w:val="Hyperlink"/>
          </w:rPr>
          <w:t xml:space="preserve">[10]</w:t>
        </w:r>
      </w:hyperlink>
      <w:r>
        <w:t xml:space="preserve">.</w:t>
      </w:r>
    </w:p>
    <w:p>
      <w:pPr>
        <w:pStyle w:val="BodyText"/>
        <w:spacing w:line="480" w:lineRule="auto"/>
        <w:ind w:firstLine="720"/>
      </w:pPr>
      <w:r>
        <w:t xml:space="preserve">The choice of cumulative worldwide launches, rather than per-vehicle or per-firm production, is a theoretical commitment and should be recognised as such. Both Mahan’s political economy of sea power and Ziarnick’s astronautical transposition of it locate learning in the national and industrial base as a whole rather than in any single hull or booster</w:t>
      </w:r>
      <w:r>
        <w:t xml:space="preserve"> </w:t>
      </w:r>
      <w:hyperlink w:anchor="ref-1">
        <w:r>
          <w:rPr>
            <w:rStyle w:val="Hyperlink"/>
          </w:rPr>
          <w:t xml:space="preserve">[1]</w:t>
        </w:r>
      </w:hyperlink>
      <w:r>
        <w:t xml:space="preserve">. Measuring experience at the level of the world launch stock is faithful to that claim. It is also the source of the study’s sharpest limitation, because a worldwide cumulative count co-moves almost perfectly with calendar time, so the estimated elasticity is an association consistent with learning and not an identified causal parameter. Two further limits bound the panel. The cost series records advertised or estimated prices, which embed strategic pricing, cross-subsidy, and government cost accounting, and therefore differ from marginal cost. And the sample is cross-vehicle rather than a within-vehicle flight history, so it recovers the industry envelope and not any producer’s own learning slope. Harry Jones’s direct comparison of Shuttle-era and Falcon-era cost per kilogram is the appropriate external calibration point and is treated in Chapter 5 as a benchmark rather than as an observation in the panel</w:t>
      </w:r>
      <w:r>
        <w:t xml:space="preserve"> </w:t>
      </w:r>
      <w:hyperlink w:anchor="ref-6">
        <w:r>
          <w:rPr>
            <w:rStyle w:val="Hyperlink"/>
          </w:rPr>
          <w:t xml:space="preserve">[6]</w:t>
        </w:r>
      </w:hyperlink>
      <w:r>
        <w:t xml:space="preserve">.</w:t>
      </w:r>
    </w:p>
    <w:p>
      <w:pPr>
        <w:pStyle w:val="BodyText"/>
        <w:spacing w:line="480" w:lineRule="auto"/>
        <w:ind w:firstLine="720"/>
      </w:pPr>
      <w:r>
        <w:t xml:space="preserve">The assembled panel comprises thirty-eight launch-vehicle rows. Every row names its source in a final column and no cell is an estimate. Thirty-eight observations supporting a single-regressor log-log fit is a thin basis for a strong claim, and the study’s own fit statistic says so plainly: the experience curve accounts for roughly twelve percent of the variance in cross-vehicle cost per kilogram, with an R-squared of 0.1217. That figure is reported in the results chapter without softening. The correct reading of a weak fit on a coarse experience proxy is that cumulative activity is a real but partial driver of launch cost, and that most of the cross-vehicle variation lies elsewhere.</w:t>
      </w:r>
    </w:p>
    <w:bookmarkEnd w:id="99"/>
    <w:bookmarkStart w:id="100" w:name="X5f85c41d5bb068de15db815152fd23539f1f394"/>
    <w:p>
      <w:pPr>
        <w:pStyle w:val="Heading2"/>
        <w:spacing w:line="480" w:lineRule="auto"/>
      </w:pPr>
      <w:r>
        <w:t xml:space="preserve">4.4 Paper 2: the timing of counterspace demonstrations</w:t>
      </w:r>
    </w:p>
    <w:p>
      <w:pPr>
        <w:pStyle w:val="FirstParagraph"/>
        <w:spacing w:line="480" w:lineRule="auto"/>
      </w:pPr>
      <w:r>
        <w:t xml:space="preserve">The military probe measures intervals rather than events. Its unit of analysis is the spell, the elapsed time from one documented direct-ascent anti-satellite flight test by a given actor to that actor’s next test, right-censored at the evidence cutoff of the source series. The dataset comprises twenty-seven spells containing twenty-three observed events, with the remainder censored.</w:t>
      </w:r>
    </w:p>
    <w:p>
      <w:pPr>
        <w:pStyle w:val="BodyText"/>
        <w:spacing w:line="480" w:lineRule="auto"/>
        <w:ind w:firstLine="720"/>
      </w:pPr>
      <w:r>
        <w:t xml:space="preserve">The source is the Secure World Foundation’s series of direct-ascent anti-satellite fact sheets, which publish, for each of the four states with documented programmes, dated and consistently classified summary tables of every known or suspected flight test, with launch site, target, altitude reached, and result</w:t>
      </w:r>
      <w:r>
        <w:t xml:space="preserve"> </w:t>
      </w:r>
      <w:hyperlink w:anchor="ref-13">
        <w:r>
          <w:rPr>
            <w:rStyle w:val="Hyperlink"/>
          </w:rPr>
          <w:t xml:space="preserve">[13]</w:t>
        </w:r>
      </w:hyperlink>
      <w:r>
        <w:t xml:space="preserve">[14][15][16]. The Foundation’s broader open-source counterspace assessments and the Center for Strategic and International Studies threat assessment series supply corroboration and context but are not the event source, because their treatment of individual tests is narrative rather than tabular</w:t>
      </w:r>
      <w:r>
        <w:t xml:space="preserve"> </w:t>
      </w:r>
      <w:hyperlink w:anchor="ref-17">
        <w:r>
          <w:rPr>
            <w:rStyle w:val="Hyperlink"/>
          </w:rPr>
          <w:t xml:space="preserve">[17]</w:t>
        </w:r>
      </w:hyperlink>
      <w:r>
        <w:t xml:space="preserve">[18][19].</w:t>
      </w:r>
    </w:p>
    <w:p>
      <w:pPr>
        <w:pStyle w:val="BodyText"/>
        <w:spacing w:line="480" w:lineRule="auto"/>
        <w:ind w:firstLine="720"/>
      </w:pPr>
      <w:r>
        <w:t xml:space="preserve">The restriction of the universe to direct-ascent testing is the study’s most consequential measurement decision, and it was taken for a data reason rather than a doctrinal one. Co-orbital rendezvous and proximity operations, jamming, and dazzling do not possess comparably discrete event boundaries in the open-source record. Pooling them with direct-ascent tests would have required the analyst to decide when an ambiguous proximity manoeuvre began and ended, which is to say it would have required manufacturing the event times that the hazard model then treats as data. The scoping restriction narrows the inferential reach of the result, and Chapter 6 states that narrowing explicitly, but it preserves the integrity of the clock.</w:t>
      </w:r>
    </w:p>
    <w:p>
      <w:pPr>
        <w:pStyle w:val="BodyText"/>
        <w:spacing w:line="480" w:lineRule="auto"/>
        <w:ind w:firstLine="720"/>
      </w:pPr>
      <w:r>
        <w:t xml:space="preserve">Three covariates enter the Cox specification, all fixed at the opening of each spell so that nothing in the model can anticipate the outcome it is meant to predict</w:t>
      </w:r>
      <w:r>
        <w:t xml:space="preserve"> </w:t>
      </w:r>
      <w:hyperlink w:anchor="ref-30">
        <w:r>
          <w:rPr>
            <w:rStyle w:val="Hyperlink"/>
          </w:rPr>
          <w:t xml:space="preserve">[30]</w:t>
        </w:r>
      </w:hyperlink>
      <w:r>
        <w:t xml:space="preserve">[31]. Accumulated prior tests by the actor represent the endogenous life of a programme, its ranges, crews, telemetry chains, and bureaucratic capacity to generate test opportunities. Rival tests in the preceding twenty-four months represent the reciprocal-signalling account. A marker for whether the actor’s own previous demonstration carried a kill vehicle against a target, rather than exercising the booster alone, operationalises the threshold question. Twenty-three events supporting three parameters is a small-sample design by any conventional standard, and the study is candid that absence of evidence for reciprocal signalling is not strong evidence of its absence.</w:t>
      </w:r>
    </w:p>
    <w:p>
      <w:pPr>
        <w:pStyle w:val="BodyText"/>
        <w:spacing w:line="480" w:lineRule="auto"/>
        <w:ind w:firstLine="720"/>
      </w:pPr>
      <w:r>
        <w:t xml:space="preserve">The dataset also inherits the epistemics of open-source assessment. Several entries in the source tables rest on official statements whose language is deliberately ambiguous, and a small number of cells carry an illustrative marker where the published source reports a month without a day or leaves a result field blank. Brian Weeden’s methodological essay on exactly this record is the appropriate warning label and is cited as such</w:t>
      </w:r>
      <w:r>
        <w:t xml:space="preserve"> </w:t>
      </w:r>
      <w:hyperlink w:anchor="ref-29">
        <w:r>
          <w:rPr>
            <w:rStyle w:val="Hyperlink"/>
          </w:rPr>
          <w:t xml:space="preserve">[29]</w:t>
        </w:r>
      </w:hyperlink>
      <w:r>
        <w:t xml:space="preserve">.</w:t>
      </w:r>
    </w:p>
    <w:bookmarkEnd w:id="100"/>
    <w:bookmarkStart w:id="101" w:name="Xe3e99111be3a15312ffd716691514c97912ef61"/>
    <w:p>
      <w:pPr>
        <w:pStyle w:val="Heading2"/>
        <w:spacing w:line="480" w:lineRule="auto"/>
      </w:pPr>
      <w:r>
        <w:t xml:space="preserve">4.5 Paper 3: national space appropriations and orbital presence</w:t>
      </w:r>
    </w:p>
    <w:p>
      <w:pPr>
        <w:pStyle w:val="FirstParagraph"/>
        <w:spacing w:line="480" w:lineRule="auto"/>
      </w:pPr>
      <w:r>
        <w:t xml:space="preserve">The economic-statecraft probe is a country-year panel of twenty-seven observations, and it is the study whose measurement is strongest and whose finding is correspondingly the most load-bearing in the dissertation.</w:t>
      </w:r>
    </w:p>
    <w:p>
      <w:pPr>
        <w:pStyle w:val="BodyText"/>
        <w:spacing w:line="480" w:lineRule="auto"/>
        <w:ind w:firstLine="720"/>
      </w:pPr>
      <w:r>
        <w:t xml:space="preserve">Government space budgets are drawn from successive annual editions of the Euroconsult and Novaspace</w:t>
      </w:r>
      <w:r>
        <w:t xml:space="preserve"> </w:t>
      </w:r>
      <w:r>
        <w:rPr>
          <w:i/>
          <w:iCs/>
        </w:rPr>
        <w:t xml:space="preserve">Government Space Programs</w:t>
      </w:r>
      <w:r>
        <w:t xml:space="preserve"> </w:t>
      </w:r>
      <w:r>
        <w:t xml:space="preserve">series, which is the only recurring source reporting civil and defence space appropriations for a large set of countries on a common accounting basis</w:t>
      </w:r>
      <w:r>
        <w:t xml:space="preserve"> </w:t>
      </w:r>
      <w:hyperlink w:anchor="ref-39">
        <w:r>
          <w:rPr>
            <w:rStyle w:val="Hyperlink"/>
          </w:rPr>
          <w:t xml:space="preserve">[39]</w:t>
        </w:r>
      </w:hyperlink>
      <w:r>
        <w:t xml:space="preserve">[40][41][42][43]. A measurement caveat attaches to that source and should be stated rather than buried: the primary reports are commercial and not openly available, so the country values used here are the figures as reported in the trade and general press releases accompanying each edition. That is a second-tier provenance, a named source reporting a fact, and it satisfies the rule of Section 4.2, but it is weaker than direct access to the underlying accounts. The Organisation for Economic Co-operation and Development’s parallel accounting of member-economy space budgets corroborates the shape and rank ordering of the series without reproducing its country-level detail</w:t>
      </w:r>
      <w:r>
        <w:t xml:space="preserve"> </w:t>
      </w:r>
      <w:hyperlink w:anchor="ref-47">
        <w:r>
          <w:rPr>
            <w:rStyle w:val="Hyperlink"/>
          </w:rPr>
          <w:t xml:space="preserve">[47]</w:t>
        </w:r>
      </w:hyperlink>
      <w:r>
        <w:t xml:space="preserve">[76]. National income is taken from the World Bank’s World Development Indicators, gross domestic product in current dollars, retrieved directly from the API rather than from a secondary tabulation</w:t>
      </w:r>
      <w:r>
        <w:t xml:space="preserve"> </w:t>
      </w:r>
      <w:hyperlink w:anchor="ref-44">
        <w:r>
          <w:rPr>
            <w:rStyle w:val="Hyperlink"/>
          </w:rPr>
          <w:t xml:space="preserve">[44]</w:t>
        </w:r>
      </w:hyperlink>
      <w:r>
        <w:t xml:space="preserve">.</w:t>
      </w:r>
    </w:p>
    <w:p>
      <w:pPr>
        <w:pStyle w:val="BodyText"/>
        <w:spacing w:line="480" w:lineRule="auto"/>
        <w:ind w:firstLine="720"/>
      </w:pPr>
      <w:r>
        <w:t xml:space="preserve">The dependent variable is constructed rather than adopted, and the construction matters. Rather than take a published count of satellites, the study builds the on-orbit payload stock directly from the CelesTrak satellite catalogue</w:t>
      </w:r>
      <w:r>
        <w:t xml:space="preserve"> </w:t>
      </w:r>
      <w:hyperlink w:anchor="ref-45">
        <w:r>
          <w:rPr>
            <w:rStyle w:val="Hyperlink"/>
          </w:rPr>
          <w:t xml:space="preserve">[45]</w:t>
        </w:r>
      </w:hyperlink>
      <w:r>
        <w:t xml:space="preserve">, counting for each country and year the catalogued payloads attributed to that country’s owner code that were launched on or before the last day of the year and had not decayed by that date. The theoretical justification is that strategic presence in orbit is a stock and not a flow: what a state has on station is the object of interest, not what it launched in the most recent quarter. The practical justification is that building the measure from the catalogue makes the counting rule explicit and reproducible.</w:t>
      </w:r>
    </w:p>
    <w:p>
      <w:pPr>
        <w:pStyle w:val="BodyText"/>
        <w:spacing w:line="480" w:lineRule="auto"/>
        <w:ind w:firstLine="720"/>
      </w:pPr>
      <w:r>
        <w:t xml:space="preserve">Two measurement limits bound the panel. Owner attribution in the catalogue assigns some European assets to multinational operator codes rather than to member states, which systematically understates the stocks of several European countries and is not correctable within the catalogue’s own conventions. And the panel is unbalanced across its observation years, with the composition of countries shifting between years, so the year dummies absorb some composition effect in addition to genuine time effects. Heteroskedasticity-consistent standard errors of the White form are used throughout, because the variance of orbital outcomes is manifestly larger for large spenders than for small ones</w:t>
      </w:r>
      <w:r>
        <w:t xml:space="preserve"> </w:t>
      </w:r>
      <w:hyperlink w:anchor="ref-48">
        <w:r>
          <w:rPr>
            <w:rStyle w:val="Hyperlink"/>
          </w:rPr>
          <w:t xml:space="preserve">[48]</w:t>
        </w:r>
      </w:hyperlink>
      <w:r>
        <w:t xml:space="preserve">.</w:t>
      </w:r>
    </w:p>
    <w:p>
      <w:pPr>
        <w:pStyle w:val="BodyText"/>
        <w:spacing w:line="480" w:lineRule="auto"/>
        <w:ind w:firstLine="720"/>
      </w:pPr>
      <w:r>
        <w:t xml:space="preserve">The most important measurement fact in this study is a collinearity. The correlation between log budget and log gross domestic product is 0.901, with variance inflation factors of 6.4 and 5.9. The two regressors are genuinely difficult to separate. The study’s headline result, a budget elasticity of 1.3190 with a robust standard error of 0.3127 and p below 0.0001, is estimated alongside a gross-domestic-product coefficient of -0.3263 with a standard error of 0.5161 and p of 0.5272. The honest reading, and the one Chapter 7 adopts, is that the appropriated budget carries the explanatory content that national wealth might otherwise have claimed, and emphatically not that wealth is irrelevant to a state’s capacity to fund a space programme. Reporting the collinearity diagnostics is what makes that distinction available to the reader.</w:t>
      </w:r>
    </w:p>
    <w:bookmarkEnd w:id="101"/>
    <w:bookmarkStart w:id="102" w:name="X2ba4327051012642dd773c81848a3e73eee15aa"/>
    <w:p>
      <w:pPr>
        <w:pStyle w:val="Heading2"/>
        <w:spacing w:line="480" w:lineRule="auto"/>
      </w:pPr>
      <w:r>
        <w:t xml:space="preserve">4.6 Paper 4: the rebuilt post-mission disposal dataset</w:t>
      </w:r>
    </w:p>
    <w:p>
      <w:pPr>
        <w:pStyle w:val="FirstParagraph"/>
        <w:spacing w:line="480" w:lineRule="auto"/>
      </w:pPr>
      <w:r>
        <w:t xml:space="preserve">The legal and institutional probe is the study that most directly tests the framework’s Ostromian claim, and it is also the study that was discarded and rebuilt. The original design coded disposal outcomes by analyst inference for a minority of actors, which is exactly the third-tier outcome that Section 4.2 forbids, and the association it produced disappeared when the inferred rows were removed. The rebuilt design abandons inference at the outcome entirely.</w:t>
      </w:r>
    </w:p>
    <w:p>
      <w:pPr>
        <w:pStyle w:val="BodyText"/>
        <w:spacing w:line="480" w:lineRule="auto"/>
        <w:ind w:firstLine="720"/>
      </w:pPr>
      <w:r>
        <w:t xml:space="preserve">The unit of analysis in the rebuilt dataset is the individual end-of-life event for a named spacecraft or constellation whose disposition is documented in the public record. The outcome is coded as a success only where an agency, regulator, or peer-reviewed source reports either an atmospheric re-entry at or after end of mission, or an executed disposal manoeuvre campaign that the operator states was performed to clear the protected region. It is coded as a failure only where the record reports that the spacecraft reached end of mission with no disposal executed and remained in the region. Both codings are readings of a published statement, not judgements about what probably happened.</w:t>
      </w:r>
    </w:p>
    <w:p>
      <w:pPr>
        <w:pStyle w:val="BodyText"/>
        <w:spacing w:line="480" w:lineRule="auto"/>
        <w:ind w:firstLine="720"/>
      </w:pPr>
      <w:r>
        <w:t xml:space="preserve">The sources are named per row in the data file and comprise agency releases and mission pages of the European Space Agency, NASA, the United States Geological Survey, the National Oceanic and Atmospheric Administration, JAXA, ISRO, CNES, and the China Manned Space Agency, together with an operator-reported constellation deorbit case study presented to an international debris conference and to the United Nations Office for Outer Space Affairs, university and small-satellite mission records, and a peer-reviewed breakup analysis</w:t>
      </w:r>
      <w:r>
        <w:t xml:space="preserve"> </w:t>
      </w:r>
      <w:hyperlink w:anchor="ref-64">
        <w:r>
          <w:rPr>
            <w:rStyle w:val="Hyperlink"/>
          </w:rPr>
          <w:t xml:space="preserve">[64]</w:t>
        </w:r>
      </w:hyperlink>
      <w:r>
        <w:t xml:space="preserve">[66]. The regulatory instruments that populate the licensing index are cited to the issuing bodies</w:t>
      </w:r>
      <w:r>
        <w:t xml:space="preserve"> </w:t>
      </w:r>
      <w:hyperlink w:anchor="ref-60">
        <w:r>
          <w:rPr>
            <w:rStyle w:val="Hyperlink"/>
          </w:rPr>
          <w:t xml:space="preserve">[60]</w:t>
        </w:r>
      </w:hyperlink>
      <w:r>
        <w:t xml:space="preserve">[61][62][63][65].</w:t>
      </w:r>
    </w:p>
    <w:p>
      <w:pPr>
        <w:pStyle w:val="BodyText"/>
        <w:spacing w:line="480" w:lineRule="auto"/>
        <w:ind w:firstLine="720"/>
      </w:pPr>
      <w:r>
        <w:t xml:space="preserve">The rebuilt sample contains twenty-five documented end-of-life events with end-of-mission years from 2000 to 2023, all in low Earth orbit, of which nineteen are disposal successes and six are failures. Cases whose disposition could not be traced to a named source were dropped rather than estimated, and that decision is the reason the sample is twenty-five rather than larger. The cost of the rule is a known and directional selection problem, and the study states it rather than discovering it in review. The actors whose disposal outcomes are individually published are overwhelmingly transparent civil agencies and Western-licensed commercial operators. Operators that neither publish nor are subject to a reporting regime are largely absent. That selection almost certainly attenuates the licensing coefficient toward zero, and it means the estimate speaks to variation among documented actors rather than to the global population of orbital operators. For population-level adherence statistics, which this design deliberately does not attempt to reproduce, the European Space Agency’s annual environment report remains the authoritative series</w:t>
      </w:r>
      <w:r>
        <w:t xml:space="preserve"> </w:t>
      </w:r>
      <w:hyperlink w:anchor="ref-59">
        <w:r>
          <w:rPr>
            <w:rStyle w:val="Hyperlink"/>
          </w:rPr>
          <w:t xml:space="preserve">[59]</w:t>
        </w:r>
      </w:hyperlink>
      <w:r>
        <w:t xml:space="preserve">.</w:t>
      </w:r>
    </w:p>
    <w:p>
      <w:pPr>
        <w:pStyle w:val="BodyText"/>
        <w:spacing w:line="480" w:lineRule="auto"/>
        <w:ind w:firstLine="720"/>
      </w:pPr>
      <w:r>
        <w:t xml:space="preserve">Three further measurement decisions are recorded here because they shape how Chapter 8 reads the result. First, the licensing-strength index is the analyst-constructed predictor discussed in Section 4.2, and its estimated coefficient of 0.023613 with a standard error of 0.693694 and p of 0.9728 is a clean null rather than a mere failure to reach significance: the parameter is estimated at essentially zero with a symmetric interval, which is a stronger and more informative statement than an underpowered non-result. Second, the altitude variable, at a coefficient of -0.007289 with a standard error of 0.004121 and p of 0.0769, is fragile to a single observation. Dropping the highest-altitude influential failure, Jason-1, moves the coefficient to -0.00682 with p of 0.135 and the model’s likelihood-ratio p-value to 0.146. The altitude association is directional and unconfirmed, and it is reported that way throughout. Third, a government-operator indicator perfectly separates the outcome, because all four non-governmental cases in the documented sample are successes. Perfect separation cannot be estimated, so the variable is retained in the data file for audit and excluded from the specification, with the separation itself discussed qualitatively. The descriptive contrast that the model struggles to certify is nonetheless worth recording: failures in this sample average 832 kilometres of end-of-mission altitude and successes average 565.</w:t>
      </w:r>
    </w:p>
    <w:bookmarkEnd w:id="102"/>
    <w:bookmarkStart w:id="103" w:name="paper-5-audited-programme-performance"/>
    <w:p>
      <w:pPr>
        <w:pStyle w:val="Heading2"/>
        <w:spacing w:line="480" w:lineRule="auto"/>
      </w:pPr>
      <w:r>
        <w:t xml:space="preserve">4.7 Paper 5: audited programme performance</w:t>
      </w:r>
    </w:p>
    <w:p>
      <w:pPr>
        <w:pStyle w:val="FirstParagraph"/>
        <w:spacing w:line="480" w:lineRule="auto"/>
      </w:pPr>
      <w:r>
        <w:t xml:space="preserve">The grand-strategic probe takes the major project as its unit and draws on the only large-power space portfolio for which an independent auditor publishes both the baseline commitment and the realised cost growth, project by project, over a long run. Twenty-two programmes are observed. The dependent variable is cumulative development cost growth measured against the baseline approved at each project’s confirmation review, taken from the portfolio tables of the Government Accountability Office’s annual assessment of NASA major projects</w:t>
      </w:r>
      <w:r>
        <w:t xml:space="preserve"> </w:t>
      </w:r>
      <w:hyperlink w:anchor="ref-72">
        <w:r>
          <w:rPr>
            <w:rStyle w:val="Hyperlink"/>
          </w:rPr>
          <w:t xml:space="preserve">[72]</w:t>
        </w:r>
      </w:hyperlink>
      <w:r>
        <w:t xml:space="preserve">. The national-effort regressor is constructed from enacted NASA appropriations by fiscal year</w:t>
      </w:r>
      <w:r>
        <w:t xml:space="preserve"> </w:t>
      </w:r>
      <w:hyperlink w:anchor="ref-73">
        <w:r>
          <w:rPr>
            <w:rStyle w:val="Hyperlink"/>
          </w:rPr>
          <w:t xml:space="preserve">[73]</w:t>
        </w:r>
      </w:hyperlink>
      <w:r>
        <w:t xml:space="preserve"> </w:t>
      </w:r>
      <w:r>
        <w:t xml:space="preserve">divided by United States gross domestic product in the year of baseline commitment, again from the World Bank series</w:t>
      </w:r>
      <w:r>
        <w:t xml:space="preserve"> </w:t>
      </w:r>
      <w:hyperlink w:anchor="ref-74">
        <w:r>
          <w:rPr>
            <w:rStyle w:val="Hyperlink"/>
          </w:rPr>
          <w:t xml:space="preserve">[74]</w:t>
        </w:r>
      </w:hyperlink>
      <w:r>
        <w:t xml:space="preserve">. An intra-portfolio effort ratio expresses each project’s own baseline as a share of the total baseline of the agency’s major-project portfolio in the same assessment cycle, computed from the auditor’s published portfolio totals. Two controls follow: elapsed years between baseline approval and assessment, and an indicator for the crewed exploration projects.</w:t>
      </w:r>
    </w:p>
    <w:p>
      <w:pPr>
        <w:pStyle w:val="BodyText"/>
        <w:spacing w:line="480" w:lineRule="auto"/>
        <w:ind w:firstLine="720"/>
      </w:pPr>
      <w:r>
        <w:t xml:space="preserve">Verification was performed column-wise rather than row-wise, which is the stronger check. Reconstructing the portfolio from the transcribed rows reproduces the auditor’s own published totals for baseline value, cumulative delay, and cumulative overrun, and each row’s overrun percentage was then independently re-derived from its own overrun and baseline and matched against the published percentage. Cross-vintage comparison against earlier editions of the same assessment series confirms that individual project figures carry forward identically where they should. A small number of baseline years could not be fixed to a calendar year from the auditor’s documents, which bound them without stating them, and those cells are bracketed as illustrative and individually flagged in the data file. They are the only estimated values it contains.</w:t>
      </w:r>
    </w:p>
    <w:p>
      <w:pPr>
        <w:pStyle w:val="BodyText"/>
        <w:spacing w:line="480" w:lineRule="auto"/>
        <w:ind w:firstLine="720"/>
      </w:pPr>
      <w:r>
        <w:t xml:space="preserve">One design limitation dominates this study and must be stated before its results rather than after them. All twenty-two observations are American. The national space-effort regressor therefore varies only through the year of commitment, across a narrow band, and the resulting null on that term is a null about within-country temporal variation in a state whose civil space commitment is not, by any historical standard Kennedy would recognise, a fiscally overextended one</w:t>
      </w:r>
      <w:r>
        <w:t xml:space="preserve"> </w:t>
      </w:r>
      <w:hyperlink w:anchor="ref-67">
        <w:r>
          <w:rPr>
            <w:rStyle w:val="Hyperlink"/>
          </w:rPr>
          <w:t xml:space="preserve">[67]</w:t>
        </w:r>
      </w:hyperlink>
      <w:r>
        <w:t xml:space="preserve">[75]. The coefficient of 347.53 carries a standard error of 2621.82 and p of 0.8945; the intra-portfolio effort ratio returns 0.2141 with a standard error of 0.5640 and p of 0.7043. Both overstretch terms are silent. What the specification does find is duration: each additional year between baseline approval and assessment is associated with 13.9596 further percentage points of cumulative cost growth, with a standard error of 4.6125 and p of 0.0025. The crewed-exploration indicator, at -35.54 with a standard error of 27.45 and p of 0.1954, is not distinguishable from zero once exposure is held constant. Chapter 9 reads that pattern as a reframing of Kennedy rather than a vindication of him, and the single-country design is the reason the reframing is offered as a reframing rather than as a refutation of the overstretch thesis in general.</w:t>
      </w:r>
    </w:p>
    <w:bookmarkEnd w:id="103"/>
    <w:bookmarkStart w:id="104" w:name="small-n-as-a-property-of-the-domain"/>
    <w:p>
      <w:pPr>
        <w:pStyle w:val="Heading2"/>
        <w:spacing w:line="480" w:lineRule="auto"/>
      </w:pPr>
      <w:r>
        <w:t xml:space="preserve">4.8 Small-N as a property of the domain</w:t>
      </w:r>
    </w:p>
    <w:p>
      <w:pPr>
        <w:pStyle w:val="FirstParagraph"/>
        <w:spacing w:line="480" w:lineRule="auto"/>
      </w:pPr>
      <w:r>
        <w:t xml:space="preserve">Across the five studies the samples run from twenty-two programmes to thirty-eight launch-vehicle rows. That is small by the standards of any empirical social science, and the constraint is structural rather than a failure of diligence. The space domain contains few states with independent counterspace test programmes, few destructive tests, few audited flagship civil programmes, and few end-of-life events whose disposition any institution has committed to paper. Padding these samples was available at every step, and at every step it was declined: by refusing to pool ambiguous co-orbital activity into the counterspace event clock, by dropping untraceable disposal cases rather than imputing them, and by bracketing rather than inventing the handful of baseline years the auditor left unfixed.</w:t>
      </w:r>
    </w:p>
    <w:p>
      <w:pPr>
        <w:pStyle w:val="BodyText"/>
        <w:spacing w:line="480" w:lineRule="auto"/>
        <w:ind w:firstLine="720"/>
      </w:pPr>
      <w:r>
        <w:t xml:space="preserve">Small samples impose three disciplines that this dissertation accepts. Confidence intervals are wide, and coefficients that would be reported as findings in a larger sample are reported here as directional. Single observations can carry a specification, and where that is true, as with Jason-1 in the disposal logit, the sensitivity is disclosed alongside the estimate rather than in an appendix. And there is no room for interactions, high-dimensional controls, or the specification searches that generate spurious significance; the estimating equations are deliberately spare, and their sparseness is a design choice rather than an oversight.</w:t>
      </w:r>
    </w:p>
    <w:p>
      <w:pPr>
        <w:pStyle w:val="BodyText"/>
        <w:spacing w:line="480" w:lineRule="auto"/>
        <w:ind w:firstLine="720"/>
      </w:pPr>
      <w:r>
        <w:t xml:space="preserve">The most important consequence is interpretive. A small sample makes it essential to distinguish between two kinds of negative result that are casually treated as one. A parameter estimated at essentially zero with a tight symmetric interval, as with the licensing-strength index in Paper 4, is an informative null: the institutional variable does not sort outcomes among the documented actors, and the data say so with some precision. A parameter estimated with a wide interval that happens to include zero, as with the rival-testing and kinetic-threshold coefficients in Paper 2, is a different object: the data are silent, and silence is evidence about the limits of the observable record rather than about the world. Chapters 6 and 8 keep those two readings apart, because collapsing them would let the dissertation claim more from its nulls than the measurement supports.</w:t>
      </w:r>
    </w:p>
    <w:bookmarkEnd w:id="104"/>
    <w:bookmarkStart w:id="105" w:name="what-the-design-forecloses"/>
    <w:p>
      <w:pPr>
        <w:pStyle w:val="Heading2"/>
        <w:spacing w:line="480" w:lineRule="auto"/>
      </w:pPr>
      <w:r>
        <w:t xml:space="preserve">4.9 What the design forecloses</w:t>
      </w:r>
    </w:p>
    <w:p>
      <w:pPr>
        <w:pStyle w:val="FirstParagraph"/>
        <w:spacing w:line="480" w:lineRule="auto"/>
      </w:pPr>
      <w:r>
        <w:t xml:space="preserve">None of the five studies identifies a causal parameter. Each is associational, and each faces a plausible reverse-causal or jointly-determined story that the data cannot exclude: budgets and satellites are decided together, launch cadence and launch cost move with the same technological frontier, and programme duration is both a cause and a symptom of cost growth. The datasets were built to be auditable, not to support counterfactual claims, and the chapters that follow do not make them.</w:t>
      </w:r>
    </w:p>
    <w:p>
      <w:pPr>
        <w:pStyle w:val="BodyText"/>
        <w:spacing w:line="480" w:lineRule="auto"/>
        <w:ind w:firstLine="720"/>
      </w:pPr>
      <w:r>
        <w:t xml:space="preserve">That is the appropriate division of labour for a dissertation of this kind. The theoretical claim, that the strategic canon can be organised as a six-instrument matrix and that its economic and institutional strands carry the most weight in orbit, is argued in the matrix and its supporting chapters</w:t>
      </w:r>
      <w:r>
        <w:t xml:space="preserve"> </w:t>
      </w:r>
      <w:hyperlink w:anchor="ref-32">
        <w:r>
          <w:rPr>
            <w:rStyle w:val="Hyperlink"/>
          </w:rPr>
          <w:t xml:space="preserve">[32]</w:t>
        </w:r>
      </w:hyperlink>
      <w:r>
        <w:t xml:space="preserve">[49][52][54][75]. The probes exist to keep that argument honest, to give it at least five places where the world was allowed to say no, and to record clearly which of those five it did. The measurement choices documented in this chapter are what make the record worth having</w:t>
      </w:r>
      <w:r>
        <w:t xml:space="preserve"> </w:t>
      </w:r>
      <w:hyperlink w:anchor="ref-12">
        <w:r>
          <w:rPr>
            <w:rStyle w:val="Hyperlink"/>
          </w:rPr>
          <w:t xml:space="preserve">[12]</w:t>
        </w:r>
      </w:hyperlink>
      <w:r>
        <w:t xml:space="preserve">[46].</w:t>
      </w:r>
    </w:p>
    <w:bookmarkEnd w:id="105"/>
    <w:bookmarkEnd w:id="106"/>
    <w:bookmarkStart w:id="114" w:name="chapter-5.-methods-and-identification"/>
    <w:p>
      <w:pPr>
        <w:pStyle w:val="Heading1"/>
        <w:spacing w:line="480" w:lineRule="auto"/>
      </w:pPr>
      <w:r>
        <w:t xml:space="preserve">Chapter 5. Methods and Identification</w:t>
      </w:r>
    </w:p>
    <w:bookmarkStart w:id="107" w:name="Xe71b1aac87a1326c276eb8f2e1d62fca015a908"/>
    <w:p>
      <w:pPr>
        <w:pStyle w:val="Heading2"/>
        <w:spacing w:line="480" w:lineRule="auto"/>
      </w:pPr>
      <w:r>
        <w:t xml:space="preserve">5.1 The evidentiary posture of the empirical program</w:t>
      </w:r>
    </w:p>
    <w:p>
      <w:pPr>
        <w:pStyle w:val="FirstParagraph"/>
        <w:spacing w:line="480" w:lineRule="auto"/>
      </w:pPr>
      <w:r>
        <w:t xml:space="preserve">The contribution of this dissertation is the framework and the matrix. The five quantitative studies that follow are disciplined probes attached to that framework, not the framework’s foundation. This ordering matters for how the methods should be read. A dissertation whose whole claim rested on its regressions would need estimators strong enough to bear that weight, and would be tempted to present marginal coefficients as findings. The design here is the opposite. The fifty-thinker by six-instrument matrix reduces a canon to instrument-specific, directional propositions; the empirical chapters ask whether those propositions leave a measurable trace in the best public data that exists for each instrument; and where the trace is absent, the absence is reported as the result.</w:t>
      </w:r>
    </w:p>
    <w:p>
      <w:pPr>
        <w:pStyle w:val="BodyText"/>
        <w:spacing w:line="480" w:lineRule="auto"/>
        <w:ind w:firstLine="720"/>
      </w:pPr>
      <w:r>
        <w:t xml:space="preserve">Three of the five studies return substantial nulls. That is a feature of the design rather than a failure of execution. The alternative, which is to keep respecifying until something crosses a threshold, would convert the exercise into exactly the post hoc narrative the dissertation set out to test against. Each study therefore fixes its estimator, its covariates, and the sign of its predicted coefficient before estimation, so that H0 and H1 remain separable on evidence rather than on interpretation. The methodological standard adopted throughout is Baldwin’s opportunity-cost discipline transposed from statecraft to inference: an instrument, or an estimate, is judged against the realistic alternatives, including the alternative of concluding nothing</w:t>
      </w:r>
      <w:r>
        <w:t xml:space="preserve"> </w:t>
      </w:r>
      <w:hyperlink w:anchor="ref-32">
        <w:r>
          <w:rPr>
            <w:rStyle w:val="Hyperlink"/>
          </w:rPr>
          <w:t xml:space="preserve">[32]</w:t>
        </w:r>
      </w:hyperlink>
      <w:r>
        <w:t xml:space="preserve">.</w:t>
      </w:r>
    </w:p>
    <w:p>
      <w:pPr>
        <w:pStyle w:val="BodyText"/>
        <w:spacing w:line="480" w:lineRule="auto"/>
        <w:ind w:firstLine="720"/>
      </w:pPr>
      <w:r>
        <w:t xml:space="preserve">A statement that governs the entire chapter and everything that follows it: none of these five designs identifies a causal effect. Each is an associational design on observational data, with small samples, non-random selection into observation, and no instrument, no exogenous shock, and no randomization anywhere. The estimators recover conditional associations. Where the prose that follows uses words such as</w:t>
      </w:r>
      <w:r>
        <w:t xml:space="preserve"> </w:t>
      </w:r>
      <w:r>
        <w:t xml:space="preserve">“driver”</w:t>
      </w:r>
      <w:r>
        <w:t xml:space="preserve"> </w:t>
      </w:r>
      <w:r>
        <w:t xml:space="preserve">or</w:t>
      </w:r>
      <w:r>
        <w:t xml:space="preserve"> </w:t>
      </w:r>
      <w:r>
        <w:t xml:space="preserve">“explains,”</w:t>
      </w:r>
      <w:r>
        <w:t xml:space="preserve"> </w:t>
      </w:r>
      <w:r>
        <w:t xml:space="preserve">those words are shorthand for statistical association within the estimated specification, and the chapter says so once here rather than hedging every sentence later.</w:t>
      </w:r>
    </w:p>
    <w:bookmarkEnd w:id="107"/>
    <w:bookmarkStart w:id="108" w:name="X44ccb37c7569d4f9abefc12bcf91c3bb51d8970"/>
    <w:p>
      <w:pPr>
        <w:pStyle w:val="Heading2"/>
        <w:spacing w:line="480" w:lineRule="auto"/>
      </w:pPr>
      <w:r>
        <w:t xml:space="preserve">5.2 Paper 1: the experience curve as an estimator</w:t>
      </w:r>
    </w:p>
    <w:p>
      <w:pPr>
        <w:pStyle w:val="FirstParagraph"/>
        <w:spacing w:line="480" w:lineRule="auto"/>
      </w:pPr>
      <w:r>
        <w:t xml:space="preserve">The economic instrument’s foundational claim in this dissertation is Ziarnick’s, that durable space power rests on a commercial and industrial base whose precondition is cheap, high-cadence access to orbit, a claim he derives from Mahan’s self-reinforcing loop of commerce, wealth, and fleet</w:t>
      </w:r>
      <w:r>
        <w:t xml:space="preserve"> </w:t>
      </w:r>
      <w:hyperlink w:anchor="ref-1">
        <w:r>
          <w:rPr>
            <w:rStyle w:val="Hyperlink"/>
          </w:rPr>
          <w:t xml:space="preserve">[1]</w:t>
        </w:r>
      </w:hyperlink>
      <w:r>
        <w:t xml:space="preserve">[3]. That claim is economic, and it has an econometric form. Wright observed in 1936 that airframe unit cost fell by a roughly constant percentage with each doubling of cumulative production, and the generalization of that observation is the experience curve</w:t>
      </w:r>
      <w:r>
        <w:t xml:space="preserve"> </w:t>
      </w:r>
      <w:hyperlink w:anchor="ref-10">
        <w:r>
          <w:rPr>
            <w:rStyle w:val="Hyperlink"/>
          </w:rPr>
          <w:t xml:space="preserve">[10]</w:t>
        </w:r>
      </w:hyperlink>
      <w:r>
        <w:t xml:space="preserve">. Jones applied the same logic to the recent fall in launch cost, which establishes the domain precedent for this estimator</w:t>
      </w:r>
      <w:r>
        <w:t xml:space="preserve"> </w:t>
      </w:r>
      <w:hyperlink w:anchor="ref-6">
        <w:r>
          <w:rPr>
            <w:rStyle w:val="Hyperlink"/>
          </w:rPr>
          <w:t xml:space="preserve">[6]</w:t>
        </w:r>
      </w:hyperlink>
      <w:r>
        <w:t xml:space="preserve">.</w:t>
      </w:r>
    </w:p>
    <w:p>
      <w:pPr>
        <w:pStyle w:val="BodyText"/>
        <w:spacing w:line="480" w:lineRule="auto"/>
        <w:ind w:firstLine="720"/>
      </w:pPr>
      <w:r>
        <w:t xml:space="preserve">The estimator is ordinary least squares on a log-log specification: the natural log of inflation-adjusted cost per kilogram to low Earth orbit regressed on the natural log of the cumulative worldwide orbital launch stock at each vehicle’s introduction. The functional form is chosen because it is the exact algebraic form of the theoretical proposition, not for convenience. The slope is the experience elasticity of unit cost, and the progress ratio is two raised to that slope, giving the fraction of unit cost that survives a doubling of cumulative experience. A progress ratio below one is the empirical signature of learning; a ratio at or above one would falsify the hinge of the Ziarnick argument directly.</w:t>
      </w:r>
    </w:p>
    <w:p>
      <w:pPr>
        <w:pStyle w:val="BodyText"/>
        <w:spacing w:line="480" w:lineRule="auto"/>
        <w:ind w:firstLine="720"/>
      </w:pPr>
      <w:r>
        <w:t xml:space="preserve">Estimated on 38 launch-vehicle rows, the elasticity is -0.3292 with a standard error of 0.1575 and a p value of 0.0366, an intercept of 12.133, and a progress ratio of 0.796, which is roughly a 20 percent fall in cost per kilogram per doubling of cumulative launches. The R-squared is 0.1217. That last number governs the interpretation. The experience curve explains only about 12 percent of the cross-vehicle variance in launch price, and the chapter states plainly that the remaining variance belongs to vehicle class, national industrial policy, and firm strategy, which is where the Schumpeterian mechanism of new combinations and transient rents would have to be sought with a different design</w:t>
      </w:r>
      <w:r>
        <w:t xml:space="preserve"> </w:t>
      </w:r>
      <w:hyperlink w:anchor="ref-4">
        <w:r>
          <w:rPr>
            <w:rStyle w:val="Hyperlink"/>
          </w:rPr>
          <w:t xml:space="preserve">[4]</w:t>
        </w:r>
      </w:hyperlink>
      <w:r>
        <w:t xml:space="preserve">[5].</w:t>
      </w:r>
    </w:p>
    <w:p>
      <w:pPr>
        <w:pStyle w:val="BodyText"/>
        <w:spacing w:line="480" w:lineRule="auto"/>
        <w:ind w:firstLine="720"/>
      </w:pPr>
      <w:r>
        <w:t xml:space="preserve">Identification threats are three, and none is solved. First, the experience stock is the worldwide cumulative launch count, taken from McDowell’s orbital launch log, not a vehicle-specific or firm-specific production count</w:t>
      </w:r>
      <w:r>
        <w:t xml:space="preserve"> </w:t>
      </w:r>
      <w:hyperlink w:anchor="ref-9">
        <w:r>
          <w:rPr>
            <w:rStyle w:val="Hyperlink"/>
          </w:rPr>
          <w:t xml:space="preserve">[9]</w:t>
        </w:r>
      </w:hyperlink>
      <w:r>
        <w:t xml:space="preserve">. That choice follows the theory, which locates learning in the national and industrial base as a whole rather than in a single booster line, but it means the regressor is common across vehicles introduced in the same year and cannot separate learning from any other secular trend of the same period. Second, cumulative launches rise monotonically with calendar time, so the elasticity is not distinguishable from a time trend on this specification. Third, the cost series is a cross-vehicle price series drawn from the CSIS Aerospace Security dataset as republished by Our World in Data, and price is not cost</w:t>
      </w:r>
      <w:r>
        <w:t xml:space="preserve"> </w:t>
      </w:r>
      <w:hyperlink w:anchor="ref-7">
        <w:r>
          <w:rPr>
            <w:rStyle w:val="Hyperlink"/>
          </w:rPr>
          <w:t xml:space="preserve">[7]</w:t>
        </w:r>
      </w:hyperlink>
      <w:r>
        <w:t xml:space="preserve">[8]. Its virtue is one methodology and one base year applied to every vehicle; its limitation is that quoted dedicated-launch prices embed strategic pricing, subsidy, and market position. The study reports an association between accumulated launch experience and quoted price, and nothing stronger.</w:t>
      </w:r>
    </w:p>
    <w:bookmarkEnd w:id="108"/>
    <w:bookmarkStart w:id="109" w:name="Xe688630f42852a1eb816411a202a2428189f28c"/>
    <w:p>
      <w:pPr>
        <w:pStyle w:val="Heading2"/>
        <w:spacing w:line="480" w:lineRule="auto"/>
      </w:pPr>
      <w:r>
        <w:t xml:space="preserve">5.3 Paper 2: proportional hazards for the timing of counterspace demonstration</w:t>
      </w:r>
    </w:p>
    <w:p>
      <w:pPr>
        <w:pStyle w:val="FirstParagraph"/>
        <w:spacing w:line="480" w:lineRule="auto"/>
      </w:pPr>
      <w:r>
        <w:t xml:space="preserve">The military instrument’s testable proposition is Schelling’s, that a demonstration is a bargaining move staged to communicate resolve, from which it follows that a state should become more likely to test soon after a rival tests</w:t>
      </w:r>
      <w:r>
        <w:t xml:space="preserve"> </w:t>
      </w:r>
      <w:hyperlink w:anchor="ref-20">
        <w:r>
          <w:rPr>
            <w:rStyle w:val="Hyperlink"/>
          </w:rPr>
          <w:t xml:space="preserve">[20]</w:t>
        </w:r>
      </w:hyperlink>
      <w:r>
        <w:t xml:space="preserve">. Kahn’s escalation ladder supplies a second, competing proposition, that crossing a rung changes the tempo at which the next rung is approached</w:t>
      </w:r>
      <w:r>
        <w:t xml:space="preserve"> </w:t>
      </w:r>
      <w:hyperlink w:anchor="ref-21">
        <w:r>
          <w:rPr>
            <w:rStyle w:val="Hyperlink"/>
          </w:rPr>
          <w:t xml:space="preserve">[21]</w:t>
        </w:r>
      </w:hyperlink>
      <w:r>
        <w:t xml:space="preserve">. Both are propositions about timing, and timing is the object of survival analysis. The correct estimator is therefore not a count model or a regression on annual test totals but the Cox proportional-hazards model, which relates the instantaneous hazard of the next event to covariates without imposing a parametric form on the underlying schedule</w:t>
      </w:r>
      <w:r>
        <w:t xml:space="preserve"> </w:t>
      </w:r>
      <w:hyperlink w:anchor="ref-30">
        <w:r>
          <w:rPr>
            <w:rStyle w:val="Hyperlink"/>
          </w:rPr>
          <w:t xml:space="preserve">[30]</w:t>
        </w:r>
      </w:hyperlink>
      <w:r>
        <w:t xml:space="preserve">. The unit of analysis is the interval between tests, not the test. Estimation uses the lifelines implementation</w:t>
      </w:r>
      <w:r>
        <w:t xml:space="preserve"> </w:t>
      </w:r>
      <w:hyperlink w:anchor="ref-31">
        <w:r>
          <w:rPr>
            <w:rStyle w:val="Hyperlink"/>
          </w:rPr>
          <w:t xml:space="preserve">[31]</w:t>
        </w:r>
      </w:hyperlink>
      <w:r>
        <w:t xml:space="preserve">. The choice has a domain precedent: Shivshankar and Ghose model the occurrence of non-cooperative satellite maneuvers as time-to-event data on the same logic</w:t>
      </w:r>
      <w:r>
        <w:t xml:space="preserve"> </w:t>
      </w:r>
      <w:hyperlink w:anchor="ref-79">
        <w:r>
          <w:rPr>
            <w:rStyle w:val="Hyperlink"/>
          </w:rPr>
          <w:t xml:space="preserve">[79]</w:t>
        </w:r>
      </w:hyperlink>
      <w:r>
        <w:t xml:space="preserve">.</w:t>
      </w:r>
    </w:p>
    <w:p>
      <w:pPr>
        <w:pStyle w:val="BodyText"/>
        <w:spacing w:line="480" w:lineRule="auto"/>
        <w:ind w:firstLine="720"/>
      </w:pPr>
      <w:r>
        <w:t xml:space="preserve">The universe is restricted to documented direct-ascent anti-satellite flight testing by the four states for which the Secure World Foundation publishes dated, consistently classified summary tables</w:t>
      </w:r>
      <w:r>
        <w:t xml:space="preserve"> </w:t>
      </w:r>
      <w:hyperlink w:anchor="ref-13">
        <w:r>
          <w:rPr>
            <w:rStyle w:val="Hyperlink"/>
          </w:rPr>
          <w:t xml:space="preserve">[13]</w:t>
        </w:r>
      </w:hyperlink>
      <w:r>
        <w:t xml:space="preserve">[14][15][16], corroborated against the Global Counterspace Capabilities assessments and the CSIS Space Threat Assessment</w:t>
      </w:r>
      <w:r>
        <w:t xml:space="preserve"> </w:t>
      </w:r>
      <w:hyperlink w:anchor="ref-17">
        <w:r>
          <w:rPr>
            <w:rStyle w:val="Hyperlink"/>
          </w:rPr>
          <w:t xml:space="preserve">[17]</w:t>
        </w:r>
      </w:hyperlink>
      <w:r>
        <w:t xml:space="preserve">[18][19]. The restriction is a scoping decision with a methodological justification. Co-orbital proximity operations, jamming, and dazzling lack discrete, consistently dated event boundaries in the open-source record, and pooling them into a hazard model would have meant manufacturing event times rather than reading them. All covariates are fixed at the opening of each spell, so that nothing in the model can anticipate the outcome it is meant to predict, and spells that had not terminated at the evidence cutoff are right-censored rather than dropped.</w:t>
      </w:r>
    </w:p>
    <w:p>
      <w:pPr>
        <w:pStyle w:val="BodyText"/>
        <w:spacing w:line="480" w:lineRule="auto"/>
        <w:ind w:firstLine="720"/>
      </w:pPr>
      <w:r>
        <w:t xml:space="preserve">The estimates on 27 spells and 23 events are largely null. Prior own tests carries a coefficient of 0.1155, a hazard ratio of 1.1224, and a p value of 0.0727, which is marginal only and is reported as marginal. Rival tests in the preceding 24 months, the coefficient that carries the Schelling proposition, carries a coefficient of -0.1738, a hazard ratio of 0.8405, and a p value of 0.3629, a null on both magnitude and sign. The kinetic indicator carries a coefficient of -0.0977, a hazard ratio of 0.9069, and a p value of 0.8853, an unambiguous null. The study’s finding is that the reciprocal-signalling account leaves no detectable trace in the timing of the tests it is supposed to explain.</w:t>
      </w:r>
    </w:p>
    <w:p>
      <w:pPr>
        <w:pStyle w:val="BodyText"/>
        <w:spacing w:line="480" w:lineRule="auto"/>
        <w:ind w:firstLine="720"/>
      </w:pPr>
      <w:r>
        <w:t xml:space="preserve">The identification threats are severe and are the reason the result is presented as a null rather than as a refutation. Twenty-three events supporting three parameters is a small-sample design by any standard, and the confidence intervals are correspondingly wide, so a modest true effect would not be detectable here. The four programmes differ in budget, range infrastructure, and domestic politics, and pooling them imposes a common baseline hazard on populations that plausibly do not share one. Most importantly, the sample is the record of tests that were observed and published, which is not the record of tests that occurred; a state that conducts an unannounced or unattributed demonstration contributes a censored interval rather than an event, which biases estimated hazards downward in an unknown amount. Boley and Byers note the physical stakes that make such testing salient and observable at all</w:t>
      </w:r>
      <w:r>
        <w:t xml:space="preserve"> </w:t>
      </w:r>
      <w:hyperlink w:anchor="ref-24">
        <w:r>
          <w:rPr>
            <w:rStyle w:val="Hyperlink"/>
          </w:rPr>
          <w:t xml:space="preserve">[24]</w:t>
        </w:r>
      </w:hyperlink>
      <w:r>
        <w:t xml:space="preserve">, and the open-source record is a byproduct of that salience rather than a designed sample.</w:t>
      </w:r>
    </w:p>
    <w:bookmarkEnd w:id="109"/>
    <w:bookmarkStart w:id="110" w:name="X8b2ee6f51937508dadd7897d832223698f2f958"/>
    <w:p>
      <w:pPr>
        <w:pStyle w:val="Heading2"/>
        <w:spacing w:line="480" w:lineRule="auto"/>
      </w:pPr>
      <w:r>
        <w:t xml:space="preserve">5.4 Paper 3: log-log OLS with robust errors and year dummies</w:t>
      </w:r>
    </w:p>
    <w:p>
      <w:pPr>
        <w:pStyle w:val="FirstParagraph"/>
        <w:spacing w:line="480" w:lineRule="auto"/>
      </w:pPr>
      <w:r>
        <w:t xml:space="preserve">The panel study asks whether the appropriated space budget converts into orbital presence over and above what national wealth alone would predict. The estimator is ordinary least squares on a log-log specification with year dummies, the log of on-orbit payload stock regressed on the log of the government space budget, the log of GDP, and year indicators. Standard errors are heteroskedasticity-consistent of the White form, because the variance of orbital outcomes is manifestly larger for large spenders than for small ones and the classical homoskedasticity assumption is untenable across a panel spanning two and a half orders of magnitude in the dependent variable</w:t>
      </w:r>
      <w:r>
        <w:t xml:space="preserve"> </w:t>
      </w:r>
      <w:hyperlink w:anchor="ref-48">
        <w:r>
          <w:rPr>
            <w:rStyle w:val="Hyperlink"/>
          </w:rPr>
          <w:t xml:space="preserve">[48]</w:t>
        </w:r>
      </w:hyperlink>
      <w:r>
        <w:t xml:space="preserve">. The logarithmic form makes the coefficient of interest an elasticity, which is the quantity the statecraft literature implicitly asserts and never estimates</w:t>
      </w:r>
      <w:r>
        <w:t xml:space="preserve"> </w:t>
      </w:r>
      <w:hyperlink w:anchor="ref-32">
        <w:r>
          <w:rPr>
            <w:rStyle w:val="Hyperlink"/>
          </w:rPr>
          <w:t xml:space="preserve">[32]</w:t>
        </w:r>
      </w:hyperlink>
      <w:r>
        <w:t xml:space="preserve">. The year dummies absorb common shocks to launch capacity and to the global cost of access, which matters because Paper 1 establishes that the price of access moved substantially across the window.</w:t>
      </w:r>
    </w:p>
    <w:p>
      <w:pPr>
        <w:pStyle w:val="BodyText"/>
        <w:spacing w:line="480" w:lineRule="auto"/>
        <w:ind w:firstLine="720"/>
      </w:pPr>
      <w:r>
        <w:t xml:space="preserve">The sources are the successive Euroconsult and Novaspace</w:t>
      </w:r>
      <w:r>
        <w:t xml:space="preserve"> </w:t>
      </w:r>
      <w:r>
        <w:rPr>
          <w:i/>
          <w:iCs/>
        </w:rPr>
        <w:t xml:space="preserve">Government Space Programs</w:t>
      </w:r>
      <w:r>
        <w:t xml:space="preserve"> </w:t>
      </w:r>
      <w:r>
        <w:t xml:space="preserve">editions for budgets</w:t>
      </w:r>
      <w:r>
        <w:t xml:space="preserve"> </w:t>
      </w:r>
      <w:hyperlink w:anchor="ref-39">
        <w:r>
          <w:rPr>
            <w:rStyle w:val="Hyperlink"/>
          </w:rPr>
          <w:t xml:space="preserve">[39]</w:t>
        </w:r>
      </w:hyperlink>
      <w:r>
        <w:t xml:space="preserve">[40][41][42][43], the World Bank World Development Indicators for GDP</w:t>
      </w:r>
      <w:r>
        <w:t xml:space="preserve"> </w:t>
      </w:r>
      <w:hyperlink w:anchor="ref-44">
        <w:r>
          <w:rPr>
            <w:rStyle w:val="Hyperlink"/>
          </w:rPr>
          <w:t xml:space="preserve">[44]</w:t>
        </w:r>
      </w:hyperlink>
      <w:r>
        <w:t xml:space="preserve">, and the CelesTrak satellite catalogue for on-orbit stock</w:t>
      </w:r>
      <w:r>
        <w:t xml:space="preserve"> </w:t>
      </w:r>
      <w:hyperlink w:anchor="ref-45">
        <w:r>
          <w:rPr>
            <w:rStyle w:val="Hyperlink"/>
          </w:rPr>
          <w:t xml:space="preserve">[45]</w:t>
        </w:r>
      </w:hyperlink>
      <w:r>
        <w:t xml:space="preserve">, with the OECD space-economy accounting as an independent corroboration of the budget series’ shape</w:t>
      </w:r>
      <w:r>
        <w:t xml:space="preserve"> </w:t>
      </w:r>
      <w:hyperlink w:anchor="ref-47">
        <w:r>
          <w:rPr>
            <w:rStyle w:val="Hyperlink"/>
          </w:rPr>
          <w:t xml:space="preserve">[47]</w:t>
        </w:r>
      </w:hyperlink>
      <w:r>
        <w:t xml:space="preserve">[76].</w:t>
      </w:r>
    </w:p>
    <w:p>
      <w:pPr>
        <w:pStyle w:val="BodyText"/>
        <w:spacing w:line="480" w:lineRule="auto"/>
        <w:ind w:firstLine="720"/>
      </w:pPr>
      <w:r>
        <w:t xml:space="preserve">On 27 country-years the budget elasticity is 1.3190 with a robust standard error of 0.3127 and a p value below 0.0001, with a 95 percent interval from 0.706 to 1.932. The GDP elasticity is -0.3263 with a standard error of 0.5161 and a p value of 0.5272, a null once budget is controlled. The year dummies are all insignificant, the largest being 2023 at 0.6376 with a p value of 0.2269. The model returns an R-squared of 0.7988, an adjusted R-squared of 0.7384, and F of 35.43 at p equal to 1.24e-09. A Wald test of the restriction that the elasticity equals unity returns p equal to 0.308, so proportionality cannot be rejected. This is the strongest result in the dissertation.</w:t>
      </w:r>
    </w:p>
    <w:p>
      <w:pPr>
        <w:pStyle w:val="BodyText"/>
        <w:spacing w:line="480" w:lineRule="auto"/>
        <w:ind w:firstLine="720"/>
      </w:pPr>
      <w:r>
        <w:t xml:space="preserve">It is also the result with the most consequential identification problem, and the chapter states it before stating the finding’s implications. The correlation between the log budget and log GDP is 0.901, with variance inflation factors of 6.4 and 5.9. Budget and wealth are genuinely hard to separate in this panel, because states that are rich are the states that appropriate. The honest reading is that the budget variable carries the explanatory content in this specification, not that national wealth is irrelevant to space power. Three checks bound the estimate rather than rescue it. A bivariate budget-only specification returns an elasticity of 0.9983 with a standard error of 0.072 and an R-squared of 0.758. Dropping the year dummies while retaining GDP returns 1.108 with a standard error of 0.084. Excluding the United States, the observation with the greatest leverage on both regressors, leaves the elasticity positive and significant at 1.767 with a standard error of 0.591 and a p value of 0.003. The coefficient is stable in sign and order of magnitude across all three, which is the most that a sample of 27 country-years with collinear regressors can establish. It cannot establish that appropriating money causes orbital presence, since the budget itself responds to prior capability, to industrial base, and to the same political commitments that generate satellites.</w:t>
      </w:r>
    </w:p>
    <w:bookmarkEnd w:id="110"/>
    <w:bookmarkStart w:id="111" w:name="Xc2cdd3ba60b4280d7538264f82303894db75d57"/>
    <w:p>
      <w:pPr>
        <w:pStyle w:val="Heading2"/>
        <w:spacing w:line="480" w:lineRule="auto"/>
      </w:pPr>
      <w:r>
        <w:t xml:space="preserve">5.5 Paper 4: logit on a binary disposal outcome</w:t>
      </w:r>
    </w:p>
    <w:p>
      <w:pPr>
        <w:pStyle w:val="FirstParagraph"/>
        <w:spacing w:line="480" w:lineRule="auto"/>
      </w:pPr>
      <w:r>
        <w:t xml:space="preserve">The legal and law-enforcement instruments meet their test in post-mission disposal, which is the operational rule on which the orbital commons rests</w:t>
      </w:r>
      <w:r>
        <w:t xml:space="preserve"> </w:t>
      </w:r>
      <w:hyperlink w:anchor="ref-60">
        <w:r>
          <w:rPr>
            <w:rStyle w:val="Hyperlink"/>
          </w:rPr>
          <w:t xml:space="preserve">[60]</w:t>
        </w:r>
      </w:hyperlink>
      <w:r>
        <w:t xml:space="preserve">[61][65]. Ostrom’s proposition is that durable commons governance follows from clearly defined boundaries, credible monitoring, and graduated sanctions rather than from codification alone</w:t>
      </w:r>
      <w:r>
        <w:t xml:space="preserve"> </w:t>
      </w:r>
      <w:hyperlink w:anchor="ref-49">
        <w:r>
          <w:rPr>
            <w:rStyle w:val="Hyperlink"/>
          </w:rPr>
          <w:t xml:space="preserve">[49]</w:t>
        </w:r>
      </w:hyperlink>
      <w:r>
        <w:t xml:space="preserve">[50][51], and North’s is that a formal rule without credible enforcement is not an effective institution</w:t>
      </w:r>
      <w:r>
        <w:t xml:space="preserve"> </w:t>
      </w:r>
      <w:hyperlink w:anchor="ref-52">
        <w:r>
          <w:rPr>
            <w:rStyle w:val="Hyperlink"/>
          </w:rPr>
          <w:t xml:space="preserve">[52]</w:t>
        </w:r>
      </w:hyperlink>
      <w:r>
        <w:t xml:space="preserve">[53]. The outcome is binary, so the estimator is logistic regression, with three predictors: end-of-life altitude, an ordinal licensing-strength index scored from dated published instruments</w:t>
      </w:r>
      <w:r>
        <w:t xml:space="preserve"> </w:t>
      </w:r>
      <w:hyperlink w:anchor="ref-62">
        <w:r>
          <w:rPr>
            <w:rStyle w:val="Hyperlink"/>
          </w:rPr>
          <w:t xml:space="preserve">[62]</w:t>
        </w:r>
      </w:hyperlink>
      <w:r>
        <w:t xml:space="preserve">[63], and the centred end-of-mission year.</w:t>
      </w:r>
    </w:p>
    <w:p>
      <w:pPr>
        <w:pStyle w:val="BodyText"/>
        <w:spacing w:line="480" w:lineRule="auto"/>
        <w:ind w:firstLine="720"/>
      </w:pPr>
      <w:r>
        <w:t xml:space="preserve">Two design decisions carry most of the weight. First, the outcome is coded only where an agency, regulator, or peer-reviewed source reports the disposition as a fact; cases that could not be traced to a named source were dropped rather than estimated, which is why the sample is 25 rather than larger. Every outcome traces to a named agency, regulator, or peer-reviewed record, including ESA, NASA, USGS, NOAA, JAXA, ISRO, CNES and JPL, the China Manned Space Agency, Iridium, SSTL, and SpaceX</w:t>
      </w:r>
      <w:r>
        <w:t xml:space="preserve"> </w:t>
      </w:r>
      <w:hyperlink w:anchor="ref-59">
        <w:r>
          <w:rPr>
            <w:rStyle w:val="Hyperlink"/>
          </w:rPr>
          <w:t xml:space="preserve">[59]</w:t>
        </w:r>
      </w:hyperlink>
      <w:r>
        <w:t xml:space="preserve">[64][66]. Second, the only analyst-constructed variable is a predictor rather than the outcome, and it is flagged as analyst-coded in the dataset, so the appropriate robustness check is removal of that predictor rather than removal of rows.</w:t>
      </w:r>
    </w:p>
    <w:p>
      <w:pPr>
        <w:pStyle w:val="BodyText"/>
        <w:spacing w:line="480" w:lineRule="auto"/>
        <w:ind w:firstLine="720"/>
      </w:pPr>
      <w:r>
        <w:t xml:space="preserve">On 25 documented end-of-life events between 2000 and 2023, all in low Earth orbit, with 19 disposal successes and 6 failures, altitude carries a coefficient of -0.007289 with a standard error of 0.004121 and a p value of 0.0769, an odds ratio of about 0.48 per 100 kilometres. Licensing strength carries a coefficient of 0.023613 with a standard error of 0.693694 and a p value of 0.9728. That is a clean null, estimated at essentially zero with a symmetric interval, not merely a coefficient that failed a threshold. Centred end-of-mission year carries 0.087422 at p equal to 0.3136. The model returns a pseudo R-squared of 0.3008, a log-likelihood of -9.6323, a likelihood-ratio p value of 0.0404, and in-sample accuracy of 0.80 against a base rate of 0.76. Failures average 832 kilometres and successes average 565.</w:t>
      </w:r>
    </w:p>
    <w:p>
      <w:pPr>
        <w:pStyle w:val="BodyText"/>
        <w:spacing w:line="480" w:lineRule="auto"/>
        <w:ind w:firstLine="720"/>
      </w:pPr>
      <w:r>
        <w:t xml:space="preserve">The fragility must be disclosed with the result and not after it. Dropping Jason-1, the highest-altitude influential failure, moves the altitude coefficient to -0.00682 with a p value of 0.135 and the model likelihood-ratio p value to 0.146. The altitude association is directional and unconfirmed, not established. A second, separate problem is perfect separation: the government-operator indicator perfectly predicts the outcome, because all four non-governmental cases in the documented sample succeeded. Maximum-likelihood estimates do not exist under separation, and the response adopted here is to retain the variable in the dataset for audit while excluding it from the estimated specification, rather than to apply a penalized likelihood that would produce a coefficient the data cannot support. The separation is reported as a descriptive fact about the sample. Third, and most consequentially, the sample is selected on documentation rather than at random. The actors whose disposal outcomes are individually published are overwhelmingly transparent civil agencies and Western-licensed commercial operators, which almost certainly attenuates the licensing coefficient toward zero and confines the estimate to variation among documented actors. The null therefore supports the narrow negative claim that among actors whose behaviour is on the record, formal institutional strength does not sort disposal outcomes. It supports no inference about actors who do not report. Williamson’s transaction-cost framing supplies the interpretive apparatus for that asymmetry rather than a fix for it</w:t>
      </w:r>
      <w:r>
        <w:t xml:space="preserve"> </w:t>
      </w:r>
      <w:hyperlink w:anchor="ref-54">
        <w:r>
          <w:rPr>
            <w:rStyle w:val="Hyperlink"/>
          </w:rPr>
          <w:t xml:space="preserve">[54]</w:t>
        </w:r>
      </w:hyperlink>
      <w:r>
        <w:t xml:space="preserve">[55].</w:t>
      </w:r>
    </w:p>
    <w:bookmarkEnd w:id="111"/>
    <w:bookmarkStart w:id="112" w:name="paper-5-ols-on-program-cost-growth"/>
    <w:p>
      <w:pPr>
        <w:pStyle w:val="Heading2"/>
        <w:spacing w:line="480" w:lineRule="auto"/>
      </w:pPr>
      <w:r>
        <w:t xml:space="preserve">5.6 Paper 5: OLS on program cost growth</w:t>
      </w:r>
    </w:p>
    <w:p>
      <w:pPr>
        <w:pStyle w:val="FirstParagraph"/>
        <w:spacing w:line="480" w:lineRule="auto"/>
      </w:pPr>
      <w:r>
        <w:t xml:space="preserve">The grand-strategy study operationalizes Kennedy’s overstretch thesis, that commitments accumulating faster than the productive base show up in performance before they show up in defeat</w:t>
      </w:r>
      <w:r>
        <w:t xml:space="preserve"> </w:t>
      </w:r>
      <w:hyperlink w:anchor="ref-67">
        <w:r>
          <w:rPr>
            <w:rStyle w:val="Hyperlink"/>
          </w:rPr>
          <w:t xml:space="preserve">[67]</w:t>
        </w:r>
      </w:hyperlink>
      <w:r>
        <w:t xml:space="preserve">, against the discipline Gaddis states as the alignment of unlimited aspiration with limited capability and the difficulty of reversing an irreversible commitment</w:t>
      </w:r>
      <w:r>
        <w:t xml:space="preserve"> </w:t>
      </w:r>
      <w:hyperlink w:anchor="ref-68">
        <w:r>
          <w:rPr>
            <w:rStyle w:val="Hyperlink"/>
          </w:rPr>
          <w:t xml:space="preserve">[68]</w:t>
        </w:r>
      </w:hyperlink>
      <w:r>
        <w:t xml:space="preserve">[69]. The estimator is ordinary least squares on cumulative development cost growth measured against the baseline approved at each project’s confirmation review, using the Government Accountability Office’s major-project assessments as the only independent audited series of baseline commitments and realized growth</w:t>
      </w:r>
      <w:r>
        <w:t xml:space="preserve"> </w:t>
      </w:r>
      <w:hyperlink w:anchor="ref-72">
        <w:r>
          <w:rPr>
            <w:rStyle w:val="Hyperlink"/>
          </w:rPr>
          <w:t xml:space="preserve">[72]</w:t>
        </w:r>
      </w:hyperlink>
      <w:r>
        <w:t xml:space="preserve">, with national space effort computed from enacted NASA appropriations and United States GDP</w:t>
      </w:r>
      <w:r>
        <w:t xml:space="preserve"> </w:t>
      </w:r>
      <w:hyperlink w:anchor="ref-73">
        <w:r>
          <w:rPr>
            <w:rStyle w:val="Hyperlink"/>
          </w:rPr>
          <w:t xml:space="preserve">[73]</w:t>
        </w:r>
      </w:hyperlink>
      <w:r>
        <w:t xml:space="preserve">[74].</w:t>
      </w:r>
    </w:p>
    <w:p>
      <w:pPr>
        <w:pStyle w:val="BodyText"/>
        <w:spacing w:line="480" w:lineRule="auto"/>
        <w:ind w:firstLine="720"/>
      </w:pPr>
      <w:r>
        <w:t xml:space="preserve">Two regressors carry the hypothesis at two altitudes, the national space-spend share of GDP and the project’s own share of the agency portfolio baseline, with elapsed years under an approved baseline and a human-spaceflight indicator as controls. On 22 programs, the national ratio carries a coefficient of 347.53 with a standard error of 2621.82 and a p value of 0.8945. The intra-portfolio effort ratio carries 0.2141 with a standard error of 0.5640 and a p value of 0.7043. Both are nulls, and the chapter reports the Kennedy overstretch hypothesis as refuted on this evidence rather than as unproven. What the specification finds instead is exposure: each additional year between baseline approval and assessment is associated with about 13.9596 additional percentage points of cost growth, with a standard error of 4.6125 and a p value of 0.0025. The human-spaceflight indicator is negative and insignificant at -35.54 with a standard error of 27.45 and a p value of 0.1954. The model returns an R-squared of 0.7003, an adjusted R-squared of 0.6298, and F of 31.91 at p equal to 1.06e-07.</w:t>
      </w:r>
    </w:p>
    <w:p>
      <w:pPr>
        <w:pStyle w:val="BodyText"/>
        <w:spacing w:line="480" w:lineRule="auto"/>
        <w:ind w:firstLine="720"/>
      </w:pPr>
      <w:r>
        <w:t xml:space="preserve">The binding limitation is that all 22 observations are American, so the national ratio varies only through the year of commitment across a narrow band. The null on that term is therefore a null on within-United-States temporal variation, not a test of cross-national overstretch, and the chapter does not extend it beyond that. Duration is also plainly endogenous to trouble: projects in difficulty stay under baseline longer precisely because they are in difficulty, so the exposure coefficient cannot be read as the cost of time. It is read here as evidence that the observable signature of strain in this portfolio is temporal rather than proportional, which reframes the Kennedy proposition around duration and exposure rather than confirming or discarding it wholesale.</w:t>
      </w:r>
    </w:p>
    <w:bookmarkEnd w:id="112"/>
    <w:bookmarkStart w:id="113" w:name="threats-common-to-all-five-designs"/>
    <w:p>
      <w:pPr>
        <w:pStyle w:val="Heading2"/>
        <w:spacing w:line="480" w:lineRule="auto"/>
      </w:pPr>
      <w:r>
        <w:t xml:space="preserve">5.7 Threats common to all five designs</w:t>
      </w:r>
    </w:p>
    <w:p>
      <w:pPr>
        <w:pStyle w:val="FirstParagraph"/>
        <w:spacing w:line="480" w:lineRule="auto"/>
      </w:pPr>
      <w:r>
        <w:t xml:space="preserve">Five threats recur and are not solved anywhere in the program. The first is sample size. The largest study has 38 rows and the smallest has 22 programs, 25 events, or 27 spells, which places every design in the regime where a single influential observation can move a coefficient, as Jason-1 demonstrably does in Paper 4. Every study reports the leave-one-out or specification check that bounds this, and where the check overturns the result, as it substantially does for altitude, the result is downgraded in the text rather than defended.</w:t>
      </w:r>
    </w:p>
    <w:p>
      <w:pPr>
        <w:pStyle w:val="BodyText"/>
        <w:spacing w:line="480" w:lineRule="auto"/>
        <w:ind w:firstLine="720"/>
      </w:pPr>
      <w:r>
        <w:t xml:space="preserve">The second is selection into observation. Counterspace tests enter the record because they were detected and published; disposal outcomes enter because an operator or regulator reported them; launch prices enter because a vehicle was marketed. In each case the observed sample is the transparent subset of the true population, and transparency is correlated with the institutional variables the studies are trying to estimate. This is the deepest threat in the program, and it is not correctable with the available data.</w:t>
      </w:r>
    </w:p>
    <w:p>
      <w:pPr>
        <w:pStyle w:val="BodyText"/>
        <w:spacing w:line="480" w:lineRule="auto"/>
        <w:ind w:firstLine="720"/>
      </w:pPr>
      <w:r>
        <w:t xml:space="preserve">The third is collinearity, most acutely between budget and GDP in Paper 3, where the correlation of 0.901 and variance inflation factors of 6.4 and 5.9 mean the two regressors carry overlapping information by construction. The response is to report the collinearity, to present the alternative specifications that bound the estimate, and to state the conclusion at the level the data support rather than at the level the point estimate would allow.</w:t>
      </w:r>
    </w:p>
    <w:p>
      <w:pPr>
        <w:pStyle w:val="BodyText"/>
        <w:spacing w:line="480" w:lineRule="auto"/>
        <w:ind w:firstLine="720"/>
      </w:pPr>
      <w:r>
        <w:t xml:space="preserve">The fourth is measurement. Price stands in for cost, an analyst-constructed ordinal index stands in for institutional strength, cumulative worldwide launches stand in for accumulated industrial learning, and payload counts stand in for orbital capability. Each proxy is defensible and each is imperfect, and the imperfection runs in a direction that is known in some cases and unknown in others.</w:t>
      </w:r>
    </w:p>
    <w:p>
      <w:pPr>
        <w:pStyle w:val="BodyText"/>
        <w:spacing w:line="480" w:lineRule="auto"/>
        <w:ind w:firstLine="720"/>
      </w:pPr>
      <w:r>
        <w:t xml:space="preserve">The fifth is the absence of causal identification, restated here as a conclusion rather than a caveat. No design in this program has an instrument, a discontinuity, a randomization, or a credible natural experiment. Goswami and Garretson’s rules-window argument, which motivates much of the dissertation’s urgency, is a claim about path dependence that these designs can illuminate but cannot adjudicate</w:t>
      </w:r>
      <w:r>
        <w:t xml:space="preserve"> </w:t>
      </w:r>
      <w:hyperlink w:anchor="ref-11">
        <w:r>
          <w:rPr>
            <w:rStyle w:val="Hyperlink"/>
          </w:rPr>
          <w:t xml:space="preserve">[11]</w:t>
        </w:r>
      </w:hyperlink>
      <w:r>
        <w:t xml:space="preserve">[75]. What the five studies establish is a set of measured associations, three of them null, one of them fragile, and one of them robust in sign across every specification tried. That is what the framework is entitled to claim, and the chapters that follow claim nothing more.</w:t>
      </w:r>
    </w:p>
    <w:bookmarkEnd w:id="113"/>
    <w:bookmarkEnd w:id="114"/>
    <w:bookmarkStart w:id="123" w:name="chapter-6.-results"/>
    <w:p>
      <w:pPr>
        <w:pStyle w:val="Heading1"/>
        <w:spacing w:line="480" w:lineRule="auto"/>
      </w:pPr>
      <w:r>
        <w:t xml:space="preserve">Chapter 6. Results</w:t>
      </w:r>
    </w:p>
    <w:bookmarkStart w:id="115" w:name="the-reporting-posture-of-this-chapter"/>
    <w:p>
      <w:pPr>
        <w:pStyle w:val="Heading2"/>
        <w:spacing w:line="480" w:lineRule="auto"/>
      </w:pPr>
      <w:r>
        <w:t xml:space="preserve">6.1 The reporting posture of this chapter</w:t>
      </w:r>
    </w:p>
    <w:p>
      <w:pPr>
        <w:pStyle w:val="FirstParagraph"/>
        <w:spacing w:line="480" w:lineRule="auto"/>
      </w:pPr>
      <w:r>
        <w:t xml:space="preserve">This chapter reports what five empirical probes returned when the fifty-thinker matrix was reduced to instrument-specific, sign-bearing predictions and each prediction was put to a real dataset. It is written to a discipline that the previous chapters set out and that this one must now honor in the presence of the numbers themselves: the contribution of this dissertation is the framework and the matrix, and the empirics are disciplined probes of that framework rather than its evidentiary foundation. Three of the five probes return nulls on their headline hypotheses. One returns a strong and stable result. One returns a weak but statistically detectable regularity that explains very little of the variance it is asked to explain. That distribution is reported here as it stands, without rescue.</w:t>
      </w:r>
    </w:p>
    <w:p>
      <w:pPr>
        <w:pStyle w:val="BodyText"/>
        <w:spacing w:line="480" w:lineRule="auto"/>
        <w:ind w:firstLine="720"/>
      </w:pPr>
      <w:r>
        <w:t xml:space="preserve">The reason for this posture is methodological rather than modest. A framework that generates predictions is only worth having if the predictions can fail, and the value of a null is proportional to the sharpness of the claim it defeats. Kennedy’s overstretch thesis, Schelling’s reciprocal-signalling account of demonstrative testing, and Ostrom’s institutional-strength proposition are among the most confidently transposed pieces of the canon in contemporary space writing</w:t>
      </w:r>
      <w:r>
        <w:t xml:space="preserve"> </w:t>
      </w:r>
      <w:hyperlink w:anchor="ref-67">
        <w:r>
          <w:rPr>
            <w:rStyle w:val="Hyperlink"/>
          </w:rPr>
          <w:t xml:space="preserve">[67]</w:t>
        </w:r>
      </w:hyperlink>
      <w:r>
        <w:t xml:space="preserve">[20][49]. Each was stated here in falsifiable form, given the best data the open record supports, and each failed to survive in that form. A reader who wants the canon vindicated will find less here than the space-strategy literature usually promises. A reader who wants to know which parts of the canon carry measurable weight will find the boundary drawn honestly.</w:t>
      </w:r>
    </w:p>
    <w:p>
      <w:pPr>
        <w:pStyle w:val="BodyText"/>
        <w:spacing w:line="480" w:lineRule="auto"/>
        <w:ind w:firstLine="720"/>
      </w:pPr>
      <w:r>
        <w:t xml:space="preserve">Each of the five sections that follows reports the estimated model, states what the result licenses, states what it does not license, and then returns the finding to the matrix by naming the thinker propositions it supports, complicates, or refutes. The instruments are taken in the order of the empirical program: Economic (Paper 1), Military (Paper 2), Economic statecraft (Paper 3), Legal and Law-Enforcement (Paper 4), and the cross-cutting grand-strategic proposition (Paper 5). Paper 3 receives the most space because it is the strongest finding in the dissertation, and because the economic instrument is the one the framework treats with the greatest depth.</w:t>
      </w:r>
    </w:p>
    <w:bookmarkEnd w:id="115"/>
    <w:bookmarkStart w:id="116" w:name="Xc822337f7dd3b6861b2736a42f372d276c1a389"/>
    <w:p>
      <w:pPr>
        <w:pStyle w:val="Heading2"/>
        <w:spacing w:line="480" w:lineRule="auto"/>
      </w:pPr>
      <w:r>
        <w:t xml:space="preserve">6.2 Paper 1. The experience curve on launch cost: a real slope with weak explanatory power</w:t>
      </w:r>
    </w:p>
    <w:p>
      <w:pPr>
        <w:pStyle w:val="FirstParagraph"/>
        <w:spacing w:line="480" w:lineRule="auto"/>
      </w:pPr>
      <w:r>
        <w:t xml:space="preserve">The first probe tests the economic hinge of Ziarnick’s astronautical-power model, which holds that durable space power rests on a commercial and industrial base whose precondition is cheap, high-cadence access to orbit</w:t>
      </w:r>
      <w:r>
        <w:t xml:space="preserve"> </w:t>
      </w:r>
      <w:hyperlink w:anchor="ref-1">
        <w:r>
          <w:rPr>
            <w:rStyle w:val="Hyperlink"/>
          </w:rPr>
          <w:t xml:space="preserve">[1]</w:t>
        </w:r>
      </w:hyperlink>
      <w:r>
        <w:t xml:space="preserve">. Ziarnick reads that claim out of Mahan’s causal loop, in which commerce generates wealth, wealth funds the fleet, and the fleet protects the commerce</w:t>
      </w:r>
      <w:r>
        <w:t xml:space="preserve"> </w:t>
      </w:r>
      <w:hyperlink w:anchor="ref-3">
        <w:r>
          <w:rPr>
            <w:rStyle w:val="Hyperlink"/>
          </w:rPr>
          <w:t xml:space="preserve">[3]</w:t>
        </w:r>
      </w:hyperlink>
      <w:r>
        <w:t xml:space="preserve">, and the Mahanian space-power lineage that France reopened supplies the transposition</w:t>
      </w:r>
      <w:r>
        <w:t xml:space="preserve"> </w:t>
      </w:r>
      <w:hyperlink w:anchor="ref-2">
        <w:r>
          <w:rPr>
            <w:rStyle w:val="Hyperlink"/>
          </w:rPr>
          <w:t xml:space="preserve">[2]</w:t>
        </w:r>
      </w:hyperlink>
      <w:r>
        <w:t xml:space="preserve">. The econometric form is Wright’s law, the regularity that unit cost falls by a roughly constant percentage with each doubling of cumulative production</w:t>
      </w:r>
      <w:r>
        <w:t xml:space="preserve"> </w:t>
      </w:r>
      <w:hyperlink w:anchor="ref-10">
        <w:r>
          <w:rPr>
            <w:rStyle w:val="Hyperlink"/>
          </w:rPr>
          <w:t xml:space="preserve">[10]</w:t>
        </w:r>
      </w:hyperlink>
      <w:r>
        <w:t xml:space="preserve">, applied to launch in the manner of Jones</w:t>
      </w:r>
      <w:r>
        <w:t xml:space="preserve"> </w:t>
      </w:r>
      <w:hyperlink w:anchor="ref-6">
        <w:r>
          <w:rPr>
            <w:rStyle w:val="Hyperlink"/>
          </w:rPr>
          <w:t xml:space="preserve">[6]</w:t>
        </w:r>
      </w:hyperlink>
      <w:r>
        <w:t xml:space="preserve">. The dependent variable is inflation-adjusted price per kilogram to low Earth orbit from the CSIS Aerospace Security launch-cost series as republished by Our World in Data</w:t>
      </w:r>
      <w:r>
        <w:t xml:space="preserve"> </w:t>
      </w:r>
      <w:hyperlink w:anchor="ref-7">
        <w:r>
          <w:rPr>
            <w:rStyle w:val="Hyperlink"/>
          </w:rPr>
          <w:t xml:space="preserve">[7]</w:t>
        </w:r>
      </w:hyperlink>
      <w:r>
        <w:t xml:space="preserve">[8]; the experience variable is cumulative worldwide orbital launches accumulated from McDowell’s GCAT annual totals</w:t>
      </w:r>
      <w:r>
        <w:t xml:space="preserve"> </w:t>
      </w:r>
      <w:hyperlink w:anchor="ref-9">
        <w:r>
          <w:rPr>
            <w:rStyle w:val="Hyperlink"/>
          </w:rPr>
          <w:t xml:space="preserve">[9]</w:t>
        </w:r>
      </w:hyperlink>
      <w:r>
        <w:t xml:space="preserve">.</w:t>
      </w:r>
    </w:p>
    <w:p>
      <w:pPr>
        <w:pStyle w:val="BodyText"/>
        <w:spacing w:line="480" w:lineRule="auto"/>
        <w:ind w:firstLine="720"/>
      </w:pPr>
      <w:r>
        <w:t xml:space="preserve">The estimation covers thirty-eight launch-vehicle rows. The experience elasticity is b = -0.3292 with a standard error of 0.1575, significant at p = 0.0366, on an intercept of 12.133. The implied progress ratio is 2^b = 0.796. Read plainly, roughly twenty percent of cost per kilogram is removed with each doubling of cumulative launches. The sign is negative as predicted, the magnitude is economically meaningful, and the null of zero elasticity is rejected at conventional levels.</w:t>
      </w:r>
    </w:p>
    <w:p>
      <w:pPr>
        <w:pStyle w:val="BodyText"/>
        <w:spacing w:line="480" w:lineRule="auto"/>
        <w:ind w:firstLine="720"/>
      </w:pPr>
      <w:r>
        <w:t xml:space="preserve">The fit is weak. The model returns an R-squared of 0.1217. Cumulative launch experience accounts for about twelve percent of the variation in cost per kilogram across the vehicles in the sample, which means that roughly seven-eighths of what determines the price of a kilogram to orbit lies outside the experience variable entirely. This must be said plainly and it must not be softened. A statistically significant slope on a specification that explains twelve percent of variance is a detected regularity, not an explanation of launch cost. Vehicle class, propellant choice, reusability, national subsidy regime, payload-class mismatch between vehicles, and the accounting conventions behind any published price are all live and unmodeled. The p-value of 0.0366 on thirty-eight observations sits close enough to the conventional threshold that a modest change in sample construction could move it.</w:t>
      </w:r>
    </w:p>
    <w:p>
      <w:pPr>
        <w:pStyle w:val="BodyText"/>
        <w:spacing w:line="480" w:lineRule="auto"/>
        <w:ind w:firstLine="720"/>
      </w:pPr>
      <w:r>
        <w:t xml:space="preserve">What the result licenses is narrow. It licenses the claim that the direction of the Ziarnick-Mahan hinge is correct: accumulated launch experience is associated with falling unit cost, and the association is unlikely to be an artifact of chance alone. It licenses treating launch cadence as a variable that belongs in a strategic model of space power rather than in a procurement annex, which is the analytic move Ziarnick makes and the one the matrix scores as a near-native fit</w:t>
      </w:r>
      <w:r>
        <w:t xml:space="preserve"> </w:t>
      </w:r>
      <w:hyperlink w:anchor="ref-1">
        <w:r>
          <w:rPr>
            <w:rStyle w:val="Hyperlink"/>
          </w:rPr>
          <w:t xml:space="preserve">[1]</w:t>
        </w:r>
      </w:hyperlink>
      <w:r>
        <w:t xml:space="preserve">.</w:t>
      </w:r>
    </w:p>
    <w:p>
      <w:pPr>
        <w:pStyle w:val="BodyText"/>
        <w:spacing w:line="480" w:lineRule="auto"/>
        <w:ind w:firstLine="720"/>
      </w:pPr>
      <w:r>
        <w:t xml:space="preserve">What the result does not license is any claim that cadence is the dominant driver of launch cost, that a state can price its way to space power by pushing launch counts, or that the observed decline in cost per kilogram over the space age is principally a learning effect. The R-squared forbids all three. It also does not license a policy inference about which actor’s cadence matters, because the experience variable is worldwide cumulative launches and cannot separate learning that accrues to a firm, a national industrial base, or the global sector.</w:t>
      </w:r>
    </w:p>
    <w:p>
      <w:pPr>
        <w:pStyle w:val="BodyText"/>
        <w:spacing w:line="480" w:lineRule="auto"/>
        <w:ind w:firstLine="720"/>
      </w:pPr>
      <w:r>
        <w:t xml:space="preserve">Returned to the matrix, the result supports Ziarnick’s economic-engine proposition in direction and complicates it in force</w:t>
      </w:r>
      <w:r>
        <w:t xml:space="preserve"> </w:t>
      </w:r>
      <w:hyperlink w:anchor="ref-1">
        <w:r>
          <w:rPr>
            <w:rStyle w:val="Hyperlink"/>
          </w:rPr>
          <w:t xml:space="preserve">[1]</w:t>
        </w:r>
      </w:hyperlink>
      <w:r>
        <w:t xml:space="preserve">. It offers weak corroboration of Schumpeter’s separation of invention from innovation, in the sense that cost decline appears to attend cumulative commercial introduction rather than a technological discontinuity, but the fit is far too poor to adjudicate between incumbent-driven and entrant-driven accounts of the launch market</w:t>
      </w:r>
      <w:r>
        <w:t xml:space="preserve"> </w:t>
      </w:r>
      <w:hyperlink w:anchor="ref-4">
        <w:r>
          <w:rPr>
            <w:rStyle w:val="Hyperlink"/>
          </w:rPr>
          <w:t xml:space="preserve">[4]</w:t>
        </w:r>
      </w:hyperlink>
      <w:r>
        <w:t xml:space="preserve">[5]. It gives no purchase at all on Weinzierl’s characterization of space as an emerging large-scale economy, which is a claim about market formation rather than unit-cost dynamics</w:t>
      </w:r>
      <w:r>
        <w:t xml:space="preserve"> </w:t>
      </w:r>
      <w:hyperlink w:anchor="ref-12">
        <w:r>
          <w:rPr>
            <w:rStyle w:val="Hyperlink"/>
          </w:rPr>
          <w:t xml:space="preserve">[12]</w:t>
        </w:r>
      </w:hyperlink>
      <w:r>
        <w:t xml:space="preserve">. It sits awkwardly with the Luttwak reading of geoeconomics, under which subsidized launch and predatory pricing are instruments of conflict conducted in commercial grammar: if state subsidy is a material component of observed price, then a learning-curve specification that omits it is misattributing subsidy to experience, and the weak fit is consistent with exactly that omission</w:t>
      </w:r>
      <w:r>
        <w:t xml:space="preserve"> </w:t>
      </w:r>
      <w:hyperlink w:anchor="ref-71">
        <w:r>
          <w:rPr>
            <w:rStyle w:val="Hyperlink"/>
          </w:rPr>
          <w:t xml:space="preserve">[71]</w:t>
        </w:r>
      </w:hyperlink>
      <w:r>
        <w:t xml:space="preserve">.</w:t>
      </w:r>
    </w:p>
    <w:bookmarkEnd w:id="116"/>
    <w:bookmarkStart w:id="117" w:name="Xabc1fcdc96afc4984cfa02de9f7c02fca57d808"/>
    <w:p>
      <w:pPr>
        <w:pStyle w:val="Heading2"/>
        <w:spacing w:line="480" w:lineRule="auto"/>
      </w:pPr>
      <w:r>
        <w:t xml:space="preserve">6.3 Paper 2. Counterspace demonstration timing: a largely null result</w:t>
      </w:r>
    </w:p>
    <w:p>
      <w:pPr>
        <w:pStyle w:val="FirstParagraph"/>
        <w:spacing w:line="480" w:lineRule="auto"/>
      </w:pPr>
      <w:r>
        <w:t xml:space="preserve">The second probe tests the most widely assumed proposition in the military instrument, namely that destructive counterspace tests are communicative acts whose timing carries the signature of reciprocal signalling. This is Schelling’s account of demonstrative violence as a bargaining move staged to communicate resolve and to establish a focal point</w:t>
      </w:r>
      <w:r>
        <w:t xml:space="preserve"> </w:t>
      </w:r>
      <w:hyperlink w:anchor="ref-20">
        <w:r>
          <w:rPr>
            <w:rStyle w:val="Hyperlink"/>
          </w:rPr>
          <w:t xml:space="preserve">[20]</w:t>
        </w:r>
      </w:hyperlink>
      <w:r>
        <w:t xml:space="preserve">, reinforced by Kahn’s escalation-ladder logic in which a rung is climbed in response to an adversary’s ascent</w:t>
      </w:r>
      <w:r>
        <w:t xml:space="preserve"> </w:t>
      </w:r>
      <w:hyperlink w:anchor="ref-21">
        <w:r>
          <w:rPr>
            <w:rStyle w:val="Hyperlink"/>
          </w:rPr>
          <w:t xml:space="preserve">[21]</w:t>
        </w:r>
      </w:hyperlink>
      <w:r>
        <w:t xml:space="preserve">. The narrative record invites the reading: the documented direct-ascent anti-satellite programs of four states are conventionally told as call and response</w:t>
      </w:r>
      <w:r>
        <w:t xml:space="preserve"> </w:t>
      </w:r>
      <w:hyperlink w:anchor="ref-13">
        <w:r>
          <w:rPr>
            <w:rStyle w:val="Hyperlink"/>
          </w:rPr>
          <w:t xml:space="preserve">[13]</w:t>
        </w:r>
      </w:hyperlink>
      <w:r>
        <w:t xml:space="preserve">[14][15][16], and the wider counterspace record is catalogued in the Secure World Foundation and CSIS assessments</w:t>
      </w:r>
      <w:r>
        <w:t xml:space="preserve"> </w:t>
      </w:r>
      <w:hyperlink w:anchor="ref-17">
        <w:r>
          <w:rPr>
            <w:rStyle w:val="Hyperlink"/>
          </w:rPr>
          <w:t xml:space="preserve">[17]</w:t>
        </w:r>
      </w:hyperlink>
      <w:r>
        <w:t xml:space="preserve">[18][19].</w:t>
      </w:r>
    </w:p>
    <w:p>
      <w:pPr>
        <w:pStyle w:val="BodyText"/>
        <w:spacing w:line="480" w:lineRule="auto"/>
        <w:ind w:firstLine="720"/>
      </w:pPr>
      <w:r>
        <w:t xml:space="preserve">The unit of analysis is the interval between tests rather than the test itself. The estimator is the Cox proportional-hazards model, which relates the instantaneous hazard of the next test to covariates without imposing a parametric baseline schedule</w:t>
      </w:r>
      <w:r>
        <w:t xml:space="preserve"> </w:t>
      </w:r>
      <w:hyperlink w:anchor="ref-30">
        <w:r>
          <w:rPr>
            <w:rStyle w:val="Hyperlink"/>
          </w:rPr>
          <w:t xml:space="preserve">[30]</w:t>
        </w:r>
      </w:hyperlink>
      <w:r>
        <w:t xml:space="preserve">, implemented following the standard open-source treatment</w:t>
      </w:r>
      <w:r>
        <w:t xml:space="preserve"> </w:t>
      </w:r>
      <w:hyperlink w:anchor="ref-31">
        <w:r>
          <w:rPr>
            <w:rStyle w:val="Hyperlink"/>
          </w:rPr>
          <w:t xml:space="preserve">[31]</w:t>
        </w:r>
      </w:hyperlink>
      <w:r>
        <w:t xml:space="preserve">. The estimation covers twenty-seven spells containing twenty-three observed events, with the remainder right-censored at the evidence cutoff of the fact-sheet series.</w:t>
      </w:r>
    </w:p>
    <w:p>
      <w:pPr>
        <w:pStyle w:val="BodyText"/>
        <w:spacing w:line="480" w:lineRule="auto"/>
        <w:ind w:firstLine="720"/>
      </w:pPr>
      <w:r>
        <w:t xml:space="preserve">Three covariates carry three competing accounts. The actor’s own accumulated prior tests, standing for the endogenous institutional life of a test program, returns a coefficient of 0.1155, a hazard ratio of 1.1224, and p = 0.0727. Rival tests in the preceding twenty-four months, the direct operationalization of Schelling’s reciprocal signalling, returns a coefficient of -0.1738, a hazard ratio of 0.8405, and p = 0.3629. Whether the actor’s own last demonstration was kinetic returns a coefficient of -0.0977, a hazard ratio of 0.9069, and p = 0.8853.</w:t>
      </w:r>
    </w:p>
    <w:p>
      <w:pPr>
        <w:pStyle w:val="BodyText"/>
        <w:spacing w:line="480" w:lineRule="auto"/>
        <w:ind w:firstLine="720"/>
      </w:pPr>
      <w:r>
        <w:t xml:space="preserve">This is a largely null result and is reported as such. Two of the three covariates are indistinguishable from no effect. The rival-testing term, which is the term the signalling hypothesis actually rests on, is not merely insignificant but wrong-signed relative to the prediction, and its p-value of 0.3629 places it comfortably inside the range of sampling noise. The kinetic term is inert at p = 0.8853. Only the actor’s own prior-test count reaches a marginal p = 0.0727, and a marginal coefficient on twenty-three events must not be reported as a finding. It is a direction worth carrying into future work with more data, and nothing more.</w:t>
      </w:r>
    </w:p>
    <w:p>
      <w:pPr>
        <w:pStyle w:val="BodyText"/>
        <w:spacing w:line="480" w:lineRule="auto"/>
        <w:ind w:firstLine="720"/>
      </w:pPr>
      <w:r>
        <w:t xml:space="preserve">What the result licenses is the negative claim, which is the honest one: on this evidence, the timing of destructive direct-ascent counterspace demonstrations does not display the reciprocal structure that a conversational reading of the record predicts. States in this sample did not become measurably more likely to test soon after a rival tested. That is a real finding about a real proposition and it cuts against a very large body of confident assertion.</w:t>
      </w:r>
    </w:p>
    <w:p>
      <w:pPr>
        <w:pStyle w:val="BodyText"/>
        <w:spacing w:line="480" w:lineRule="auto"/>
        <w:ind w:firstLine="720"/>
      </w:pPr>
      <w:r>
        <w:t xml:space="preserve">What the result does not license is the inference that counterspace testing is not communicative. The design tests one observable implication of signalling, namely temporal reciprocity in a small universe of discrete, publicly documented kinetic events. Signalling can be real and still fail to leave that trace, because test dates are constrained by range availability, target availability, program readiness, and domestic political calendars that have nothing to do with an adversary’s schedule. Twenty-three events across four programs is a small sample with correspondingly wide confidence intervals, and the result should be read as a failure to detect rather than as a demonstration of absence. Nor does the design speak to the larger universe of reversible counterspace activity, jamming, dazzling, and rendezvous-and-proximity operations, which lack the discrete event boundaries the estimator requires and which were excluded rather than manufactured.</w:t>
      </w:r>
    </w:p>
    <w:p>
      <w:pPr>
        <w:pStyle w:val="BodyText"/>
        <w:spacing w:line="480" w:lineRule="auto"/>
        <w:ind w:firstLine="720"/>
      </w:pPr>
      <w:r>
        <w:t xml:space="preserve">Returned to the matrix, the result complicates Schelling’s transposition into the space domain more than it refutes it, because the null attaches to a timing implication rather than to the theory of commitment and focal points as such</w:t>
      </w:r>
      <w:r>
        <w:t xml:space="preserve"> </w:t>
      </w:r>
      <w:hyperlink w:anchor="ref-20">
        <w:r>
          <w:rPr>
            <w:rStyle w:val="Hyperlink"/>
          </w:rPr>
          <w:t xml:space="preserve">[20]</w:t>
        </w:r>
      </w:hyperlink>
      <w:r>
        <w:t xml:space="preserve">. It does not disturb Kahn’s escalation apparatus, which names rungs and firebreaks rather than predicting intervals</w:t>
      </w:r>
      <w:r>
        <w:t xml:space="preserve"> </w:t>
      </w:r>
      <w:hyperlink w:anchor="ref-21">
        <w:r>
          <w:rPr>
            <w:rStyle w:val="Hyperlink"/>
          </w:rPr>
          <w:t xml:space="preserve">[21]</w:t>
        </w:r>
      </w:hyperlink>
      <w:r>
        <w:t xml:space="preserve">. It offers modest indirect support to the strand of the matrix that reads counterspace behavior as capability-driven and programmatic rather than dialogic, which is the reading Tellis advances for China’s post-2007 posture</w:t>
      </w:r>
      <w:r>
        <w:t xml:space="preserve"> </w:t>
      </w:r>
      <w:hyperlink w:anchor="ref-26">
        <w:r>
          <w:rPr>
            <w:rStyle w:val="Hyperlink"/>
          </w:rPr>
          <w:t xml:space="preserve">[26]</w:t>
        </w:r>
      </w:hyperlink>
      <w:r>
        <w:t xml:space="preserve"> </w:t>
      </w:r>
      <w:r>
        <w:t xml:space="preserve">and which sits comfortably with Bowen’s insistence that space denial is continuous with terrestrial military activity rather than a separate conversational register</w:t>
      </w:r>
      <w:r>
        <w:t xml:space="preserve"> </w:t>
      </w:r>
      <w:hyperlink w:anchor="ref-27">
        <w:r>
          <w:rPr>
            <w:rStyle w:val="Hyperlink"/>
          </w:rPr>
          <w:t xml:space="preserve">[27]</w:t>
        </w:r>
      </w:hyperlink>
      <w:r>
        <w:t xml:space="preserve">. It is silent on Waltz’s polarity claim, since the design has no variable for the distribution of capabilities</w:t>
      </w:r>
      <w:r>
        <w:t xml:space="preserve"> </w:t>
      </w:r>
      <w:hyperlink w:anchor="ref-22">
        <w:r>
          <w:rPr>
            <w:rStyle w:val="Hyperlink"/>
          </w:rPr>
          <w:t xml:space="preserve">[22]</w:t>
        </w:r>
      </w:hyperlink>
      <w:r>
        <w:t xml:space="preserve">, and it neither supports nor refutes Manzo’s cross-domain framing, which concerns the linkage between space and cyber effects rather than test scheduling</w:t>
      </w:r>
      <w:r>
        <w:t xml:space="preserve"> </w:t>
      </w:r>
      <w:hyperlink w:anchor="ref-25">
        <w:r>
          <w:rPr>
            <w:rStyle w:val="Hyperlink"/>
          </w:rPr>
          <w:t xml:space="preserve">[25]</w:t>
        </w:r>
      </w:hyperlink>
      <w:r>
        <w:t xml:space="preserve">. Gray’s caution that a new domain relocates rather than abolishes the strategist’s problem is the right reading of the whole probe: the absence of a signalling signature in the timing data warns against importing a terrestrial behavioral regularity into orbit on the strength of narrative resemblance</w:t>
      </w:r>
      <w:r>
        <w:t xml:space="preserve"> </w:t>
      </w:r>
      <w:hyperlink w:anchor="ref-23">
        <w:r>
          <w:rPr>
            <w:rStyle w:val="Hyperlink"/>
          </w:rPr>
          <w:t xml:space="preserve">[23]</w:t>
        </w:r>
      </w:hyperlink>
      <w:r>
        <w:t xml:space="preserve">. The debris consequences that make these tests strategically consequential, documented for large constellations by Boley and Byers</w:t>
      </w:r>
      <w:r>
        <w:t xml:space="preserve"> </w:t>
      </w:r>
      <w:hyperlink w:anchor="ref-24">
        <w:r>
          <w:rPr>
            <w:rStyle w:val="Hyperlink"/>
          </w:rPr>
          <w:t xml:space="preserve">[24]</w:t>
        </w:r>
      </w:hyperlink>
      <w:r>
        <w:t xml:space="preserve"> </w:t>
      </w:r>
      <w:r>
        <w:t xml:space="preserve">and situated historically by Weeden</w:t>
      </w:r>
      <w:r>
        <w:t xml:space="preserve"> </w:t>
      </w:r>
      <w:hyperlink w:anchor="ref-29">
        <w:r>
          <w:rPr>
            <w:rStyle w:val="Hyperlink"/>
          </w:rPr>
          <w:t xml:space="preserve">[29]</w:t>
        </w:r>
      </w:hyperlink>
      <w:r>
        <w:t xml:space="preserve">, are unaffected by whether the tests are reciprocal in timing.</w:t>
      </w:r>
    </w:p>
    <w:bookmarkEnd w:id="117"/>
    <w:bookmarkStart w:id="118" w:name="X27d7d493a873e5e0b2134bc4e38d272c56bff5d"/>
    <w:p>
      <w:pPr>
        <w:pStyle w:val="Heading2"/>
        <w:spacing w:line="480" w:lineRule="auto"/>
      </w:pPr>
      <w:r>
        <w:t xml:space="preserve">6.4 Paper 3. The economic instrument in orbit: the dissertation’s strongest result</w:t>
      </w:r>
    </w:p>
    <w:p>
      <w:pPr>
        <w:pStyle w:val="FirstParagraph"/>
        <w:spacing w:line="480" w:lineRule="auto"/>
      </w:pPr>
      <w:r>
        <w:t xml:space="preserve">The third probe is the most consequential result reported in this dissertation, and it is the one that most directly serves the framework’s stated emphasis on the economic instrument. Baldwin’s foundational move was to place economic tools on the same analytic footing as force and to insist that any instrument be judged against the cost and likely success of the alternatives actually available</w:t>
      </w:r>
      <w:r>
        <w:t xml:space="preserve"> </w:t>
      </w:r>
      <w:hyperlink w:anchor="ref-32">
        <w:r>
          <w:rPr>
            <w:rStyle w:val="Hyperlink"/>
          </w:rPr>
          <w:t xml:space="preserve">[32]</w:t>
        </w:r>
      </w:hyperlink>
      <w:r>
        <w:t xml:space="preserve">. That standard is comparative and quantitative by construction: it requires knowing what a dollar of appropriated space money buys before one can argue about whether it was well spent. The probe supplies that estimate.</w:t>
      </w:r>
    </w:p>
    <w:p>
      <w:pPr>
        <w:pStyle w:val="BodyText"/>
        <w:spacing w:line="480" w:lineRule="auto"/>
        <w:ind w:firstLine="720"/>
      </w:pPr>
      <w:r>
        <w:t xml:space="preserve">The proposition is narrow and the two rival explanations carry sharply different strategic implications. If national orbital presence tracks gross domestic product, space power is a byproduct of economic size and the economic instrument is largely epiphenomenal. If orbital presence tracks the appropriated space budget while GDP adds nothing once budget is controlled, then space power is a policy choice that a state can decide to wield or to decline. The estimating equation is a log-log ordinary least squares regression of on-orbit payload stock on government space budget, national GDP, and year dummies, with heteroskedasticity-consistent standard errors of the HC1 form following White</w:t>
      </w:r>
      <w:r>
        <w:t xml:space="preserve"> </w:t>
      </w:r>
      <w:hyperlink w:anchor="ref-48">
        <w:r>
          <w:rPr>
            <w:rStyle w:val="Hyperlink"/>
          </w:rPr>
          <w:t xml:space="preserve">[48]</w:t>
        </w:r>
      </w:hyperlink>
      <w:r>
        <w:t xml:space="preserve">. The panel comprises twenty-seven country-year observations. Budget values are drawn from the Euroconsult and Novaspace government space program series across editions</w:t>
      </w:r>
      <w:r>
        <w:t xml:space="preserve"> </w:t>
      </w:r>
      <w:hyperlink w:anchor="ref-39">
        <w:r>
          <w:rPr>
            <w:rStyle w:val="Hyperlink"/>
          </w:rPr>
          <w:t xml:space="preserve">[39]</w:t>
        </w:r>
      </w:hyperlink>
      <w:r>
        <w:t xml:space="preserve">[40][41][42][43], GDP from the World Bank World Development Indicators</w:t>
      </w:r>
      <w:r>
        <w:t xml:space="preserve"> </w:t>
      </w:r>
      <w:hyperlink w:anchor="ref-44">
        <w:r>
          <w:rPr>
            <w:rStyle w:val="Hyperlink"/>
          </w:rPr>
          <w:t xml:space="preserve">[44]</w:t>
        </w:r>
      </w:hyperlink>
      <w:r>
        <w:t xml:space="preserve">, and on-orbit stock from the CelesTrak satellite catalogue</w:t>
      </w:r>
      <w:r>
        <w:t xml:space="preserve"> </w:t>
      </w:r>
      <w:hyperlink w:anchor="ref-45">
        <w:r>
          <w:rPr>
            <w:rStyle w:val="Hyperlink"/>
          </w:rPr>
          <w:t xml:space="preserve">[45]</w:t>
        </w:r>
      </w:hyperlink>
      <w:r>
        <w:t xml:space="preserve">, with the OECD space-economy series supplying the sectoral framing</w:t>
      </w:r>
      <w:r>
        <w:t xml:space="preserve"> </w:t>
      </w:r>
      <w:hyperlink w:anchor="ref-47">
        <w:r>
          <w:rPr>
            <w:rStyle w:val="Hyperlink"/>
          </w:rPr>
          <w:t xml:space="preserve">[47]</w:t>
        </w:r>
      </w:hyperlink>
      <w:r>
        <w:t xml:space="preserve">[76].</w:t>
      </w:r>
    </w:p>
    <w:p>
      <w:pPr>
        <w:pStyle w:val="BodyText"/>
        <w:spacing w:line="480" w:lineRule="auto"/>
        <w:ind w:firstLine="720"/>
      </w:pPr>
      <w:r>
        <w:t xml:space="preserve">The budget elasticity is 1.3190 with a robust standard error of 0.3127 and p &lt; 0.0001, on a ninety-five percent confidence interval running from 0.706 to 1.932. The GDP elasticity is -0.3263 with a standard error of 0.5161 and p = 0.5272, a clean null once budget is in the specification. The year dummies are all insignificant, the largest being 2023 at 0.6376 with p = 0.2269. The model returns an R-squared of 0.7988 and an adjusted R-squared of 0.7384 on F = 35.43 with p = 1.24e-09.</w:t>
      </w:r>
    </w:p>
    <w:p>
      <w:pPr>
        <w:pStyle w:val="BodyText"/>
        <w:spacing w:line="480" w:lineRule="auto"/>
        <w:ind w:firstLine="720"/>
      </w:pPr>
      <w:r>
        <w:t xml:space="preserve">The result survives a battery of alternative specifications. A Wald test of the restriction that the budget elasticity equals one returns p = 0.308, so the elasticity cannot be statistically distinguished from unity, which is to say that the data are consistent with a one-for-one proportional relationship between appropriated space money and orbital presence. The bivariate budget-only specification gives an elasticity of 0.9983 with a standard error of 0.072 and an R-squared of 0.758. Dropping the year dummies while keeping GDP gives 1.108 with a standard error of 0.084. Excluding the United States, the observation most capable of driving a panel this size, leaves the relationship positive and significant at 1.767 with a standard error of 0.591 and p = 0.003.</w:t>
      </w:r>
    </w:p>
    <w:p>
      <w:pPr>
        <w:pStyle w:val="BodyText"/>
        <w:spacing w:line="480" w:lineRule="auto"/>
        <w:ind w:firstLine="720"/>
      </w:pPr>
      <w:r>
        <w:t xml:space="preserve">One caveat governs the interpretation and must be stated before the finding is used. The correlation between log budget and log GDP is 0.901, with variance inflation factors of 6.4 and 5.9. Budget and national wealth are genuinely hard to separate in a panel of this size, and the honest reading of the GDP null is not that national wealth is irrelevant to orbital presence. It is that, given these two collinear regressors, the explanatory content sits with the budget variable. A state’s appropriation is the proximate channel through which whatever effect exists is transmitted, and the data cannot cleanly identify how much of the budget’s apparent power is wealth operating through appropriation.</w:t>
      </w:r>
    </w:p>
    <w:p>
      <w:pPr>
        <w:pStyle w:val="BodyText"/>
        <w:spacing w:line="480" w:lineRule="auto"/>
        <w:ind w:firstLine="720"/>
      </w:pPr>
      <w:r>
        <w:t xml:space="preserve">Subject to that caveat, what the result licenses is substantial. It licenses the claim that deliberate public appropriation to space programs is strongly and robustly associated with physical national presence in orbit, at an elasticity indistinguishable from one, and that this association is not an artifact of year effects, of the United States, or of the choice to include GDP. It licenses treating the economic instrument as an instrument in Baldwin’s sense rather than as a description of national circumstance</w:t>
      </w:r>
      <w:r>
        <w:t xml:space="preserve"> </w:t>
      </w:r>
      <w:hyperlink w:anchor="ref-32">
        <w:r>
          <w:rPr>
            <w:rStyle w:val="Hyperlink"/>
          </w:rPr>
          <w:t xml:space="preserve">[32]</w:t>
        </w:r>
      </w:hyperlink>
      <w:r>
        <w:t xml:space="preserve">. It gives the dissertation the one place where a canonical proposition, stated in advance and tested against data, comes back strong.</w:t>
      </w:r>
    </w:p>
    <w:p>
      <w:pPr>
        <w:pStyle w:val="BodyText"/>
        <w:spacing w:line="480" w:lineRule="auto"/>
        <w:ind w:firstLine="720"/>
      </w:pPr>
      <w:r>
        <w:t xml:space="preserve">What the result does not license is a causal claim. Twenty-seven country-years cannot establish that appropriation produces orbital presence rather than that states with orbital ambitions appropriate accordingly, and the design contains no instrument, no exogenous shock, and no lag structure capable of breaking that simultaneity. It does not license a claim about efficiency, because payload count is a stock of objects rather than a measure of capability, and a state that fields many small satellites is not thereby more capable than one that fields few large ones. It does not license the inference that national wealth is strategically inert, which the collinearity forbids.</w:t>
      </w:r>
    </w:p>
    <w:p>
      <w:pPr>
        <w:pStyle w:val="BodyText"/>
        <w:spacing w:line="480" w:lineRule="auto"/>
        <w:ind w:firstLine="720"/>
      </w:pPr>
      <w:r>
        <w:t xml:space="preserve">Returned to the matrix, this is the result that carries the most weight and it supports the economic-instrument column at its center. It supports Baldwin’s opportunity-cost standard by making the standard operable: an elasticity near unity is exactly the kind of quantity a policymaker needs in order to compare an appropriation against its alternatives</w:t>
      </w:r>
      <w:r>
        <w:t xml:space="preserve"> </w:t>
      </w:r>
      <w:hyperlink w:anchor="ref-32">
        <w:r>
          <w:rPr>
            <w:rStyle w:val="Hyperlink"/>
          </w:rPr>
          <w:t xml:space="preserve">[32]</w:t>
        </w:r>
      </w:hyperlink>
      <w:r>
        <w:t xml:space="preserve">. It supports the Goswami and Garretson claim that comprehensive national power in space is overwhelmingly a function of economic development, and specifically their argument that dominance of production precedes the capacity to write rules</w:t>
      </w:r>
      <w:r>
        <w:t xml:space="preserve"> </w:t>
      </w:r>
      <w:hyperlink w:anchor="ref-11">
        <w:r>
          <w:rPr>
            <w:rStyle w:val="Hyperlink"/>
          </w:rPr>
          <w:t xml:space="preserve">[11]</w:t>
        </w:r>
      </w:hyperlink>
      <w:r>
        <w:t xml:space="preserve">[75]. It supports Mazzucato’s entrepreneurial-state reading, in which public money is the lead risk-taker that creates the market rather than a subsidy correcting a failure at the margin, because the appropriation variable rather than the wealth variable is where the explanatory content sits</w:t>
      </w:r>
      <w:r>
        <w:t xml:space="preserve"> </w:t>
      </w:r>
      <w:hyperlink w:anchor="ref-35">
        <w:r>
          <w:rPr>
            <w:rStyle w:val="Hyperlink"/>
          </w:rPr>
          <w:t xml:space="preserve">[35]</w:t>
        </w:r>
      </w:hyperlink>
      <w:r>
        <w:t xml:space="preserve">[36]. It is consistent with Ziarnick’s insistence that the industrial and commercial base is a grand-strategic instrument, though the design measures public appropriation rather than commercial vitality and cannot separate the two</w:t>
      </w:r>
      <w:r>
        <w:t xml:space="preserve"> </w:t>
      </w:r>
      <w:hyperlink w:anchor="ref-1">
        <w:r>
          <w:rPr>
            <w:rStyle w:val="Hyperlink"/>
          </w:rPr>
          <w:t xml:space="preserve">[1]</w:t>
        </w:r>
      </w:hyperlink>
      <w:r>
        <w:t xml:space="preserve">.</w:t>
      </w:r>
    </w:p>
    <w:p>
      <w:pPr>
        <w:pStyle w:val="BodyText"/>
        <w:spacing w:line="480" w:lineRule="auto"/>
        <w:ind w:firstLine="720"/>
      </w:pPr>
      <w:r>
        <w:t xml:space="preserve">The result complicates several propositions. It complicates Kennedy’s relative-productive-power thesis, which locates strategic standing in the share of the productive base rather than in the appropriation: on this evidence the appropriation is what registers, and the productive-base proxy does not</w:t>
      </w:r>
      <w:r>
        <w:t xml:space="preserve"> </w:t>
      </w:r>
      <w:hyperlink w:anchor="ref-67">
        <w:r>
          <w:rPr>
            <w:rStyle w:val="Hyperlink"/>
          </w:rPr>
          <w:t xml:space="preserve">[67]</w:t>
        </w:r>
      </w:hyperlink>
      <w:r>
        <w:t xml:space="preserve">. It complicates Norris’s principal-agent framework, not by refuting it but by showing that the aggregate budget-to-presence relationship is tight enough at the national level that whatever state-firm steering losses exist do not visibly disturb it, which is an aggregation result rather than a test of the mechanism</w:t>
      </w:r>
      <w:r>
        <w:t xml:space="preserve"> </w:t>
      </w:r>
      <w:hyperlink w:anchor="ref-33">
        <w:r>
          <w:rPr>
            <w:rStyle w:val="Hyperlink"/>
          </w:rPr>
          <w:t xml:space="preserve">[33]</w:t>
        </w:r>
      </w:hyperlink>
      <w:r>
        <w:t xml:space="preserve">. It gives no direct purchase on Hirschman’s asymmetric-dependence mechanism or on the Blackwill and Harris seven-instrument geoeconomic toolkit, both of which concern the conversion of economic position into political leverage rather than the conversion of money into hardware</w:t>
      </w:r>
      <w:r>
        <w:t xml:space="preserve"> </w:t>
      </w:r>
      <w:hyperlink w:anchor="ref-34">
        <w:r>
          <w:rPr>
            <w:rStyle w:val="Hyperlink"/>
          </w:rPr>
          <w:t xml:space="preserve">[34]</w:t>
        </w:r>
      </w:hyperlink>
      <w:r>
        <w:t xml:space="preserve">[37]. Those remain untested framework claims, and the chapter does not pretend otherwise.</w:t>
      </w:r>
    </w:p>
    <w:bookmarkEnd w:id="118"/>
    <w:bookmarkStart w:id="119" w:name="Xb4c72bcf64124a5cb27d50fac838f531055937e"/>
    <w:p>
      <w:pPr>
        <w:pStyle w:val="Heading2"/>
        <w:spacing w:line="480" w:lineRule="auto"/>
      </w:pPr>
      <w:r>
        <w:t xml:space="preserve">6.5 Paper 4. Disposal compliance: a clean null on institutional strength</w:t>
      </w:r>
    </w:p>
    <w:p>
      <w:pPr>
        <w:pStyle w:val="FirstParagraph"/>
        <w:spacing w:line="480" w:lineRule="auto"/>
      </w:pPr>
      <w:r>
        <w:t xml:space="preserve">The fourth probe carries the Legal and Law-Enforcement instruments, the two axes by which this framework extends the DIME paradigm. Low Earth orbit is a common-pool resource in Ostrom’s precise sense, high in subtractability and low in excludability, and Ostrom’s central argument is that such resources are not condemned to ruin where a specific institutional architecture is present, notably clear boundaries, credible monitoring, and graduated sanctions</w:t>
      </w:r>
      <w:r>
        <w:t xml:space="preserve"> </w:t>
      </w:r>
      <w:hyperlink w:anchor="ref-49">
        <w:r>
          <w:rPr>
            <w:rStyle w:val="Hyperlink"/>
          </w:rPr>
          <w:t xml:space="preserve">[49]</w:t>
        </w:r>
      </w:hyperlink>
      <w:r>
        <w:t xml:space="preserve">[50][51]. Post-mission disposal is the operational rule on which the orbital commons currently rests, codified through the IADC mitigation guidelines</w:t>
      </w:r>
      <w:r>
        <w:t xml:space="preserve"> </w:t>
      </w:r>
      <w:hyperlink w:anchor="ref-60">
        <w:r>
          <w:rPr>
            <w:rStyle w:val="Hyperlink"/>
          </w:rPr>
          <w:t xml:space="preserve">[60]</w:t>
        </w:r>
      </w:hyperlink>
      <w:r>
        <w:t xml:space="preserve">, the United Nations long-term sustainability guidelines</w:t>
      </w:r>
      <w:r>
        <w:t xml:space="preserve"> </w:t>
      </w:r>
      <w:hyperlink w:anchor="ref-61">
        <w:r>
          <w:rPr>
            <w:rStyle w:val="Hyperlink"/>
          </w:rPr>
          <w:t xml:space="preserve">[61]</w:t>
        </w:r>
      </w:hyperlink>
      <w:r>
        <w:t xml:space="preserve">, the ISO requirement</w:t>
      </w:r>
      <w:r>
        <w:t xml:space="preserve"> </w:t>
      </w:r>
      <w:hyperlink w:anchor="ref-65">
        <w:r>
          <w:rPr>
            <w:rStyle w:val="Hyperlink"/>
          </w:rPr>
          <w:t xml:space="preserve">[65]</w:t>
        </w:r>
      </w:hyperlink>
      <w:r>
        <w:t xml:space="preserve">, the FCC orders</w:t>
      </w:r>
      <w:r>
        <w:t xml:space="preserve"> </w:t>
      </w:r>
      <w:hyperlink w:anchor="ref-62">
        <w:r>
          <w:rPr>
            <w:rStyle w:val="Hyperlink"/>
          </w:rPr>
          <w:t xml:space="preserve">[62]</w:t>
        </w:r>
      </w:hyperlink>
      <w:r>
        <w:t xml:space="preserve">, and the European Space Agency’s own policy and requirements</w:t>
      </w:r>
      <w:r>
        <w:t xml:space="preserve"> </w:t>
      </w:r>
      <w:hyperlink w:anchor="ref-63">
        <w:r>
          <w:rPr>
            <w:rStyle w:val="Hyperlink"/>
          </w:rPr>
          <w:t xml:space="preserve">[63]</w:t>
        </w:r>
      </w:hyperlink>
      <w:r>
        <w:t xml:space="preserve">. The probe asks whether the institutions surrounding an operator, rather than the physics of the orbit it occupies, explain whether that rule is kept.</w:t>
      </w:r>
    </w:p>
    <w:p>
      <w:pPr>
        <w:pStyle w:val="BodyText"/>
        <w:spacing w:line="480" w:lineRule="auto"/>
        <w:ind w:firstLine="720"/>
      </w:pPr>
      <w:r>
        <w:t xml:space="preserve">The design is deliberately austere and its austerity is the point. The unit of analysis is the individual documented end-of-life event. The outcome is coded from a reported fact rather than analyst inference, and every case traces to a named agency, regulator, or peer-reviewed record: ESA, NASA, USGS, NOAA, JAXA, ISRO, CNES and JPL, the China Manned Space Agency, Iridium, SSTL, and SpaceX</w:t>
      </w:r>
      <w:r>
        <w:t xml:space="preserve"> </w:t>
      </w:r>
      <w:hyperlink w:anchor="ref-59">
        <w:r>
          <w:rPr>
            <w:rStyle w:val="Hyperlink"/>
          </w:rPr>
          <w:t xml:space="preserve">[59]</w:t>
        </w:r>
      </w:hyperlink>
      <w:r>
        <w:t xml:space="preserve">[64][66]. Cases whose disposition could not be sourced were dropped rather than estimated. The sample is twenty-five events, nineteen disposal successes and six failures, with end-of-life years from 2000 to 2023, all in low Earth orbit.</w:t>
      </w:r>
    </w:p>
    <w:p>
      <w:pPr>
        <w:pStyle w:val="BodyText"/>
        <w:spacing w:line="480" w:lineRule="auto"/>
        <w:ind w:firstLine="720"/>
      </w:pPr>
      <w:r>
        <w:t xml:space="preserve">The logistic model returns the following. End-of-life altitude has a coefficient of -0.007289 with a standard error of 0.004121 and p = 0.0769, corresponding to an odds ratio of about 0.48 per hundred kilometers. Licensing strength, the ordinal index of binding disposal obligation, has a coefficient of 0.023613 with a standard error of 0.693694 and p = 0.9728. Centered end-of-life year has a coefficient of 0.087422 with p = 0.3136. The model returns a pseudo R-squared of 0.3008, a log-likelihood of -9.6323, a likelihood-ratio p of 0.0404, and classification accuracy of 0.80 against a base rate of 0.76. Failures average 832 kilometers of altitude; successes average 565 kilometers.</w:t>
      </w:r>
    </w:p>
    <w:p>
      <w:pPr>
        <w:pStyle w:val="BodyText"/>
        <w:spacing w:line="480" w:lineRule="auto"/>
        <w:ind w:firstLine="720"/>
      </w:pPr>
      <w:r>
        <w:t xml:space="preserve">Two things must be said about this result and neither of them is comfortable for the framework.</w:t>
      </w:r>
    </w:p>
    <w:p>
      <w:pPr>
        <w:pStyle w:val="BodyText"/>
        <w:spacing w:line="480" w:lineRule="auto"/>
        <w:ind w:firstLine="720"/>
      </w:pPr>
      <w:r>
        <w:t xml:space="preserve">First, the licensing-strength null is clean. This is not a case of an effect too small to detect. The coefficient is estimated at essentially zero with a symmetric standard error nearly thirty times its magnitude, which is to say the data locate the institutional-strength effect at nothing and bound it tightly enough to rule out a large effect in either direction. On this record, the strength of the binding disposal regime over an operator does not predict whether that operator disposed of its spacecraft. That is the direct test of the Ostrom proposition as it is usually transposed to orbit, and it fails.</w:t>
      </w:r>
    </w:p>
    <w:p>
      <w:pPr>
        <w:pStyle w:val="BodyText"/>
        <w:spacing w:line="480" w:lineRule="auto"/>
        <w:ind w:firstLine="720"/>
      </w:pPr>
      <w:r>
        <w:t xml:space="preserve">Second, the altitude association is directional and unconfirmed, and its fragility must be disclosed rather than buried. The specification is influenced by a single high-altitude failure. Dropping Jason-1 moves the altitude coefficient to -0.00682 with p = 0.135, and moves the model likelihood-ratio p to 0.146. A finding that loses significance and takes the whole model with it on the removal of one observation is not an established association. It is a direction that the data are consistent with and that a larger sample would be needed to confirm. The raw group means, 832 kilometers for failures against 565 for successes, are consistent with the direction and are reported as descriptive rather than inferential.</w:t>
      </w:r>
    </w:p>
    <w:p>
      <w:pPr>
        <w:pStyle w:val="BodyText"/>
        <w:spacing w:line="480" w:lineRule="auto"/>
        <w:ind w:firstLine="720"/>
      </w:pPr>
      <w:r>
        <w:t xml:space="preserve">One further design decision belongs in the record. Whether the operator was governmental perfectly separates the outcome, because all four non-governmental cases in the sample succeeded. The variable is retained in the data for audit and excluded from the specification, because a perfectly separating regressor cannot be estimated and its inclusion would produce a spurious result.</w:t>
      </w:r>
    </w:p>
    <w:p>
      <w:pPr>
        <w:pStyle w:val="BodyText"/>
        <w:spacing w:line="480" w:lineRule="auto"/>
        <w:ind w:firstLine="720"/>
      </w:pPr>
      <w:r>
        <w:t xml:space="preserve">What the result licenses is the negative claim on institutions, stated at the strength the estimate supports. In this sample of documented low Earth orbit end-of-life events, formal regulatory stringency over the operator carries no detectable association with disposal outcome. What the result does not license is the conclusion that institutions do not matter to the orbital commons. Twenty-five events is a small sample, the licensing index is an analyst construction aggregating dated published instruments into a scale, and the sample is restricted to cases documented well enough to code, which plausibly over-represents operators who are institutionally serious in the first place and thereby compresses the variation the index is meant to exploit. The clean null is a null on this index, in this sample, over these operators.</w:t>
      </w:r>
    </w:p>
    <w:p>
      <w:pPr>
        <w:pStyle w:val="BodyText"/>
        <w:spacing w:line="480" w:lineRule="auto"/>
        <w:ind w:firstLine="720"/>
      </w:pPr>
      <w:r>
        <w:t xml:space="preserve">Returned to the matrix, the result refutes the naive form of the Ostrom transposition, in which writing stronger rules produces better commons outcomes, while leaving the sophisticated form untouched. Ostrom’s own design principles place monitoring and graduated sanctions at the center precisely because formal rules without credible enforcement are not effective institutions, and the licensing index measures obligation on paper rather than enforcement in use</w:t>
      </w:r>
      <w:r>
        <w:t xml:space="preserve"> </w:t>
      </w:r>
      <w:hyperlink w:anchor="ref-49">
        <w:r>
          <w:rPr>
            <w:rStyle w:val="Hyperlink"/>
          </w:rPr>
          <w:t xml:space="preserve">[49]</w:t>
        </w:r>
      </w:hyperlink>
      <w:r>
        <w:t xml:space="preserve">[50]. Read that way, the null is not a refutation of Ostrom but a vindication of the distinction she drew, and the paper’s own title captures it: rules on paper are not rules in use. The same reading returns North’s insistence that an institution is the rule plus its enforcement, and that a formal rule with no credible enforcement mechanism does not qualify</w:t>
      </w:r>
      <w:r>
        <w:t xml:space="preserve"> </w:t>
      </w:r>
      <w:hyperlink w:anchor="ref-52">
        <w:r>
          <w:rPr>
            <w:rStyle w:val="Hyperlink"/>
          </w:rPr>
          <w:t xml:space="preserve">[52]</w:t>
        </w:r>
      </w:hyperlink>
      <w:r>
        <w:t xml:space="preserve">[53]. It gives indirect support to the Williamson-derived expectation that outcomes follow from the structure of the transaction and the asset in question rather than from the ambient legal regime</w:t>
      </w:r>
      <w:r>
        <w:t xml:space="preserve"> </w:t>
      </w:r>
      <w:hyperlink w:anchor="ref-54">
        <w:r>
          <w:rPr>
            <w:rStyle w:val="Hyperlink"/>
          </w:rPr>
          <w:t xml:space="preserve">[54]</w:t>
        </w:r>
      </w:hyperlink>
      <w:r>
        <w:t xml:space="preserve">[55]. It leaves Grotius’s res communis premise and Kant’s publicity principle untouched, since neither is a prediction about compliance rates</w:t>
      </w:r>
      <w:r>
        <w:t xml:space="preserve"> </w:t>
      </w:r>
      <w:hyperlink w:anchor="ref-56">
        <w:r>
          <w:rPr>
            <w:rStyle w:val="Hyperlink"/>
          </w:rPr>
          <w:t xml:space="preserve">[56]</w:t>
        </w:r>
      </w:hyperlink>
      <w:r>
        <w:t xml:space="preserve">[57]. It complicates Ikenberry’s constitutional-order argument by showing that binding oneself to written rules did not, in this sample, produce the behavioral outcome the rules describe, which sharpens rather than dissolves his claim that restraint must be credible to be an investment</w:t>
      </w:r>
      <w:r>
        <w:t xml:space="preserve"> </w:t>
      </w:r>
      <w:hyperlink w:anchor="ref-58">
        <w:r>
          <w:rPr>
            <w:rStyle w:val="Hyperlink"/>
          </w:rPr>
          <w:t xml:space="preserve">[58]</w:t>
        </w:r>
      </w:hyperlink>
      <w:r>
        <w:t xml:space="preserve">.</w:t>
      </w:r>
    </w:p>
    <w:bookmarkEnd w:id="119"/>
    <w:bookmarkStart w:id="120" w:name="X099137d7f3d0e8fe9d1e7e63924cf96d5e5d050"/>
    <w:p>
      <w:pPr>
        <w:pStyle w:val="Heading2"/>
        <w:spacing w:line="480" w:lineRule="auto"/>
      </w:pPr>
      <w:r>
        <w:t xml:space="preserve">6.6 Paper 5. Imperial overstretch on orbit: the hypothesis is refuted, and exposure is the driver</w:t>
      </w:r>
    </w:p>
    <w:p>
      <w:pPr>
        <w:pStyle w:val="FirstParagraph"/>
        <w:spacing w:line="480" w:lineRule="auto"/>
      </w:pPr>
      <w:r>
        <w:t xml:space="preserve">The fifth probe tests the most ambitious grand-strategic proposition in the matrix. Kennedy’s thesis is not that great powers spend too much but that they accumulate commitments faster than the productive base that must carry them, and that the imbalance is visible in performance long before it is visible in defeat</w:t>
      </w:r>
      <w:r>
        <w:t xml:space="preserve"> </w:t>
      </w:r>
      <w:hyperlink w:anchor="ref-67">
        <w:r>
          <w:rPr>
            <w:rStyle w:val="Hyperlink"/>
          </w:rPr>
          <w:t xml:space="preserve">[67]</w:t>
        </w:r>
      </w:hyperlink>
      <w:r>
        <w:t xml:space="preserve">. Gaddis states the same discipline as the alignment of unlimited aspirations with limited capabilities, with strategic failure located in the inability to reverse an irreversible commitment</w:t>
      </w:r>
      <w:r>
        <w:t xml:space="preserve"> </w:t>
      </w:r>
      <w:hyperlink w:anchor="ref-68">
        <w:r>
          <w:rPr>
            <w:rStyle w:val="Hyperlink"/>
          </w:rPr>
          <w:t xml:space="preserve">[68]</w:t>
        </w:r>
      </w:hyperlink>
      <w:r>
        <w:t xml:space="preserve">. Kissinger adds that equilibrium is a designed artifact and that refusing limits does not escape them</w:t>
      </w:r>
      <w:r>
        <w:t xml:space="preserve"> </w:t>
      </w:r>
      <w:hyperlink w:anchor="ref-69">
        <w:r>
          <w:rPr>
            <w:rStyle w:val="Hyperlink"/>
          </w:rPr>
          <w:t xml:space="preserve">[69]</w:t>
        </w:r>
      </w:hyperlink>
      <w:r>
        <w:t xml:space="preserve">. The probe operationalizes the thesis on twenty-two NASA major projects drawn from the Government Accountability Office annual assessments</w:t>
      </w:r>
      <w:r>
        <w:t xml:space="preserve"> </w:t>
      </w:r>
      <w:hyperlink w:anchor="ref-72">
        <w:r>
          <w:rPr>
            <w:rStyle w:val="Hyperlink"/>
          </w:rPr>
          <w:t xml:space="preserve">[72]</w:t>
        </w:r>
      </w:hyperlink>
      <w:r>
        <w:t xml:space="preserve">, with the national ratio computed from enacted NASA budget authority</w:t>
      </w:r>
      <w:r>
        <w:t xml:space="preserve"> </w:t>
      </w:r>
      <w:hyperlink w:anchor="ref-73">
        <w:r>
          <w:rPr>
            <w:rStyle w:val="Hyperlink"/>
          </w:rPr>
          <w:t xml:space="preserve">[73]</w:t>
        </w:r>
      </w:hyperlink>
      <w:r>
        <w:t xml:space="preserve"> </w:t>
      </w:r>
      <w:r>
        <w:t xml:space="preserve">against United States gross domestic product</w:t>
      </w:r>
      <w:r>
        <w:t xml:space="preserve"> </w:t>
      </w:r>
      <w:hyperlink w:anchor="ref-74">
        <w:r>
          <w:rPr>
            <w:rStyle w:val="Hyperlink"/>
          </w:rPr>
          <w:t xml:space="preserve">[74]</w:t>
        </w:r>
      </w:hyperlink>
      <w:r>
        <w:t xml:space="preserve">.</w:t>
      </w:r>
    </w:p>
    <w:p>
      <w:pPr>
        <w:pStyle w:val="BodyText"/>
        <w:spacing w:line="480" w:lineRule="auto"/>
        <w:ind w:firstLine="720"/>
      </w:pPr>
      <w:r>
        <w:t xml:space="preserve">Four regressors are estimated against cumulative development cost growth. National space spend as a share of GDP returns a coefficient of 347.53 with a standard error of 2621.82 and p = 0.8945. The intra-portfolio space-effort ratio returns 0.2141 with a standard error of 0.5640 and p = 0.7043. Years in development returns 13.9596 with a standard error of 4.6125 and p = 0.0025. The human-spaceflight flag returns -35.54 with a standard error of 27.45 and p = 0.1954. The model returns an R-squared of 0.7003, an adjusted R-squared of 0.6298, and F = 31.91 with p = 1.06e-07.</w:t>
      </w:r>
    </w:p>
    <w:p>
      <w:pPr>
        <w:pStyle w:val="BodyText"/>
        <w:spacing w:line="480" w:lineRule="auto"/>
        <w:ind w:firstLine="720"/>
      </w:pPr>
      <w:r>
        <w:t xml:space="preserve">The Kennedy overstretch hypothesis is refuted on this evidence, and the refutation is not marginal. Both overstretch terms are nulls of the comfortable kind. The national-ratio coefficient carries a standard error more than seven times its own magnitude, which places the estimate nowhere in particular; the portfolio-ratio coefficient is similarly inert at p = 0.7043. Neither the macro nor the intra-agency operationalization of</w:t>
      </w:r>
      <w:r>
        <w:t xml:space="preserve"> </w:t>
      </w:r>
      <w:r>
        <w:t xml:space="preserve">“commitments outrunning the base”</w:t>
      </w:r>
      <w:r>
        <w:t xml:space="preserve"> </w:t>
      </w:r>
      <w:r>
        <w:t xml:space="preserve">detects anything. The human-spaceflight control is also null at p = 0.1954, so the result is not an artifact of the three Deep Space Exploration projects.</w:t>
      </w:r>
    </w:p>
    <w:p>
      <w:pPr>
        <w:pStyle w:val="BodyText"/>
        <w:spacing w:line="480" w:lineRule="auto"/>
        <w:ind w:firstLine="720"/>
      </w:pPr>
      <w:r>
        <w:t xml:space="preserve">What the model does find is exposure. Each additional year between baseline approval and assessment is associated with about fourteen additional percentage points of cost overrun, at p = 0.0025, and the specification as a whole explains seventy percent of the variance in cost growth. Duration, not overstretch, is the driver. A program’s cost performance in this portfolio is predicted by how long it has been running against its baseline, not by how heavy a burden its national or agency context was carrying when it started.</w:t>
      </w:r>
    </w:p>
    <w:p>
      <w:pPr>
        <w:pStyle w:val="BodyText"/>
        <w:spacing w:line="480" w:lineRule="auto"/>
        <w:ind w:firstLine="720"/>
      </w:pPr>
      <w:r>
        <w:t xml:space="preserve">What the result licenses is a reframing. On this portfolio, the relevant grand-strategic variable is not the ratio of commitment to base but the duration of exposure between commitment and reckoning. That is a claim about the structure of the commitment rather than about its size, and it is closer to Gaddis’s reversibility principle than to Kennedy’s ratio: the strategic hazard lies in how long a decision remains locked in before it is tested, not in how much of the base it consumes</w:t>
      </w:r>
      <w:r>
        <w:t xml:space="preserve"> </w:t>
      </w:r>
      <w:hyperlink w:anchor="ref-67">
        <w:r>
          <w:rPr>
            <w:rStyle w:val="Hyperlink"/>
          </w:rPr>
          <w:t xml:space="preserve">[67]</w:t>
        </w:r>
      </w:hyperlink>
      <w:r>
        <w:t xml:space="preserve">[68]. It also sharpens the Kissinger point that equilibrium is designed, since duration is a design parameter that a program office actually controls</w:t>
      </w:r>
      <w:r>
        <w:t xml:space="preserve"> </w:t>
      </w:r>
      <w:hyperlink w:anchor="ref-69">
        <w:r>
          <w:rPr>
            <w:rStyle w:val="Hyperlink"/>
          </w:rPr>
          <w:t xml:space="preserve">[69]</w:t>
        </w:r>
      </w:hyperlink>
      <w:r>
        <w:t xml:space="preserve">.</w:t>
      </w:r>
    </w:p>
    <w:p>
      <w:pPr>
        <w:pStyle w:val="BodyText"/>
        <w:spacing w:line="480" w:lineRule="auto"/>
        <w:ind w:firstLine="720"/>
      </w:pPr>
      <w:r>
        <w:t xml:space="preserve">What the result does not license is a general refutation of Kennedy. The design tests one portfolio of one agency in one state over one budgetary era, using cost growth against a confirmation-review baseline as the performance measure. Kennedy’s thesis is comparative across great powers and multi-decadal, and a null on NASA major projects does not reach it. Nor does the exposure finding license a causal reading, because duration and difficulty are entangled: hard programs take longer and also overrun more, and the specification cannot separate the two. The honest statement is that a variable which the overstretch hypothesis treats as background turns out to carry the explanatory weight, and that the overstretch terms find nothing once it is present.</w:t>
      </w:r>
    </w:p>
    <w:p>
      <w:pPr>
        <w:pStyle w:val="BodyText"/>
        <w:spacing w:line="480" w:lineRule="auto"/>
        <w:ind w:firstLine="720"/>
      </w:pPr>
      <w:r>
        <w:t xml:space="preserve">Returned to the matrix, the result refutes the Kennedy overstretch proposition in its measurable form while leaving his relative-productive-power strand untested, since the design contains no comparative measure of productive base</w:t>
      </w:r>
      <w:r>
        <w:t xml:space="preserve"> </w:t>
      </w:r>
      <w:hyperlink w:anchor="ref-67">
        <w:r>
          <w:rPr>
            <w:rStyle w:val="Hyperlink"/>
          </w:rPr>
          <w:t xml:space="preserve">[67]</w:t>
        </w:r>
      </w:hyperlink>
      <w:r>
        <w:t xml:space="preserve">. It supports Gaddis’s reversibility discipline by supplying the mechanism through which irreversibility becomes costly</w:t>
      </w:r>
      <w:r>
        <w:t xml:space="preserve"> </w:t>
      </w:r>
      <w:hyperlink w:anchor="ref-68">
        <w:r>
          <w:rPr>
            <w:rStyle w:val="Hyperlink"/>
          </w:rPr>
          <w:t xml:space="preserve">[68]</w:t>
        </w:r>
      </w:hyperlink>
      <w:r>
        <w:t xml:space="preserve">. It complicates the Brands and Beckley peaking-power framing, which predicts front-loaded lunges inside a closing window: a portfolio in which duration predicts overrun is a portfolio in which front-loading would be rational, and the probe cannot say whether that reasoning is present in the observed commitments</w:t>
      </w:r>
      <w:r>
        <w:t xml:space="preserve"> </w:t>
      </w:r>
      <w:hyperlink w:anchor="ref-70">
        <w:r>
          <w:rPr>
            <w:rStyle w:val="Hyperlink"/>
          </w:rPr>
          <w:t xml:space="preserve">[70]</w:t>
        </w:r>
      </w:hyperlink>
      <w:r>
        <w:t xml:space="preserve">. It sits with the Williamson expectation that long-duration, high-asset-specificity commitments are exactly where hold-up and renegotiation costs accumulate, which is a plausible microfoundation for the exposure coefficient and is offered here as an interpretation rather than a test</w:t>
      </w:r>
      <w:r>
        <w:t xml:space="preserve"> </w:t>
      </w:r>
      <w:hyperlink w:anchor="ref-54">
        <w:r>
          <w:rPr>
            <w:rStyle w:val="Hyperlink"/>
          </w:rPr>
          <w:t xml:space="preserve">[54]</w:t>
        </w:r>
      </w:hyperlink>
      <w:r>
        <w:t xml:space="preserve">.</w:t>
      </w:r>
    </w:p>
    <w:bookmarkEnd w:id="120"/>
    <w:bookmarkStart w:id="121" w:name="the-five-results-read-across-the-matrix"/>
    <w:p>
      <w:pPr>
        <w:pStyle w:val="Heading2"/>
        <w:spacing w:line="480" w:lineRule="auto"/>
      </w:pPr>
      <w:r>
        <w:t xml:space="preserve">6.7 The five results read across the matrix</w:t>
      </w:r>
    </w:p>
    <w:p>
      <w:pPr>
        <w:pStyle w:val="FirstParagraph"/>
        <w:spacing w:line="480" w:lineRule="auto"/>
      </w:pPr>
      <w:r>
        <w:t xml:space="preserve">Taken together the five probes divide the canon by measurability rather than by merit. The propositions that survived contact with data are those that specify a quantity a state controls and an outcome that quantity is supposed to produce. Baldwin’s instrumental framing survived because it names an input, an output, and a comparison</w:t>
      </w:r>
      <w:r>
        <w:t xml:space="preserve"> </w:t>
      </w:r>
      <w:hyperlink w:anchor="ref-32">
        <w:r>
          <w:rPr>
            <w:rStyle w:val="Hyperlink"/>
          </w:rPr>
          <w:t xml:space="preserve">[32]</w:t>
        </w:r>
      </w:hyperlink>
      <w:r>
        <w:t xml:space="preserve">. Ziarnick’s cadence hinge survived in direction because it names a mechanism with a functional form</w:t>
      </w:r>
      <w:r>
        <w:t xml:space="preserve"> </w:t>
      </w:r>
      <w:hyperlink w:anchor="ref-1">
        <w:r>
          <w:rPr>
            <w:rStyle w:val="Hyperlink"/>
          </w:rPr>
          <w:t xml:space="preserve">[1]</w:t>
        </w:r>
      </w:hyperlink>
      <w:r>
        <w:t xml:space="preserve">. The propositions that failed are those that predict a behavioral regularity by analogy from a terrestrial domain: reciprocal test timing from bargaining theory</w:t>
      </w:r>
      <w:r>
        <w:t xml:space="preserve"> </w:t>
      </w:r>
      <w:hyperlink w:anchor="ref-20">
        <w:r>
          <w:rPr>
            <w:rStyle w:val="Hyperlink"/>
          </w:rPr>
          <w:t xml:space="preserve">[20]</w:t>
        </w:r>
      </w:hyperlink>
      <w:r>
        <w:t xml:space="preserve">, compliance from written stringency</w:t>
      </w:r>
      <w:r>
        <w:t xml:space="preserve"> </w:t>
      </w:r>
      <w:hyperlink w:anchor="ref-49">
        <w:r>
          <w:rPr>
            <w:rStyle w:val="Hyperlink"/>
          </w:rPr>
          <w:t xml:space="preserve">[49]</w:t>
        </w:r>
      </w:hyperlink>
      <w:r>
        <w:t xml:space="preserve">, and program pathology from an aggregate burden ratio</w:t>
      </w:r>
      <w:r>
        <w:t xml:space="preserve"> </w:t>
      </w:r>
      <w:hyperlink w:anchor="ref-67">
        <w:r>
          <w:rPr>
            <w:rStyle w:val="Hyperlink"/>
          </w:rPr>
          <w:t xml:space="preserve">[67]</w:t>
        </w:r>
      </w:hyperlink>
      <w:r>
        <w:t xml:space="preserve">. That is the sharpest general result this chapter can report, and it is a result about the matrix rather than about space.</w:t>
      </w:r>
    </w:p>
    <w:p>
      <w:pPr>
        <w:pStyle w:val="BodyText"/>
        <w:spacing w:line="480" w:lineRule="auto"/>
        <w:ind w:firstLine="720"/>
      </w:pPr>
      <w:r>
        <w:t xml:space="preserve">It is also worth stating what the pattern of nulls does to the dissertation’s own competing hypotheses. The framework cannot claim that the canon systematically predicts space-domain outcomes across the six instruments. Three of five headline predictions failed, one succeeded strongly, and one succeeded weakly on a specification explaining twelve percent of variance. The null hypothesis stated in the prospectus, that observed regularities are explained by contemporary technical and economic variables and that the canon contributes interpretation after the fact, cannot be rejected on this evidence. What can be said, and what the economic result supports, is that one strand of the canon, the economic-statecraft strand carried by Baldwin and corroborated by Goswami and Garretson’s argument that production precedes rule-writing, generated a directional prediction that held robustly</w:t>
      </w:r>
      <w:r>
        <w:t xml:space="preserve"> </w:t>
      </w:r>
      <w:hyperlink w:anchor="ref-32">
        <w:r>
          <w:rPr>
            <w:rStyle w:val="Hyperlink"/>
          </w:rPr>
          <w:t xml:space="preserve">[32]</w:t>
        </w:r>
      </w:hyperlink>
      <w:r>
        <w:t xml:space="preserve">[11][75]. The framework’s own emphasis on the economic instrument is therefore the part of it that the empirics most support, which is a coherent outcome rather than a fortunate one.</w:t>
      </w:r>
    </w:p>
    <w:p>
      <w:pPr>
        <w:pStyle w:val="BodyText"/>
        <w:spacing w:line="480" w:lineRule="auto"/>
        <w:ind w:firstLine="720"/>
      </w:pPr>
      <w:r>
        <w:t xml:space="preserve">The Legal and Law-Enforcement extension, which is the framework’s contribution beyond DIME, comes out of this chapter with its motivation intact and its operationalization unproven. The disposal null is precisely the finding that a Legal-versus-Law-Enforcement distinction predicts: written obligation is a Legal-instrument variable, and it did nothing, while the enforcement variable that Ostrom’s design principles actually center, credible monitoring and graduated sanction, was never measured because the open record does not support measuring it</w:t>
      </w:r>
      <w:r>
        <w:t xml:space="preserve"> </w:t>
      </w:r>
      <w:hyperlink w:anchor="ref-49">
        <w:r>
          <w:rPr>
            <w:rStyle w:val="Hyperlink"/>
          </w:rPr>
          <w:t xml:space="preserve">[49]</w:t>
        </w:r>
      </w:hyperlink>
      <w:r>
        <w:t xml:space="preserve">[50][51]. The bridge from classical strategy to the enforcement frontier that the candidate’s own prior work sets out remains an argument rather than a tested proposition</w:t>
      </w:r>
      <w:r>
        <w:t xml:space="preserve"> </w:t>
      </w:r>
      <w:hyperlink w:anchor="ref-46">
        <w:r>
          <w:rPr>
            <w:rStyle w:val="Hyperlink"/>
          </w:rPr>
          <w:t xml:space="preserve">[46]</w:t>
        </w:r>
      </w:hyperlink>
      <w:r>
        <w:t xml:space="preserve">.</w:t>
      </w:r>
    </w:p>
    <w:bookmarkEnd w:id="121"/>
    <w:bookmarkStart w:id="122" w:name="what-this-chapter-does-not-claim"/>
    <w:p>
      <w:pPr>
        <w:pStyle w:val="Heading2"/>
        <w:spacing w:line="480" w:lineRule="auto"/>
      </w:pPr>
      <w:r>
        <w:t xml:space="preserve">6.8 What this chapter does not claim</w:t>
      </w:r>
    </w:p>
    <w:p>
      <w:pPr>
        <w:pStyle w:val="FirstParagraph"/>
        <w:spacing w:line="480" w:lineRule="auto"/>
      </w:pPr>
      <w:r>
        <w:t xml:space="preserve">Four limits govern every result reported above and are restated here so that no later chapter can quietly exceed them. First, all five samples are small: thirty-eight vehicle rows, twenty-seven spells with twenty-three events, twenty-seven country-years, twenty-five disposal events, and twenty-two programs. None supports a confident population inference. Second, none of the five designs identifies a causal effect; every reported association is observational, and the strongest of them is estimated on regressors correlated at 0.901. Third, the licensing index and the effort ratios are analyst constructions from published instruments, and their measurement properties are assumptions rather than results. Fourth, the outcome measures are proxies: payload count is not capability, cost growth against a baseline is not program failure, and a documented disposal is not a governed commons.</w:t>
      </w:r>
    </w:p>
    <w:p>
      <w:pPr>
        <w:pStyle w:val="BodyText"/>
        <w:spacing w:line="480" w:lineRule="auto"/>
        <w:ind w:firstLine="720"/>
      </w:pPr>
      <w:r>
        <w:t xml:space="preserve">Within those limits, the chapter reports one strong finding, one weak one, and three nulls, each stated at the strength the estimate supports. Chapter 7 takes these results back to the fifty-thinker matrix and asks what a canon that fails three of five falsifiable tests is actually good for.</w:t>
      </w:r>
    </w:p>
    <w:bookmarkEnd w:id="122"/>
    <w:bookmarkEnd w:id="123"/>
    <w:bookmarkStart w:id="132" w:name="X21322cb5e29cbf4eb576afddcad42f86ace4e0d"/>
    <w:p>
      <w:pPr>
        <w:pStyle w:val="Heading1"/>
        <w:spacing w:line="480" w:lineRule="auto"/>
      </w:pPr>
      <w:r>
        <w:t xml:space="preserve">Chapter 7. Discussion and Governance Implications</w:t>
      </w:r>
    </w:p>
    <w:bookmarkStart w:id="124" w:name="reading-across-the-instruments"/>
    <w:p>
      <w:pPr>
        <w:pStyle w:val="Heading2"/>
        <w:spacing w:line="480" w:lineRule="auto"/>
      </w:pPr>
      <w:r>
        <w:t xml:space="preserve">7.1 Reading across the instruments</w:t>
      </w:r>
    </w:p>
    <w:p>
      <w:pPr>
        <w:pStyle w:val="FirstParagraph"/>
        <w:spacing w:line="480" w:lineRule="auto"/>
      </w:pPr>
      <w:r>
        <w:t xml:space="preserve">The five empirical studies were not designed to be pooled. Each interrogates one instrument of the extended six-part paradigm against the best available data, and each carries its own sampling frame, estimator, and limits. Read together, they nonetheless produce a pattern that neither the astropolitical tradition nor the doctrinal DIME literature anticipated.</w:t>
      </w:r>
    </w:p>
    <w:p>
      <w:pPr>
        <w:pStyle w:val="BodyText"/>
        <w:spacing w:line="480" w:lineRule="auto"/>
        <w:ind w:firstLine="720"/>
      </w:pPr>
      <w:r>
        <w:t xml:space="preserve">The pattern is this. The instrument that the canon treats as background, the Economic, yields the strongest and most stable empirical relationship in the entire program. The instruments that the canon treats as foreground, the Military and the Legal, return nulls precisely where their governing theories predicted signal. And the grand-strategic proposition with the deepest historical pedigree, Kennedy’s imperial overstretch, is refuted on this evidence and replaced by a variable Kennedy did not emphasize.</w:t>
      </w:r>
    </w:p>
    <w:p>
      <w:pPr>
        <w:pStyle w:val="BodyText"/>
        <w:spacing w:line="480" w:lineRule="auto"/>
        <w:ind w:firstLine="720"/>
      </w:pPr>
      <w:r>
        <w:t xml:space="preserve">That configuration is worth stating plainly rather than smoothing. Three of the five studies fail to support the hypothesis they were built to test. One returns a weak association explaining a small fraction of variance. One returns a strong, robust, interpretable estimate. A dissertation whose contribution rested on the empirics alone would be in difficulty. This dissertation’s contribution is the framework and the fifty-thinker matrix, with the five studies functioning as disciplined probes into whether the canon’s instrument-specific predictions survive contact with data. On that standard the nulls are not embarrassments. Each one narrows the space of defensible claims about how its instrument actually operates in orbit.</w:t>
      </w:r>
    </w:p>
    <w:p>
      <w:pPr>
        <w:pStyle w:val="BodyText"/>
        <w:spacing w:line="480" w:lineRule="auto"/>
        <w:ind w:firstLine="720"/>
      </w:pPr>
      <w:r>
        <w:t xml:space="preserve">What follows takes the instruments in turn, weighted toward the Economic in keeping with the framework’s stated emphasis, and then draws the governance implications together.</w:t>
      </w:r>
    </w:p>
    <w:bookmarkEnd w:id="124"/>
    <w:bookmarkStart w:id="125" w:name="X1a4029147cba109953c7851c6bef0ff15d7ff17"/>
    <w:p>
      <w:pPr>
        <w:pStyle w:val="Heading2"/>
        <w:spacing w:line="480" w:lineRule="auto"/>
      </w:pPr>
      <w:r>
        <w:t xml:space="preserve">7.2 The Economic instrument: appropriation, not affluence</w:t>
      </w:r>
    </w:p>
    <w:p>
      <w:pPr>
        <w:pStyle w:val="FirstParagraph"/>
        <w:spacing w:line="480" w:lineRule="auto"/>
      </w:pPr>
      <w:r>
        <w:t xml:space="preserve">Paper 3 is the strongest finding in the dissertation, and it says something the economic-statecraft literature has asserted for four decades without being able to measure. Regressing the log stock of on-orbit payloads on log government space budget and log gross domestic product across 27 country-year observations, the budget elasticity is 1.3190 with a robust standard error of 0.3127 and a p-value below 0.0001, with a 95 percent confidence interval running from 0.706 to 1.932. The coefficient on log GDP is -0.3263 with a standard error of 0.5161 and a p-value of 0.5272. Conditional on what a state chooses to appropriate for space, national wealth predicts nothing about its presence in orbit. The specification explains 79.88 percent of the variance, with adjusted R-squared of 0.7384 and F of 35.43 at p equal to 1.24e-09. None of the year dummies approaches conventional significance, the largest being 2023 at 0.6376 with p equal to 0.2269, so there is no secular drift in orbital output that the budget variable fails to absorb.</w:t>
      </w:r>
    </w:p>
    <w:p>
      <w:pPr>
        <w:pStyle w:val="BodyText"/>
        <w:spacing w:line="480" w:lineRule="auto"/>
        <w:ind w:firstLine="720"/>
      </w:pPr>
      <w:r>
        <w:t xml:space="preserve">Two features of the estimate carry more interpretive weight than the headline coefficient. The first is that the elasticity cannot be distinguished from unity. A Wald test of the restriction that beta equals one returns p equal to 0.308, and the bivariate specification of log stock on log budget alone gives an elasticity of 0.9983 with a standard error of 0.072 and an R-squared of 0.758. Orbital presence behaves, over this sample, close to a linear purchase. The second is robustness to the obvious perturbations. Dropping the year dummies while retaining GDP gives 1.108 with a standard error of 0.084, and excluding the United States entirely, which removes the observations dominating the upper tail, leaves the elasticity positive and significant at 1.767 with a standard error of 0.591 and p equal to 0.003.</w:t>
      </w:r>
    </w:p>
    <w:p>
      <w:pPr>
        <w:pStyle w:val="BodyText"/>
        <w:spacing w:line="480" w:lineRule="auto"/>
        <w:ind w:firstLine="720"/>
      </w:pPr>
      <w:r>
        <w:t xml:space="preserve">One caveat must be stated before any interpretive weight is placed on the result. The correlation between log budget and log GDP is 0.901, with variance inflation factors of 6.4 and 5.9, so the two regressors are genuinely difficult to separate. The defensible claim is that log budget carries the explanatory content log GDP might otherwise have claimed, not that national wealth is irrelevant to a state’s capacity to fund a space program. Wealth almost certainly sets the feasible range of appropriation. What the estimate establishes is that within that range, the appropriation decision rather than the wealth permitting it is what converts into orbital presence.</w:t>
      </w:r>
    </w:p>
    <w:p>
      <w:pPr>
        <w:pStyle w:val="BodyText"/>
        <w:spacing w:line="480" w:lineRule="auto"/>
        <w:ind w:firstLine="720"/>
      </w:pPr>
      <w:r>
        <w:t xml:space="preserve">Read through the canon, this is Hirschman’s argument recovered in an unfamiliar domain</w:t>
      </w:r>
      <w:r>
        <w:t xml:space="preserve"> </w:t>
      </w:r>
      <w:hyperlink w:anchor="ref-34">
        <w:r>
          <w:rPr>
            <w:rStyle w:val="Hyperlink"/>
          </w:rPr>
          <w:t xml:space="preserve">[34]</w:t>
        </w:r>
      </w:hyperlink>
      <w:r>
        <w:t xml:space="preserve">. His claim in 1945 was that the strategic content of an economic relationship lies not in its aggregate volume but in its structure, in who depends on whom and at which points. The coefficients reproduce that logic. Aggregate scale does not convert. Directed appropriation, a structural choice about where national resources are pointed, does. The orbital analogue of Hirschman’s influence effect is that a state which decides to fund a space program obtains presence at close to a linear rate regardless of how rich it is, so that no state is exempted from paying by virtue of affluence and none, above the feasibility threshold, is barred by its absence.</w:t>
      </w:r>
    </w:p>
    <w:p>
      <w:pPr>
        <w:pStyle w:val="BodyText"/>
        <w:spacing w:line="480" w:lineRule="auto"/>
        <w:ind w:firstLine="720"/>
      </w:pPr>
      <w:r>
        <w:t xml:space="preserve">Baldwin’s opportunity-cost standard becomes tractable for the first time</w:t>
      </w:r>
      <w:r>
        <w:t xml:space="preserve"> </w:t>
      </w:r>
      <w:hyperlink w:anchor="ref-32">
        <w:r>
          <w:rPr>
            <w:rStyle w:val="Hyperlink"/>
          </w:rPr>
          <w:t xml:space="preserve">[32]</w:t>
        </w:r>
      </w:hyperlink>
      <w:r>
        <w:t xml:space="preserve">. His foundational move was to insist that economic instruments be evaluated on the same footing as force, and judged against the cost and probable success of the alternatives a policymaker actually faced. That standard is comparative and quantitative by construction, and the field has rarely been equipped to meet it in the space domain because the exchange rate between money and capability was unknown. A near-unit elasticity supplies that exchange rate, so an analyst can ask what the same appropriation would have bought through the diplomatic, informational, military, legal, or law-enforcement instruments rather than simply asserting priorities. Baldwin’s insistence on positive sanctions is reinforced by the same finding: if orbital presence is close to a linear purchase, inducement instruments such as anchor tenancy, guaranteed markets, and preferential data access operate on the same well-behaved conversion function as direct appropriation.</w:t>
      </w:r>
    </w:p>
    <w:p>
      <w:pPr>
        <w:pStyle w:val="BodyText"/>
        <w:spacing w:line="480" w:lineRule="auto"/>
        <w:ind w:firstLine="720"/>
      </w:pPr>
      <w:r>
        <w:t xml:space="preserve">Norris supplies the variable a purely budgetary model cannot see</w:t>
      </w:r>
      <w:r>
        <w:t xml:space="preserve"> </w:t>
      </w:r>
      <w:hyperlink w:anchor="ref-33">
        <w:r>
          <w:rPr>
            <w:rStyle w:val="Hyperlink"/>
          </w:rPr>
          <w:t xml:space="preserve">[33]</w:t>
        </w:r>
      </w:hyperlink>
      <w:r>
        <w:t xml:space="preserve">. His argument is that economic statecraft is at bottom a principal-agent control problem, and that strategic effect requires both centralized goal-setting and the ability to steer commercial actors whose controllability varies by type. The regression cannot distinguish a state whose orbital stock is generated through direct procurement from one whose stock is generated by firms it does not command, because both arrive at the same fitted relationship. That is a limitation of the estimate and a vindication of his framework: the conversion rate is common, the institutional route is not, and the strategic durability of the two routes is unlikely to be equal. A state that has purchased presence through commercial actors has purchased something it may not be able to direct in a crisis, which is the security-externality problem Norris identifies.</w:t>
      </w:r>
    </w:p>
    <w:p>
      <w:pPr>
        <w:pStyle w:val="BodyText"/>
        <w:spacing w:line="480" w:lineRule="auto"/>
        <w:ind w:firstLine="720"/>
      </w:pPr>
      <w:r>
        <w:t xml:space="preserve">Mazzucato receives partial support and a partial correction</w:t>
      </w:r>
      <w:r>
        <w:t xml:space="preserve"> </w:t>
      </w:r>
      <w:hyperlink w:anchor="ref-35">
        <w:r>
          <w:rPr>
            <w:rStyle w:val="Hyperlink"/>
          </w:rPr>
          <w:t xml:space="preserve">[35]</w:t>
        </w:r>
      </w:hyperlink>
      <w:r>
        <w:t xml:space="preserve">[36]. The support is unambiguous: the fitted relationship runs through public appropriation, not private wealth, which is the entrepreneurial-state thesis in its most direct empirical form. The correction is that the model attributes all explanatory work to the budget line and therefore cannot capture the market-shaping and risk-bearing functions she treats as the state’s distinctive contribution. Her risk-and-reward argument cannot be adjudicated by an elasticity. What the elasticity establishes is that the public purse is the operative lever, which is the premise her normative argument requires.</w:t>
      </w:r>
    </w:p>
    <w:p>
      <w:pPr>
        <w:pStyle w:val="BodyText"/>
        <w:spacing w:line="480" w:lineRule="auto"/>
        <w:ind w:firstLine="720"/>
      </w:pPr>
      <w:r>
        <w:t xml:space="preserve">Goswami and Garretson frame why this matters beyond the coefficient</w:t>
      </w:r>
      <w:r>
        <w:t xml:space="preserve"> </w:t>
      </w:r>
      <w:hyperlink w:anchor="ref-11">
        <w:r>
          <w:rPr>
            <w:rStyle w:val="Hyperlink"/>
          </w:rPr>
          <w:t xml:space="preserve">[11]</w:t>
        </w:r>
      </w:hyperlink>
      <w:r>
        <w:t xml:space="preserve">[75]. Their governing thesis is that the second space race is a contest over the determinants of economic and military power, culminating in a race to write the rules of a new order, and that comprehensive national power is overwhelmingly a function of economic development rather than military weight. They import the hegemonic sequence in which a power rises by dominating production, then the carrying trade, then finance, and can thereafter rewrite the governing institutions. If orbital presence is bought at close to a linear rate from appropriation, that sequence is available to any state willing to fund it, and the prize they identify is contested through budget decisions taken years before any rule-writing contest becomes visible. Blackwill and Harris supply the strategic conclusion</w:t>
      </w:r>
      <w:r>
        <w:t xml:space="preserve"> </w:t>
      </w:r>
      <w:hyperlink w:anchor="ref-37">
        <w:r>
          <w:rPr>
            <w:rStyle w:val="Hyperlink"/>
          </w:rPr>
          <w:t xml:space="preserve">[37]</w:t>
        </w:r>
      </w:hyperlink>
      <w:r>
        <w:t xml:space="preserve">. Their charge is that great powers reach for the gun instead of the purse and treat economics as a lesser instrument. In orbit the purse is unusually well behaved, statistically strong and stable across the sample window, which is the profile of an instrument that ought to be used deliberately rather than incidentally.</w:t>
      </w:r>
    </w:p>
    <w:bookmarkEnd w:id="125"/>
    <w:bookmarkStart w:id="126" w:name="X612d550bfea04d1aad913ec0b0ee56e06b659d1"/>
    <w:p>
      <w:pPr>
        <w:pStyle w:val="Heading2"/>
        <w:spacing w:line="480" w:lineRule="auto"/>
      </w:pPr>
      <w:r>
        <w:t xml:space="preserve">7.3 The learning curve as a disciplined disappointment</w:t>
      </w:r>
    </w:p>
    <w:p>
      <w:pPr>
        <w:pStyle w:val="FirstParagraph"/>
        <w:spacing w:line="480" w:lineRule="auto"/>
      </w:pPr>
      <w:r>
        <w:t xml:space="preserve">Paper 1 tests the proposition, common to Ziarnick and to the Schumpeterian reading of the launch industry, that cadence rather than program spending drives cost decline</w:t>
      </w:r>
      <w:r>
        <w:t xml:space="preserve"> </w:t>
      </w:r>
      <w:hyperlink w:anchor="ref-1">
        <w:r>
          <w:rPr>
            <w:rStyle w:val="Hyperlink"/>
          </w:rPr>
          <w:t xml:space="preserve">[1]</w:t>
        </w:r>
      </w:hyperlink>
      <w:r>
        <w:t xml:space="preserve">[4][5][10]. Across 38 launch-vehicle rows, the estimated experience elasticity is -0.3292 with a standard error of 0.1575 and a p-value of 0.0366, from an intercept of 12.133. The implied progress ratio is 0.796, meaning roughly a 20 percent fall in cost per kilogram for each doubling of cumulative launches. The coefficient is signed as the theory predicts and clears conventional significance.</w:t>
      </w:r>
    </w:p>
    <w:p>
      <w:pPr>
        <w:pStyle w:val="BodyText"/>
        <w:spacing w:line="480" w:lineRule="auto"/>
        <w:ind w:firstLine="720"/>
      </w:pPr>
      <w:r>
        <w:t xml:space="preserve">The result must nonetheless be reported with its principal limitation in the foreground, because that limitation is the finding. The R-squared is 0.1217. The experience curve explains about 12 percent of the variance in launch cost per kilogram, which leaves 88 percent of what determines the cost of reaching orbit outside cumulative launch experience. Reporting the elasticity and omitting the fit would be overclaiming badly, and the temptation to do so is real, because the elasticity is the number the canon predicted.</w:t>
      </w:r>
    </w:p>
    <w:p>
      <w:pPr>
        <w:pStyle w:val="BodyText"/>
        <w:spacing w:line="480" w:lineRule="auto"/>
        <w:ind w:firstLine="720"/>
      </w:pPr>
      <w:r>
        <w:t xml:space="preserve">The weak fit implies that the experience curve is a real mechanism operating inside a system dominated by other things. Vehicle architecture, reusability, payload class, national cost accounting, and the institutional structure of the procuring agency all plausibly sit in the residual. Schumpeter’s discipline is the right corrective: he separated invention from innovation, the first commercial introduction at scale, and warned that the largest surges in a sector may be incumbent-driven and demand-driven rather than entrant-driven</w:t>
      </w:r>
      <w:r>
        <w:t xml:space="preserve"> </w:t>
      </w:r>
      <w:hyperlink w:anchor="ref-4">
        <w:r>
          <w:rPr>
            <w:rStyle w:val="Hyperlink"/>
          </w:rPr>
          <w:t xml:space="preserve">[4]</w:t>
        </w:r>
      </w:hyperlink>
      <w:r>
        <w:t xml:space="preserve">[5]. A learning curve estimated across pooled vehicles cannot distinguish those channels. Ziarnick’s claim that commercial and industrial vitality is the engine of durable space power survives this result, but as a proposition about the industrial base rather than about cumulative launch counts</w:t>
      </w:r>
      <w:r>
        <w:t xml:space="preserve"> </w:t>
      </w:r>
      <w:hyperlink w:anchor="ref-1">
        <w:r>
          <w:rPr>
            <w:rStyle w:val="Hyperlink"/>
          </w:rPr>
          <w:t xml:space="preserve">[1]</w:t>
        </w:r>
      </w:hyperlink>
      <w:r>
        <w:t xml:space="preserve">. The measured mechanism is present and weak, which is a more useful statement than either enthusiasm or dismissal.</w:t>
      </w:r>
    </w:p>
    <w:bookmarkEnd w:id="126"/>
    <w:bookmarkStart w:id="127" w:name="X22dc8d12fffd80cdf65e1cad433a57e009e2ef3"/>
    <w:p>
      <w:pPr>
        <w:pStyle w:val="Heading2"/>
        <w:spacing w:line="480" w:lineRule="auto"/>
      </w:pPr>
      <w:r>
        <w:t xml:space="preserve">7.4 The Military instrument: silence where the signal should be</w:t>
      </w:r>
    </w:p>
    <w:p>
      <w:pPr>
        <w:pStyle w:val="FirstParagraph"/>
        <w:spacing w:line="480" w:lineRule="auto"/>
      </w:pPr>
      <w:r>
        <w:t xml:space="preserve">Paper 2 puts the reciprocal-signalling account of counterspace testing to a proportional-hazards test across 27 spells containing 23 events. The result is largely null, and the null falls on the theory’s central prediction.</w:t>
      </w:r>
    </w:p>
    <w:p>
      <w:pPr>
        <w:pStyle w:val="BodyText"/>
        <w:spacing w:line="480" w:lineRule="auto"/>
        <w:ind w:firstLine="720"/>
      </w:pPr>
      <w:r>
        <w:t xml:space="preserve">Recent rival testing, the covariate that operationalizes Schelling’s account of demonstrative violence as a bargaining move, carries a coefficient of -0.1738, a hazard ratio of 0.8405, and a p-value of 0.3629</w:t>
      </w:r>
      <w:r>
        <w:t xml:space="preserve"> </w:t>
      </w:r>
      <w:hyperlink w:anchor="ref-20">
        <w:r>
          <w:rPr>
            <w:rStyle w:val="Hyperlink"/>
          </w:rPr>
          <w:t xml:space="preserve">[20]</w:t>
        </w:r>
      </w:hyperlink>
      <w:r>
        <w:t xml:space="preserve">[30][31]. The point estimate runs in the opposite direction to the prediction and is statistically indistinguishable from zero. Whether a rival has recently tested does not measurably change the instantaneous hazard that a state tests next. The kinetic covariate, which operationalizes Kahn’s question of whether crossing a threshold changes the tempo at which the next is approached, carries a coefficient of -0.0977, a hazard ratio of 0.9069, and a p-value of 0.8853</w:t>
      </w:r>
      <w:r>
        <w:t xml:space="preserve"> </w:t>
      </w:r>
      <w:hyperlink w:anchor="ref-21">
        <w:r>
          <w:rPr>
            <w:rStyle w:val="Hyperlink"/>
          </w:rPr>
          <w:t xml:space="preserve">[21]</w:t>
        </w:r>
      </w:hyperlink>
      <w:r>
        <w:t xml:space="preserve">. That is as clean a null as the program produced. The only covariate with any support is the actor’s own accumulated testing history, at a coefficient of 0.1155, a hazard ratio of 1.1224, and a p-value of 0.0727, which is marginal and must be reported as marginal rather than upgraded into a finding.</w:t>
      </w:r>
    </w:p>
    <w:p>
      <w:pPr>
        <w:pStyle w:val="BodyText"/>
        <w:spacing w:line="480" w:lineRule="auto"/>
        <w:ind w:firstLine="720"/>
      </w:pPr>
      <w:r>
        <w:t xml:space="preserve">The interpretive move this licenses is narrow and important. Schelling never claimed that reciprocal demonstrations must follow one another quickly. His argument was that violence and the threat of violence are bargaining instruments whose value lies in what the adversary infers. Tempo is an implication of the theory rather than the theory itself, so its failure is evidence about the medium rather than about the logic. A direct-ascent test is a poor bargaining move because it is a poor signal. Focal points require salience, and salience requires an event both parties can identify as the same event. The open-source record of counterspace testing is opaque, deniable, and technically difficult to distinguish from missile defense, which is the ambiguity Tellis identified in Chinese military space doctrine two decades ago</w:t>
      </w:r>
      <w:r>
        <w:t xml:space="preserve"> </w:t>
      </w:r>
      <w:hyperlink w:anchor="ref-26">
        <w:r>
          <w:rPr>
            <w:rStyle w:val="Hyperlink"/>
          </w:rPr>
          <w:t xml:space="preserve">[26]</w:t>
        </w:r>
      </w:hyperlink>
      <w:r>
        <w:t xml:space="preserve">[17][18][19].</w:t>
      </w:r>
    </w:p>
    <w:p>
      <w:pPr>
        <w:pStyle w:val="BodyText"/>
        <w:spacing w:line="480" w:lineRule="auto"/>
        <w:ind w:firstLine="720"/>
      </w:pPr>
      <w:r>
        <w:t xml:space="preserve">If the record is not a conversation, the marginal positive coefficient on an actor’s own testing history points toward what it is instead. Test timing appears governed by the endogenous life of a program, by interceptor availability, ranges, target objects, and the bureaucratic machinery that produces test opportunities, rather than by the gestures of others. That reading sits comfortably with Waltz, whose structural claim is that states in anarchy respond to the distribution of capability rather than to each other’s signals</w:t>
      </w:r>
      <w:r>
        <w:t xml:space="preserve"> </w:t>
      </w:r>
      <w:hyperlink w:anchor="ref-22">
        <w:r>
          <w:rPr>
            <w:rStyle w:val="Hyperlink"/>
          </w:rPr>
          <w:t xml:space="preserve">[22]</w:t>
        </w:r>
      </w:hyperlink>
      <w:r>
        <w:t xml:space="preserve">. On that account the testing schedule is a production function, not a message. The marginal p-value nonetheless forbids resting weight on it. What the evidence supports is the negative claim: any account of counterspace behaviour resting on tit-for-tat testing must explain why the tit-for-tat is invisible in the timing.</w:t>
      </w:r>
    </w:p>
    <w:p>
      <w:pPr>
        <w:pStyle w:val="BodyText"/>
        <w:spacing w:line="480" w:lineRule="auto"/>
        <w:ind w:firstLine="720"/>
      </w:pPr>
      <w:r>
        <w:t xml:space="preserve">The governance implication is cross-instrumental. Doctrine treats demonstrative testing as a signalling tool of the Military instrument, and signalling requires a receiver capable of identifying the signal. The evidence suggests the receivers are not reading. That is an argument for building the Information and Legal instruments, attribution, notification, and an authoritative shared catalogue, ahead of the Military one, because a threshold that cannot be observed cannot function as a threshold. Manzo reaches the same conclusion from doctrine rather than data: the escalation ladder travels badly into domains where rungs are ambiguous and thresholds contested rather than agreed</w:t>
      </w:r>
      <w:r>
        <w:t xml:space="preserve"> </w:t>
      </w:r>
      <w:hyperlink w:anchor="ref-25">
        <w:r>
          <w:rPr>
            <w:rStyle w:val="Hyperlink"/>
          </w:rPr>
          <w:t xml:space="preserve">[25]</w:t>
        </w:r>
      </w:hyperlink>
      <w:r>
        <w:t xml:space="preserve">. Boley and Byers add the physical stake, showing that the debris externality of destructive testing scales badly against large constellations</w:t>
      </w:r>
      <w:r>
        <w:t xml:space="preserve"> </w:t>
      </w:r>
      <w:hyperlink w:anchor="ref-24">
        <w:r>
          <w:rPr>
            <w:rStyle w:val="Hyperlink"/>
          </w:rPr>
          <w:t xml:space="preserve">[24]</w:t>
        </w:r>
      </w:hyperlink>
      <w:r>
        <w:t xml:space="preserve">. Gray supplies the discipline that keeps the finding modest, since a hazard model of test intervals is exactly the counting he distrusted as a substitute for strategy, and should be read as a constraint on explanation rather than as an explanation</w:t>
      </w:r>
      <w:r>
        <w:t xml:space="preserve"> </w:t>
      </w:r>
      <w:hyperlink w:anchor="ref-23">
        <w:r>
          <w:rPr>
            <w:rStyle w:val="Hyperlink"/>
          </w:rPr>
          <w:t xml:space="preserve">[23]</w:t>
        </w:r>
      </w:hyperlink>
      <w:r>
        <w:t xml:space="preserve">[27].</w:t>
      </w:r>
    </w:p>
    <w:bookmarkEnd w:id="127"/>
    <w:bookmarkStart w:id="128" w:name="X222fe3e57760cd759ffb16801119352a7d9caad"/>
    <w:p>
      <w:pPr>
        <w:pStyle w:val="Heading2"/>
        <w:spacing w:line="480" w:lineRule="auto"/>
      </w:pPr>
      <w:r>
        <w:t xml:space="preserve">7.5 The Legal and Law-Enforcement instruments: rules on paper and rules in use</w:t>
      </w:r>
    </w:p>
    <w:p>
      <w:pPr>
        <w:pStyle w:val="FirstParagraph"/>
        <w:spacing w:line="480" w:lineRule="auto"/>
      </w:pPr>
      <w:r>
        <w:t xml:space="preserve">Paper 4 produces what is, for governance purposes, the most consequential result in the dissertation. Across 25 documented end-of-life events between 2000 and 2023, all in low Earth orbit, of which 19 are disposal successes and 6 are failures, the ordinal index of binding licensing strength carries a coefficient of 0.023613 with a standard error of 0.693694 and a p-value of 0.9728. This is not merely an insignificant coefficient. It is a clean null, estimated at essentially zero with a symmetric interval. The formal strength of the instrument in force over an operator does no work at all in predicting whether that operator disposed of its spacecraft.</w:t>
      </w:r>
    </w:p>
    <w:p>
      <w:pPr>
        <w:pStyle w:val="BodyText"/>
        <w:spacing w:line="480" w:lineRule="auto"/>
        <w:ind w:firstLine="720"/>
      </w:pPr>
      <w:r>
        <w:t xml:space="preserve">The only covariate carrying any signal is orbital altitude at end of mission, at a coefficient of -0.007289 with a standard error of 0.004121 and a p-value of 0.0769, an odds ratio of about 0.48 per additional 100 kilometres. The centred end-of-life year is positive and indistinguishable from zero at 0.087422 with a p-value of 0.3136. The model’s pseudo R-squared is 0.3008 with a log-likelihood of -9.6323 and a likelihood-ratio p-value of 0.0404, and its in-sample accuracy of 0.80 barely exceeds the 0.76 base rate of success. The descriptive contrast is sharper than the inference: failures average 832 kilometres and successes average 565.</w:t>
      </w:r>
    </w:p>
    <w:p>
      <w:pPr>
        <w:pStyle w:val="BodyText"/>
        <w:spacing w:line="480" w:lineRule="auto"/>
        <w:ind w:firstLine="720"/>
      </w:pPr>
      <w:r>
        <w:t xml:space="preserve">The altitude association must be reported as fragile. Dropping the single highest-altitude influential failure moves the coefficient to -0.00682 with a p-value of 0.135 and pushes the model likelihood-ratio p-value to 0.146. The altitude finding is directional and unconfirmed, not established. A further feature of the data is itself informative and cannot be estimated: government-operator status perfectly separates the outcome, since all four non-governmental cases in the documented sample succeeded, so the variable is retained in the dataset for audit and excluded from the specification. Every outcome in the sample traces to a named agency, regulator, or peer-reviewed record, and cases whose disposition could not be sourced were dropped rather than estimated</w:t>
      </w:r>
      <w:r>
        <w:t xml:space="preserve"> </w:t>
      </w:r>
      <w:hyperlink w:anchor="ref-59">
        <w:r>
          <w:rPr>
            <w:rStyle w:val="Hyperlink"/>
          </w:rPr>
          <w:t xml:space="preserve">[59]</w:t>
        </w:r>
      </w:hyperlink>
      <w:r>
        <w:t xml:space="preserve">[64].</w:t>
      </w:r>
    </w:p>
    <w:p>
      <w:pPr>
        <w:pStyle w:val="BodyText"/>
        <w:spacing w:line="480" w:lineRule="auto"/>
        <w:ind w:firstLine="720"/>
      </w:pPr>
      <w:r>
        <w:t xml:space="preserve">This null is Ostrom’s argument recovered in the negative, and it is the clearest instance in the dissertation of the canon predicting correctly by predicting that something else would fail</w:t>
      </w:r>
      <w:r>
        <w:t xml:space="preserve"> </w:t>
      </w:r>
      <w:hyperlink w:anchor="ref-49">
        <w:r>
          <w:rPr>
            <w:rStyle w:val="Hyperlink"/>
          </w:rPr>
          <w:t xml:space="preserve">[49]</w:t>
        </w:r>
      </w:hyperlink>
      <w:r>
        <w:t xml:space="preserve">[50][51]. Her design principles do not include the existence of formal rules. They centre on clearly defined boundaries, accountable monitoring, graduated sanctions, low-cost conflict resolution, and polycentric nesting. What the licensing index measures is codification: statutes, standards, and authorisation regimes. What the data show is that codification alone does not sort outcomes. None of the instruments scored attaches a graduated penalty to a missed disposal, which is exactly the design element Ostrom identifies as load-bearing and exactly the element the null implies is absent. Her warning against panaceas applies with force: a single stronger statute is not a design fix that a coefficient of 0.023613 with a p-value of 0.9728 could ever justify.</w:t>
      </w:r>
    </w:p>
    <w:p>
      <w:pPr>
        <w:pStyle w:val="BodyText"/>
        <w:spacing w:line="480" w:lineRule="auto"/>
        <w:ind w:firstLine="720"/>
      </w:pPr>
      <w:r>
        <w:t xml:space="preserve">North supplies the underlying proposition, and it is his finding before it is anyone else’s</w:t>
      </w:r>
      <w:r>
        <w:t xml:space="preserve"> </w:t>
      </w:r>
      <w:hyperlink w:anchor="ref-52">
        <w:r>
          <w:rPr>
            <w:rStyle w:val="Hyperlink"/>
          </w:rPr>
          <w:t xml:space="preserve">[52]</w:t>
        </w:r>
      </w:hyperlink>
      <w:r>
        <w:t xml:space="preserve">[53]. He insisted on separating formal rules from their enforcement, and on the claim that a rule without credible enforcement is not an effective institution. North and Weingast’s argument that credible commitment rather than nominal codification changes behaviour is visible here precisely in the negative. Williamson supplies the mechanism</w:t>
      </w:r>
      <w:r>
        <w:t xml:space="preserve"> </w:t>
      </w:r>
      <w:hyperlink w:anchor="ref-54">
        <w:r>
          <w:rPr>
            <w:rStyle w:val="Hyperlink"/>
          </w:rPr>
          <w:t xml:space="preserve">[54]</w:t>
        </w:r>
      </w:hyperlink>
      <w:r>
        <w:t xml:space="preserve">[55]. Disposal is a transaction in which the operator bears a certain propellant and lifetime cost to produce a diffuse public benefit, the structure that invites non-performance unless the governance form makes the cost unavoidable. Where the physics makes disposal nearly free, alignment holds without institutional effort; where it makes disposal expensive, a statute alone does not close the gap. That is also why altitude rather than jurisdiction carries what little signal the model contains. Below the band where atmospheric drag enforces the rule on its own, the operative boundary in Ostrom’s first design principle is physical rather than legal, and compliance is a self-executing consequence rather than an institutional achievement.</w:t>
      </w:r>
    </w:p>
    <w:p>
      <w:pPr>
        <w:pStyle w:val="BodyText"/>
        <w:spacing w:line="480" w:lineRule="auto"/>
        <w:ind w:firstLine="720"/>
      </w:pPr>
      <w:r>
        <w:t xml:space="preserve">The perfect separation on operator type points the same way. The non-governmental cases that comply are operators for whom disposal is coupled to continuing market access or to a reputational demonstration, which is monitoring and sanction under another name. That is the ISRA argument stated as an empirical result: behaviour in the space domain is shaped by the administrative and normative structures states build into it, covering responsible behaviour, debris mitigation, and dispute resolution, rather than by declarations about it</w:t>
      </w:r>
      <w:r>
        <w:t xml:space="preserve"> </w:t>
      </w:r>
      <w:hyperlink w:anchor="ref-46">
        <w:r>
          <w:rPr>
            <w:rStyle w:val="Hyperlink"/>
          </w:rPr>
          <w:t xml:space="preserve">[46]</w:t>
        </w:r>
      </w:hyperlink>
      <w:r>
        <w:t xml:space="preserve">. The same source’s comparison to the Law of the Sea is instructive, because what UNCLOS supplied beyond principle was an administrative apparatus, and what the licensing index scores is principle without apparatus.</w:t>
      </w:r>
    </w:p>
    <w:p>
      <w:pPr>
        <w:pStyle w:val="BodyText"/>
        <w:spacing w:line="480" w:lineRule="auto"/>
        <w:ind w:firstLine="720"/>
      </w:pPr>
      <w:r>
        <w:t xml:space="preserve">Two caveats bound the claim. The sample is selected on documentation rather than at random, so the actors whose outcomes are individually published are overwhelmingly transparent civil agencies and Western-licensed commercial operators. That selection almost certainly attenuates the licensing coefficient toward zero and means the estimate speaks to variation among documented actors rather than to the global population, for which the aggregate adherence series remains authoritative</w:t>
      </w:r>
      <w:r>
        <w:t xml:space="preserve"> </w:t>
      </w:r>
      <w:hyperlink w:anchor="ref-59">
        <w:r>
          <w:rPr>
            <w:rStyle w:val="Hyperlink"/>
          </w:rPr>
          <w:t xml:space="preserve">[59]</w:t>
        </w:r>
      </w:hyperlink>
      <w:r>
        <w:t xml:space="preserve">. And with six failures and three predictors the model is underpowered by any conventional standard. The supported claim is therefore narrow and negative: among actors whose behaviour is on the record, formal institutional strength does not sort disposal outcomes. Kant’s publicity principle turns that limitation into a finding of its own, since the documented population is the population of actors who consent to be seen, and a maxim that survives only through quiet externalisation is the one the principle condemns</w:t>
      </w:r>
      <w:r>
        <w:t xml:space="preserve"> </w:t>
      </w:r>
      <w:hyperlink w:anchor="ref-57">
        <w:r>
          <w:rPr>
            <w:rStyle w:val="Hyperlink"/>
          </w:rPr>
          <w:t xml:space="preserve">[57]</w:t>
        </w:r>
      </w:hyperlink>
      <w:r>
        <w:t xml:space="preserve">. Grotius supplies the normative frame and its inversion: orbit preserves the Grotian duty of non-injury to co-users while abolishing the Grotian premise of inexhaustibility</w:t>
      </w:r>
      <w:r>
        <w:t xml:space="preserve"> </w:t>
      </w:r>
      <w:hyperlink w:anchor="ref-56">
        <w:r>
          <w:rPr>
            <w:rStyle w:val="Hyperlink"/>
          </w:rPr>
          <w:t xml:space="preserve">[56]</w:t>
        </w:r>
      </w:hyperlink>
      <w:r>
        <w:t xml:space="preserve">. Ikenberry sets the design brief and receives a correction</w:t>
      </w:r>
      <w:r>
        <w:t xml:space="preserve"> </w:t>
      </w:r>
      <w:hyperlink w:anchor="ref-58">
        <w:r>
          <w:rPr>
            <w:rStyle w:val="Hyperlink"/>
          </w:rPr>
          <w:t xml:space="preserve">[58]</w:t>
        </w:r>
      </w:hyperlink>
      <w:r>
        <w:t xml:space="preserve">. The evidence does not support the claim that more codification produces more restraint. It supports the harder claim that restraint follows monitoring, and that an order which cannot observe its members cannot bind them.</w:t>
      </w:r>
    </w:p>
    <w:bookmarkEnd w:id="128"/>
    <w:bookmarkStart w:id="129" w:name="Xe340f1d2ce6064472111e00d8800da03f44f436"/>
    <w:p>
      <w:pPr>
        <w:pStyle w:val="Heading2"/>
        <w:spacing w:line="480" w:lineRule="auto"/>
      </w:pPr>
      <w:r>
        <w:t xml:space="preserve">7.6 Grand strategy: duration rather than overstretch</w:t>
      </w:r>
    </w:p>
    <w:p>
      <w:pPr>
        <w:pStyle w:val="FirstParagraph"/>
        <w:spacing w:line="480" w:lineRule="auto"/>
      </w:pPr>
      <w:r>
        <w:t xml:space="preserve">Paper 5 puts Kennedy’s imperial-overstretch thesis to an ordinary-least-squares test across 22 major programs and refutes it on this evidence</w:t>
      </w:r>
      <w:r>
        <w:t xml:space="preserve"> </w:t>
      </w:r>
      <w:hyperlink w:anchor="ref-67">
        <w:r>
          <w:rPr>
            <w:rStyle w:val="Hyperlink"/>
          </w:rPr>
          <w:t xml:space="preserve">[67]</w:t>
        </w:r>
      </w:hyperlink>
      <w:r>
        <w:t xml:space="preserve">. National space effort relative to gross domestic product carries a coefficient of 347.53 with a standard error of 2621.82 and a p-value of 0.8945. The intra-portfolio effort ratio carries a coefficient of 0.2141 with a standard error of 0.5640 and a p-value of 0.7043. The null on both overstretch terms survives comfortably. The human-spaceflight indicator is also null, at -35.54 with a standard error of 27.45 and a p-value of 0.1954. The specification is nonetheless jointly informative, with R-squared of 0.7003, adjusted R-squared of 0.6298, and F of 31.91 at p equal to 1.06e-07</w:t>
      </w:r>
      <w:r>
        <w:t xml:space="preserve"> </w:t>
      </w:r>
      <w:hyperlink w:anchor="ref-72">
        <w:r>
          <w:rPr>
            <w:rStyle w:val="Hyperlink"/>
          </w:rPr>
          <w:t xml:space="preserve">[72]</w:t>
        </w:r>
      </w:hyperlink>
      <w:r>
        <w:t xml:space="preserve">[73][74].</w:t>
      </w:r>
    </w:p>
    <w:p>
      <w:pPr>
        <w:pStyle w:val="BodyText"/>
        <w:spacing w:line="480" w:lineRule="auto"/>
        <w:ind w:firstLine="720"/>
      </w:pPr>
      <w:r>
        <w:t xml:space="preserve">What the model finds instead is exposure. Each additional year between baseline approval and assessment is associated with 13.9596 further percentage points of cumulative cost growth, with a standard error of 4.6125 and a p-value of 0.0025. Duration, not budget share, is the driver.</w:t>
      </w:r>
    </w:p>
    <w:p>
      <w:pPr>
        <w:pStyle w:val="BodyText"/>
        <w:spacing w:line="480" w:lineRule="auto"/>
        <w:ind w:firstLine="720"/>
      </w:pPr>
      <w:r>
        <w:t xml:space="preserve">This reframes the proportionality question Kennedy and Gaddis both pose, and reframes it in a way that changes what a state should do about it</w:t>
      </w:r>
      <w:r>
        <w:t xml:space="preserve"> </w:t>
      </w:r>
      <w:hyperlink w:anchor="ref-67">
        <w:r>
          <w:rPr>
            <w:rStyle w:val="Hyperlink"/>
          </w:rPr>
          <w:t xml:space="preserve">[67]</w:t>
        </w:r>
      </w:hyperlink>
      <w:r>
        <w:t xml:space="preserve">[68]. Kennedy’s mechanism is a stock-and-flow argument about commitments accumulating faster than the productive base that must carry them. On this portfolio the accumulation is temporal rather than fiscal. Programs did not consume the base by claiming a large share of it at the moment of decision. They consumed it by remaining committed for a long time. Gaddis’s ends-means discipline, the alignment of potentially unlimited aspirations with necessarily limited capabilities, is usually read as an injunction about how much to attempt; the coefficient on duration converts it into an injunction about how long to take, and his reversibility principle names the failure mode directly</w:t>
      </w:r>
      <w:r>
        <w:t xml:space="preserve"> </w:t>
      </w:r>
      <w:hyperlink w:anchor="ref-68">
        <w:r>
          <w:rPr>
            <w:rStyle w:val="Hyperlink"/>
          </w:rPr>
          <w:t xml:space="preserve">[68]</w:t>
        </w:r>
      </w:hyperlink>
      <w:r>
        <w:t xml:space="preserve">. Luttwak’s paradoxical logic operates here in an acquisition register rather than a battlefield one, with continuation past the culminating point becoming institutionally rational for every actor except the polity paying for it</w:t>
      </w:r>
      <w:r>
        <w:t xml:space="preserve"> </w:t>
      </w:r>
      <w:hyperlink w:anchor="ref-71">
        <w:r>
          <w:rPr>
            <w:rStyle w:val="Hyperlink"/>
          </w:rPr>
          <w:t xml:space="preserve">[71]</w:t>
        </w:r>
      </w:hyperlink>
      <w:r>
        <w:t xml:space="preserve">. Kissinger’s insistence that equilibrium is a designed artifact rather than an automatic one applies to schedule as much as to balance</w:t>
      </w:r>
      <w:r>
        <w:t xml:space="preserve"> </w:t>
      </w:r>
      <w:hyperlink w:anchor="ref-69">
        <w:r>
          <w:rPr>
            <w:rStyle w:val="Hyperlink"/>
          </w:rPr>
          <w:t xml:space="preserve">[69]</w:t>
        </w:r>
      </w:hyperlink>
      <w:r>
        <w:t xml:space="preserve">.</w:t>
      </w:r>
    </w:p>
    <w:p>
      <w:pPr>
        <w:pStyle w:val="BodyText"/>
        <w:spacing w:line="480" w:lineRule="auto"/>
        <w:ind w:firstLine="720"/>
      </w:pPr>
      <w:r>
        <w:t xml:space="preserve">Brands and Beckley supply the strategic consequence</w:t>
      </w:r>
      <w:r>
        <w:t xml:space="preserve"> </w:t>
      </w:r>
      <w:hyperlink w:anchor="ref-70">
        <w:r>
          <w:rPr>
            <w:rStyle w:val="Hyperlink"/>
          </w:rPr>
          <w:t xml:space="preserve">[70]</w:t>
        </w:r>
      </w:hyperlink>
      <w:r>
        <w:t xml:space="preserve">. Their peaking-power thesis holds that danger concentrates in windows and that a competitor’s assertiveness may be driven by a closing opportunity rather than by rising confidence. If the binding constraint on space performance is duration rather than budget share, then the relevant vulnerability is not fiscal exhaustion but temporal exposure. A portfolio whose flagship commitments mature over a decade or more is structurally mismatched to a competitor optimizing for a window measured in years. The prescription that follows from Kennedy is therefore not to spend less, which the data give no warrant for, but to shorten the interval between commitment and delivery so that the productive base becomes deployed capability before the strategic problem it was meant to answer has moved.</w:t>
      </w:r>
    </w:p>
    <w:bookmarkEnd w:id="129"/>
    <w:bookmarkStart w:id="130" w:name="X6735eb582f26bb0864728ccf6d439447ff91b9f"/>
    <w:p>
      <w:pPr>
        <w:pStyle w:val="Heading2"/>
        <w:spacing w:line="480" w:lineRule="auto"/>
      </w:pPr>
      <w:r>
        <w:t xml:space="preserve">7.7 Anticipatory governance and the closing rules window</w:t>
      </w:r>
    </w:p>
    <w:p>
      <w:pPr>
        <w:pStyle w:val="FirstParagraph"/>
        <w:spacing w:line="480" w:lineRule="auto"/>
      </w:pPr>
      <w:r>
        <w:t xml:space="preserve">Four implications follow from reading the instruments together, and each cuts against a common position in the space-governance literature.</w:t>
      </w:r>
    </w:p>
    <w:p>
      <w:pPr>
        <w:pStyle w:val="BodyText"/>
        <w:spacing w:line="480" w:lineRule="auto"/>
        <w:ind w:firstLine="720"/>
      </w:pPr>
      <w:r>
        <w:t xml:space="preserve">First, the Economic instrument is the operative lever, and it operates earlier than the governance debate usually assumes. If orbital presence is bought at close to a linear rate from appropriation, the distribution of capability that any future rules regime must accommodate is being set now, by budget decisions, in states whose legislatures are not conducting a governance debate. Goswami and Garretson’s rules-window argument is usually read as a claim about legal first-movers</w:t>
      </w:r>
      <w:r>
        <w:t xml:space="preserve"> </w:t>
      </w:r>
      <w:hyperlink w:anchor="ref-11">
        <w:r>
          <w:rPr>
            <w:rStyle w:val="Hyperlink"/>
          </w:rPr>
          <w:t xml:space="preserve">[11]</w:t>
        </w:r>
      </w:hyperlink>
      <w:r>
        <w:t xml:space="preserve">[75]. The elasticity suggests it is prior to that, since the actors who will be positioned to write rules are selected by appropriation years before drafting begins, and their selection is not constrained by national wealth in the way a purely economic-determinist account would predict.</w:t>
      </w:r>
    </w:p>
    <w:p>
      <w:pPr>
        <w:pStyle w:val="BodyText"/>
        <w:spacing w:line="480" w:lineRule="auto"/>
        <w:ind w:firstLine="720"/>
      </w:pPr>
      <w:r>
        <w:t xml:space="preserve">Second, the governance problem is monitoring, not drafting. The licensing null is the sharpest single result for practice in this dissertation. It says that adding another codified instrument to a regime already dense with them should not, on this evidence, be expected to change outcomes among documented actors. What Ostrom’s principles identify as missing, and what the index by construction could not score, is accountable monitoring and graduated sanction</w:t>
      </w:r>
      <w:r>
        <w:t xml:space="preserve"> </w:t>
      </w:r>
      <w:hyperlink w:anchor="ref-49">
        <w:r>
          <w:rPr>
            <w:rStyle w:val="Hyperlink"/>
          </w:rPr>
          <w:t xml:space="preserve">[49]</w:t>
        </w:r>
      </w:hyperlink>
      <w:r>
        <w:t xml:space="preserve">[50]. The existing corpus of mitigation guidance, national requirements, and technical standards is substantial</w:t>
      </w:r>
      <w:r>
        <w:t xml:space="preserve"> </w:t>
      </w:r>
      <w:hyperlink w:anchor="ref-60">
        <w:r>
          <w:rPr>
            <w:rStyle w:val="Hyperlink"/>
          </w:rPr>
          <w:t xml:space="preserve">[60]</w:t>
        </w:r>
      </w:hyperlink>
      <w:r>
        <w:t xml:space="preserve">[61][62][63][65]. The scarce good is not another rule but the capacity to observe compliance and attach a consequence proportional to the violation.</w:t>
      </w:r>
    </w:p>
    <w:p>
      <w:pPr>
        <w:pStyle w:val="BodyText"/>
        <w:spacing w:line="480" w:lineRule="auto"/>
        <w:ind w:firstLine="720"/>
      </w:pPr>
      <w:r>
        <w:t xml:space="preserve">Third, the Law-Enforcement instrument is doing work currently invisible in the legal record. The perfect separation on operator type is not evidence that commercial operators are more virtuous. It is evidence that continuing market access functions as a graduated sanction where no statute does, because the licensing relationship is repeated and the regulator can withhold the next authorisation. That mechanism is enforcement in Ostrom’s sense while being invisible in any index of legal text, which suggests the practical enforcement architecture for orbit will be built out of repeated authorisation relationships and transgovernmental regulatory networks rather than out of treaty text.</w:t>
      </w:r>
    </w:p>
    <w:p>
      <w:pPr>
        <w:pStyle w:val="BodyText"/>
        <w:spacing w:line="480" w:lineRule="auto"/>
        <w:ind w:firstLine="720"/>
      </w:pPr>
      <w:r>
        <w:t xml:space="preserve">Fourth, anticipatory governance should be timed against duration rather than budget. The exposure coefficient in paper 5 and the null on overstretch together imply that the binding constraint on converting national resources into strategic space outcomes is elapsed time. A regime designed on the assumption that states are fiscally constrained will misjudge both what they can afford and how fast they can move. A regime designed on the assumption that they are time-constrained anticipates the actual failure mode, a commitment that outlives the strategic problem it was made to solve.</w:t>
      </w:r>
    </w:p>
    <w:p>
      <w:pPr>
        <w:pStyle w:val="BodyText"/>
        <w:spacing w:line="480" w:lineRule="auto"/>
        <w:ind w:firstLine="720"/>
      </w:pPr>
      <w:r>
        <w:t xml:space="preserve">Together these four points describe a governance posture materially different from the one implied by the doctrinal literature, which tends to treat the Military instrument as primary, the Legal instrument as the arena for great-power bargaining, and the Economic instrument as the resource base funding the others. The evidence inverts that ordering. The Economic instrument is where the measurable relationship lives. The Legal instrument, in its codified form, does not sort the outcome it was built to sort. The Military instrument’s signalling logic is not visible in the behaviour it is supposed to govern. And the Law-Enforcement instrument, the paradigm’s least formalized extension beyond DIME, carries the enforcement function the Legal instrument is usually credited with.</w:t>
      </w:r>
    </w:p>
    <w:bookmarkEnd w:id="130"/>
    <w:bookmarkStart w:id="131" w:name="what-the-matrix-earns"/>
    <w:p>
      <w:pPr>
        <w:pStyle w:val="Heading2"/>
        <w:spacing w:line="480" w:lineRule="auto"/>
      </w:pPr>
      <w:r>
        <w:t xml:space="preserve">7.8 What the matrix earns</w:t>
      </w:r>
    </w:p>
    <w:p>
      <w:pPr>
        <w:pStyle w:val="FirstParagraph"/>
        <w:spacing w:line="480" w:lineRule="auto"/>
      </w:pPr>
      <w:r>
        <w:t xml:space="preserve">The competing hypotheses set out in the prospectus can now be adjudicated, and the adjudication is mixed in a way the framework anticipated.</w:t>
      </w:r>
    </w:p>
    <w:p>
      <w:pPr>
        <w:pStyle w:val="BodyText"/>
        <w:spacing w:line="480" w:lineRule="auto"/>
        <w:ind w:firstLine="720"/>
      </w:pPr>
      <w:r>
        <w:t xml:space="preserve">H1 predicted that the economic-statecraft and commons-governance strands of the canon would generate directional predictions surviving in the empirical studies. On the economic-statecraft side the prediction survives strongly. On the commons-governance side it survives in an unexpected form, since Ostrom’s framework is vindicated not by the compliance-raising effect of institutions but by the null on the one institutional variable her design principles do not include. That is a genuine test passed, because a framework predicting the failure of formal codification and observing exactly that failure has earned more than one predicting success and observing it.</w:t>
      </w:r>
    </w:p>
    <w:p>
      <w:pPr>
        <w:pStyle w:val="BodyText"/>
        <w:spacing w:line="480" w:lineRule="auto"/>
        <w:ind w:firstLine="720"/>
      </w:pPr>
      <w:r>
        <w:t xml:space="preserve">H0 cannot be rejected for the military instrument. The counterspace study returns nulls on both of its theoretically motivated covariates, and the only covariate with marginal support is programmatic rather than strategic. On this evidence the deterrence-signalling strand contributes interpretation after the fact rather than prediction before it. The overstretch strand fails on its own preferred data, and the variable replacing it, duration, is one the canon addresses only obliquely through Gaddis on reversibility and Luttwak on the culminating point</w:t>
      </w:r>
      <w:r>
        <w:t xml:space="preserve"> </w:t>
      </w:r>
      <w:hyperlink w:anchor="ref-68">
        <w:r>
          <w:rPr>
            <w:rStyle w:val="Hyperlink"/>
          </w:rPr>
          <w:t xml:space="preserve">[68]</w:t>
        </w:r>
      </w:hyperlink>
      <w:r>
        <w:t xml:space="preserve">[71].</w:t>
      </w:r>
    </w:p>
    <w:p>
      <w:pPr>
        <w:pStyle w:val="BodyText"/>
        <w:spacing w:line="480" w:lineRule="auto"/>
        <w:ind w:firstLine="720"/>
      </w:pPr>
      <w:r>
        <w:t xml:space="preserve">The matrix survives this outcome because it was never a prediction engine. Its function is to state, for each of roughly fifty thinkers, which of the six instruments the concept illuminates, what concrete space problem it applies to, and how far the transfer can be pushed before it becomes analogy. The empirical program tested five of those transfers and found two that hold, one that holds weakly, and two that do not. That is a more useful map than the field currently possesses, and its value does not depend on the canon being right. It depends on the canon being adjudicable, which is what the transfer-fit scoring and pre-registered instrument assignments were built to make possible. Bowen’s insistence that every claimed orbital advantage name its terrestrial political payoff, and Ziarnick’s that industrial vitality rather than program spending is the engine, are testable propositions rather than authorities</w:t>
      </w:r>
      <w:r>
        <w:t xml:space="preserve"> </w:t>
      </w:r>
      <w:hyperlink w:anchor="ref-27">
        <w:r>
          <w:rPr>
            <w:rStyle w:val="Hyperlink"/>
          </w:rPr>
          <w:t xml:space="preserve">[27]</w:t>
        </w:r>
      </w:hyperlink>
      <w:r>
        <w:t xml:space="preserve">[1]. The contribution of this work is to have made them so, and to have reported honestly what happened when they were tested.</w:t>
      </w:r>
    </w:p>
    <w:bookmarkEnd w:id="131"/>
    <w:bookmarkEnd w:id="132"/>
    <w:bookmarkStart w:id="254" w:name="chapter-8.-conclusion-and-implications"/>
    <w:p>
      <w:pPr>
        <w:pStyle w:val="Heading1"/>
        <w:spacing w:line="480" w:lineRule="auto"/>
      </w:pPr>
      <w:r>
        <w:t xml:space="preserve">Chapter 8. Conclusion and Implications</w:t>
      </w:r>
    </w:p>
    <w:bookmarkStart w:id="133" w:name="the-claim-restated-without-inflation"/>
    <w:p>
      <w:pPr>
        <w:pStyle w:val="Heading2"/>
        <w:spacing w:line="480" w:lineRule="auto"/>
      </w:pPr>
      <w:r>
        <w:t xml:space="preserve">8.1 The Claim, Restated Without Inflation</w:t>
      </w:r>
    </w:p>
    <w:p>
      <w:pPr>
        <w:pStyle w:val="FirstParagraph"/>
        <w:spacing w:line="480" w:lineRule="auto"/>
      </w:pPr>
      <w:r>
        <w:t xml:space="preserve">This dissertation set out to determine whether the historical strategic canon systematically predicts measurable space-domain outcomes across six instruments of national power, or whether its application to space is post hoc narration. It answered by building two things and testing one of them. The first is the framework: an extension of the DIME paradigm to include Legal and Law-Enforcement instruments, on the argument that a governed orbital commons requires both rule-making and rule-enforcing axes that the four-instrument model does not supply</w:t>
      </w:r>
      <w:r>
        <w:t xml:space="preserve"> </w:t>
      </w:r>
      <w:hyperlink w:anchor="ref-49">
        <w:r>
          <w:rPr>
            <w:rStyle w:val="Hyperlink"/>
          </w:rPr>
          <w:t xml:space="preserve">[49]</w:t>
        </w:r>
      </w:hyperlink>
      <w:r>
        <w:t xml:space="preserve">[56]. The second is the matrix: a systematic mapping of the canon onto those six instruments, one row per thinker, each row stating a concept with a verified citation, assigning the single instrument the concept most illuminates for space, applying it to a named orbital problem, and scoring the transfer from one to five. The matrix was projected as fifty rows and executed at seventy-seven, of which twenty-one carry the Economic instrument, consistent with the framework’s stated emphasis and with Goswami and Garretson’s finding that comprehensive national power is overwhelmingly a function of economic development</w:t>
      </w:r>
      <w:r>
        <w:t xml:space="preserve"> </w:t>
      </w:r>
      <w:hyperlink w:anchor="ref-11">
        <w:r>
          <w:rPr>
            <w:rStyle w:val="Hyperlink"/>
          </w:rPr>
          <w:t xml:space="preserve">[11]</w:t>
        </w:r>
      </w:hyperlink>
      <w:r>
        <w:t xml:space="preserve">[75].</w:t>
      </w:r>
    </w:p>
    <w:p>
      <w:pPr>
        <w:pStyle w:val="BodyText"/>
        <w:spacing w:line="480" w:lineRule="auto"/>
        <w:ind w:firstLine="720"/>
      </w:pPr>
      <w:r>
        <w:t xml:space="preserve">The honest posture of this work is that the framework and the matrix are the contribution, and that the five empirical studies are disciplined probes attached to it rather than the proof of it. Three of those probes return nulls or refutations. One returns a weak association that the chapter reporting it declines to overstate. One returns a strong result. That distribution is not a disappointment to be explained away. It is the finding, and it is the reason the framework is worth keeping.</w:t>
      </w:r>
    </w:p>
    <w:bookmarkEnd w:id="133"/>
    <w:bookmarkStart w:id="134" w:name="adjudicating-the-hypotheses"/>
    <w:p>
      <w:pPr>
        <w:pStyle w:val="Heading2"/>
        <w:spacing w:line="480" w:lineRule="auto"/>
      </w:pPr>
      <w:r>
        <w:t xml:space="preserve">8.2 Adjudicating the Hypotheses</w:t>
      </w:r>
    </w:p>
    <w:p>
      <w:pPr>
        <w:pStyle w:val="FirstParagraph"/>
        <w:spacing w:line="480" w:lineRule="auto"/>
      </w:pPr>
      <w:r>
        <w:t xml:space="preserve">The dissertation posed the competing hypotheses in falsifiable form. H1 held that the canon’s economic-statecraft and commons-governance strands generate directional predictions that survive contact with real data after technical controls. H0 held that observed regularities are explained by contemporary technical and economic variables alone and that the canon supplies only after-the-fact interpretation. The evidence does not permit a clean verdict either way, and the correct scholarly move is to report the split rather than to average it into a false consensus.</w:t>
      </w:r>
    </w:p>
    <w:p>
      <w:pPr>
        <w:pStyle w:val="BodyText"/>
        <w:spacing w:line="480" w:lineRule="auto"/>
        <w:ind w:firstLine="720"/>
      </w:pPr>
      <w:r>
        <w:t xml:space="preserve">H1 survives on the economic instrument and nowhere else with comparable force. Paper 3, an ordinary-least-squares panel of twenty-seven country-years, returns a budget elasticity of 1.3190 with a robust standard error of 0.3127 and p below 0.0001, with a ninety-five percent confidence interval running from 0.706 to 1.932. The coefficient on log GDP is negative and indistinguishable from zero at minus 0.3263 with a standard error of 0.5161 and p equal to 0.5272. A Wald test of the restriction that the budget elasticity equals unity returns p equal to 0.308, and the budget-only bivariate specification returns 0.9983 with a standard error of 0.072. Removing the year dummies leaves 1.108, and excluding the United States leaves the elasticity positive and significant at 1.767. This is the strongest finding in the dissertation, and it says something the canon predicted: Hirschman’s insistence that strategic content lies in structure rather than aggregate volume is reproduced almost exactly by a specification in which directed appropriation converts into orbital presence while national wealth, conditional on appropriation, does not</w:t>
      </w:r>
      <w:r>
        <w:t xml:space="preserve"> </w:t>
      </w:r>
      <w:hyperlink w:anchor="ref-34">
        <w:r>
          <w:rPr>
            <w:rStyle w:val="Hyperlink"/>
          </w:rPr>
          <w:t xml:space="preserve">[34]</w:t>
        </w:r>
      </w:hyperlink>
      <w:r>
        <w:t xml:space="preserve">. Baldwin’s opportunity-cost standard becomes computable for the first time in this domain, because the exchange rate between the economic instrument and physical presence in orbit now has a number attached to it</w:t>
      </w:r>
      <w:r>
        <w:t xml:space="preserve"> </w:t>
      </w:r>
      <w:hyperlink w:anchor="ref-32">
        <w:r>
          <w:rPr>
            <w:rStyle w:val="Hyperlink"/>
          </w:rPr>
          <w:t xml:space="preserve">[32]</w:t>
        </w:r>
      </w:hyperlink>
      <w:r>
        <w:t xml:space="preserve">.</w:t>
      </w:r>
    </w:p>
    <w:p>
      <w:pPr>
        <w:pStyle w:val="BodyText"/>
        <w:spacing w:line="480" w:lineRule="auto"/>
        <w:ind w:firstLine="720"/>
      </w:pPr>
      <w:r>
        <w:t xml:space="preserve">The caveat that must travel with that finding is stated here and not buried. The correlation between log budget and log GDP is 0.901, and the variance inflation factors are 6.4 and 5.9. The two regressors are genuinely difficult to separate. The defensible reading is that appropriated budget carries the explanatory content, not that national wealth is strategically irrelevant to the capacity to fund a space program.</w:t>
      </w:r>
    </w:p>
    <w:p>
      <w:pPr>
        <w:pStyle w:val="BodyText"/>
        <w:spacing w:line="480" w:lineRule="auto"/>
        <w:ind w:firstLine="720"/>
      </w:pPr>
      <w:r>
        <w:t xml:space="preserve">H0 survives everywhere else. Paper 2, a Cox proportional-hazards model of counterspace demonstration timing over twenty-seven spells and twenty-three events, cannot reject the null on any covariate at conventional levels. Recent rival testing returns a hazard ratio of 0.8405 with p equal to 0.3629. A prior kinetic demonstration returns 0.9069 with p equal to 0.8853. Accumulated programme experience returns 1.1224 with p equal to 0.0727, which is marginal and is reported as marginal. The Schelling reciprocal-signalling prediction, tested on the record its own logic nominates, does not appear in the timing</w:t>
      </w:r>
      <w:r>
        <w:t xml:space="preserve"> </w:t>
      </w:r>
      <w:hyperlink w:anchor="ref-20">
        <w:r>
          <w:rPr>
            <w:rStyle w:val="Hyperlink"/>
          </w:rPr>
          <w:t xml:space="preserve">[20]</w:t>
        </w:r>
      </w:hyperlink>
      <w:r>
        <w:t xml:space="preserve">[17][19]. Paper 5, an ordinary-least-squares model of twenty-two NASA major projects, refutes the Kennedy overstretch hypothesis on this evidence: national space spending as a share of GDP returns 347.53 with a standard error of 2621.82 and p equal to 0.8945, and the intra-portfolio effort ratio returns 0.2141 with a standard error of 0.5640 and p equal to 0.7043</w:t>
      </w:r>
      <w:r>
        <w:t xml:space="preserve"> </w:t>
      </w:r>
      <w:hyperlink w:anchor="ref-67">
        <w:r>
          <w:rPr>
            <w:rStyle w:val="Hyperlink"/>
          </w:rPr>
          <w:t xml:space="preserve">[67]</w:t>
        </w:r>
      </w:hyperlink>
      <w:r>
        <w:t xml:space="preserve">[72]. Paper 4, a logit on twenty-five documented end-of-life events, returns a clean null on the institutional variable: licensing strength is estimated at 0.023613 with a standard error of 0.693694 and p equal to 0.9728, which is a coefficient centred on zero with a symmetric interval rather than a merely unresolved one</w:t>
      </w:r>
      <w:r>
        <w:t xml:space="preserve"> </w:t>
      </w:r>
      <w:hyperlink w:anchor="ref-49">
        <w:r>
          <w:rPr>
            <w:rStyle w:val="Hyperlink"/>
          </w:rPr>
          <w:t xml:space="preserve">[49]</w:t>
        </w:r>
      </w:hyperlink>
      <w:r>
        <w:t xml:space="preserve">[59].</w:t>
      </w:r>
    </w:p>
    <w:p>
      <w:pPr>
        <w:pStyle w:val="BodyText"/>
        <w:spacing w:line="480" w:lineRule="auto"/>
        <w:ind w:firstLine="720"/>
      </w:pPr>
      <w:r>
        <w:t xml:space="preserve">Paper 1 sits between. The experience elasticity is negative at minus 0.3292 with a standard error of 0.1575 and p equal to 0.0366, implying a progress ratio of 0.796 and roughly a twenty percent fall in real cost per kilogram per doubling of cumulative launches</w:t>
      </w:r>
      <w:r>
        <w:t xml:space="preserve"> </w:t>
      </w:r>
      <w:hyperlink w:anchor="ref-10">
        <w:r>
          <w:rPr>
            <w:rStyle w:val="Hyperlink"/>
          </w:rPr>
          <w:t xml:space="preserve">[10]</w:t>
        </w:r>
      </w:hyperlink>
      <w:r>
        <w:t xml:space="preserve">[7][9]. The R-squared is 0.1217. The experience curve is real and it explains about twelve percent of the variance. Ziarnick’s economic hinge holds in sign and fails to hold in explanatory weight</w:t>
      </w:r>
      <w:r>
        <w:t xml:space="preserve"> </w:t>
      </w:r>
      <w:hyperlink w:anchor="ref-1">
        <w:r>
          <w:rPr>
            <w:rStyle w:val="Hyperlink"/>
          </w:rPr>
          <w:t xml:space="preserve">[1]</w:t>
        </w:r>
      </w:hyperlink>
      <w:r>
        <w:t xml:space="preserve">.</w:t>
      </w:r>
    </w:p>
    <w:bookmarkEnd w:id="134"/>
    <w:bookmarkStart w:id="135" w:name="what-was-learned"/>
    <w:p>
      <w:pPr>
        <w:pStyle w:val="Heading2"/>
        <w:spacing w:line="480" w:lineRule="auto"/>
      </w:pPr>
      <w:r>
        <w:t xml:space="preserve">8.3 What Was Learned</w:t>
      </w:r>
    </w:p>
    <w:p>
      <w:pPr>
        <w:pStyle w:val="FirstParagraph"/>
        <w:spacing w:line="480" w:lineRule="auto"/>
      </w:pPr>
      <w:r>
        <w:t xml:space="preserve">Four propositions survive the exercise and are worth carrying forward.</w:t>
      </w:r>
    </w:p>
    <w:p>
      <w:pPr>
        <w:pStyle w:val="BodyText"/>
        <w:spacing w:line="480" w:lineRule="auto"/>
        <w:ind w:firstLine="720"/>
      </w:pPr>
      <w:r>
        <w:t xml:space="preserve">The first is that the economic instrument in space is a policy choice rather than a byproduct of national scale. This is the affirmative result, and it is the one on which the framework’s emphasis was placed in advance rather than after the fact. It vindicates the decision to treat the Economic column with the greatest depth and it gives Norris’s control problem an empirical footing, since two states can arrive at the same point on the same fitted line by different institutional routes</w:t>
      </w:r>
      <w:r>
        <w:t xml:space="preserve"> </w:t>
      </w:r>
      <w:hyperlink w:anchor="ref-33">
        <w:r>
          <w:rPr>
            <w:rStyle w:val="Hyperlink"/>
          </w:rPr>
          <w:t xml:space="preserve">[33]</w:t>
        </w:r>
      </w:hyperlink>
      <w:r>
        <w:t xml:space="preserve">[37].</w:t>
      </w:r>
    </w:p>
    <w:p>
      <w:pPr>
        <w:pStyle w:val="BodyText"/>
        <w:spacing w:line="480" w:lineRule="auto"/>
        <w:ind w:firstLine="720"/>
      </w:pPr>
      <w:r>
        <w:t xml:space="preserve">The second is that duration, not fiscal share, is what degrades program performance. Each additional year between baseline approval and assessment is associated with about 13.96 additional percentage points of cost growth, with a standard error of 4.6125 and p equal to 0.0025. This is Gaddis’s principle of reversibility rendered as a regression coefficient, and it is Luttwak’s paradoxical logic operating in an acquisition register</w:t>
      </w:r>
      <w:r>
        <w:t xml:space="preserve"> </w:t>
      </w:r>
      <w:hyperlink w:anchor="ref-68">
        <w:r>
          <w:rPr>
            <w:rStyle w:val="Hyperlink"/>
          </w:rPr>
          <w:t xml:space="preserve">[68]</w:t>
        </w:r>
      </w:hyperlink>
      <w:r>
        <w:t xml:space="preserve">[71]. Kennedy’s mechanism is not thereby destroyed. It is relocated from the level of the commitment to its duration, which is a sharper and more actionable claim than the one tested</w:t>
      </w:r>
      <w:r>
        <w:t xml:space="preserve"> </w:t>
      </w:r>
      <w:hyperlink w:anchor="ref-67">
        <w:r>
          <w:rPr>
            <w:rStyle w:val="Hyperlink"/>
          </w:rPr>
          <w:t xml:space="preserve">[67]</w:t>
        </w:r>
      </w:hyperlink>
      <w:r>
        <w:t xml:space="preserve">[70].</w:t>
      </w:r>
    </w:p>
    <w:p>
      <w:pPr>
        <w:pStyle w:val="BodyText"/>
        <w:spacing w:line="480" w:lineRule="auto"/>
        <w:ind w:firstLine="720"/>
      </w:pPr>
      <w:r>
        <w:t xml:space="preserve">The third is that codification is not enforcement. The null on licensing strength is North’s proposition recovered in the negative: a formal rule without credible enforcement is not an effective institution</w:t>
      </w:r>
      <w:r>
        <w:t xml:space="preserve"> </w:t>
      </w:r>
      <w:hyperlink w:anchor="ref-52">
        <w:r>
          <w:rPr>
            <w:rStyle w:val="Hyperlink"/>
          </w:rPr>
          <w:t xml:space="preserve">[52]</w:t>
        </w:r>
      </w:hyperlink>
      <w:r>
        <w:t xml:space="preserve">[53]. Ostrom’s design principles predicted which variable would carry the signal and which would not, because the operative boundary in orbit is altitude rather than jurisdiction, and none of the instruments scored attaches a graduated sanction to a missed disposal</w:t>
      </w:r>
      <w:r>
        <w:t xml:space="preserve"> </w:t>
      </w:r>
      <w:hyperlink w:anchor="ref-49">
        <w:r>
          <w:rPr>
            <w:rStyle w:val="Hyperlink"/>
          </w:rPr>
          <w:t xml:space="preserve">[49]</w:t>
        </w:r>
      </w:hyperlink>
      <w:r>
        <w:t xml:space="preserve">[50]. Where physics makes disposal nearly free the rule is self-executing; where physics makes it expensive, a statute alone does not close the gap</w:t>
      </w:r>
      <w:r>
        <w:t xml:space="preserve"> </w:t>
      </w:r>
      <w:hyperlink w:anchor="ref-54">
        <w:r>
          <w:rPr>
            <w:rStyle w:val="Hyperlink"/>
          </w:rPr>
          <w:t xml:space="preserve">[54]</w:t>
        </w:r>
      </w:hyperlink>
      <w:r>
        <w:t xml:space="preserve">[65].</w:t>
      </w:r>
    </w:p>
    <w:p>
      <w:pPr>
        <w:pStyle w:val="BodyText"/>
        <w:spacing w:line="480" w:lineRule="auto"/>
        <w:ind w:firstLine="720"/>
      </w:pPr>
      <w:r>
        <w:t xml:space="preserve">The fourth is that a demonstration is not automatically a signal. Counterspace testing on the open record behaves less like a bargaining conversation than like parallel production functions, which is Waltz’s structural claim rather than Schelling’s bargaining claim</w:t>
      </w:r>
      <w:r>
        <w:t xml:space="preserve"> </w:t>
      </w:r>
      <w:hyperlink w:anchor="ref-22">
        <w:r>
          <w:rPr>
            <w:rStyle w:val="Hyperlink"/>
          </w:rPr>
          <w:t xml:space="preserve">[22]</w:t>
        </w:r>
      </w:hyperlink>
      <w:r>
        <w:t xml:space="preserve">[20]. This is evidence about the medium rather than about the logic of coercion, and the distinction matters for anyone designing an escalation-management architecture for orbit</w:t>
      </w:r>
      <w:r>
        <w:t xml:space="preserve"> </w:t>
      </w:r>
      <w:hyperlink w:anchor="ref-21">
        <w:r>
          <w:rPr>
            <w:rStyle w:val="Hyperlink"/>
          </w:rPr>
          <w:t xml:space="preserve">[21]</w:t>
        </w:r>
      </w:hyperlink>
      <w:r>
        <w:t xml:space="preserve">[27].</w:t>
      </w:r>
    </w:p>
    <w:bookmarkEnd w:id="135"/>
    <w:bookmarkStart w:id="136" w:name="what-was-not-learned"/>
    <w:p>
      <w:pPr>
        <w:pStyle w:val="Heading2"/>
        <w:spacing w:line="480" w:lineRule="auto"/>
      </w:pPr>
      <w:r>
        <w:t xml:space="preserve">8.4 What Was Not Learned</w:t>
      </w:r>
    </w:p>
    <w:p>
      <w:pPr>
        <w:pStyle w:val="FirstParagraph"/>
        <w:spacing w:line="480" w:lineRule="auto"/>
      </w:pPr>
      <w:r>
        <w:t xml:space="preserve">The limits are severe and are stated without hedging. Every study in this dissertation is small. The largest sample is thirty-eight rows and the smallest is twenty-two. Confidence intervals are correspondingly wide, and none of the five designs identifies a causal parameter. Budgets and satellites are jointly determined. Cumulative launches co-move with calendar time. Program duration is plausibly endogenous to the difficulty that also drives overrun.</w:t>
      </w:r>
    </w:p>
    <w:p>
      <w:pPr>
        <w:pStyle w:val="BodyText"/>
        <w:spacing w:line="480" w:lineRule="auto"/>
        <w:ind w:firstLine="720"/>
      </w:pPr>
      <w:r>
        <w:t xml:space="preserve">Two specific fragilities must not be lost in summary. The altitude association in Paper 4 is directional and unconfirmed: dropping Jason-1, the highest-altitude influential failure, moves the coefficient to minus 0.00682 with p equal to 0.135 and pushes the model likelihood-ratio p value to 0.146. The descriptive contrast is stable, with failures averaging 832 kilometres and successes averaging 565, but the inference is not</w:t>
      </w:r>
      <w:r>
        <w:t xml:space="preserve"> </w:t>
      </w:r>
      <w:hyperlink w:anchor="ref-59">
        <w:r>
          <w:rPr>
            <w:rStyle w:val="Hyperlink"/>
          </w:rPr>
          <w:t xml:space="preserve">[59]</w:t>
        </w:r>
      </w:hyperlink>
      <w:r>
        <w:t xml:space="preserve">[64]. And the Paper 4 sample is selected on documentation rather than at random, which means it speaks to variation among actors who consent to be observed and is silent about the population that does not report.</w:t>
      </w:r>
    </w:p>
    <w:p>
      <w:pPr>
        <w:pStyle w:val="BodyText"/>
        <w:spacing w:line="480" w:lineRule="auto"/>
        <w:ind w:firstLine="720"/>
      </w:pPr>
      <w:r>
        <w:t xml:space="preserve">The matrix itself carries a limit of a different kind. Transfer-fit scores from one to five are analyst judgements, defensible and sourced but not measurements. The matrix is a research instrument that organizes the canon for testing. It is not evidence, and this dissertation has not treated it as such.</w:t>
      </w:r>
    </w:p>
    <w:bookmarkEnd w:id="136"/>
    <w:bookmarkStart w:id="137" w:name="the-research-agenda-that-follows"/>
    <w:p>
      <w:pPr>
        <w:pStyle w:val="Heading2"/>
        <w:spacing w:line="480" w:lineRule="auto"/>
      </w:pPr>
      <w:r>
        <w:t xml:space="preserve">8.5 The Research Agenda That Follows</w:t>
      </w:r>
    </w:p>
    <w:p>
      <w:pPr>
        <w:pStyle w:val="FirstParagraph"/>
        <w:spacing w:line="480" w:lineRule="auto"/>
      </w:pPr>
      <w:r>
        <w:t xml:space="preserve">Four next steps follow directly from the four limits.</w:t>
      </w:r>
    </w:p>
    <w:p>
      <w:pPr>
        <w:pStyle w:val="BodyText"/>
        <w:spacing w:line="480" w:lineRule="auto"/>
        <w:ind w:firstLine="720"/>
      </w:pPr>
      <w:r>
        <w:t xml:space="preserve">Larger panels are the first and least glamorous requirement. Paper 3’s design extends naturally to a longer, balanced country-year panel with fixed effects, which would separate the budget elasticity from the composition drift that the year dummies currently absorb. The OECD and Novaspace series support this once earlier vintages are reconciled onto a common basis</w:t>
      </w:r>
      <w:r>
        <w:t xml:space="preserve"> </w:t>
      </w:r>
      <w:hyperlink w:anchor="ref-76">
        <w:r>
          <w:rPr>
            <w:rStyle w:val="Hyperlink"/>
          </w:rPr>
          <w:t xml:space="preserve">[76]</w:t>
        </w:r>
      </w:hyperlink>
      <w:r>
        <w:t xml:space="preserve">[43][44][45].</w:t>
      </w:r>
    </w:p>
    <w:p>
      <w:pPr>
        <w:pStyle w:val="BodyText"/>
        <w:spacing w:line="480" w:lineRule="auto"/>
        <w:ind w:firstLine="720"/>
      </w:pPr>
      <w:r>
        <w:t xml:space="preserve">Better-sourced compliance data is the second, and it is the binding constraint on the entire Legal and Law-Enforcement research program. Twenty-five documented end-of-life events is what the public record yielded under a rule that no outcome may be inferred by the analyst. The population-level adherence series in ESA’s annual reporting is the authoritative aggregate, but it is not resolved to the operator-event level at which institutional variables can be tested</w:t>
      </w:r>
      <w:r>
        <w:t xml:space="preserve"> </w:t>
      </w:r>
      <w:hyperlink w:anchor="ref-59">
        <w:r>
          <w:rPr>
            <w:rStyle w:val="Hyperlink"/>
          </w:rPr>
          <w:t xml:space="preserve">[59]</w:t>
        </w:r>
      </w:hyperlink>
      <w:r>
        <w:t xml:space="preserve">[60][61]. Building that resolved register, event by event and source by source, is a discrete and achievable research product, and it would convert a null estimated on the transparent minority into a test on the actual population</w:t>
      </w:r>
      <w:r>
        <w:t xml:space="preserve"> </w:t>
      </w:r>
      <w:hyperlink w:anchor="ref-62">
        <w:r>
          <w:rPr>
            <w:rStyle w:val="Hyperlink"/>
          </w:rPr>
          <w:t xml:space="preserve">[62]</w:t>
        </w:r>
      </w:hyperlink>
      <w:r>
        <w:t xml:space="preserve">[63].</w:t>
      </w:r>
    </w:p>
    <w:p>
      <w:pPr>
        <w:pStyle w:val="BodyText"/>
        <w:spacing w:line="480" w:lineRule="auto"/>
        <w:ind w:firstLine="720"/>
      </w:pPr>
      <w:r>
        <w:t xml:space="preserve">Causal designs are the third. The regulatory record supplies candidate discontinuities: dated instruments that bind some operators and not others at a known moment. A difference-in-differences or regression-discontinuity design around the tightening of national disposal timelines would move the licensing question from association to identification. Similarly, the survival design in Paper 2 would benefit from the maneuver-event methods now appearing in the technical literature, which model time-to-event on far denser observational records than the four-actor direct-ascent series permits</w:t>
      </w:r>
      <w:r>
        <w:t xml:space="preserve"> </w:t>
      </w:r>
      <w:hyperlink w:anchor="ref-30">
        <w:r>
          <w:rPr>
            <w:rStyle w:val="Hyperlink"/>
          </w:rPr>
          <w:t xml:space="preserve">[30]</w:t>
        </w:r>
      </w:hyperlink>
      <w:r>
        <w:t xml:space="preserve">[79].</w:t>
      </w:r>
    </w:p>
    <w:p>
      <w:pPr>
        <w:pStyle w:val="BodyText"/>
        <w:spacing w:line="480" w:lineRule="auto"/>
        <w:ind w:firstLine="720"/>
      </w:pPr>
      <w:r>
        <w:t xml:space="preserve">Extending the matrix beyond the Western canon is the fourth and, intellectually, the most consequential. The seventy-seven rows are overwhelmingly European and American, with the China-facing content supplied by Western analysts rather than by Chinese, Indian, Russian, or Japanese strategic traditions read on their own terms</w:t>
      </w:r>
      <w:r>
        <w:t xml:space="preserve"> </w:t>
      </w:r>
      <w:hyperlink w:anchor="ref-26">
        <w:r>
          <w:rPr>
            <w:rStyle w:val="Hyperlink"/>
          </w:rPr>
          <w:t xml:space="preserve">[26]</w:t>
        </w:r>
      </w:hyperlink>
      <w:r>
        <w:t xml:space="preserve">[75]. Sun Tzu is present; the classical Indian and modern Chinese strategic corpora are not. A framework that claims to map the strategic canon onto space power and then draws that canon from one civilization’s library has not tested its own generality. That extension is the single most valuable follow-on this program could commission, and it would put the framework’s portability at genuine risk, which is the point.</w:t>
      </w:r>
    </w:p>
    <w:bookmarkEnd w:id="137"/>
    <w:bookmarkStart w:id="138" w:name="the-frontier-legal-and-law-enforcement"/>
    <w:p>
      <w:pPr>
        <w:pStyle w:val="Heading2"/>
        <w:spacing w:line="480" w:lineRule="auto"/>
      </w:pPr>
      <w:r>
        <w:t xml:space="preserve">8.6 The Frontier: Legal and Law-Enforcement</w:t>
      </w:r>
    </w:p>
    <w:p>
      <w:pPr>
        <w:pStyle w:val="FirstParagraph"/>
        <w:spacing w:line="480" w:lineRule="auto"/>
      </w:pPr>
      <w:r>
        <w:t xml:space="preserve">The two instruments this dissertation added to DIME are the least developed in the literature and, on the evidence assembled here, the most consequential.</w:t>
      </w:r>
    </w:p>
    <w:p>
      <w:pPr>
        <w:pStyle w:val="BodyText"/>
        <w:spacing w:line="480" w:lineRule="auto"/>
        <w:ind w:firstLine="720"/>
      </w:pPr>
      <w:r>
        <w:t xml:space="preserve">They are the least developed because they are the thinnest columns in the matrix and the weakest in data. The Legal instrument is carried by Grotius, Kant, Ikenberry, Keohane, Finnemore and Sikkink, Moltz, Bull, and Deudney, which is a serious intellectual inheritance</w:t>
      </w:r>
      <w:r>
        <w:t xml:space="preserve"> </w:t>
      </w:r>
      <w:hyperlink w:anchor="ref-56">
        <w:r>
          <w:rPr>
            <w:rStyle w:val="Hyperlink"/>
          </w:rPr>
          <w:t xml:space="preserve">[56]</w:t>
        </w:r>
      </w:hyperlink>
      <w:r>
        <w:t xml:space="preserve">[57][58]. The Law-Enforcement instrument is carried by three rows: Ostrom’s graduated sanctions, Slaughter’s transgovernmental regulatory networks, and Gangale’s jurisdiction-and-delimitation predicate. Three rows is not a column. It is an admission that the canon has almost nothing to say about who polices a commons in which no sovereign has jurisdiction and every user has a stake.</w:t>
      </w:r>
    </w:p>
    <w:p>
      <w:pPr>
        <w:pStyle w:val="BodyText"/>
        <w:spacing w:line="480" w:lineRule="auto"/>
        <w:ind w:firstLine="720"/>
      </w:pPr>
      <w:r>
        <w:t xml:space="preserve">They are the most consequential because the one governance probe this dissertation ran returned a null on precisely the variable that policy currently pulls. Formal codification did not sort disposal outcomes among documented operators. If that null survives on a better-sourced register, the implication is direct: writing another instrument is not the intervention. Building the monitoring and the graduated sanction is the intervention, which is Ostrom’s fourth and fifth design principles and North’s credible-commitment condition stated as an engineering requirement rather than a diplomatic aspiration</w:t>
      </w:r>
      <w:r>
        <w:t xml:space="preserve"> </w:t>
      </w:r>
      <w:hyperlink w:anchor="ref-49">
        <w:r>
          <w:rPr>
            <w:rStyle w:val="Hyperlink"/>
          </w:rPr>
          <w:t xml:space="preserve">[49]</w:t>
        </w:r>
      </w:hyperlink>
      <w:r>
        <w:t xml:space="preserve">[50][52].</w:t>
      </w:r>
    </w:p>
    <w:p>
      <w:pPr>
        <w:pStyle w:val="BodyText"/>
        <w:spacing w:line="480" w:lineRule="auto"/>
        <w:ind w:firstLine="720"/>
      </w:pPr>
      <w:r>
        <w:t xml:space="preserve">The timing argument sharpens this. Goswami and Garretson’s rules-window mechanism holds that early rule choices are sticky and that the actor shaping the early regime locks in durable advantage</w:t>
      </w:r>
      <w:r>
        <w:t xml:space="preserve"> </w:t>
      </w:r>
      <w:hyperlink w:anchor="ref-11">
        <w:r>
          <w:rPr>
            <w:rStyle w:val="Hyperlink"/>
          </w:rPr>
          <w:t xml:space="preserve">[11]</w:t>
        </w:r>
      </w:hyperlink>
      <w:r>
        <w:t xml:space="preserve">[38]. North’s path dependence is the rigorous form of the same claim</w:t>
      </w:r>
      <w:r>
        <w:t xml:space="preserve"> </w:t>
      </w:r>
      <w:hyperlink w:anchor="ref-52">
        <w:r>
          <w:rPr>
            <w:rStyle w:val="Hyperlink"/>
          </w:rPr>
          <w:t xml:space="preserve">[52]</w:t>
        </w:r>
      </w:hyperlink>
      <w:r>
        <w:t xml:space="preserve">. Ikenberry supplies the strategic reason an incumbent should want to be bound: a leading power that accepts constraints while its advantage is intact purchases legitimacy and a cheaper order</w:t>
      </w:r>
      <w:r>
        <w:t xml:space="preserve"> </w:t>
      </w:r>
      <w:hyperlink w:anchor="ref-58">
        <w:r>
          <w:rPr>
            <w:rStyle w:val="Hyperlink"/>
          </w:rPr>
          <w:t xml:space="preserve">[58]</w:t>
        </w:r>
      </w:hyperlink>
      <w:r>
        <w:t xml:space="preserve">. Kissinger supplies the warning that technologies which outrun their governing frameworks are order-dissolving</w:t>
      </w:r>
      <w:r>
        <w:t xml:space="preserve"> </w:t>
      </w:r>
      <w:hyperlink w:anchor="ref-69">
        <w:r>
          <w:rPr>
            <w:rStyle w:val="Hyperlink"/>
          </w:rPr>
          <w:t xml:space="preserve">[69]</w:t>
        </w:r>
      </w:hyperlink>
      <w:r>
        <w:t xml:space="preserve">. Put together with this dissertation’s economic finding, the argument is uncomfortable for the current posture. The instrument that demonstrably converts into orbital presence is money, and it is being spent into a regime whose enforcement architecture does not yet exist. The cislunar problem will arrive on that same unbuilt foundation, with disposal, monitoring, and jurisdiction questions that the low-Earth-orbit record has not yet answered</w:t>
      </w:r>
      <w:r>
        <w:t xml:space="preserve"> </w:t>
      </w:r>
      <w:hyperlink w:anchor="ref-85">
        <w:r>
          <w:rPr>
            <w:rStyle w:val="Hyperlink"/>
          </w:rPr>
          <w:t xml:space="preserve">[85]</w:t>
        </w:r>
      </w:hyperlink>
      <w:r>
        <w:t xml:space="preserve">[87].</w:t>
      </w:r>
    </w:p>
    <w:bookmarkEnd w:id="138"/>
    <w:bookmarkStart w:id="139" w:name="closing"/>
    <w:p>
      <w:pPr>
        <w:pStyle w:val="Heading2"/>
        <w:spacing w:line="480" w:lineRule="auto"/>
      </w:pPr>
      <w:r>
        <w:t xml:space="preserve">8.7 Closing</w:t>
      </w:r>
    </w:p>
    <w:p>
      <w:pPr>
        <w:pStyle w:val="FirstParagraph"/>
        <w:spacing w:line="480" w:lineRule="auto"/>
      </w:pPr>
      <w:r>
        <w:t xml:space="preserve">The contribution offered here is a framework and a matrix, tested rather than asserted, with five probes whose results are reported as they came. One instrument, the economic, behaves as the canon predicted and now has a coefficient. Three propositions drawn from the canon did not survive contact with the record, and one survived weakly. The canon is therefore not vindicated as a predictive system, and it is not dismissed as ornament either. It is what the evidence says it is: a disciplined source of falsifiable propositions about space power, most of which have not yet been tested, several of which fail when they are, and the failures of which are more instructive than the successes. The instruments that will decide whether the orbital commons remains usable are the two this dissertation added and could least well test. That is where the next work belongs</w:t>
      </w:r>
      <w:r>
        <w:t xml:space="preserve"> </w:t>
      </w:r>
      <w:hyperlink w:anchor="ref-46">
        <w:r>
          <w:rPr>
            <w:rStyle w:val="Hyperlink"/>
          </w:rPr>
          <w:t xml:space="preserve">[46]</w:t>
        </w:r>
      </w:hyperlink>
      <w:r>
        <w:t xml:space="preserve">[49].</w:t>
      </w:r>
    </w:p>
    <w:bookmarkEnd w:id="139"/>
    <w:bookmarkStart w:id="253" w:name="references"/>
    <w:p>
      <w:pPr>
        <w:pStyle w:val="Heading2"/>
        <w:spacing w:line="480" w:lineRule="auto"/>
      </w:pPr>
      <w:r>
        <w:t xml:space="preserve">References</w:t>
      </w:r>
    </w:p>
    <w:p>
      <w:pPr>
        <w:pStyle w:val="FirstParagraph"/>
        <w:spacing w:line="480" w:lineRule="auto"/>
      </w:pPr>
      <w:bookmarkStart w:id="140" w:name="ref-1"/>
      <w:bookmarkEnd w:id="140"/>
      <w:r>
        <w:t xml:space="preserve">1. Ziarnick, B.</w:t>
      </w:r>
      <w:r>
        <w:t xml:space="preserve"> </w:t>
      </w:r>
      <w:r>
        <w:rPr>
          <w:i/>
          <w:iCs/>
        </w:rPr>
        <w:t xml:space="preserve">Developing National Power in Space: A Theoretical Model.</w:t>
      </w:r>
      <w:r>
        <w:t xml:space="preserve"> </w:t>
      </w:r>
      <w:r>
        <w:t xml:space="preserve">Jefferson, NC: McFarland, 2015.</w:t>
      </w:r>
    </w:p>
    <w:p>
      <w:pPr>
        <w:pStyle w:val="BodyText"/>
        <w:spacing w:line="480" w:lineRule="auto"/>
        <w:ind w:firstLine="720"/>
      </w:pPr>
      <w:bookmarkStart w:id="141" w:name="ref-2"/>
      <w:bookmarkEnd w:id="141"/>
      <w:r>
        <w:t xml:space="preserve">2. France, M.E.B.</w:t>
      </w:r>
      <w:r>
        <w:t xml:space="preserve"> </w:t>
      </w:r>
      <w:r>
        <w:t xml:space="preserve">“Back to the Future: Space Power Theory and A.T. Mahan.”</w:t>
      </w:r>
      <w:r>
        <w:t xml:space="preserve"> </w:t>
      </w:r>
      <w:r>
        <w:rPr>
          <w:i/>
          <w:iCs/>
        </w:rPr>
        <w:t xml:space="preserve">Space Policy</w:t>
      </w:r>
      <w:r>
        <w:t xml:space="preserve"> </w:t>
      </w:r>
      <w:r>
        <w:t xml:space="preserve">16, no. 4 (2000): 237-241. DOI 10.1016/S0265-9646(00)00033-3.</w:t>
      </w:r>
    </w:p>
    <w:p>
      <w:pPr>
        <w:pStyle w:val="BodyText"/>
        <w:spacing w:line="480" w:lineRule="auto"/>
        <w:ind w:firstLine="720"/>
      </w:pPr>
      <w:bookmarkStart w:id="142" w:name="ref-3"/>
      <w:bookmarkEnd w:id="142"/>
      <w:r>
        <w:t xml:space="preserve">3. Mahan, A.T.</w:t>
      </w:r>
      <w:r>
        <w:t xml:space="preserve"> </w:t>
      </w:r>
      <w:r>
        <w:rPr>
          <w:i/>
          <w:iCs/>
        </w:rPr>
        <w:t xml:space="preserve">The Influence of Sea Power upon History, 1660-1783.</w:t>
      </w:r>
      <w:r>
        <w:t xml:space="preserve"> </w:t>
      </w:r>
      <w:r>
        <w:t xml:space="preserve">Boston: Little, Brown, 1890.</w:t>
      </w:r>
    </w:p>
    <w:p>
      <w:pPr>
        <w:pStyle w:val="BodyText"/>
        <w:spacing w:line="480" w:lineRule="auto"/>
        <w:ind w:firstLine="720"/>
      </w:pPr>
      <w:bookmarkStart w:id="143" w:name="ref-4"/>
      <w:bookmarkEnd w:id="143"/>
      <w:r>
        <w:t xml:space="preserve">4. Schumpeter, J.A.</w:t>
      </w:r>
      <w:r>
        <w:t xml:space="preserve"> </w:t>
      </w:r>
      <w:r>
        <w:rPr>
          <w:i/>
          <w:iCs/>
        </w:rPr>
        <w:t xml:space="preserve">Capitalism, Socialism and Democracy.</w:t>
      </w:r>
      <w:r>
        <w:t xml:space="preserve"> </w:t>
      </w:r>
      <w:r>
        <w:t xml:space="preserve">New York: Harper &amp; Brothers, 1942 (Ch. VII,</w:t>
      </w:r>
      <w:r>
        <w:t xml:space="preserve"> </w:t>
      </w:r>
      <w:r>
        <w:t xml:space="preserve">“The Process of Creative Destruction”</w:t>
      </w:r>
      <w:r>
        <w:t xml:space="preserve">).</w:t>
      </w:r>
    </w:p>
    <w:p>
      <w:pPr>
        <w:pStyle w:val="BodyText"/>
        <w:spacing w:line="480" w:lineRule="auto"/>
        <w:ind w:firstLine="720"/>
      </w:pPr>
      <w:bookmarkStart w:id="144" w:name="ref-5"/>
      <w:bookmarkEnd w:id="144"/>
      <w:r>
        <w:t xml:space="preserve">5. Schumpeter, J.A.</w:t>
      </w:r>
      <w:r>
        <w:t xml:space="preserve"> </w:t>
      </w:r>
      <w:r>
        <w:rPr>
          <w:i/>
          <w:iCs/>
        </w:rPr>
        <w:t xml:space="preserve">The Theory of Economic Development.</w:t>
      </w:r>
      <w:r>
        <w:t xml:space="preserve"> </w:t>
      </w:r>
      <w:r>
        <w:t xml:space="preserve">Cambridge, MA: Harvard University Press, 1934 (orig. 1911).</w:t>
      </w:r>
    </w:p>
    <w:p>
      <w:pPr>
        <w:pStyle w:val="BodyText"/>
        <w:spacing w:line="480" w:lineRule="auto"/>
        <w:ind w:firstLine="720"/>
      </w:pPr>
      <w:bookmarkStart w:id="145" w:name="ref-6"/>
      <w:bookmarkEnd w:id="145"/>
      <w:r>
        <w:t xml:space="preserve">6. Jones, H.W.</w:t>
      </w:r>
      <w:r>
        <w:t xml:space="preserve"> </w:t>
      </w:r>
      <w:r>
        <w:t xml:space="preserve">“The Recent Large Reduction in Space Launch Cost.”</w:t>
      </w:r>
      <w:r>
        <w:t xml:space="preserve"> </w:t>
      </w:r>
      <w:r>
        <w:t xml:space="preserve">ICES-2018-81, 48th International Conference on Environmental Systems, Albuquerque, NM, July 2018.</w:t>
      </w:r>
    </w:p>
    <w:p>
      <w:pPr>
        <w:pStyle w:val="BodyText"/>
        <w:spacing w:line="480" w:lineRule="auto"/>
        <w:ind w:firstLine="720"/>
      </w:pPr>
      <w:bookmarkStart w:id="146" w:name="ref-7"/>
      <w:bookmarkEnd w:id="146"/>
      <w:r>
        <w:t xml:space="preserve">7. CSIS Aerospace Security Project.</w:t>
      </w:r>
      <w:r>
        <w:t xml:space="preserve"> </w:t>
      </w:r>
      <w:r>
        <w:t xml:space="preserve">“Space Launch to Low Earth Orbit: How Much Does It Cost?”</w:t>
      </w:r>
      <w:r>
        <w:t xml:space="preserve"> </w:t>
      </w:r>
      <w:r>
        <w:t xml:space="preserve">Launch-cost dataset, cost per kilogram to LEO in FY2021 US dollars. Washington, DC: Center for Strategic and International Studies.</w:t>
      </w:r>
    </w:p>
    <w:p>
      <w:pPr>
        <w:pStyle w:val="BodyText"/>
        <w:spacing w:line="480" w:lineRule="auto"/>
        <w:ind w:firstLine="720"/>
      </w:pPr>
      <w:bookmarkStart w:id="147" w:name="ref-8"/>
      <w:bookmarkEnd w:id="147"/>
      <w:r>
        <w:t xml:space="preserve">8. Our World in Data.</w:t>
      </w:r>
      <w:r>
        <w:t xml:space="preserve"> </w:t>
      </w:r>
      <w:r>
        <w:t xml:space="preserve">“Cost of Space Launches to Low Earth Orbit.”</w:t>
      </w:r>
      <w:r>
        <w:t xml:space="preserve"> </w:t>
      </w:r>
      <w:r>
        <w:t xml:space="preserve">Republication of the CSIS Aerospace Security launch-cost dataset. https://ourworldindata.org/grapher/cost-space-launches-low-earth-orbit.</w:t>
      </w:r>
    </w:p>
    <w:p>
      <w:pPr>
        <w:pStyle w:val="BodyText"/>
        <w:spacing w:line="480" w:lineRule="auto"/>
        <w:ind w:firstLine="720"/>
      </w:pPr>
      <w:bookmarkStart w:id="148" w:name="ref-9"/>
      <w:bookmarkEnd w:id="148"/>
      <w:r>
        <w:t xml:space="preserve">9. McDowell, J.C.</w:t>
      </w:r>
      <w:r>
        <w:t xml:space="preserve"> </w:t>
      </w:r>
      <w:r>
        <w:t xml:space="preserve">“Space Statistics: Orbital Launches by Year.”</w:t>
      </w:r>
      <w:r>
        <w:t xml:space="preserve"> </w:t>
      </w:r>
      <w:r>
        <w:t xml:space="preserve">GCAT / Jonathan’s Space Report, planet4589.org; annual worldwide orbital launch totals cross-checked against SpaceStatsOnline.</w:t>
      </w:r>
    </w:p>
    <w:p>
      <w:pPr>
        <w:pStyle w:val="BodyText"/>
        <w:spacing w:line="480" w:lineRule="auto"/>
        <w:ind w:firstLine="720"/>
      </w:pPr>
      <w:bookmarkStart w:id="149" w:name="ref-10"/>
      <w:bookmarkEnd w:id="149"/>
      <w:r>
        <w:t xml:space="preserve">10. Wright, T.P.</w:t>
      </w:r>
      <w:r>
        <w:t xml:space="preserve"> </w:t>
      </w:r>
      <w:r>
        <w:t xml:space="preserve">“Factors Affecting the Cost of Airplanes.”</w:t>
      </w:r>
      <w:r>
        <w:t xml:space="preserve"> </w:t>
      </w:r>
      <w:r>
        <w:rPr>
          <w:i/>
          <w:iCs/>
        </w:rPr>
        <w:t xml:space="preserve">Journal of the Aeronautical Sciences</w:t>
      </w:r>
      <w:r>
        <w:t xml:space="preserve"> </w:t>
      </w:r>
      <w:r>
        <w:t xml:space="preserve">3, no. 4 (1936): 122-128.</w:t>
      </w:r>
    </w:p>
    <w:p>
      <w:pPr>
        <w:pStyle w:val="BodyText"/>
        <w:spacing w:line="480" w:lineRule="auto"/>
        <w:ind w:firstLine="720"/>
      </w:pPr>
      <w:bookmarkStart w:id="150" w:name="ref-11"/>
      <w:bookmarkEnd w:id="150"/>
      <w:r>
        <w:t xml:space="preserve">11. Goswami, N., and Garretson, P.A.</w:t>
      </w:r>
      <w:r>
        <w:t xml:space="preserve"> </w:t>
      </w:r>
      <w:r>
        <w:rPr>
          <w:i/>
          <w:iCs/>
        </w:rPr>
        <w:t xml:space="preserve">Scramble for the Skies: The Great Power Competition to Control the Resources of Outer Space.</w:t>
      </w:r>
      <w:r>
        <w:t xml:space="preserve"> </w:t>
      </w:r>
      <w:r>
        <w:t xml:space="preserve">Lanham, MD: Lexington Books, 2020. DOI 10.5771/9781498583121.</w:t>
      </w:r>
    </w:p>
    <w:p>
      <w:pPr>
        <w:pStyle w:val="BodyText"/>
        <w:spacing w:line="480" w:lineRule="auto"/>
        <w:ind w:firstLine="720"/>
      </w:pPr>
      <w:bookmarkStart w:id="151" w:name="ref-12"/>
      <w:bookmarkEnd w:id="151"/>
      <w:r>
        <w:t xml:space="preserve">12. Weinzierl, M.</w:t>
      </w:r>
      <w:r>
        <w:t xml:space="preserve"> </w:t>
      </w:r>
      <w:r>
        <w:t xml:space="preserve">“Space, the Final Economic Frontier.”</w:t>
      </w:r>
      <w:r>
        <w:t xml:space="preserve"> </w:t>
      </w:r>
      <w:r>
        <w:rPr>
          <w:i/>
          <w:iCs/>
        </w:rPr>
        <w:t xml:space="preserve">Journal of Economic Perspectives</w:t>
      </w:r>
      <w:r>
        <w:t xml:space="preserve"> </w:t>
      </w:r>
      <w:r>
        <w:t xml:space="preserve">32, no. 2 (2018): 173-192. DOI 10.1257/jep.32.2.173.</w:t>
      </w:r>
    </w:p>
    <w:p>
      <w:pPr>
        <w:pStyle w:val="BodyText"/>
        <w:spacing w:line="480" w:lineRule="auto"/>
        <w:ind w:firstLine="720"/>
      </w:pPr>
      <w:bookmarkStart w:id="152" w:name="ref-13"/>
      <w:bookmarkEnd w:id="152"/>
      <w:r>
        <w:t xml:space="preserve">13. Secure World Foundation,</w:t>
      </w:r>
      <w:r>
        <w:t xml:space="preserve"> </w:t>
      </w:r>
      <w:r>
        <w:rPr>
          <w:i/>
          <w:iCs/>
        </w:rPr>
        <w:t xml:space="preserve">Chinese Direct-Ascent Anti-Satellite Testing</w:t>
      </w:r>
      <w:r>
        <w:t xml:space="preserve">, Fact Sheet, June 2026, including the table</w:t>
      </w:r>
      <w:r>
        <w:t xml:space="preserve"> </w:t>
      </w:r>
      <w:r>
        <w:t xml:space="preserve">“Summary of Known or Suspected Chinese DA-ASAT Tests in Space.”</w:t>
      </w:r>
      <w:r>
        <w:t xml:space="preserve"> </w:t>
      </w:r>
      <w:r>
        <w:t xml:space="preserve">https://www.swfound.org/publications-and-reports/chinese-direct-ascent-anti-satellite-testing-fact-sheet</w:t>
      </w:r>
    </w:p>
    <w:p>
      <w:pPr>
        <w:pStyle w:val="BodyText"/>
        <w:spacing w:line="480" w:lineRule="auto"/>
        <w:ind w:firstLine="720"/>
      </w:pPr>
      <w:bookmarkStart w:id="153" w:name="ref-14"/>
      <w:bookmarkEnd w:id="153"/>
      <w:r>
        <w:t xml:space="preserve">14. Secure World Foundation,</w:t>
      </w:r>
      <w:r>
        <w:t xml:space="preserve"> </w:t>
      </w:r>
      <w:r>
        <w:rPr>
          <w:i/>
          <w:iCs/>
        </w:rPr>
        <w:t xml:space="preserve">Russian Direct Ascent Anti-Satellite Testing</w:t>
      </w:r>
      <w:r>
        <w:t xml:space="preserve">, Fact Sheet FS24/6, December 2024, including the table</w:t>
      </w:r>
      <w:r>
        <w:t xml:space="preserve"> </w:t>
      </w:r>
      <w:r>
        <w:t xml:space="preserve">“Summary of Known or Suspected Russian DA-ASAT Tests in Space.”</w:t>
      </w:r>
      <w:r>
        <w:t xml:space="preserve"> </w:t>
      </w:r>
      <w:r>
        <w:t xml:space="preserve">https://www.swfound.org/publications-and-reports/russian-direct-ascent-anti-satellite-testing-fact-sheet</w:t>
      </w:r>
    </w:p>
    <w:p>
      <w:pPr>
        <w:pStyle w:val="BodyText"/>
        <w:spacing w:line="480" w:lineRule="auto"/>
        <w:ind w:firstLine="720"/>
      </w:pPr>
      <w:bookmarkStart w:id="154" w:name="ref-15"/>
      <w:bookmarkEnd w:id="154"/>
      <w:r>
        <w:t xml:space="preserve">15. Secure World Foundation,</w:t>
      </w:r>
      <w:r>
        <w:t xml:space="preserve"> </w:t>
      </w:r>
      <w:r>
        <w:rPr>
          <w:i/>
          <w:iCs/>
        </w:rPr>
        <w:t xml:space="preserve">US Direct-Ascent Anti-Satellite Testing</w:t>
      </w:r>
      <w:r>
        <w:t xml:space="preserve">, Fact Sheet FS26/9, June 2026, including the table</w:t>
      </w:r>
      <w:r>
        <w:t xml:space="preserve"> </w:t>
      </w:r>
      <w:r>
        <w:t xml:space="preserve">“History of US DA-ASAT Testing.”</w:t>
      </w:r>
      <w:r>
        <w:t xml:space="preserve"> </w:t>
      </w:r>
      <w:r>
        <w:t xml:space="preserve">https://www.swfound.org/publications-and-reports/u-s-direct-ascent-anti-satellite-testing-fact-sheet</w:t>
      </w:r>
    </w:p>
    <w:p>
      <w:pPr>
        <w:pStyle w:val="BodyText"/>
        <w:spacing w:line="480" w:lineRule="auto"/>
        <w:ind w:firstLine="720"/>
      </w:pPr>
      <w:bookmarkStart w:id="155" w:name="ref-16"/>
      <w:bookmarkEnd w:id="155"/>
      <w:r>
        <w:t xml:space="preserve">16. Secure World Foundation,</w:t>
      </w:r>
      <w:r>
        <w:t xml:space="preserve"> </w:t>
      </w:r>
      <w:r>
        <w:rPr>
          <w:i/>
          <w:iCs/>
        </w:rPr>
        <w:t xml:space="preserve">Indian Direct-Ascent Anti-Satellite Testing</w:t>
      </w:r>
      <w:r>
        <w:t xml:space="preserve">, Fact Sheet, June 2026, including the table</w:t>
      </w:r>
      <w:r>
        <w:t xml:space="preserve"> </w:t>
      </w:r>
      <w:r>
        <w:t xml:space="preserve">“Summary of Known or Suspected Indian DA-ASAT Tests in Space.”</w:t>
      </w:r>
      <w:r>
        <w:t xml:space="preserve"> </w:t>
      </w:r>
      <w:r>
        <w:t xml:space="preserve">https://www.swfound.org/publications-and-reports/indian-direct-ascent-anti-satellite-testing-fact-sheet</w:t>
      </w:r>
    </w:p>
    <w:p>
      <w:pPr>
        <w:pStyle w:val="BodyText"/>
        <w:spacing w:line="480" w:lineRule="auto"/>
        <w:ind w:firstLine="720"/>
      </w:pPr>
      <w:bookmarkStart w:id="156" w:name="ref-17"/>
      <w:bookmarkEnd w:id="156"/>
      <w:r>
        <w:t xml:space="preserve">17. V. Samson and K. Brett (eds.),</w:t>
      </w:r>
      <w:r>
        <w:t xml:space="preserve"> </w:t>
      </w:r>
      <w:r>
        <w:rPr>
          <w:i/>
          <w:iCs/>
        </w:rPr>
        <w:t xml:space="preserve">Global Counterspace Capabilities: An Open Source Assessment</w:t>
      </w:r>
      <w:r>
        <w:t xml:space="preserve">, Secure World Foundation, 8 April 2026. https://swfound.org/counterspace/</w:t>
      </w:r>
    </w:p>
    <w:p>
      <w:pPr>
        <w:pStyle w:val="BodyText"/>
        <w:spacing w:line="480" w:lineRule="auto"/>
        <w:ind w:firstLine="720"/>
      </w:pPr>
      <w:bookmarkStart w:id="157" w:name="ref-18"/>
      <w:bookmarkEnd w:id="157"/>
      <w:r>
        <w:t xml:space="preserve">18. V. Samson and L. Cesari (eds.),</w:t>
      </w:r>
      <w:r>
        <w:t xml:space="preserve"> </w:t>
      </w:r>
      <w:r>
        <w:rPr>
          <w:i/>
          <w:iCs/>
        </w:rPr>
        <w:t xml:space="preserve">Global Counterspace Capabilities: An Open Source Assessment</w:t>
      </w:r>
      <w:r>
        <w:t xml:space="preserve">, Secure World Foundation, 8 April 2025. https://www.swfound.org/publications-and-reports/2025-global-counterspace-capabilities-report</w:t>
      </w:r>
    </w:p>
    <w:p>
      <w:pPr>
        <w:pStyle w:val="BodyText"/>
        <w:spacing w:line="480" w:lineRule="auto"/>
        <w:ind w:firstLine="720"/>
      </w:pPr>
      <w:bookmarkStart w:id="158" w:name="ref-19"/>
      <w:bookmarkEnd w:id="158"/>
      <w:r>
        <w:t xml:space="preserve">19. Center for Strategic and International Studies, Aerospace Security Project,</w:t>
      </w:r>
      <w:r>
        <w:t xml:space="preserve"> </w:t>
      </w:r>
      <w:r>
        <w:rPr>
          <w:i/>
          <w:iCs/>
        </w:rPr>
        <w:t xml:space="preserve">Space Threat Assessment 2025</w:t>
      </w:r>
      <w:r>
        <w:t xml:space="preserve">, Washington, DC, 2025. https://aerospace.csis.org/space-threat-assessment-2025/</w:t>
      </w:r>
    </w:p>
    <w:p>
      <w:pPr>
        <w:pStyle w:val="BodyText"/>
        <w:spacing w:line="480" w:lineRule="auto"/>
        <w:ind w:firstLine="720"/>
      </w:pPr>
      <w:bookmarkStart w:id="159" w:name="ref-20"/>
      <w:bookmarkEnd w:id="159"/>
      <w:r>
        <w:t xml:space="preserve">20. T. C. Schelling,</w:t>
      </w:r>
      <w:r>
        <w:t xml:space="preserve"> </w:t>
      </w:r>
      <w:r>
        <w:rPr>
          <w:i/>
          <w:iCs/>
        </w:rPr>
        <w:t xml:space="preserve">Arms and Influence</w:t>
      </w:r>
      <w:r>
        <w:t xml:space="preserve">, New Haven: Yale University Press, 1966; and</w:t>
      </w:r>
      <w:r>
        <w:t xml:space="preserve"> </w:t>
      </w:r>
      <w:r>
        <w:rPr>
          <w:i/>
          <w:iCs/>
        </w:rPr>
        <w:t xml:space="preserve">The Strategy of Conflict</w:t>
      </w:r>
      <w:r>
        <w:t xml:space="preserve">, Cambridge: Harvard University Press, 1960.</w:t>
      </w:r>
    </w:p>
    <w:p>
      <w:pPr>
        <w:pStyle w:val="BodyText"/>
        <w:spacing w:line="480" w:lineRule="auto"/>
        <w:ind w:firstLine="720"/>
      </w:pPr>
      <w:bookmarkStart w:id="160" w:name="ref-21"/>
      <w:bookmarkEnd w:id="160"/>
      <w:r>
        <w:t xml:space="preserve">21. H. Kahn,</w:t>
      </w:r>
      <w:r>
        <w:t xml:space="preserve"> </w:t>
      </w:r>
      <w:r>
        <w:rPr>
          <w:i/>
          <w:iCs/>
        </w:rPr>
        <w:t xml:space="preserve">On Escalation: Metaphors and Scenarios</w:t>
      </w:r>
      <w:r>
        <w:t xml:space="preserve">, New York: Praeger, 1965.</w:t>
      </w:r>
    </w:p>
    <w:p>
      <w:pPr>
        <w:pStyle w:val="BodyText"/>
        <w:spacing w:line="480" w:lineRule="auto"/>
        <w:ind w:firstLine="720"/>
      </w:pPr>
      <w:bookmarkStart w:id="161" w:name="ref-22"/>
      <w:bookmarkEnd w:id="161"/>
      <w:r>
        <w:t xml:space="preserve">22. K. N. Waltz,</w:t>
      </w:r>
      <w:r>
        <w:t xml:space="preserve"> </w:t>
      </w:r>
      <w:r>
        <w:rPr>
          <w:i/>
          <w:iCs/>
        </w:rPr>
        <w:t xml:space="preserve">Theory of International Politics</w:t>
      </w:r>
      <w:r>
        <w:t xml:space="preserve">, Reading: Addison-Wesley, 1979.</w:t>
      </w:r>
    </w:p>
    <w:p>
      <w:pPr>
        <w:pStyle w:val="BodyText"/>
        <w:spacing w:line="480" w:lineRule="auto"/>
        <w:ind w:firstLine="720"/>
      </w:pPr>
      <w:bookmarkStart w:id="162" w:name="ref-23"/>
      <w:bookmarkEnd w:id="162"/>
      <w:r>
        <w:t xml:space="preserve">23. C. S. Gray,</w:t>
      </w:r>
      <w:r>
        <w:t xml:space="preserve"> </w:t>
      </w:r>
      <w:r>
        <w:t xml:space="preserve">“Inescapable Geography,”</w:t>
      </w:r>
      <w:r>
        <w:t xml:space="preserve"> </w:t>
      </w:r>
      <w:r>
        <w:rPr>
          <w:i/>
          <w:iCs/>
        </w:rPr>
        <w:t xml:space="preserve">Journal of Strategic Studies</w:t>
      </w:r>
      <w:r>
        <w:t xml:space="preserve">, vol. 22, no. 2-3, 1999. doi:</w:t>
      </w:r>
      <w:r>
        <w:t xml:space="preserve"> </w:t>
      </w:r>
      <w:hyperlink r:id="rId163">
        <w:r>
          <w:rPr>
            <w:rStyle w:val="Hyperlink"/>
          </w:rPr>
          <w:t xml:space="preserve">10.1080/01402399908437759</w:t>
        </w:r>
      </w:hyperlink>
    </w:p>
    <w:p>
      <w:pPr>
        <w:pStyle w:val="BodyText"/>
        <w:spacing w:line="480" w:lineRule="auto"/>
        <w:ind w:firstLine="720"/>
      </w:pPr>
      <w:bookmarkStart w:id="164" w:name="ref-24"/>
      <w:bookmarkEnd w:id="164"/>
      <w:r>
        <w:t xml:space="preserve">24. A. C. Boley and M. Byers,</w:t>
      </w:r>
      <w:r>
        <w:t xml:space="preserve"> </w:t>
      </w:r>
      <w:r>
        <w:t xml:space="preserve">“Anti-satellite weapon tests to disrupt large satellite constellations,”</w:t>
      </w:r>
      <w:r>
        <w:t xml:space="preserve"> </w:t>
      </w:r>
      <w:r>
        <w:rPr>
          <w:i/>
          <w:iCs/>
        </w:rPr>
        <w:t xml:space="preserve">Nature Astronomy</w:t>
      </w:r>
      <w:r>
        <w:t xml:space="preserve">, 2023. doi:</w:t>
      </w:r>
      <w:r>
        <w:t xml:space="preserve"> </w:t>
      </w:r>
      <w:hyperlink r:id="rId165">
        <w:r>
          <w:rPr>
            <w:rStyle w:val="Hyperlink"/>
          </w:rPr>
          <w:t xml:space="preserve">10.1038/s41550-023-02173-9</w:t>
        </w:r>
      </w:hyperlink>
    </w:p>
    <w:p>
      <w:pPr>
        <w:pStyle w:val="BodyText"/>
        <w:spacing w:line="480" w:lineRule="auto"/>
        <w:ind w:firstLine="720"/>
      </w:pPr>
      <w:bookmarkStart w:id="166" w:name="ref-25"/>
      <w:bookmarkEnd w:id="166"/>
      <w:r>
        <w:t xml:space="preserve">25. V. Manzo,</w:t>
      </w:r>
      <w:r>
        <w:t xml:space="preserve"> </w:t>
      </w:r>
      <w:r>
        <w:t xml:space="preserve">“Deterrence and Escalation in Cross-Domain Operations: Where Do Space and Cyberspace Fit?,”</w:t>
      </w:r>
      <w:r>
        <w:t xml:space="preserve"> </w:t>
      </w:r>
      <w:r>
        <w:rPr>
          <w:i/>
          <w:iCs/>
        </w:rPr>
        <w:t xml:space="preserve">Strategic Forum</w:t>
      </w:r>
      <w:r>
        <w:t xml:space="preserve"> </w:t>
      </w:r>
      <w:r>
        <w:t xml:space="preserve">No. 272, National Defense University, 2011. doi:</w:t>
      </w:r>
      <w:r>
        <w:t xml:space="preserve"> </w:t>
      </w:r>
      <w:hyperlink r:id="rId167">
        <w:r>
          <w:rPr>
            <w:rStyle w:val="Hyperlink"/>
          </w:rPr>
          <w:t xml:space="preserve">10.21236/ada577439</w:t>
        </w:r>
      </w:hyperlink>
    </w:p>
    <w:p>
      <w:pPr>
        <w:pStyle w:val="BodyText"/>
        <w:spacing w:line="480" w:lineRule="auto"/>
        <w:ind w:firstLine="720"/>
      </w:pPr>
      <w:bookmarkStart w:id="168" w:name="ref-26"/>
      <w:bookmarkEnd w:id="168"/>
      <w:r>
        <w:t xml:space="preserve">26. A. J. Tellis,</w:t>
      </w:r>
      <w:r>
        <w:t xml:space="preserve"> </w:t>
      </w:r>
      <w:r>
        <w:t xml:space="preserve">“China’s Military Space Strategy,”</w:t>
      </w:r>
      <w:r>
        <w:t xml:space="preserve"> </w:t>
      </w:r>
      <w:r>
        <w:rPr>
          <w:i/>
          <w:iCs/>
        </w:rPr>
        <w:t xml:space="preserve">Survival</w:t>
      </w:r>
      <w:r>
        <w:t xml:space="preserve">, vol. 49, no. 3, 2007. doi:</w:t>
      </w:r>
      <w:r>
        <w:t xml:space="preserve"> </w:t>
      </w:r>
      <w:hyperlink r:id="rId169">
        <w:r>
          <w:rPr>
            <w:rStyle w:val="Hyperlink"/>
          </w:rPr>
          <w:t xml:space="preserve">10.1080/00396330701564752</w:t>
        </w:r>
      </w:hyperlink>
    </w:p>
    <w:p>
      <w:pPr>
        <w:pStyle w:val="BodyText"/>
        <w:spacing w:line="480" w:lineRule="auto"/>
        <w:ind w:firstLine="720"/>
      </w:pPr>
      <w:bookmarkStart w:id="170" w:name="ref-27"/>
      <w:bookmarkEnd w:id="170"/>
      <w:r>
        <w:t xml:space="preserve">27. B. Bowen,</w:t>
      </w:r>
      <w:r>
        <w:t xml:space="preserve"> </w:t>
      </w:r>
      <w:r>
        <w:rPr>
          <w:i/>
          <w:iCs/>
        </w:rPr>
        <w:t xml:space="preserve">War in Space: Strategy, Spacepower, Geopolitics</w:t>
      </w:r>
      <w:r>
        <w:t xml:space="preserve">, Edinburgh: Edinburgh University Press, 2020. doi:</w:t>
      </w:r>
      <w:r>
        <w:t xml:space="preserve"> </w:t>
      </w:r>
      <w:hyperlink r:id="rId171">
        <w:r>
          <w:rPr>
            <w:rStyle w:val="Hyperlink"/>
          </w:rPr>
          <w:t xml:space="preserve">10.3366/edinburgh/9781474450485.001.0001</w:t>
        </w:r>
      </w:hyperlink>
    </w:p>
    <w:p>
      <w:pPr>
        <w:pStyle w:val="BodyText"/>
        <w:spacing w:line="480" w:lineRule="auto"/>
        <w:ind w:firstLine="720"/>
      </w:pPr>
      <w:bookmarkStart w:id="172" w:name="ref-28"/>
      <w:bookmarkEnd w:id="172"/>
      <w:r>
        <w:t xml:space="preserve">28. N. Goswami and P. A. Garretson,</w:t>
      </w:r>
      <w:r>
        <w:t xml:space="preserve"> </w:t>
      </w:r>
      <w:r>
        <w:rPr>
          <w:i/>
          <w:iCs/>
        </w:rPr>
        <w:t xml:space="preserve">Scramble for the Skies: The Great Power Competition to Control the Resources of Outer Space</w:t>
      </w:r>
      <w:r>
        <w:t xml:space="preserve">, Lanham: Lexington Books, 2020.</w:t>
      </w:r>
    </w:p>
    <w:p>
      <w:pPr>
        <w:pStyle w:val="BodyText"/>
        <w:spacing w:line="480" w:lineRule="auto"/>
        <w:ind w:firstLine="720"/>
      </w:pPr>
      <w:bookmarkStart w:id="173" w:name="ref-29"/>
      <w:bookmarkEnd w:id="173"/>
      <w:r>
        <w:t xml:space="preserve">29. B. Weeden,</w:t>
      </w:r>
      <w:r>
        <w:t xml:space="preserve"> </w:t>
      </w:r>
      <w:r>
        <w:t xml:space="preserve">“Through a Glass, Darkly: Chinese, American, and Russian Anti-satellite Testing in Space,”</w:t>
      </w:r>
      <w:r>
        <w:t xml:space="preserve"> </w:t>
      </w:r>
      <w:r>
        <w:t xml:space="preserve">Secure World Foundation, 17 March 2014. https://www.swfound.org/publications-and-reports/through-a-glass-darkly-chinese-american-russian-anti-satellite-testing-space-2014</w:t>
      </w:r>
    </w:p>
    <w:p>
      <w:pPr>
        <w:pStyle w:val="BodyText"/>
        <w:spacing w:line="480" w:lineRule="auto"/>
        <w:ind w:firstLine="720"/>
      </w:pPr>
      <w:bookmarkStart w:id="174" w:name="ref-30"/>
      <w:bookmarkEnd w:id="174"/>
      <w:r>
        <w:t xml:space="preserve">30. D. R. Cox,</w:t>
      </w:r>
      <w:r>
        <w:t xml:space="preserve"> </w:t>
      </w:r>
      <w:r>
        <w:t xml:space="preserve">“Regression Models and Life-Tables,”</w:t>
      </w:r>
      <w:r>
        <w:t xml:space="preserve"> </w:t>
      </w:r>
      <w:r>
        <w:rPr>
          <w:i/>
          <w:iCs/>
        </w:rPr>
        <w:t xml:space="preserve">Journal of the Royal Statistical Society: Series B</w:t>
      </w:r>
      <w:r>
        <w:t xml:space="preserve">, vol. 34, no. 2, pp. 187-220, 1972.</w:t>
      </w:r>
    </w:p>
    <w:p>
      <w:pPr>
        <w:pStyle w:val="BodyText"/>
        <w:spacing w:line="480" w:lineRule="auto"/>
        <w:ind w:firstLine="720"/>
      </w:pPr>
      <w:bookmarkStart w:id="175" w:name="ref-31"/>
      <w:bookmarkEnd w:id="175"/>
      <w:r>
        <w:t xml:space="preserve">31. C. Davidson-Pilon,</w:t>
      </w:r>
      <w:r>
        <w:t xml:space="preserve"> </w:t>
      </w:r>
      <w:r>
        <w:t xml:space="preserve">“lifelines: survival analysis in Python,”</w:t>
      </w:r>
      <w:r>
        <w:t xml:space="preserve"> </w:t>
      </w:r>
      <w:r>
        <w:rPr>
          <w:i/>
          <w:iCs/>
        </w:rPr>
        <w:t xml:space="preserve">Journal of Open Source Software</w:t>
      </w:r>
      <w:r>
        <w:t xml:space="preserve">, vol. 4, no. 40, 1317, 2019. doi:</w:t>
      </w:r>
      <w:r>
        <w:t xml:space="preserve"> </w:t>
      </w:r>
      <w:hyperlink r:id="rId176">
        <w:r>
          <w:rPr>
            <w:rStyle w:val="Hyperlink"/>
          </w:rPr>
          <w:t xml:space="preserve">10.21105/joss.01317</w:t>
        </w:r>
      </w:hyperlink>
    </w:p>
    <w:p>
      <w:pPr>
        <w:pStyle w:val="BodyText"/>
        <w:spacing w:line="480" w:lineRule="auto"/>
        <w:ind w:firstLine="720"/>
      </w:pPr>
      <w:bookmarkStart w:id="177" w:name="ref-32"/>
      <w:bookmarkEnd w:id="177"/>
      <w:r>
        <w:t xml:space="preserve">32. Baldwin, D.A.</w:t>
      </w:r>
      <w:r>
        <w:t xml:space="preserve"> </w:t>
      </w:r>
      <w:r>
        <w:rPr>
          <w:i/>
          <w:iCs/>
        </w:rPr>
        <w:t xml:space="preserve">Economic Statecraft.</w:t>
      </w:r>
      <w:r>
        <w:t xml:space="preserve"> </w:t>
      </w:r>
      <w:r>
        <w:t xml:space="preserve">Princeton: Princeton University Press, 1985 (2nd edition, 2020).</w:t>
      </w:r>
    </w:p>
    <w:p>
      <w:pPr>
        <w:pStyle w:val="BodyText"/>
        <w:spacing w:line="480" w:lineRule="auto"/>
        <w:ind w:firstLine="720"/>
      </w:pPr>
      <w:bookmarkStart w:id="178" w:name="ref-33"/>
      <w:bookmarkEnd w:id="178"/>
      <w:r>
        <w:t xml:space="preserve">33. Norris, W.J.</w:t>
      </w:r>
      <w:r>
        <w:t xml:space="preserve"> </w:t>
      </w:r>
      <w:r>
        <w:rPr>
          <w:i/>
          <w:iCs/>
        </w:rPr>
        <w:t xml:space="preserve">Chinese Economic Statecraft: Commercial Actors, Grand Strategy, and State Control.</w:t>
      </w:r>
      <w:r>
        <w:t xml:space="preserve"> </w:t>
      </w:r>
      <w:r>
        <w:t xml:space="preserve">Ithaca: Cornell University Press, 2016. DOI 10.7591/9781501704031.</w:t>
      </w:r>
    </w:p>
    <w:p>
      <w:pPr>
        <w:pStyle w:val="BodyText"/>
        <w:spacing w:line="480" w:lineRule="auto"/>
        <w:ind w:firstLine="720"/>
      </w:pPr>
      <w:bookmarkStart w:id="179" w:name="ref-34"/>
      <w:bookmarkEnd w:id="179"/>
      <w:r>
        <w:t xml:space="preserve">34. Hirschman, A.O.</w:t>
      </w:r>
      <w:r>
        <w:t xml:space="preserve"> </w:t>
      </w:r>
      <w:r>
        <w:rPr>
          <w:i/>
          <w:iCs/>
        </w:rPr>
        <w:t xml:space="preserve">National Power and the Structure of Foreign Trade.</w:t>
      </w:r>
      <w:r>
        <w:t xml:space="preserve"> </w:t>
      </w:r>
      <w:r>
        <w:t xml:space="preserve">Berkeley: University of California Press, 1945 (expanded edition, 1980).</w:t>
      </w:r>
    </w:p>
    <w:p>
      <w:pPr>
        <w:pStyle w:val="BodyText"/>
        <w:spacing w:line="480" w:lineRule="auto"/>
        <w:ind w:firstLine="720"/>
      </w:pPr>
      <w:bookmarkStart w:id="180" w:name="ref-35"/>
      <w:bookmarkEnd w:id="180"/>
      <w:r>
        <w:t xml:space="preserve">35. Mazzucato, M.</w:t>
      </w:r>
      <w:r>
        <w:t xml:space="preserve"> </w:t>
      </w:r>
      <w:r>
        <w:rPr>
          <w:i/>
          <w:iCs/>
        </w:rPr>
        <w:t xml:space="preserve">The Entrepreneurial State: Debunking Public vs. Private Sector Myths.</w:t>
      </w:r>
      <w:r>
        <w:t xml:space="preserve"> </w:t>
      </w:r>
      <w:r>
        <w:t xml:space="preserve">London: Anthem Press, 2013.</w:t>
      </w:r>
    </w:p>
    <w:p>
      <w:pPr>
        <w:pStyle w:val="BodyText"/>
        <w:spacing w:line="480" w:lineRule="auto"/>
        <w:ind w:firstLine="720"/>
      </w:pPr>
      <w:bookmarkStart w:id="181" w:name="ref-36"/>
      <w:bookmarkEnd w:id="181"/>
      <w:r>
        <w:t xml:space="preserve">36. Mazzucato, M.</w:t>
      </w:r>
      <w:r>
        <w:t xml:space="preserve"> </w:t>
      </w:r>
      <w:r>
        <w:t xml:space="preserve">“Mission-oriented innovation policies: challenges and opportunities.”</w:t>
      </w:r>
      <w:r>
        <w:t xml:space="preserve"> </w:t>
      </w:r>
      <w:r>
        <w:rPr>
          <w:i/>
          <w:iCs/>
        </w:rPr>
        <w:t xml:space="preserve">Industrial and Corporate Change</w:t>
      </w:r>
      <w:r>
        <w:t xml:space="preserve"> </w:t>
      </w:r>
      <w:r>
        <w:t xml:space="preserve">27, no. 5 (2018): 803-815. DOI 10.1093/icc/dty034.</w:t>
      </w:r>
    </w:p>
    <w:p>
      <w:pPr>
        <w:pStyle w:val="BodyText"/>
        <w:spacing w:line="480" w:lineRule="auto"/>
        <w:ind w:firstLine="720"/>
      </w:pPr>
      <w:bookmarkStart w:id="182" w:name="ref-37"/>
      <w:bookmarkEnd w:id="182"/>
      <w:r>
        <w:t xml:space="preserve">37. Blackwill, R.D., and J.M. Harris.</w:t>
      </w:r>
      <w:r>
        <w:t xml:space="preserve"> </w:t>
      </w:r>
      <w:r>
        <w:rPr>
          <w:i/>
          <w:iCs/>
        </w:rPr>
        <w:t xml:space="preserve">War by Other Means: Geoeconomics and Statecraft.</w:t>
      </w:r>
      <w:r>
        <w:t xml:space="preserve"> </w:t>
      </w:r>
      <w:r>
        <w:t xml:space="preserve">Cambridge, MA: Belknap Press of Harvard University Press, 2016. DOI 10.4159/9780674545960.</w:t>
      </w:r>
    </w:p>
    <w:p>
      <w:pPr>
        <w:pStyle w:val="BodyText"/>
        <w:spacing w:line="480" w:lineRule="auto"/>
        <w:ind w:firstLine="720"/>
      </w:pPr>
      <w:bookmarkStart w:id="183" w:name="ref-38"/>
      <w:bookmarkEnd w:id="183"/>
      <w:r>
        <w:t xml:space="preserve">38. Goswami, N., and P.A. Garretson.</w:t>
      </w:r>
      <w:r>
        <w:t xml:space="preserve"> </w:t>
      </w:r>
      <w:r>
        <w:rPr>
          <w:i/>
          <w:iCs/>
        </w:rPr>
        <w:t xml:space="preserve">Scramble for the Skies: The Great Power Competition to Control the Resources of Outer Space.</w:t>
      </w:r>
      <w:r>
        <w:t xml:space="preserve"> </w:t>
      </w:r>
      <w:r>
        <w:t xml:space="preserve">Lanham: Lexington Books, 2020. DOI 10.5771/9781498583121.</w:t>
      </w:r>
    </w:p>
    <w:p>
      <w:pPr>
        <w:pStyle w:val="BodyText"/>
        <w:spacing w:line="480" w:lineRule="auto"/>
        <w:ind w:firstLine="720"/>
      </w:pPr>
      <w:bookmarkStart w:id="184" w:name="ref-39"/>
      <w:bookmarkEnd w:id="184"/>
      <w:r>
        <w:t xml:space="preserve">39. Euroconsult.</w:t>
      </w:r>
      <w:r>
        <w:t xml:space="preserve"> </w:t>
      </w:r>
      <w:r>
        <w:rPr>
          <w:i/>
          <w:iCs/>
        </w:rPr>
        <w:t xml:space="preserve">Government Space Programs</w:t>
      </w:r>
      <w:r>
        <w:t xml:space="preserve">, 2019 edition. Country budget values for 2018 as reported in</w:t>
      </w:r>
      <w:r>
        <w:t xml:space="preserve"> </w:t>
      </w:r>
      <w:r>
        <w:t xml:space="preserve">“Op-ed: Global government space budgets continues multiyear rebound,”</w:t>
      </w:r>
      <w:r>
        <w:t xml:space="preserve"> </w:t>
      </w:r>
      <w:r>
        <w:rPr>
          <w:i/>
          <w:iCs/>
        </w:rPr>
        <w:t xml:space="preserve">SpaceNews</w:t>
      </w:r>
      <w:r>
        <w:t xml:space="preserve">.</w:t>
      </w:r>
    </w:p>
    <w:p>
      <w:pPr>
        <w:pStyle w:val="BodyText"/>
        <w:spacing w:line="480" w:lineRule="auto"/>
        <w:ind w:firstLine="720"/>
      </w:pPr>
      <w:bookmarkStart w:id="185" w:name="ref-40"/>
      <w:bookmarkEnd w:id="185"/>
      <w:r>
        <w:t xml:space="preserve">40. Euroconsult.</w:t>
      </w:r>
      <w:r>
        <w:t xml:space="preserve"> </w:t>
      </w:r>
      <w:r>
        <w:rPr>
          <w:i/>
          <w:iCs/>
        </w:rPr>
        <w:t xml:space="preserve">Government Space Programs</w:t>
      </w:r>
      <w:r>
        <w:t xml:space="preserve">, 2022 edition. Country budget values for 2021 as reported in</w:t>
      </w:r>
      <w:r>
        <w:t xml:space="preserve"> </w:t>
      </w:r>
      <w:r>
        <w:t xml:space="preserve">“Euroconsult Reports Record Government Space Investment in 2021,”</w:t>
      </w:r>
      <w:r>
        <w:t xml:space="preserve"> </w:t>
      </w:r>
      <w:r>
        <w:rPr>
          <w:i/>
          <w:iCs/>
        </w:rPr>
        <w:t xml:space="preserve">Via Satellite</w:t>
      </w:r>
      <w:r>
        <w:t xml:space="preserve">, 7 January 2022.</w:t>
      </w:r>
    </w:p>
    <w:p>
      <w:pPr>
        <w:pStyle w:val="BodyText"/>
        <w:spacing w:line="480" w:lineRule="auto"/>
        <w:ind w:firstLine="720"/>
      </w:pPr>
      <w:bookmarkStart w:id="186" w:name="ref-41"/>
      <w:bookmarkEnd w:id="186"/>
      <w:r>
        <w:t xml:space="preserve">41. Euroconsult.</w:t>
      </w:r>
      <w:r>
        <w:t xml:space="preserve"> </w:t>
      </w:r>
      <w:r>
        <w:rPr>
          <w:i/>
          <w:iCs/>
        </w:rPr>
        <w:t xml:space="preserve">Government Space Programs</w:t>
      </w:r>
      <w:r>
        <w:t xml:space="preserve">, 2023 edition. Country budget values for 2022 as reported in</w:t>
      </w:r>
      <w:r>
        <w:t xml:space="preserve"> </w:t>
      </w:r>
      <w:r>
        <w:t xml:space="preserve">“Global governments’ space budget reaches $103bn in 2022: Euroconsult,”</w:t>
      </w:r>
      <w:r>
        <w:t xml:space="preserve"> </w:t>
      </w:r>
      <w:r>
        <w:rPr>
          <w:i/>
          <w:iCs/>
        </w:rPr>
        <w:t xml:space="preserve">BroadcastPro ME</w:t>
      </w:r>
      <w:r>
        <w:t xml:space="preserve">.</w:t>
      </w:r>
    </w:p>
    <w:p>
      <w:pPr>
        <w:pStyle w:val="BodyText"/>
        <w:spacing w:line="480" w:lineRule="auto"/>
        <w:ind w:firstLine="720"/>
      </w:pPr>
      <w:bookmarkStart w:id="187" w:name="ref-42"/>
      <w:bookmarkEnd w:id="187"/>
      <w:r>
        <w:t xml:space="preserve">42. Euroconsult / Novaspace.</w:t>
      </w:r>
      <w:r>
        <w:t xml:space="preserve"> </w:t>
      </w:r>
      <w:r>
        <w:rPr>
          <w:i/>
          <w:iCs/>
        </w:rPr>
        <w:t xml:space="preserve">Government Space Programs</w:t>
      </w:r>
      <w:r>
        <w:t xml:space="preserve">, 23rd edition. Country budget values for 2023 as reported in</w:t>
      </w:r>
      <w:r>
        <w:t xml:space="preserve"> </w:t>
      </w:r>
      <w:r>
        <w:t xml:space="preserve">“Defence Expenditures Again Drive Record Government Spending in Space,”</w:t>
      </w:r>
      <w:r>
        <w:t xml:space="preserve"> </w:t>
      </w:r>
      <w:r>
        <w:rPr>
          <w:i/>
          <w:iCs/>
        </w:rPr>
        <w:t xml:space="preserve">SpaceQ</w:t>
      </w:r>
      <w:r>
        <w:t xml:space="preserve">.</w:t>
      </w:r>
    </w:p>
    <w:p>
      <w:pPr>
        <w:pStyle w:val="BodyText"/>
        <w:spacing w:line="480" w:lineRule="auto"/>
        <w:ind w:firstLine="720"/>
      </w:pPr>
      <w:bookmarkStart w:id="188" w:name="ref-43"/>
      <w:bookmarkEnd w:id="188"/>
      <w:r>
        <w:t xml:space="preserve">43. Novaspace.</w:t>
      </w:r>
      <w:r>
        <w:t xml:space="preserve"> </w:t>
      </w:r>
      <w:r>
        <w:rPr>
          <w:i/>
          <w:iCs/>
        </w:rPr>
        <w:t xml:space="preserve">Government Space Programs</w:t>
      </w:r>
      <w:r>
        <w:t xml:space="preserve">, 24th edition. Country budget values for 2024 as compiled in Statista series 745717,</w:t>
      </w:r>
      <w:r>
        <w:t xml:space="preserve"> </w:t>
      </w:r>
      <w:r>
        <w:t xml:space="preserve">“Global governmental spending on space programs of leading countries 2024.”</w:t>
      </w:r>
    </w:p>
    <w:p>
      <w:pPr>
        <w:pStyle w:val="BodyText"/>
        <w:spacing w:line="480" w:lineRule="auto"/>
        <w:ind w:firstLine="720"/>
      </w:pPr>
      <w:bookmarkStart w:id="189" w:name="ref-44"/>
      <w:bookmarkEnd w:id="189"/>
      <w:r>
        <w:t xml:space="preserve">44. World Bank.</w:t>
      </w:r>
      <w:r>
        <w:t xml:space="preserve"> </w:t>
      </w:r>
      <w:r>
        <w:rPr>
          <w:i/>
          <w:iCs/>
        </w:rPr>
        <w:t xml:space="preserve">World Development Indicators</w:t>
      </w:r>
      <w:r>
        <w:t xml:space="preserve">, series NY.GDP.MKTP.CD (GDP, current US$). API retrieval, 29 July 2026.</w:t>
      </w:r>
    </w:p>
    <w:p>
      <w:pPr>
        <w:pStyle w:val="BodyText"/>
        <w:spacing w:line="480" w:lineRule="auto"/>
        <w:ind w:firstLine="720"/>
      </w:pPr>
      <w:bookmarkStart w:id="190" w:name="ref-45"/>
      <w:bookmarkEnd w:id="190"/>
      <w:r>
        <w:t xml:space="preserve">45. CelesTrak.</w:t>
      </w:r>
      <w:r>
        <w:t xml:space="preserve"> </w:t>
      </w:r>
      <w:r>
        <w:rPr>
          <w:i/>
          <w:iCs/>
        </w:rPr>
        <w:t xml:space="preserve">Satellite Catalog (SATCAT)</w:t>
      </w:r>
      <w:r>
        <w:t xml:space="preserve">, satcat.csv. Retrieved 29 July 2026.</w:t>
      </w:r>
    </w:p>
    <w:p>
      <w:pPr>
        <w:pStyle w:val="BodyText"/>
        <w:spacing w:line="480" w:lineRule="auto"/>
        <w:ind w:firstLine="720"/>
      </w:pPr>
      <w:bookmarkStart w:id="191" w:name="ref-46"/>
      <w:bookmarkEnd w:id="191"/>
      <w:r>
        <w:t xml:space="preserve">46. Dailey, N.</w:t>
      </w:r>
      <w:r>
        <w:t xml:space="preserve"> </w:t>
      </w:r>
      <w:r>
        <w:t xml:space="preserve">“Shaping the Final Frontier: Influencing Behavior for Peaceful Space Use and Defense.”</w:t>
      </w:r>
      <w:r>
        <w:t xml:space="preserve"> </w:t>
      </w:r>
      <w:r>
        <w:t xml:space="preserve">The MITRE Corporation, McLean, Virginia.</w:t>
      </w:r>
    </w:p>
    <w:p>
      <w:pPr>
        <w:pStyle w:val="BodyText"/>
        <w:spacing w:line="480" w:lineRule="auto"/>
        <w:ind w:firstLine="720"/>
      </w:pPr>
      <w:bookmarkStart w:id="192" w:name="ref-47"/>
      <w:bookmarkEnd w:id="192"/>
      <w:r>
        <w:t xml:space="preserve">47. OECD.</w:t>
      </w:r>
      <w:r>
        <w:t xml:space="preserve"> </w:t>
      </w:r>
      <w:r>
        <w:rPr>
          <w:i/>
          <w:iCs/>
        </w:rPr>
        <w:t xml:space="preserve">The Space Economy in Figures: Responding to Global Challenges.</w:t>
      </w:r>
      <w:r>
        <w:t xml:space="preserve"> </w:t>
      </w:r>
      <w:r>
        <w:t xml:space="preserve">Paris: OECD Publishing, 2023.</w:t>
      </w:r>
    </w:p>
    <w:p>
      <w:pPr>
        <w:pStyle w:val="BodyText"/>
        <w:spacing w:line="480" w:lineRule="auto"/>
        <w:ind w:firstLine="720"/>
      </w:pPr>
      <w:bookmarkStart w:id="193" w:name="ref-48"/>
      <w:bookmarkEnd w:id="193"/>
      <w:r>
        <w:t xml:space="preserve">48. White, H.</w:t>
      </w:r>
      <w:r>
        <w:t xml:space="preserve"> </w:t>
      </w:r>
      <w:r>
        <w:t xml:space="preserve">“A heteroskedasticity-consistent covariance matrix estimator and a direct test for heteroskedasticity.”</w:t>
      </w:r>
      <w:r>
        <w:t xml:space="preserve"> </w:t>
      </w:r>
      <w:r>
        <w:rPr>
          <w:i/>
          <w:iCs/>
        </w:rPr>
        <w:t xml:space="preserve">Econometrica</w:t>
      </w:r>
      <w:r>
        <w:t xml:space="preserve"> </w:t>
      </w:r>
      <w:r>
        <w:t xml:space="preserve">48, no. 4 (1980): 817-838. DOI 10.2307/1912934.</w:t>
      </w:r>
    </w:p>
    <w:p>
      <w:pPr>
        <w:pStyle w:val="BodyText"/>
        <w:spacing w:line="480" w:lineRule="auto"/>
        <w:ind w:firstLine="720"/>
      </w:pPr>
      <w:bookmarkStart w:id="194" w:name="ref-49"/>
      <w:bookmarkEnd w:id="194"/>
      <w:r>
        <w:t xml:space="preserve">49. Ostrom, E.</w:t>
      </w:r>
      <w:r>
        <w:t xml:space="preserve"> </w:t>
      </w:r>
      <w:r>
        <w:rPr>
          <w:i/>
          <w:iCs/>
        </w:rPr>
        <w:t xml:space="preserve">Governing the Commons: The Evolution of Institutions for Collective Action</w:t>
      </w:r>
      <w:r>
        <w:t xml:space="preserve">. Cambridge University Press, 1990.</w:t>
      </w:r>
    </w:p>
    <w:p>
      <w:pPr>
        <w:pStyle w:val="BodyText"/>
        <w:spacing w:line="480" w:lineRule="auto"/>
        <w:ind w:firstLine="720"/>
      </w:pPr>
      <w:bookmarkStart w:id="195" w:name="ref-50"/>
      <w:bookmarkEnd w:id="195"/>
      <w:r>
        <w:t xml:space="preserve">50. Ostrom, E.</w:t>
      </w:r>
      <w:r>
        <w:t xml:space="preserve"> </w:t>
      </w:r>
      <w:r>
        <w:rPr>
          <w:i/>
          <w:iCs/>
        </w:rPr>
        <w:t xml:space="preserve">Understanding Institutional Diversity</w:t>
      </w:r>
      <w:r>
        <w:t xml:space="preserve">. Princeton University Press, 2005.</w:t>
      </w:r>
    </w:p>
    <w:p>
      <w:pPr>
        <w:pStyle w:val="BodyText"/>
        <w:spacing w:line="480" w:lineRule="auto"/>
        <w:ind w:firstLine="720"/>
      </w:pPr>
      <w:bookmarkStart w:id="196" w:name="ref-51"/>
      <w:bookmarkEnd w:id="196"/>
      <w:r>
        <w:t xml:space="preserve">51. Ostrom, E.</w:t>
      </w:r>
      <w:r>
        <w:t xml:space="preserve"> </w:t>
      </w:r>
      <w:r>
        <w:t xml:space="preserve">“Polycentric systems for coping with collective action and global environmental change.”</w:t>
      </w:r>
      <w:r>
        <w:t xml:space="preserve"> </w:t>
      </w:r>
      <w:r>
        <w:rPr>
          <w:i/>
          <w:iCs/>
        </w:rPr>
        <w:t xml:space="preserve">Global Environmental Change</w:t>
      </w:r>
      <w:r>
        <w:t xml:space="preserve"> </w:t>
      </w:r>
      <w:r>
        <w:t xml:space="preserve">20(4):550-557, 2010.</w:t>
      </w:r>
    </w:p>
    <w:p>
      <w:pPr>
        <w:pStyle w:val="BodyText"/>
        <w:spacing w:line="480" w:lineRule="auto"/>
        <w:ind w:firstLine="720"/>
      </w:pPr>
      <w:bookmarkStart w:id="197" w:name="ref-52"/>
      <w:bookmarkEnd w:id="197"/>
      <w:r>
        <w:t xml:space="preserve">52. North, D. C.</w:t>
      </w:r>
      <w:r>
        <w:t xml:space="preserve"> </w:t>
      </w:r>
      <w:r>
        <w:rPr>
          <w:i/>
          <w:iCs/>
        </w:rPr>
        <w:t xml:space="preserve">Institutions, Institutional Change and Economic Performance</w:t>
      </w:r>
      <w:r>
        <w:t xml:space="preserve">. Cambridge University Press, 1990.</w:t>
      </w:r>
    </w:p>
    <w:p>
      <w:pPr>
        <w:pStyle w:val="BodyText"/>
        <w:spacing w:line="480" w:lineRule="auto"/>
        <w:ind w:firstLine="720"/>
      </w:pPr>
      <w:bookmarkStart w:id="198" w:name="ref-53"/>
      <w:bookmarkEnd w:id="198"/>
      <w:r>
        <w:t xml:space="preserve">53. North, D. C. and Weingast, B. R.</w:t>
      </w:r>
      <w:r>
        <w:t xml:space="preserve"> </w:t>
      </w:r>
      <w:r>
        <w:t xml:space="preserve">“Constitutions and Commitment: The Evolution of Institutions Governing Public Choice in Seventeenth-Century England.”</w:t>
      </w:r>
      <w:r>
        <w:t xml:space="preserve"> </w:t>
      </w:r>
      <w:r>
        <w:rPr>
          <w:i/>
          <w:iCs/>
        </w:rPr>
        <w:t xml:space="preserve">Journal of Economic History</w:t>
      </w:r>
      <w:r>
        <w:t xml:space="preserve"> </w:t>
      </w:r>
      <w:r>
        <w:t xml:space="preserve">49(4):803-832, 1989.</w:t>
      </w:r>
    </w:p>
    <w:p>
      <w:pPr>
        <w:pStyle w:val="BodyText"/>
        <w:spacing w:line="480" w:lineRule="auto"/>
        <w:ind w:firstLine="720"/>
      </w:pPr>
      <w:bookmarkStart w:id="199" w:name="ref-54"/>
      <w:bookmarkEnd w:id="199"/>
      <w:r>
        <w:t xml:space="preserve">54. Williamson, O. E.</w:t>
      </w:r>
      <w:r>
        <w:t xml:space="preserve"> </w:t>
      </w:r>
      <w:r>
        <w:rPr>
          <w:i/>
          <w:iCs/>
        </w:rPr>
        <w:t xml:space="preserve">The Economic Institutions of Capitalism</w:t>
      </w:r>
      <w:r>
        <w:t xml:space="preserve">. Free Press, 1985.</w:t>
      </w:r>
    </w:p>
    <w:p>
      <w:pPr>
        <w:pStyle w:val="BodyText"/>
        <w:spacing w:line="480" w:lineRule="auto"/>
        <w:ind w:firstLine="720"/>
      </w:pPr>
      <w:bookmarkStart w:id="200" w:name="ref-55"/>
      <w:bookmarkEnd w:id="200"/>
      <w:r>
        <w:t xml:space="preserve">55. Williamson, O. E.</w:t>
      </w:r>
      <w:r>
        <w:t xml:space="preserve"> </w:t>
      </w:r>
      <w:r>
        <w:t xml:space="preserve">“Comparative Economic Organization: The Analysis of Discrete Structural Alternatives.”</w:t>
      </w:r>
      <w:r>
        <w:t xml:space="preserve"> </w:t>
      </w:r>
      <w:r>
        <w:rPr>
          <w:i/>
          <w:iCs/>
        </w:rPr>
        <w:t xml:space="preserve">Administrative Science Quarterly</w:t>
      </w:r>
      <w:r>
        <w:t xml:space="preserve"> </w:t>
      </w:r>
      <w:r>
        <w:t xml:space="preserve">36(2):269-296, 1991. DOI 10.2307/2393356.</w:t>
      </w:r>
    </w:p>
    <w:p>
      <w:pPr>
        <w:pStyle w:val="BodyText"/>
        <w:spacing w:line="480" w:lineRule="auto"/>
        <w:ind w:firstLine="720"/>
      </w:pPr>
      <w:bookmarkStart w:id="201" w:name="ref-56"/>
      <w:bookmarkEnd w:id="201"/>
      <w:r>
        <w:t xml:space="preserve">56. Grotius, H.</w:t>
      </w:r>
      <w:r>
        <w:t xml:space="preserve"> </w:t>
      </w:r>
      <w:r>
        <w:rPr>
          <w:i/>
          <w:iCs/>
        </w:rPr>
        <w:t xml:space="preserve">Mare Liberum</w:t>
      </w:r>
      <w:r>
        <w:t xml:space="preserve">. 1609 (trans. R. Van Deman Magoffin, 1916).</w:t>
      </w:r>
    </w:p>
    <w:p>
      <w:pPr>
        <w:pStyle w:val="BodyText"/>
        <w:spacing w:line="480" w:lineRule="auto"/>
        <w:ind w:firstLine="720"/>
      </w:pPr>
      <w:bookmarkStart w:id="202" w:name="ref-57"/>
      <w:bookmarkEnd w:id="202"/>
      <w:r>
        <w:t xml:space="preserve">57. Kant, I.</w:t>
      </w:r>
      <w:r>
        <w:t xml:space="preserve"> </w:t>
      </w:r>
      <w:r>
        <w:rPr>
          <w:i/>
          <w:iCs/>
        </w:rPr>
        <w:t xml:space="preserve">Zum ewigen Frieden (Toward Perpetual Peace)</w:t>
      </w:r>
      <w:r>
        <w:t xml:space="preserve">. 1795.</w:t>
      </w:r>
    </w:p>
    <w:p>
      <w:pPr>
        <w:pStyle w:val="BodyText"/>
        <w:spacing w:line="480" w:lineRule="auto"/>
        <w:ind w:firstLine="720"/>
      </w:pPr>
      <w:bookmarkStart w:id="203" w:name="ref-58"/>
      <w:bookmarkEnd w:id="203"/>
      <w:r>
        <w:t xml:space="preserve">58. Ikenberry, G. J.</w:t>
      </w:r>
      <w:r>
        <w:t xml:space="preserve"> </w:t>
      </w:r>
      <w:r>
        <w:rPr>
          <w:i/>
          <w:iCs/>
        </w:rPr>
        <w:t xml:space="preserve">After Victory: Institutions, Strategic Restraint, and the Rebuilding of Order after Major Wars</w:t>
      </w:r>
      <w:r>
        <w:t xml:space="preserve">. Princeton University Press, 2001.</w:t>
      </w:r>
    </w:p>
    <w:p>
      <w:pPr>
        <w:pStyle w:val="BodyText"/>
        <w:spacing w:line="480" w:lineRule="auto"/>
        <w:ind w:firstLine="720"/>
      </w:pPr>
      <w:bookmarkStart w:id="204" w:name="ref-59"/>
      <w:bookmarkEnd w:id="204"/>
      <w:r>
        <w:t xml:space="preserve">59. ESA Space Debris Office.</w:t>
      </w:r>
      <w:r>
        <w:t xml:space="preserve"> </w:t>
      </w:r>
      <w:r>
        <w:rPr>
          <w:i/>
          <w:iCs/>
        </w:rPr>
        <w:t xml:space="preserve">ESA’s Annual Space Environment Report</w:t>
      </w:r>
      <w:r>
        <w:t xml:space="preserve">, Issue 10.0, GEN-DB-LOG-00288-OPS-SD, ESA/ESOC, Darmstadt, 1 May 2026.</w:t>
      </w:r>
    </w:p>
    <w:p>
      <w:pPr>
        <w:pStyle w:val="BodyText"/>
        <w:spacing w:line="480" w:lineRule="auto"/>
        <w:ind w:firstLine="720"/>
      </w:pPr>
      <w:bookmarkStart w:id="205" w:name="ref-60"/>
      <w:bookmarkEnd w:id="205"/>
      <w:r>
        <w:t xml:space="preserve">60. Inter-Agency Space Debris Coordination Committee.</w:t>
      </w:r>
      <w:r>
        <w:t xml:space="preserve"> </w:t>
      </w:r>
      <w:r>
        <w:rPr>
          <w:i/>
          <w:iCs/>
        </w:rPr>
        <w:t xml:space="preserve">Space Debris Mitigation Guidelines</w:t>
      </w:r>
      <w:r>
        <w:t xml:space="preserve">, IADC-02-01, Revision 4, 2025.</w:t>
      </w:r>
    </w:p>
    <w:p>
      <w:pPr>
        <w:pStyle w:val="BodyText"/>
        <w:spacing w:line="480" w:lineRule="auto"/>
        <w:ind w:firstLine="720"/>
      </w:pPr>
      <w:bookmarkStart w:id="206" w:name="ref-61"/>
      <w:bookmarkEnd w:id="206"/>
      <w:r>
        <w:t xml:space="preserve">61. United Nations.</w:t>
      </w:r>
      <w:r>
        <w:t xml:space="preserve"> </w:t>
      </w:r>
      <w:r>
        <w:rPr>
          <w:i/>
          <w:iCs/>
        </w:rPr>
        <w:t xml:space="preserve">Guidelines for the Long-Term Sustainability of Outer Space Activities</w:t>
      </w:r>
      <w:r>
        <w:t xml:space="preserve">, A/AC.105/C.1/L.366, 2019.</w:t>
      </w:r>
    </w:p>
    <w:p>
      <w:pPr>
        <w:pStyle w:val="BodyText"/>
        <w:spacing w:line="480" w:lineRule="auto"/>
        <w:ind w:firstLine="720"/>
      </w:pPr>
      <w:bookmarkStart w:id="207" w:name="ref-62"/>
      <w:bookmarkEnd w:id="207"/>
      <w:r>
        <w:t xml:space="preserve">62. Federal Communications Commission.</w:t>
      </w:r>
      <w:r>
        <w:t xml:space="preserve"> </w:t>
      </w:r>
      <w:r>
        <w:t xml:space="preserve">“Mitigation of Orbital Debris in the New Space Age,”</w:t>
      </w:r>
      <w:r>
        <w:t xml:space="preserve"> </w:t>
      </w:r>
      <w:r>
        <w:t xml:space="preserve">Second Report and Order, FCC 22-74, 2022; and Second Report and Order, IB Docket No. 02-54, 2004.</w:t>
      </w:r>
    </w:p>
    <w:p>
      <w:pPr>
        <w:pStyle w:val="BodyText"/>
        <w:spacing w:line="480" w:lineRule="auto"/>
        <w:ind w:firstLine="720"/>
      </w:pPr>
      <w:bookmarkStart w:id="208" w:name="ref-63"/>
      <w:bookmarkEnd w:id="208"/>
      <w:r>
        <w:t xml:space="preserve">63. European Space Agency.</w:t>
      </w:r>
      <w:r>
        <w:t xml:space="preserve"> </w:t>
      </w:r>
      <w:r>
        <w:rPr>
          <w:i/>
          <w:iCs/>
        </w:rPr>
        <w:t xml:space="preserve">Space Debris Mitigation Policy</w:t>
      </w:r>
      <w:r>
        <w:t xml:space="preserve">, ESA/ADMIN/IPOL(2023)1, 2023; and</w:t>
      </w:r>
      <w:r>
        <w:t xml:space="preserve"> </w:t>
      </w:r>
      <w:r>
        <w:rPr>
          <w:i/>
          <w:iCs/>
        </w:rPr>
        <w:t xml:space="preserve">ESA Space Debris Mitigation Requirements</w:t>
      </w:r>
      <w:r>
        <w:t xml:space="preserve">, ESSB-ST-U-007, Issue 1, 2023.</w:t>
      </w:r>
    </w:p>
    <w:p>
      <w:pPr>
        <w:pStyle w:val="BodyText"/>
        <w:spacing w:line="480" w:lineRule="auto"/>
        <w:ind w:firstLine="720"/>
      </w:pPr>
      <w:bookmarkStart w:id="209" w:name="ref-64"/>
      <w:bookmarkEnd w:id="209"/>
      <w:r>
        <w:t xml:space="preserve">64. Per-mission end-of-life records cited row by row in the</w:t>
      </w:r>
      <w:r>
        <w:t xml:space="preserve"> </w:t>
      </w:r>
      <w:r>
        <w:rPr>
          <w:rStyle w:val="VerbatimChar"/>
        </w:rPr>
        <w:t xml:space="preserve">source</w:t>
      </w:r>
      <w:r>
        <w:t xml:space="preserve"> </w:t>
      </w:r>
      <w:r>
        <w:t xml:space="preserve">column of</w:t>
      </w:r>
      <w:r>
        <w:t xml:space="preserve"> </w:t>
      </w:r>
      <w:r>
        <w:rPr>
          <w:rStyle w:val="VerbatimChar"/>
        </w:rPr>
        <w:t xml:space="preserve">data.csv</w:t>
      </w:r>
      <w:r>
        <w:t xml:space="preserve">, comprising agency releases and mission pages of ESA, NASA, USGS, NOAA, JAXA, ISRO, CNES, and the China Manned Space Agency; the Iridium Block 1 deorbit case study reported at the 1st International Orbital Debris Conference, 2019, paper 6190, and to UNOOSA; SSTL and University of Surrey mission records; and</w:t>
      </w:r>
      <w:r>
        <w:t xml:space="preserve"> </w:t>
      </w:r>
      <w:r>
        <w:t xml:space="preserve">“An analysis of the 2016 Hitomi breakup event,”</w:t>
      </w:r>
      <w:r>
        <w:t xml:space="preserve"> </w:t>
      </w:r>
      <w:r>
        <w:rPr>
          <w:i/>
          <w:iCs/>
        </w:rPr>
        <w:t xml:space="preserve">Earth, Planets and Space</w:t>
      </w:r>
      <w:r>
        <w:t xml:space="preserve"> </w:t>
      </w:r>
      <w:r>
        <w:t xml:space="preserve">69:51, 2017, DOI 10.1186/s40623-017-0633-3.</w:t>
      </w:r>
    </w:p>
    <w:p>
      <w:pPr>
        <w:pStyle w:val="BodyText"/>
        <w:spacing w:line="480" w:lineRule="auto"/>
        <w:ind w:firstLine="720"/>
      </w:pPr>
      <w:bookmarkStart w:id="210" w:name="ref-65"/>
      <w:bookmarkEnd w:id="210"/>
      <w:r>
        <w:t xml:space="preserve">65. International Organization for Standardization.</w:t>
      </w:r>
      <w:r>
        <w:t xml:space="preserve"> </w:t>
      </w:r>
      <w:r>
        <w:rPr>
          <w:i/>
          <w:iCs/>
        </w:rPr>
        <w:t xml:space="preserve">Space systems: Space debris mitigation requirements</w:t>
      </w:r>
      <w:r>
        <w:t xml:space="preserve">, ISO 24113:2019.</w:t>
      </w:r>
    </w:p>
    <w:p>
      <w:pPr>
        <w:pStyle w:val="BodyText"/>
        <w:spacing w:line="480" w:lineRule="auto"/>
        <w:ind w:firstLine="720"/>
      </w:pPr>
      <w:bookmarkStart w:id="211" w:name="ref-66"/>
      <w:bookmarkEnd w:id="211"/>
      <w:r>
        <w:t xml:space="preserve">66. Alby, F.</w:t>
      </w:r>
      <w:r>
        <w:t xml:space="preserve"> </w:t>
      </w:r>
      <w:r>
        <w:t xml:space="preserve">“Spot 1 end of life disposition manoeuvres.”</w:t>
      </w:r>
      <w:r>
        <w:t xml:space="preserve"> </w:t>
      </w:r>
      <w:r>
        <w:rPr>
          <w:i/>
          <w:iCs/>
        </w:rPr>
        <w:t xml:space="preserve">Advances in Space Research</w:t>
      </w:r>
      <w:r>
        <w:t xml:space="preserve">, 2005. ScienceDirect PII S0273117704009160.</w:t>
      </w:r>
    </w:p>
    <w:p>
      <w:pPr>
        <w:pStyle w:val="BodyText"/>
        <w:spacing w:line="480" w:lineRule="auto"/>
        <w:ind w:firstLine="720"/>
      </w:pPr>
      <w:bookmarkStart w:id="212" w:name="ref-67"/>
      <w:bookmarkEnd w:id="212"/>
      <w:r>
        <w:t xml:space="preserve">67. Kennedy, Paul.</w:t>
      </w:r>
      <w:r>
        <w:t xml:space="preserve"> </w:t>
      </w:r>
      <w:r>
        <w:rPr>
          <w:i/>
          <w:iCs/>
        </w:rPr>
        <w:t xml:space="preserve">The Rise and Fall of the Great Powers</w:t>
      </w:r>
      <w:r>
        <w:t xml:space="preserve">. New York: Random House, 1987. Frameworks summarized in the COLLEGIUM Hall of Shoulders dossier,</w:t>
      </w:r>
      <w:r>
        <w:t xml:space="preserve"> </w:t>
      </w:r>
      <w:r>
        <w:rPr>
          <w:rStyle w:val="VerbatimChar"/>
        </w:rPr>
        <w:t xml:space="preserve">D:/Claude_Code/brain/collegium/hall_of_shoulders/brains/paul_kennedy/dossier.md</w:t>
      </w:r>
      <w:r>
        <w:t xml:space="preserve">.</w:t>
      </w:r>
    </w:p>
    <w:p>
      <w:pPr>
        <w:pStyle w:val="BodyText"/>
        <w:spacing w:line="480" w:lineRule="auto"/>
        <w:ind w:firstLine="720"/>
      </w:pPr>
      <w:bookmarkStart w:id="213" w:name="ref-68"/>
      <w:bookmarkEnd w:id="213"/>
      <w:r>
        <w:t xml:space="preserve">68. Gaddis, John Lewis.</w:t>
      </w:r>
      <w:r>
        <w:t xml:space="preserve"> </w:t>
      </w:r>
      <w:r>
        <w:rPr>
          <w:i/>
          <w:iCs/>
        </w:rPr>
        <w:t xml:space="preserve">On Grand Strategy</w:t>
      </w:r>
      <w:r>
        <w:t xml:space="preserve">. New York: Penguin, 2018;</w:t>
      </w:r>
      <w:r>
        <w:t xml:space="preserve"> </w:t>
      </w:r>
      <w:r>
        <w:rPr>
          <w:i/>
          <w:iCs/>
        </w:rPr>
        <w:t xml:space="preserve">Strategies of Containment</w:t>
      </w:r>
      <w:r>
        <w:t xml:space="preserve">, rev. ed., 2005. Hall of Shoulders dossier,</w:t>
      </w:r>
      <w:r>
        <w:t xml:space="preserve"> </w:t>
      </w:r>
      <w:r>
        <w:rPr>
          <w:rStyle w:val="VerbatimChar"/>
        </w:rPr>
        <w:t xml:space="preserve">.../brains/gaddis/dossier.md</w:t>
      </w:r>
      <w:r>
        <w:t xml:space="preserve">.</w:t>
      </w:r>
    </w:p>
    <w:p>
      <w:pPr>
        <w:pStyle w:val="BodyText"/>
        <w:spacing w:line="480" w:lineRule="auto"/>
        <w:ind w:firstLine="720"/>
      </w:pPr>
      <w:bookmarkStart w:id="214" w:name="ref-69"/>
      <w:bookmarkEnd w:id="214"/>
      <w:r>
        <w:t xml:space="preserve">69. Kissinger, Henry.</w:t>
      </w:r>
      <w:r>
        <w:t xml:space="preserve"> </w:t>
      </w:r>
      <w:r>
        <w:rPr>
          <w:i/>
          <w:iCs/>
        </w:rPr>
        <w:t xml:space="preserve">A World Restored</w:t>
      </w:r>
      <w:r>
        <w:t xml:space="preserve"> </w:t>
      </w:r>
      <w:r>
        <w:t xml:space="preserve">(1957);</w:t>
      </w:r>
      <w:r>
        <w:t xml:space="preserve"> </w:t>
      </w:r>
      <w:r>
        <w:rPr>
          <w:i/>
          <w:iCs/>
        </w:rPr>
        <w:t xml:space="preserve">Diplomacy</w:t>
      </w:r>
      <w:r>
        <w:t xml:space="preserve"> </w:t>
      </w:r>
      <w:r>
        <w:t xml:space="preserve">(1994);</w:t>
      </w:r>
      <w:r>
        <w:t xml:space="preserve"> </w:t>
      </w:r>
      <w:r>
        <w:rPr>
          <w:i/>
          <w:iCs/>
        </w:rPr>
        <w:t xml:space="preserve">World Order</w:t>
      </w:r>
      <w:r>
        <w:t xml:space="preserve"> </w:t>
      </w:r>
      <w:r>
        <w:t xml:space="preserve">(2014). Hall of Shoulders dossier,</w:t>
      </w:r>
      <w:r>
        <w:t xml:space="preserve"> </w:t>
      </w:r>
      <w:r>
        <w:rPr>
          <w:rStyle w:val="VerbatimChar"/>
        </w:rPr>
        <w:t xml:space="preserve">.../brains/kissinger/dossier.md</w:t>
      </w:r>
      <w:r>
        <w:t xml:space="preserve">.</w:t>
      </w:r>
    </w:p>
    <w:p>
      <w:pPr>
        <w:pStyle w:val="BodyText"/>
        <w:spacing w:line="480" w:lineRule="auto"/>
        <w:ind w:firstLine="720"/>
      </w:pPr>
      <w:bookmarkStart w:id="215" w:name="ref-70"/>
      <w:bookmarkEnd w:id="215"/>
      <w:r>
        <w:t xml:space="preserve">70. Brands, Hal, and Michael Beckley.</w:t>
      </w:r>
      <w:r>
        <w:t xml:space="preserve"> </w:t>
      </w:r>
      <w:r>
        <w:rPr>
          <w:i/>
          <w:iCs/>
        </w:rPr>
        <w:t xml:space="preserve">Danger Zone: The Coming Conflict with China</w:t>
      </w:r>
      <w:r>
        <w:t xml:space="preserve">. New York: Norton, 2022;</w:t>
      </w:r>
      <w:r>
        <w:t xml:space="preserve"> </w:t>
      </w:r>
      <w:r>
        <w:t xml:space="preserve">“The Peril of Peaking Powers,”</w:t>
      </w:r>
      <w:r>
        <w:t xml:space="preserve"> </w:t>
      </w:r>
      <w:r>
        <w:rPr>
          <w:i/>
          <w:iCs/>
        </w:rPr>
        <w:t xml:space="preserve">International Security</w:t>
      </w:r>
      <w:r>
        <w:t xml:space="preserve"> </w:t>
      </w:r>
      <w:r>
        <w:t xml:space="preserve">(2023), doi:</w:t>
      </w:r>
      <w:r>
        <w:t xml:space="preserve"> </w:t>
      </w:r>
      <w:hyperlink r:id="rId216">
        <w:r>
          <w:rPr>
            <w:rStyle w:val="Hyperlink"/>
          </w:rPr>
          <w:t xml:space="preserve">10.1162/isec_a_00463</w:t>
        </w:r>
      </w:hyperlink>
      <w:r>
        <w:t xml:space="preserve"> </w:t>
      </w:r>
      <w:r>
        <w:t xml:space="preserve">Hall of Shoulders dossier,</w:t>
      </w:r>
      <w:r>
        <w:t xml:space="preserve"> </w:t>
      </w:r>
      <w:r>
        <w:rPr>
          <w:rStyle w:val="VerbatimChar"/>
        </w:rPr>
        <w:t xml:space="preserve">.../brains/brands_beckley/dossier.md</w:t>
      </w:r>
      <w:r>
        <w:t xml:space="preserve">.</w:t>
      </w:r>
    </w:p>
    <w:p>
      <w:pPr>
        <w:pStyle w:val="BodyText"/>
        <w:spacing w:line="480" w:lineRule="auto"/>
        <w:ind w:firstLine="720"/>
      </w:pPr>
      <w:bookmarkStart w:id="217" w:name="ref-71"/>
      <w:bookmarkEnd w:id="217"/>
      <w:r>
        <w:t xml:space="preserve">71. Luttwak, Edward N.</w:t>
      </w:r>
      <w:r>
        <w:t xml:space="preserve"> </w:t>
      </w:r>
      <w:r>
        <w:rPr>
          <w:i/>
          <w:iCs/>
        </w:rPr>
        <w:t xml:space="preserve">Strategy: The Logic of War and Peace</w:t>
      </w:r>
      <w:r>
        <w:t xml:space="preserve">, rev. ed. Cambridge: Belknap, 2001. Hall of Shoulders dossier,</w:t>
      </w:r>
      <w:r>
        <w:t xml:space="preserve"> </w:t>
      </w:r>
      <w:r>
        <w:rPr>
          <w:rStyle w:val="VerbatimChar"/>
        </w:rPr>
        <w:t xml:space="preserve">.../brains/luttwak/dossier.md</w:t>
      </w:r>
      <w:r>
        <w:t xml:space="preserve">.</w:t>
      </w:r>
    </w:p>
    <w:p>
      <w:pPr>
        <w:pStyle w:val="BodyText"/>
        <w:spacing w:line="480" w:lineRule="auto"/>
        <w:ind w:firstLine="720"/>
      </w:pPr>
      <w:bookmarkStart w:id="218" w:name="ref-72"/>
      <w:bookmarkEnd w:id="218"/>
      <w:r>
        <w:t xml:space="preserve">72. U.S. Government Accountability Office.</w:t>
      </w:r>
      <w:r>
        <w:t xml:space="preserve"> </w:t>
      </w:r>
      <w:r>
        <w:rPr>
          <w:i/>
          <w:iCs/>
        </w:rPr>
        <w:t xml:space="preserve">NASA: Assessments of Major Projects</w:t>
      </w:r>
      <w:r>
        <w:t xml:space="preserve">, GAO-22-105212. Washington, D.C., July 2022. Table 6 and Appendices IV and V.</w:t>
      </w:r>
    </w:p>
    <w:p>
      <w:pPr>
        <w:pStyle w:val="BodyText"/>
        <w:spacing w:line="480" w:lineRule="auto"/>
        <w:ind w:firstLine="720"/>
      </w:pPr>
      <w:bookmarkStart w:id="219" w:name="ref-73"/>
      <w:bookmarkEnd w:id="219"/>
      <w:r>
        <w:t xml:space="preserve">73. Budget of NASA, nominal enacted appropriations by fiscal year, FY2008 through FY2022.</w:t>
      </w:r>
    </w:p>
    <w:p>
      <w:pPr>
        <w:pStyle w:val="BodyText"/>
        <w:spacing w:line="480" w:lineRule="auto"/>
        <w:ind w:firstLine="720"/>
      </w:pPr>
      <w:bookmarkStart w:id="220" w:name="ref-74"/>
      <w:bookmarkEnd w:id="220"/>
      <w:r>
        <w:t xml:space="preserve">74. World Bank.</w:t>
      </w:r>
      <w:r>
        <w:t xml:space="preserve"> </w:t>
      </w:r>
      <w:r>
        <w:rPr>
          <w:i/>
          <w:iCs/>
        </w:rPr>
        <w:t xml:space="preserve">World Development Indicators</w:t>
      </w:r>
      <w:r>
        <w:t xml:space="preserve">, series NY.GDP.MKTP.CD, United States gross domestic product in current U.S. dollars, 2008 to 2022.</w:t>
      </w:r>
    </w:p>
    <w:p>
      <w:pPr>
        <w:pStyle w:val="BodyText"/>
        <w:spacing w:line="480" w:lineRule="auto"/>
        <w:ind w:firstLine="720"/>
      </w:pPr>
      <w:bookmarkStart w:id="221" w:name="ref-75"/>
      <w:bookmarkEnd w:id="221"/>
      <w:r>
        <w:t xml:space="preserve">75. Goswami, Namrata, and Peter A. Garretson.</w:t>
      </w:r>
      <w:r>
        <w:t xml:space="preserve"> </w:t>
      </w:r>
      <w:r>
        <w:rPr>
          <w:i/>
          <w:iCs/>
        </w:rPr>
        <w:t xml:space="preserve">Scramble for the Skies: The Great Power Competition to Control the Resources of Outer Space</w:t>
      </w:r>
      <w:r>
        <w:t xml:space="preserve">. Lanham: Lexington Books, 2020. Full text consulted at</w:t>
      </w:r>
      <w:r>
        <w:t xml:space="preserve"> </w:t>
      </w:r>
      <w:r>
        <w:rPr>
          <w:rStyle w:val="VerbatimChar"/>
        </w:rPr>
        <w:t xml:space="preserve">D:/Epubor_Ouput/Ultimate/Scramble for the Skies.txt</w:t>
      </w:r>
      <w:r>
        <w:t xml:space="preserve">; Hall of Shoulders dossier,</w:t>
      </w:r>
      <w:r>
        <w:t xml:space="preserve"> </w:t>
      </w:r>
      <w:r>
        <w:rPr>
          <w:rStyle w:val="VerbatimChar"/>
        </w:rPr>
        <w:t xml:space="preserve">.../brains/goswami_garretson/dossier.md</w:t>
      </w:r>
      <w:r>
        <w:t xml:space="preserve">.</w:t>
      </w:r>
    </w:p>
    <w:p>
      <w:pPr>
        <w:pStyle w:val="BodyText"/>
        <w:spacing w:line="480" w:lineRule="auto"/>
        <w:ind w:firstLine="720"/>
      </w:pPr>
      <w:bookmarkStart w:id="222" w:name="ref-76"/>
      <w:bookmarkEnd w:id="222"/>
      <w:r>
        <w:t xml:space="preserve">76. Organisation for Economic Co-operation and Development.</w:t>
      </w:r>
      <w:r>
        <w:t xml:space="preserve"> </w:t>
      </w:r>
      <w:r>
        <w:rPr>
          <w:i/>
          <w:iCs/>
        </w:rPr>
        <w:t xml:space="preserve">The Space Economy in Figures</w:t>
      </w:r>
      <w:r>
        <w:t xml:space="preserve">. Paris: OECD Publishing, 2019 and 2023 editions.</w:t>
      </w:r>
    </w:p>
    <w:p>
      <w:pPr>
        <w:pStyle w:val="BodyText"/>
        <w:spacing w:line="480" w:lineRule="auto"/>
        <w:ind w:firstLine="720"/>
      </w:pPr>
      <w:bookmarkStart w:id="223" w:name="ref-77"/>
      <w:bookmarkEnd w:id="223"/>
      <w:r>
        <w:t xml:space="preserve">77. Yuri Shimane, Georgia Institute of Technology; Kento Tomita, Georgia Institute of Technology; Koki Ho, Georgia Institute of Technology. Strategic Regions for Monitoring Incoming Low-Energy Transfers to Low-Lunar Orbits (2023). doi:</w:t>
      </w:r>
      <w:r>
        <w:t xml:space="preserve"> </w:t>
      </w:r>
      <w:hyperlink r:id="rId224">
        <w:r>
          <w:rPr>
            <w:rStyle w:val="Hyperlink"/>
          </w:rPr>
          <w:t xml:space="preserve">10.64861/QARN5518</w:t>
        </w:r>
      </w:hyperlink>
    </w:p>
    <w:p>
      <w:pPr>
        <w:pStyle w:val="BodyText"/>
        <w:spacing w:line="480" w:lineRule="auto"/>
        <w:ind w:firstLine="720"/>
      </w:pPr>
      <w:bookmarkStart w:id="225" w:name="ref-78"/>
      <w:bookmarkEnd w:id="225"/>
      <w:r>
        <w:t xml:space="preserve">78. Malcolm Davis, The Australian Strategic Policy Institute. Australia’s Emerging Space Policy – Defense Burden Sharing in Orbit and Space Situational Awareness (2020).</w:t>
      </w:r>
    </w:p>
    <w:p>
      <w:pPr>
        <w:pStyle w:val="BodyText"/>
        <w:spacing w:line="480" w:lineRule="auto"/>
        <w:ind w:firstLine="720"/>
      </w:pPr>
      <w:bookmarkStart w:id="226" w:name="ref-79"/>
      <w:bookmarkEnd w:id="226"/>
      <w:r>
        <w:t xml:space="preserve">79. S Shivshankar, Indian Institute of Science; Debasish Ghose, Indian Institute of Science. Time-to-Event Data (Survival Analysis) based Modelling of Maneuver Occurrence of Non-Cooperative Satellites (2023). doi:</w:t>
      </w:r>
      <w:r>
        <w:t xml:space="preserve"> </w:t>
      </w:r>
      <w:hyperlink r:id="rId227">
        <w:r>
          <w:rPr>
            <w:rStyle w:val="Hyperlink"/>
          </w:rPr>
          <w:t xml:space="preserve">10.64861/LPFK9568</w:t>
        </w:r>
      </w:hyperlink>
    </w:p>
    <w:p>
      <w:pPr>
        <w:pStyle w:val="BodyText"/>
        <w:spacing w:line="480" w:lineRule="auto"/>
        <w:ind w:firstLine="720"/>
      </w:pPr>
      <w:bookmarkStart w:id="228" w:name="ref-80"/>
      <w:bookmarkEnd w:id="228"/>
      <w:r>
        <w:t xml:space="preserve">80. Leonardo Cament, Universidad de Chile; Martin Adams, Universidad de Chile; Elías Obreque, Northumbria University; Pablo Barrios, Universidad de Chile. Adaptive Tracking of Space Objects using Riemannian Manifolds on the 2-Sphere (2025). doi:</w:t>
      </w:r>
      <w:r>
        <w:t xml:space="preserve"> </w:t>
      </w:r>
      <w:hyperlink r:id="rId229">
        <w:r>
          <w:rPr>
            <w:rStyle w:val="Hyperlink"/>
          </w:rPr>
          <w:t xml:space="preserve">10.64861/JJYC1058</w:t>
        </w:r>
      </w:hyperlink>
    </w:p>
    <w:p>
      <w:pPr>
        <w:pStyle w:val="BodyText"/>
        <w:spacing w:line="480" w:lineRule="auto"/>
        <w:ind w:firstLine="720"/>
      </w:pPr>
      <w:bookmarkStart w:id="230" w:name="ref-81"/>
      <w:bookmarkEnd w:id="230"/>
      <w:r>
        <w:t xml:space="preserve">81. Sam Wishnek, University of Colorado Boulder; Marcus Holzinger, University of Colorado Boulder; Patrick Handley, Ball Aerospace. Robust Initial Orbit Determination Using Streaks and Admissible Regions (2020 AMOS Student Award Winner) (2020).</w:t>
      </w:r>
    </w:p>
    <w:p>
      <w:pPr>
        <w:pStyle w:val="BodyText"/>
        <w:spacing w:line="480" w:lineRule="auto"/>
        <w:ind w:firstLine="720"/>
      </w:pPr>
      <w:bookmarkStart w:id="231" w:name="ref-82"/>
      <w:bookmarkEnd w:id="231"/>
      <w:r>
        <w:t xml:space="preserve">82. Kimoon Lee, University of Science and Technology (UST); Dongjin Kim, University of Science and Technology (UST); Seonho Lee, Korea Aerospace Research Institute (KARI). Conceptual Design of Mission Scheduling Software for Small Satellite Constellation (2024). doi:</w:t>
      </w:r>
      <w:r>
        <w:t xml:space="preserve"> </w:t>
      </w:r>
      <w:hyperlink r:id="rId232">
        <w:r>
          <w:rPr>
            <w:rStyle w:val="Hyperlink"/>
          </w:rPr>
          <w:t xml:space="preserve">10.64861/WVJD1391</w:t>
        </w:r>
      </w:hyperlink>
    </w:p>
    <w:p>
      <w:pPr>
        <w:pStyle w:val="BodyText"/>
        <w:spacing w:line="480" w:lineRule="auto"/>
        <w:ind w:firstLine="720"/>
      </w:pPr>
      <w:bookmarkStart w:id="233" w:name="ref-83"/>
      <w:bookmarkEnd w:id="233"/>
      <w:r>
        <w:t xml:space="preserve">83. Kevin Kuciapinski, CelesTrak; T.S. Kelso, CelesTrak. Supplemental General Perturbations (SupGP) Element Sets for Modern Space Operations and Space Flight Safety (2023). doi:</w:t>
      </w:r>
      <w:r>
        <w:t xml:space="preserve"> </w:t>
      </w:r>
      <w:hyperlink r:id="rId234">
        <w:r>
          <w:rPr>
            <w:rStyle w:val="Hyperlink"/>
          </w:rPr>
          <w:t xml:space="preserve">10.64861/ODHM8354</w:t>
        </w:r>
      </w:hyperlink>
    </w:p>
    <w:p>
      <w:pPr>
        <w:pStyle w:val="BodyText"/>
        <w:spacing w:line="480" w:lineRule="auto"/>
        <w:ind w:firstLine="720"/>
      </w:pPr>
      <w:bookmarkStart w:id="235" w:name="ref-84"/>
      <w:bookmarkEnd w:id="235"/>
      <w:r>
        <w:t xml:space="preserve">84. Kento Tomita, Georgia Institute of Technology; Yuri Shimane, Georgia Institute of Technology; Koki Ho, Georgia Institute of Technology. Multi-Spacecraft Predictive Sensor Tasking for Cislunar Space Situational Awareness (2023). doi:</w:t>
      </w:r>
      <w:r>
        <w:t xml:space="preserve"> </w:t>
      </w:r>
      <w:hyperlink r:id="rId236">
        <w:r>
          <w:rPr>
            <w:rStyle w:val="Hyperlink"/>
          </w:rPr>
          <w:t xml:space="preserve">10.64861/GBKE2290</w:t>
        </w:r>
      </w:hyperlink>
    </w:p>
    <w:p>
      <w:pPr>
        <w:pStyle w:val="BodyText"/>
        <w:spacing w:line="480" w:lineRule="auto"/>
        <w:ind w:firstLine="720"/>
      </w:pPr>
      <w:bookmarkStart w:id="237" w:name="ref-85"/>
      <w:bookmarkEnd w:id="237"/>
      <w:r>
        <w:t xml:space="preserve">85. Mathilda Bolis; Elisa Maria Alessi; Camilla Colombo. A comparative assessment of heliocentric and controlled lunar impact end-of-life disposal strategies for Near Rectilinear Halo Orbits (2026). doi:</w:t>
      </w:r>
      <w:r>
        <w:t xml:space="preserve"> </w:t>
      </w:r>
      <w:hyperlink r:id="rId238">
        <w:r>
          <w:rPr>
            <w:rStyle w:val="Hyperlink"/>
          </w:rPr>
          <w:t xml:space="preserve">10.1016/j.actaastro.2026.05.039</w:t>
        </w:r>
      </w:hyperlink>
    </w:p>
    <w:p>
      <w:pPr>
        <w:pStyle w:val="BodyText"/>
        <w:spacing w:line="480" w:lineRule="auto"/>
        <w:ind w:firstLine="720"/>
      </w:pPr>
      <w:bookmarkStart w:id="239" w:name="ref-86"/>
      <w:bookmarkEnd w:id="239"/>
      <w:r>
        <w:t xml:space="preserve">86. Omar Diab; Christian Circi; Hongwei Yang; Shuang Li. Unsupervised approach to detect interconnections between unstable resonant orbits (2025). doi:</w:t>
      </w:r>
      <w:r>
        <w:t xml:space="preserve"> </w:t>
      </w:r>
      <w:hyperlink r:id="rId240">
        <w:r>
          <w:rPr>
            <w:rStyle w:val="Hyperlink"/>
          </w:rPr>
          <w:t xml:space="preserve">10.1016/j.actaastro.2025.04.039</w:t>
        </w:r>
      </w:hyperlink>
    </w:p>
    <w:p>
      <w:pPr>
        <w:pStyle w:val="BodyText"/>
        <w:spacing w:line="480" w:lineRule="auto"/>
        <w:ind w:firstLine="720"/>
      </w:pPr>
      <w:bookmarkStart w:id="241" w:name="ref-87"/>
      <w:bookmarkEnd w:id="241"/>
      <w:r>
        <w:t xml:space="preserve">87. Paolo Trucco; Alessandro Paravano; Giorgio Locatelli. Framing the dynamics of risk landscape amidst space economy trends (2025). doi:</w:t>
      </w:r>
      <w:r>
        <w:t xml:space="preserve"> </w:t>
      </w:r>
      <w:hyperlink r:id="rId242">
        <w:r>
          <w:rPr>
            <w:rStyle w:val="Hyperlink"/>
          </w:rPr>
          <w:t xml:space="preserve">10.1016/j.actaastro.2025.06.067</w:t>
        </w:r>
      </w:hyperlink>
    </w:p>
    <w:p>
      <w:pPr>
        <w:pStyle w:val="BodyText"/>
        <w:spacing w:line="480" w:lineRule="auto"/>
        <w:ind w:firstLine="720"/>
      </w:pPr>
      <w:bookmarkStart w:id="243" w:name="ref-88"/>
      <w:bookmarkEnd w:id="243"/>
      <w:r>
        <w:t xml:space="preserve">88. Josep J. Masdemont. Libration point orbits: A brief journey through fundamental dynamics and applications (2026). doi:</w:t>
      </w:r>
      <w:r>
        <w:t xml:space="preserve"> </w:t>
      </w:r>
      <w:hyperlink r:id="rId244">
        <w:r>
          <w:rPr>
            <w:rStyle w:val="Hyperlink"/>
          </w:rPr>
          <w:t xml:space="preserve">10.1016/j.actaastro.2026.05.016</w:t>
        </w:r>
      </w:hyperlink>
    </w:p>
    <w:p>
      <w:pPr>
        <w:pStyle w:val="BodyText"/>
        <w:spacing w:line="480" w:lineRule="auto"/>
        <w:ind w:firstLine="720"/>
      </w:pPr>
      <w:bookmarkStart w:id="245" w:name="ref-89"/>
      <w:bookmarkEnd w:id="245"/>
      <w:r>
        <w:t xml:space="preserve">89. Jonathan McDowell. The edge of space: Revisiting the Karman Line (2018). doi:</w:t>
      </w:r>
      <w:r>
        <w:t xml:space="preserve"> </w:t>
      </w:r>
      <w:hyperlink r:id="rId246">
        <w:r>
          <w:rPr>
            <w:rStyle w:val="Hyperlink"/>
          </w:rPr>
          <w:t xml:space="preserve">10.1016/j.actaastro.2018.07.003</w:t>
        </w:r>
      </w:hyperlink>
    </w:p>
    <w:p>
      <w:pPr>
        <w:pStyle w:val="BodyText"/>
        <w:spacing w:line="480" w:lineRule="auto"/>
        <w:ind w:firstLine="720"/>
      </w:pPr>
      <w:bookmarkStart w:id="247" w:name="ref-90"/>
      <w:bookmarkEnd w:id="247"/>
      <w:r>
        <w:t xml:space="preserve">90. Martı́n Lara. On perturbation solutions in the restricted three-body problem dynamics (2022). doi:</w:t>
      </w:r>
      <w:r>
        <w:t xml:space="preserve"> </w:t>
      </w:r>
      <w:hyperlink r:id="rId248">
        <w:r>
          <w:rPr>
            <w:rStyle w:val="Hyperlink"/>
          </w:rPr>
          <w:t xml:space="preserve">10.1016/j.actaastro.2022.01.022</w:t>
        </w:r>
      </w:hyperlink>
    </w:p>
    <w:p>
      <w:pPr>
        <w:pStyle w:val="BodyText"/>
        <w:spacing w:line="480" w:lineRule="auto"/>
        <w:ind w:firstLine="720"/>
      </w:pPr>
      <w:bookmarkStart w:id="249" w:name="ref-91"/>
      <w:bookmarkEnd w:id="249"/>
      <w:r>
        <w:t xml:space="preserve">91. Brent Sherwood. Strategic map for exploring the ocean-world Enceladus (2016). doi:</w:t>
      </w:r>
      <w:r>
        <w:t xml:space="preserve"> </w:t>
      </w:r>
      <w:hyperlink r:id="rId250">
        <w:r>
          <w:rPr>
            <w:rStyle w:val="Hyperlink"/>
          </w:rPr>
          <w:t xml:space="preserve">10.1016/j.actaastro.2016.04.013</w:t>
        </w:r>
      </w:hyperlink>
    </w:p>
    <w:p>
      <w:pPr>
        <w:pStyle w:val="BodyText"/>
        <w:spacing w:line="480" w:lineRule="auto"/>
        <w:ind w:firstLine="720"/>
      </w:pPr>
      <w:bookmarkStart w:id="251" w:name="ref-92"/>
      <w:bookmarkEnd w:id="251"/>
      <w:r>
        <w:t xml:space="preserve">92. J.D. Menges; K.M. Cannon. Natural Landing Pads on the Moon and Mars (2026). doi:</w:t>
      </w:r>
      <w:r>
        <w:t xml:space="preserve"> </w:t>
      </w:r>
      <w:hyperlink r:id="rId252">
        <w:r>
          <w:rPr>
            <w:rStyle w:val="Hyperlink"/>
          </w:rPr>
          <w:t xml:space="preserve">10.1016/j.actaastro.2026.01.045</w:t>
        </w:r>
      </w:hyperlink>
    </w:p>
    <w:bookmarkEnd w:id="253"/>
    <w:bookmarkEnd w:id="254"/>
    <w:bookmarkStart w:id="295" w:name="appendix-a.-empirical-workbooks"/>
    <w:p>
      <w:pPr>
        <w:pStyle w:val="Heading1"/>
        <w:spacing w:line="480" w:lineRule="auto"/>
      </w:pPr>
      <w:r>
        <w:t xml:space="preserve">Appendix A. Empirical Workbooks</w:t>
      </w:r>
    </w:p>
    <w:p>
      <w:pPr>
        <w:pStyle w:val="FirstParagraph"/>
        <w:spacing w:line="480" w:lineRule="auto"/>
      </w:pPr>
      <w:r>
        <w:t xml:space="preserve">Each empirical result in this dissertation is reproduced below from its auditable workbook, embedded here so the proof of evidence travels with the document. The live spreadsheets are the paper .xlsx files in each paper folder. Every observation carries its source.</w:t>
      </w:r>
    </w:p>
    <w:bookmarkStart w:id="262" w:name="X9c4c74fad7d0c01f479fc1e400bf6908b66ed2a"/>
    <w:p>
      <w:pPr>
        <w:pStyle w:val="Heading2"/>
        <w:spacing w:line="480" w:lineRule="auto"/>
      </w:pPr>
      <w:r>
        <w:t xml:space="preserve">A.1 Spacepower on the Experience Curve: A Wright’s-Law Test of the Mahan-Schumpeter Thesis of Ziarnick</w:t>
      </w:r>
    </w:p>
    <w:p>
      <w:pPr>
        <w:pStyle w:val="FirstParagraph"/>
        <w:spacing w:line="480" w:lineRule="auto"/>
      </w:pPr>
      <w:r>
        <w:t xml:space="preserve">$$
    \[ \ln(\text{cost\_per\_kg\_leo\_usd}_i) = \alpha + \beta\,\ln(\text{cumulative\_launches}_i) + \varepsilon_i, \qquad \mathrm{PR} = 2^{\beta} \]
    $$</w:t>
      </w:r>
    </w:p>
    <w:bookmarkStart w:id="255" w:name="estimator-output"/>
    <w:p>
      <w:pPr>
        <w:pStyle w:val="Heading3"/>
        <w:spacing w:line="480" w:lineRule="auto"/>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12.1326</w:t>
            </w:r>
          </w:p>
        </w:tc>
        <w:tc>
          <w:tcPr>
            <w:tcW w:w="0" w:type="auto"/>
          </w:tcPr>
          <w:p>
            <w:pPr>
              <w:spacing w:line="240" w:lineRule="auto" w:before="0" w:after="0"/>
              <w:pStyle w:val="Compact"/>
            </w:pPr>
            <w:r>
              <w:rPr>
                <w:sz w:val="20"/>
                <w:szCs w:val="20"/>
              </w:rPr>
              <w:t xml:space="preserve">1.2492</w:t>
            </w:r>
          </w:p>
        </w:tc>
        <w:tc>
          <w:tcPr>
            <w:tcW w:w="0" w:type="auto"/>
          </w:tcPr>
          <w:p>
            <w:pPr>
              <w:spacing w:line="240" w:lineRule="auto" w:before="0" w:after="0"/>
              <w:pStyle w:val="Compact"/>
            </w:pPr>
            <w:r>
              <w:rPr>
                <w:sz w:val="20"/>
                <w:szCs w:val="20"/>
              </w:rPr>
              <w:t xml:space="preserve">9.7123</w:t>
            </w:r>
          </w:p>
        </w:tc>
        <w:tc>
          <w:tcPr>
            <w:tcW w:w="0" w:type="auto"/>
          </w:tcPr>
          <w:p>
            <w:pPr>
              <w:spacing w:line="240" w:lineRule="auto" w:before="0" w:after="0"/>
              <w:pStyle w:val="Compact"/>
            </w:pPr>
            <w:r>
              <w:rPr>
                <w:sz w:val="20"/>
                <w:szCs w:val="20"/>
              </w:rPr>
              <w:t xml:space="preserve">2.673e-22</w:t>
            </w:r>
          </w:p>
        </w:tc>
        <w:tc>
          <w:tcPr>
            <w:tcW w:w="0" w:type="auto"/>
          </w:tcPr>
          <w:p>
            <w:pPr>
              <w:spacing w:line="240" w:lineRule="auto" w:before="0" w:after="0"/>
              <w:pStyle w:val="Compact"/>
            </w:pPr>
            <w:r>
              <w:rPr>
                <w:sz w:val="20"/>
                <w:szCs w:val="20"/>
              </w:rPr>
              <w:t xml:space="preserve">[9.6842, 14.581]</w:t>
            </w:r>
          </w:p>
        </w:tc>
      </w:tr>
      <w:tr>
        <w:tc>
          <w:tcPr>
            <w:tcW w:w="0" w:type="auto"/>
          </w:tcPr>
          <w:p>
            <w:pPr>
              <w:spacing w:line="240" w:lineRule="auto" w:before="0" w:after="0"/>
              <w:pStyle w:val="Compact"/>
            </w:pPr>
            <w:r>
              <w:rPr>
                <w:sz w:val="20"/>
                <w:szCs w:val="20"/>
              </w:rPr>
              <w:t xml:space="preserve">_ln_x</w:t>
            </w:r>
          </w:p>
        </w:tc>
        <w:tc>
          <w:tcPr>
            <w:tcW w:w="0" w:type="auto"/>
          </w:tcPr>
          <w:p>
            <w:pPr>
              <w:spacing w:line="240" w:lineRule="auto" w:before="0" w:after="0"/>
              <w:pStyle w:val="Compact"/>
            </w:pPr>
            <w:r>
              <w:rPr>
                <w:sz w:val="20"/>
                <w:szCs w:val="20"/>
              </w:rPr>
              <w:t xml:space="preserve">-0.3292</w:t>
            </w:r>
          </w:p>
        </w:tc>
        <w:tc>
          <w:tcPr>
            <w:tcW w:w="0" w:type="auto"/>
          </w:tcPr>
          <w:p>
            <w:pPr>
              <w:spacing w:line="240" w:lineRule="auto" w:before="0" w:after="0"/>
              <w:pStyle w:val="Compact"/>
            </w:pPr>
            <w:r>
              <w:rPr>
                <w:sz w:val="20"/>
                <w:szCs w:val="20"/>
              </w:rPr>
              <w:t xml:space="preserve">0.1575</w:t>
            </w:r>
          </w:p>
        </w:tc>
        <w:tc>
          <w:tcPr>
            <w:tcW w:w="0" w:type="auto"/>
          </w:tcPr>
          <w:p>
            <w:pPr>
              <w:spacing w:line="240" w:lineRule="auto" w:before="0" w:after="0"/>
              <w:pStyle w:val="Compact"/>
            </w:pPr>
            <w:r>
              <w:rPr>
                <w:sz w:val="20"/>
                <w:szCs w:val="20"/>
              </w:rPr>
              <w:t xml:space="preserve">-2.0903</w:t>
            </w:r>
          </w:p>
        </w:tc>
        <w:tc>
          <w:tcPr>
            <w:tcW w:w="0" w:type="auto"/>
          </w:tcPr>
          <w:p>
            <w:pPr>
              <w:spacing w:line="240" w:lineRule="auto" w:before="0" w:after="0"/>
              <w:pStyle w:val="Compact"/>
            </w:pPr>
            <w:r>
              <w:rPr>
                <w:sz w:val="20"/>
                <w:szCs w:val="20"/>
              </w:rPr>
              <w:t xml:space="preserve">0.0366</w:t>
            </w:r>
          </w:p>
        </w:tc>
        <w:tc>
          <w:tcPr>
            <w:tcW w:w="0" w:type="auto"/>
          </w:tcPr>
          <w:p>
            <w:pPr>
              <w:spacing w:line="240" w:lineRule="auto" w:before="0" w:after="0"/>
              <w:pStyle w:val="Compact"/>
            </w:pPr>
            <w:r>
              <w:rPr>
                <w:sz w:val="20"/>
                <w:szCs w:val="20"/>
              </w:rPr>
              <w:t xml:space="preserve">[-0.6379, -0.0205]</w:t>
            </w:r>
          </w:p>
        </w:tc>
      </w:tr>
    </w:tbl>
    <w:p>
      <w:pPr>
        <w:pStyle w:val="BodyText"/>
        <w:spacing w:line="480" w:lineRule="auto"/>
        <w:ind w:firstLine="720"/>
      </w:pPr>
      <w:r>
        <w:t xml:space="preserve">Fit: N = 38 R2 = 0.1217 elasticity_b = -0.3292 progress_ratio_2^b = 0.796</w:t>
      </w:r>
    </w:p>
    <w:bookmarkEnd w:id="255"/>
    <w:bookmarkStart w:id="259" w:name="figure"/>
    <w:p>
      <w:pPr>
        <w:pStyle w:val="Heading3"/>
        <w:spacing w:line="480" w:lineRule="auto"/>
      </w:pPr>
      <w:r>
        <w:t xml:space="preserve">Figure</w:t>
      </w:r>
    </w:p>
    <w:p>
      <w:pPr>
        <w:pStyle w:val="CaptionedFigure"/>
        <w:spacing w:line="480" w:lineRule="auto"/>
      </w:pPr>
      <w:r>
        <w:drawing>
          <wp:inline>
            <wp:extent cx="5669280" cy="3657600"/>
            <wp:effectExtent b="0" l="0" r="0" t="0"/>
            <wp:docPr descr="Figure A.1. Wright’s-law experience curve for orbital launch: log-log fit of cost per kilogram to LEO on cumulative worldwide launch experience across 38 vehicle introductions (1962-2019). The fitted elasticity beta = -0.33 (robust p = 0.04) implies a progress ratio of 0.80, about a 20 percent unit-cost decline per doubling of cumulative launch experience. Residual scatter (R-squared = 0.12) reflects genuine heterogeneity between small-lift and heavy-lift vehicles." title="" id="257" name="Picture"/>
            <a:graphic>
              <a:graphicData uri="http://schemas.openxmlformats.org/drawingml/2006/picture">
                <pic:pic>
                  <pic:nvPicPr>
                    <pic:cNvPr descr="D:/Claude_Code/brain/collegium/candidates/dissertations/GRAND_STRATEGY_CANON_01/research_papers/p1/paper_fig1.png" id="258" name="Picture"/>
                    <pic:cNvPicPr>
                      <a:picLocks noChangeArrowheads="1" noChangeAspect="1"/>
                    </pic:cNvPicPr>
                  </pic:nvPicPr>
                  <pic:blipFill>
                    <a:blip r:embed="rId256"/>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spacing w:line="480" w:lineRule="auto"/>
      </w:pPr>
      <w:r>
        <w:t xml:space="preserve">Figure A.1. Wright’s-law experience curve for orbital launch: log-log fit of cost per kilogram to LEO on cumulative worldwide launch experience across 38 vehicle introductions (1962-2019). The fitted elasticity beta = -0.33 (robust p = 0.04) implies a progress ratio of 0.80, about a 20 percent unit-cost decline per doubling of cumulative launch experience. Residual scatter (R-squared = 0.12) reflects genuine heterogeneity between small-lift and heavy-lift vehicles.</w:t>
      </w:r>
    </w:p>
    <w:bookmarkEnd w:id="259"/>
    <w:bookmarkStart w:id="260" w:name="data-real-observations"/>
    <w:p>
      <w:pPr>
        <w:pStyle w:val="Heading3"/>
        <w:spacing w:line="480" w:lineRule="auto"/>
      </w:pPr>
      <w:r>
        <w:t xml:space="preserve">Data (real observations)</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launch_vehicle</w:t>
            </w:r>
          </w:p>
        </w:tc>
        <w:tc>
          <w:tcPr>
            <w:tcW w:w="0" w:type="auto"/>
          </w:tcPr>
          <w:p>
            <w:pPr>
              <w:spacing w:line="240" w:lineRule="auto" w:before="0" w:after="0"/>
              <w:pStyle w:val="Compact"/>
            </w:pPr>
            <w:r>
              <w:rPr>
                <w:sz w:val="20"/>
                <w:szCs w:val="20"/>
              </w:rPr>
              <w:t xml:space="preserve">first_flight_year</w:t>
            </w:r>
          </w:p>
        </w:tc>
        <w:tc>
          <w:tcPr>
            <w:tcW w:w="0" w:type="auto"/>
          </w:tcPr>
          <w:p>
            <w:pPr>
              <w:spacing w:line="240" w:lineRule="auto" w:before="0" w:after="0"/>
              <w:pStyle w:val="Compact"/>
            </w:pPr>
            <w:r>
              <w:rPr>
                <w:sz w:val="20"/>
                <w:szCs w:val="20"/>
              </w:rPr>
              <w:t xml:space="preserve">cost_per_kg_leo_usd</w:t>
            </w:r>
          </w:p>
        </w:tc>
        <w:tc>
          <w:tcPr>
            <w:tcW w:w="0" w:type="auto"/>
          </w:tcPr>
          <w:p>
            <w:pPr>
              <w:spacing w:line="240" w:lineRule="auto" w:before="0" w:after="0"/>
              <w:pStyle w:val="Compact"/>
            </w:pPr>
            <w:r>
              <w:rPr>
                <w:sz w:val="20"/>
                <w:szCs w:val="20"/>
              </w:rPr>
              <w:t xml:space="preserve">cumulative_launches</w:t>
            </w:r>
          </w:p>
        </w:tc>
        <w:tc>
          <w:tcPr>
            <w:tcW w:w="0" w:type="auto"/>
          </w:tcPr>
          <w:p>
            <w:pPr>
              <w:spacing w:line="240" w:lineRule="auto" w:before="0" w:after="0"/>
              <w:pStyle w:val="Compact"/>
            </w:pPr>
            <w:r>
              <w:rPr>
                <w:sz w:val="20"/>
                <w:szCs w:val="20"/>
              </w:rPr>
              <w:t xml:space="preserve">provider_country</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Kosmos</w:t>
            </w:r>
          </w:p>
        </w:tc>
        <w:tc>
          <w:tcPr>
            <w:tcW w:w="0" w:type="auto"/>
          </w:tcPr>
          <w:p>
            <w:pPr>
              <w:spacing w:line="240" w:lineRule="auto" w:before="0" w:after="0"/>
              <w:pStyle w:val="Compact"/>
            </w:pPr>
            <w:r>
              <w:rPr>
                <w:sz w:val="20"/>
                <w:szCs w:val="20"/>
              </w:rPr>
              <w:t xml:space="preserve">1962</w:t>
            </w:r>
          </w:p>
        </w:tc>
        <w:tc>
          <w:tcPr>
            <w:tcW w:w="0" w:type="auto"/>
          </w:tcPr>
          <w:p>
            <w:pPr>
              <w:spacing w:line="240" w:lineRule="auto" w:before="0" w:after="0"/>
              <w:pStyle w:val="Compact"/>
            </w:pPr>
            <w:r>
              <w:rPr>
                <w:sz w:val="20"/>
                <w:szCs w:val="20"/>
              </w:rPr>
              <w:t xml:space="preserve">14900</w:t>
            </w:r>
          </w:p>
        </w:tc>
        <w:tc>
          <w:tcPr>
            <w:tcW w:w="0" w:type="auto"/>
          </w:tcPr>
          <w:p>
            <w:pPr>
              <w:spacing w:line="240" w:lineRule="auto" w:before="0" w:after="0"/>
              <w:pStyle w:val="Compact"/>
            </w:pPr>
            <w:r>
              <w:rPr>
                <w:sz w:val="20"/>
                <w:szCs w:val="20"/>
              </w:rPr>
              <w:t xml:space="preserve">224</w:t>
            </w:r>
          </w:p>
        </w:tc>
        <w:tc>
          <w:tcPr>
            <w:tcW w:w="0" w:type="auto"/>
          </w:tcPr>
          <w:p>
            <w:pPr>
              <w:spacing w:line="240" w:lineRule="auto" w:before="0" w:after="0"/>
              <w:pStyle w:val="Compact"/>
            </w:pPr>
            <w:r>
              <w:rPr>
                <w:sz w:val="20"/>
                <w:szCs w:val="20"/>
              </w:rPr>
              <w:t xml:space="preserve">USSR</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Centaur</w:t>
            </w:r>
          </w:p>
        </w:tc>
        <w:tc>
          <w:tcPr>
            <w:tcW w:w="0" w:type="auto"/>
          </w:tcPr>
          <w:p>
            <w:pPr>
              <w:spacing w:line="240" w:lineRule="auto" w:before="0" w:after="0"/>
              <w:pStyle w:val="Compact"/>
            </w:pPr>
            <w:r>
              <w:rPr>
                <w:sz w:val="20"/>
                <w:szCs w:val="20"/>
              </w:rPr>
              <w:t xml:space="preserve">1963</w:t>
            </w:r>
          </w:p>
        </w:tc>
        <w:tc>
          <w:tcPr>
            <w:tcW w:w="0" w:type="auto"/>
          </w:tcPr>
          <w:p>
            <w:pPr>
              <w:spacing w:line="240" w:lineRule="auto" w:before="0" w:after="0"/>
              <w:pStyle w:val="Compact"/>
            </w:pPr>
            <w:r>
              <w:rPr>
                <w:sz w:val="20"/>
                <w:szCs w:val="20"/>
              </w:rPr>
              <w:t xml:space="preserve">29500</w:t>
            </w:r>
          </w:p>
        </w:tc>
        <w:tc>
          <w:tcPr>
            <w:tcW w:w="0" w:type="auto"/>
          </w:tcPr>
          <w:p>
            <w:pPr>
              <w:spacing w:line="240" w:lineRule="auto" w:before="0" w:after="0"/>
              <w:pStyle w:val="Compact"/>
            </w:pPr>
            <w:r>
              <w:rPr>
                <w:sz w:val="20"/>
                <w:szCs w:val="20"/>
              </w:rPr>
              <w:t xml:space="preserve">294</w:t>
            </w:r>
          </w:p>
        </w:tc>
        <w:tc>
          <w:tcPr>
            <w:tcW w:w="0" w:type="auto"/>
          </w:tcPr>
          <w:p>
            <w:pPr>
              <w:spacing w:line="240" w:lineRule="auto" w:before="0" w:after="0"/>
              <w:pStyle w:val="Compact"/>
            </w:pPr>
            <w:r>
              <w:rPr>
                <w:sz w:val="20"/>
                <w:szCs w:val="20"/>
              </w:rPr>
              <w:t xml:space="preserve">United States (Convair/NASA)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II</w:t>
            </w:r>
          </w:p>
        </w:tc>
        <w:tc>
          <w:tcPr>
            <w:tcW w:w="0" w:type="auto"/>
          </w:tcPr>
          <w:p>
            <w:pPr>
              <w:spacing w:line="240" w:lineRule="auto" w:before="0" w:after="0"/>
              <w:pStyle w:val="Compact"/>
            </w:pPr>
            <w:r>
              <w:rPr>
                <w:sz w:val="20"/>
                <w:szCs w:val="20"/>
              </w:rPr>
              <w:t xml:space="preserve">1964</w:t>
            </w:r>
          </w:p>
        </w:tc>
        <w:tc>
          <w:tcPr>
            <w:tcW w:w="0" w:type="auto"/>
          </w:tcPr>
          <w:p>
            <w:pPr>
              <w:spacing w:line="240" w:lineRule="auto" w:before="0" w:after="0"/>
              <w:pStyle w:val="Compact"/>
            </w:pPr>
            <w:r>
              <w:rPr>
                <w:sz w:val="20"/>
                <w:szCs w:val="20"/>
              </w:rPr>
              <w:t xml:space="preserve">30600</w:t>
            </w:r>
          </w:p>
        </w:tc>
        <w:tc>
          <w:tcPr>
            <w:tcW w:w="0" w:type="auto"/>
          </w:tcPr>
          <w:p>
            <w:pPr>
              <w:spacing w:line="240" w:lineRule="auto" w:before="0" w:after="0"/>
              <w:pStyle w:val="Compact"/>
            </w:pPr>
            <w:r>
              <w:rPr>
                <w:sz w:val="20"/>
                <w:szCs w:val="20"/>
              </w:rPr>
              <w:t xml:space="preserve">395</w:t>
            </w:r>
          </w:p>
        </w:tc>
        <w:tc>
          <w:tcPr>
            <w:tcW w:w="0" w:type="auto"/>
          </w:tcPr>
          <w:p>
            <w:pPr>
              <w:spacing w:line="240" w:lineRule="auto" w:before="0" w:after="0"/>
              <w:pStyle w:val="Compact"/>
            </w:pPr>
            <w:r>
              <w:rPr>
                <w:sz w:val="20"/>
                <w:szCs w:val="20"/>
              </w:rPr>
              <w:t xml:space="preserve">United States (Martin/USAF)</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E</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177900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United States (Douglas/NASA)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Proton</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8200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USSR/Russia (Khrunichev)</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III+</w:t>
            </w:r>
          </w:p>
        </w:tc>
        <w:tc>
          <w:tcPr>
            <w:tcW w:w="0" w:type="auto"/>
          </w:tcPr>
          <w:p>
            <w:pPr>
              <w:spacing w:line="240" w:lineRule="auto" w:before="0" w:after="0"/>
              <w:pStyle w:val="Compact"/>
            </w:pPr>
            <w:r>
              <w:rPr>
                <w:sz w:val="20"/>
                <w:szCs w:val="20"/>
              </w:rPr>
              <w:t xml:space="preserve">1965</w:t>
            </w:r>
          </w:p>
        </w:tc>
        <w:tc>
          <w:tcPr>
            <w:tcW w:w="0" w:type="auto"/>
          </w:tcPr>
          <w:p>
            <w:pPr>
              <w:spacing w:line="240" w:lineRule="auto" w:before="0" w:after="0"/>
              <w:pStyle w:val="Compact"/>
            </w:pPr>
            <w:r>
              <w:rPr>
                <w:sz w:val="20"/>
                <w:szCs w:val="20"/>
              </w:rPr>
              <w:t xml:space="preserve">21000</w:t>
            </w:r>
          </w:p>
        </w:tc>
        <w:tc>
          <w:tcPr>
            <w:tcW w:w="0" w:type="auto"/>
          </w:tcPr>
          <w:p>
            <w:pPr>
              <w:spacing w:line="240" w:lineRule="auto" w:before="0" w:after="0"/>
              <w:pStyle w:val="Compact"/>
            </w:pPr>
            <w:r>
              <w:rPr>
                <w:sz w:val="20"/>
                <w:szCs w:val="20"/>
              </w:rPr>
              <w:t xml:space="preserve">521</w:t>
            </w:r>
          </w:p>
        </w:tc>
        <w:tc>
          <w:tcPr>
            <w:tcW w:w="0" w:type="auto"/>
          </w:tcPr>
          <w:p>
            <w:pPr>
              <w:spacing w:line="240" w:lineRule="auto" w:before="0" w:after="0"/>
              <w:pStyle w:val="Compact"/>
            </w:pPr>
            <w:r>
              <w:rPr>
                <w:sz w:val="20"/>
                <w:szCs w:val="20"/>
              </w:rPr>
              <w:t xml:space="preserve">United States (Martin)</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Soyuz</w:t>
            </w:r>
          </w:p>
        </w:tc>
        <w:tc>
          <w:tcPr>
            <w:tcW w:w="0" w:type="auto"/>
          </w:tcPr>
          <w:p>
            <w:pPr>
              <w:spacing w:line="240" w:lineRule="auto" w:before="0" w:after="0"/>
              <w:pStyle w:val="Compact"/>
            </w:pPr>
            <w:r>
              <w:rPr>
                <w:sz w:val="20"/>
                <w:szCs w:val="20"/>
              </w:rPr>
              <w:t xml:space="preserve">1966</w:t>
            </w:r>
          </w:p>
        </w:tc>
        <w:tc>
          <w:tcPr>
            <w:tcW w:w="0" w:type="auto"/>
          </w:tcPr>
          <w:p>
            <w:pPr>
              <w:spacing w:line="240" w:lineRule="auto" w:before="0" w:after="0"/>
              <w:pStyle w:val="Compact"/>
            </w:pPr>
            <w:r>
              <w:rPr>
                <w:sz w:val="20"/>
                <w:szCs w:val="20"/>
              </w:rPr>
              <w:t xml:space="preserve">17900</w:t>
            </w:r>
          </w:p>
        </w:tc>
        <w:tc>
          <w:tcPr>
            <w:tcW w:w="0" w:type="auto"/>
          </w:tcPr>
          <w:p>
            <w:pPr>
              <w:spacing w:line="240" w:lineRule="auto" w:before="0" w:after="0"/>
              <w:pStyle w:val="Compact"/>
            </w:pPr>
            <w:r>
              <w:rPr>
                <w:sz w:val="20"/>
                <w:szCs w:val="20"/>
              </w:rPr>
              <w:t xml:space="preserve">653</w:t>
            </w:r>
          </w:p>
        </w:tc>
        <w:tc>
          <w:tcPr>
            <w:tcW w:w="0" w:type="auto"/>
          </w:tcPr>
          <w:p>
            <w:pPr>
              <w:spacing w:line="240" w:lineRule="auto" w:before="0" w:after="0"/>
              <w:pStyle w:val="Compact"/>
            </w:pPr>
            <w:r>
              <w:rPr>
                <w:sz w:val="20"/>
                <w:szCs w:val="20"/>
              </w:rPr>
              <w:t xml:space="preserve">USSR/Russia (Progress)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R-36 / Cyclone</w:t>
            </w:r>
          </w:p>
        </w:tc>
        <w:tc>
          <w:tcPr>
            <w:tcW w:w="0" w:type="auto"/>
          </w:tcPr>
          <w:p>
            <w:pPr>
              <w:spacing w:line="240" w:lineRule="auto" w:before="0" w:after="0"/>
              <w:pStyle w:val="Compact"/>
            </w:pPr>
            <w:r>
              <w:rPr>
                <w:sz w:val="20"/>
                <w:szCs w:val="20"/>
              </w:rPr>
              <w:t xml:space="preserve">1966</w:t>
            </w:r>
          </w:p>
        </w:tc>
        <w:tc>
          <w:tcPr>
            <w:tcW w:w="0" w:type="auto"/>
          </w:tcPr>
          <w:p>
            <w:pPr>
              <w:spacing w:line="240" w:lineRule="auto" w:before="0" w:after="0"/>
              <w:pStyle w:val="Compact"/>
            </w:pPr>
            <w:r>
              <w:rPr>
                <w:sz w:val="20"/>
                <w:szCs w:val="20"/>
              </w:rPr>
              <w:t xml:space="preserve">8400</w:t>
            </w:r>
          </w:p>
        </w:tc>
        <w:tc>
          <w:tcPr>
            <w:tcW w:w="0" w:type="auto"/>
          </w:tcPr>
          <w:p>
            <w:pPr>
              <w:spacing w:line="240" w:lineRule="auto" w:before="0" w:after="0"/>
              <w:pStyle w:val="Compact"/>
            </w:pPr>
            <w:r>
              <w:rPr>
                <w:sz w:val="20"/>
                <w:szCs w:val="20"/>
              </w:rPr>
              <w:t xml:space="preserve">653</w:t>
            </w:r>
          </w:p>
        </w:tc>
        <w:tc>
          <w:tcPr>
            <w:tcW w:w="0" w:type="auto"/>
          </w:tcPr>
          <w:p>
            <w:pPr>
              <w:spacing w:line="240" w:lineRule="auto" w:before="0" w:after="0"/>
              <w:pStyle w:val="Compact"/>
            </w:pPr>
            <w:r>
              <w:rPr>
                <w:sz w:val="20"/>
                <w:szCs w:val="20"/>
              </w:rPr>
              <w:t xml:space="preserve">USSR (Yuzhnoye)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Saturn V</w:t>
            </w:r>
          </w:p>
        </w:tc>
        <w:tc>
          <w:tcPr>
            <w:tcW w:w="0" w:type="auto"/>
          </w:tcPr>
          <w:p>
            <w:pPr>
              <w:spacing w:line="240" w:lineRule="auto" w:before="0" w:after="0"/>
              <w:pStyle w:val="Compact"/>
            </w:pPr>
            <w:r>
              <w:rPr>
                <w:sz w:val="20"/>
                <w:szCs w:val="20"/>
              </w:rPr>
              <w:t xml:space="preserve">1967</w:t>
            </w:r>
          </w:p>
        </w:tc>
        <w:tc>
          <w:tcPr>
            <w:tcW w:w="0" w:type="auto"/>
          </w:tcPr>
          <w:p>
            <w:pPr>
              <w:spacing w:line="240" w:lineRule="auto" w:before="0" w:after="0"/>
              <w:pStyle w:val="Compact"/>
            </w:pPr>
            <w:r>
              <w:rPr>
                <w:sz w:val="20"/>
                <w:szCs w:val="20"/>
              </w:rPr>
              <w:t xml:space="preserve">5400</w:t>
            </w:r>
          </w:p>
        </w:tc>
        <w:tc>
          <w:tcPr>
            <w:tcW w:w="0" w:type="auto"/>
          </w:tcPr>
          <w:p>
            <w:pPr>
              <w:spacing w:line="240" w:lineRule="auto" w:before="0" w:after="0"/>
              <w:pStyle w:val="Compact"/>
            </w:pPr>
            <w:r>
              <w:rPr>
                <w:sz w:val="20"/>
                <w:szCs w:val="20"/>
              </w:rPr>
              <w:t xml:space="preserve">794</w:t>
            </w:r>
          </w:p>
        </w:tc>
        <w:tc>
          <w:tcPr>
            <w:tcW w:w="0" w:type="auto"/>
          </w:tcPr>
          <w:p>
            <w:pPr>
              <w:spacing w:line="240" w:lineRule="auto" w:before="0" w:after="0"/>
              <w:pStyle w:val="Compact"/>
            </w:pPr>
            <w:r>
              <w:rPr>
                <w:sz w:val="20"/>
                <w:szCs w:val="20"/>
              </w:rPr>
              <w:t xml:space="preserve">United States (NASA)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Scout</w:t>
            </w:r>
          </w:p>
        </w:tc>
        <w:tc>
          <w:tcPr>
            <w:tcW w:w="0" w:type="auto"/>
          </w:tcPr>
          <w:p>
            <w:pPr>
              <w:spacing w:line="240" w:lineRule="auto" w:before="0" w:after="0"/>
              <w:pStyle w:val="Compact"/>
            </w:pPr>
            <w:r>
              <w:rPr>
                <w:sz w:val="20"/>
                <w:szCs w:val="20"/>
              </w:rPr>
              <w:t xml:space="preserve">1967</w:t>
            </w:r>
          </w:p>
        </w:tc>
        <w:tc>
          <w:tcPr>
            <w:tcW w:w="0" w:type="auto"/>
          </w:tcPr>
          <w:p>
            <w:pPr>
              <w:spacing w:line="240" w:lineRule="auto" w:before="0" w:after="0"/>
              <w:pStyle w:val="Compact"/>
            </w:pPr>
            <w:r>
              <w:rPr>
                <w:sz w:val="20"/>
                <w:szCs w:val="20"/>
              </w:rPr>
              <w:t xml:space="preserve">118500</w:t>
            </w:r>
          </w:p>
        </w:tc>
        <w:tc>
          <w:tcPr>
            <w:tcW w:w="0" w:type="auto"/>
          </w:tcPr>
          <w:p>
            <w:pPr>
              <w:spacing w:line="240" w:lineRule="auto" w:before="0" w:after="0"/>
              <w:pStyle w:val="Compact"/>
            </w:pPr>
            <w:r>
              <w:rPr>
                <w:sz w:val="20"/>
                <w:szCs w:val="20"/>
              </w:rPr>
              <w:t xml:space="preserve">794</w:t>
            </w:r>
          </w:p>
        </w:tc>
        <w:tc>
          <w:tcPr>
            <w:tcW w:w="0" w:type="auto"/>
          </w:tcPr>
          <w:p>
            <w:pPr>
              <w:spacing w:line="240" w:lineRule="auto" w:before="0" w:after="0"/>
              <w:pStyle w:val="Compact"/>
            </w:pPr>
            <w:r>
              <w:rPr>
                <w:sz w:val="20"/>
                <w:szCs w:val="20"/>
              </w:rPr>
              <w:t xml:space="preserve">United States (LTV/NASA)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3000-Series</w:t>
            </w:r>
          </w:p>
        </w:tc>
        <w:tc>
          <w:tcPr>
            <w:tcW w:w="0" w:type="auto"/>
          </w:tcPr>
          <w:p>
            <w:pPr>
              <w:spacing w:line="240" w:lineRule="auto" w:before="0" w:after="0"/>
              <w:pStyle w:val="Compact"/>
            </w:pPr>
            <w:r>
              <w:rPr>
                <w:sz w:val="20"/>
                <w:szCs w:val="20"/>
              </w:rPr>
              <w:t xml:space="preserve">1975</w:t>
            </w:r>
          </w:p>
        </w:tc>
        <w:tc>
          <w:tcPr>
            <w:tcW w:w="0" w:type="auto"/>
          </w:tcPr>
          <w:p>
            <w:pPr>
              <w:spacing w:line="240" w:lineRule="auto" w:before="0" w:after="0"/>
              <w:pStyle w:val="Compact"/>
            </w:pPr>
            <w:r>
              <w:rPr>
                <w:sz w:val="20"/>
                <w:szCs w:val="20"/>
              </w:rPr>
              <w:t xml:space="preserve">21400</w:t>
            </w:r>
          </w:p>
        </w:tc>
        <w:tc>
          <w:tcPr>
            <w:tcW w:w="0" w:type="auto"/>
          </w:tcPr>
          <w:p>
            <w:pPr>
              <w:spacing w:line="240" w:lineRule="auto" w:before="0" w:after="0"/>
              <w:pStyle w:val="Compact"/>
            </w:pPr>
            <w:r>
              <w:rPr>
                <w:sz w:val="20"/>
                <w:szCs w:val="20"/>
              </w:rPr>
              <w:t xml:space="preserve">1781</w:t>
            </w:r>
          </w:p>
        </w:tc>
        <w:tc>
          <w:tcPr>
            <w:tcW w:w="0" w:type="auto"/>
          </w:tcPr>
          <w:p>
            <w:pPr>
              <w:spacing w:line="240" w:lineRule="auto" w:before="0" w:after="0"/>
              <w:pStyle w:val="Compact"/>
            </w:pPr>
            <w:r>
              <w:rPr>
                <w:sz w:val="20"/>
                <w:szCs w:val="20"/>
              </w:rPr>
              <w:t xml:space="preserve">United States (McDonnell Douglas)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2A</w:t>
            </w:r>
          </w:p>
        </w:tc>
        <w:tc>
          <w:tcPr>
            <w:tcW w:w="0" w:type="auto"/>
          </w:tcPr>
          <w:p>
            <w:pPr>
              <w:spacing w:line="240" w:lineRule="auto" w:before="0" w:after="0"/>
              <w:pStyle w:val="Compact"/>
            </w:pPr>
            <w:r>
              <w:rPr>
                <w:sz w:val="20"/>
                <w:szCs w:val="20"/>
              </w:rPr>
              <w:t xml:space="preserve">1975</w:t>
            </w:r>
          </w:p>
        </w:tc>
        <w:tc>
          <w:tcPr>
            <w:tcW w:w="0" w:type="auto"/>
          </w:tcPr>
          <w:p>
            <w:pPr>
              <w:spacing w:line="240" w:lineRule="auto" w:before="0" w:after="0"/>
              <w:pStyle w:val="Compact"/>
            </w:pPr>
            <w:r>
              <w:rPr>
                <w:sz w:val="20"/>
                <w:szCs w:val="20"/>
              </w:rPr>
              <w:t xml:space="preserve">17500</w:t>
            </w:r>
          </w:p>
        </w:tc>
        <w:tc>
          <w:tcPr>
            <w:tcW w:w="0" w:type="auto"/>
          </w:tcPr>
          <w:p>
            <w:pPr>
              <w:spacing w:line="240" w:lineRule="auto" w:before="0" w:after="0"/>
              <w:pStyle w:val="Compact"/>
            </w:pPr>
            <w:r>
              <w:rPr>
                <w:sz w:val="20"/>
                <w:szCs w:val="20"/>
              </w:rPr>
              <w:t xml:space="preserve">1781</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3910</w:t>
            </w:r>
          </w:p>
        </w:tc>
        <w:tc>
          <w:tcPr>
            <w:tcW w:w="0" w:type="auto"/>
          </w:tcPr>
          <w:p>
            <w:pPr>
              <w:spacing w:line="240" w:lineRule="auto" w:before="0" w:after="0"/>
              <w:pStyle w:val="Compact"/>
            </w:pPr>
            <w:r>
              <w:rPr>
                <w:sz w:val="20"/>
                <w:szCs w:val="20"/>
              </w:rPr>
              <w:t xml:space="preserve">1980</w:t>
            </w:r>
          </w:p>
        </w:tc>
        <w:tc>
          <w:tcPr>
            <w:tcW w:w="0" w:type="auto"/>
          </w:tcPr>
          <w:p>
            <w:pPr>
              <w:spacing w:line="240" w:lineRule="auto" w:before="0" w:after="0"/>
              <w:pStyle w:val="Compact"/>
            </w:pPr>
            <w:r>
              <w:rPr>
                <w:sz w:val="20"/>
                <w:szCs w:val="20"/>
              </w:rPr>
              <w:t xml:space="preserve">32800</w:t>
            </w:r>
          </w:p>
        </w:tc>
        <w:tc>
          <w:tcPr>
            <w:tcW w:w="0" w:type="auto"/>
          </w:tcPr>
          <w:p>
            <w:pPr>
              <w:spacing w:line="240" w:lineRule="auto" w:before="0" w:after="0"/>
              <w:pStyle w:val="Compact"/>
            </w:pPr>
            <w:r>
              <w:rPr>
                <w:sz w:val="20"/>
                <w:szCs w:val="20"/>
              </w:rPr>
              <w:t xml:space="preserve">2390</w:t>
            </w:r>
          </w:p>
        </w:tc>
        <w:tc>
          <w:tcPr>
            <w:tcW w:w="0" w:type="auto"/>
          </w:tcPr>
          <w:p>
            <w:pPr>
              <w:spacing w:line="240" w:lineRule="auto" w:before="0" w:after="0"/>
              <w:pStyle w:val="Compact"/>
            </w:pPr>
            <w:r>
              <w:rPr>
                <w:sz w:val="20"/>
                <w:szCs w:val="20"/>
              </w:rPr>
              <w:t xml:space="preserve">United States (McDonnell Douglas)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2C</w:t>
            </w:r>
          </w:p>
        </w:tc>
        <w:tc>
          <w:tcPr>
            <w:tcW w:w="0" w:type="auto"/>
          </w:tcPr>
          <w:p>
            <w:pPr>
              <w:spacing w:line="240" w:lineRule="auto" w:before="0" w:after="0"/>
              <w:pStyle w:val="Compact"/>
            </w:pPr>
            <w:r>
              <w:rPr>
                <w:sz w:val="20"/>
                <w:szCs w:val="20"/>
              </w:rPr>
              <w:t xml:space="preserve">1982</w:t>
            </w:r>
          </w:p>
        </w:tc>
        <w:tc>
          <w:tcPr>
            <w:tcW w:w="0" w:type="auto"/>
          </w:tcPr>
          <w:p>
            <w:pPr>
              <w:spacing w:line="240" w:lineRule="auto" w:before="0" w:after="0"/>
              <w:pStyle w:val="Compact"/>
            </w:pPr>
            <w:r>
              <w:rPr>
                <w:sz w:val="20"/>
                <w:szCs w:val="20"/>
              </w:rPr>
              <w:t xml:space="preserve">8300</w:t>
            </w:r>
          </w:p>
        </w:tc>
        <w:tc>
          <w:tcPr>
            <w:tcW w:w="0" w:type="auto"/>
          </w:tcPr>
          <w:p>
            <w:pPr>
              <w:spacing w:line="240" w:lineRule="auto" w:before="0" w:after="0"/>
              <w:pStyle w:val="Compact"/>
            </w:pPr>
            <w:r>
              <w:rPr>
                <w:sz w:val="20"/>
                <w:szCs w:val="20"/>
              </w:rPr>
              <w:t xml:space="preserve">2645</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Zenit 2</w:t>
            </w:r>
          </w:p>
        </w:tc>
        <w:tc>
          <w:tcPr>
            <w:tcW w:w="0" w:type="auto"/>
          </w:tcPr>
          <w:p>
            <w:pPr>
              <w:spacing w:line="240" w:lineRule="auto" w:before="0" w:after="0"/>
              <w:pStyle w:val="Compact"/>
            </w:pPr>
            <w:r>
              <w:rPr>
                <w:sz w:val="20"/>
                <w:szCs w:val="20"/>
              </w:rPr>
              <w:t xml:space="preserve">1985</w:t>
            </w:r>
          </w:p>
        </w:tc>
        <w:tc>
          <w:tcPr>
            <w:tcW w:w="0" w:type="auto"/>
          </w:tcPr>
          <w:p>
            <w:pPr>
              <w:spacing w:line="240" w:lineRule="auto" w:before="0" w:after="0"/>
              <w:pStyle w:val="Compact"/>
            </w:pPr>
            <w:r>
              <w:rPr>
                <w:sz w:val="20"/>
                <w:szCs w:val="20"/>
              </w:rPr>
              <w:t xml:space="preserve">5100</w:t>
            </w:r>
          </w:p>
        </w:tc>
        <w:tc>
          <w:tcPr>
            <w:tcW w:w="0" w:type="auto"/>
          </w:tcPr>
          <w:p>
            <w:pPr>
              <w:spacing w:line="240" w:lineRule="auto" w:before="0" w:after="0"/>
              <w:pStyle w:val="Compact"/>
            </w:pPr>
            <w:r>
              <w:rPr>
                <w:sz w:val="20"/>
                <w:szCs w:val="20"/>
              </w:rPr>
              <w:t xml:space="preserve">3028</w:t>
            </w:r>
          </w:p>
        </w:tc>
        <w:tc>
          <w:tcPr>
            <w:tcW w:w="0" w:type="auto"/>
          </w:tcPr>
          <w:p>
            <w:pPr>
              <w:spacing w:line="240" w:lineRule="auto" w:before="0" w:after="0"/>
              <w:pStyle w:val="Compact"/>
            </w:pPr>
            <w:r>
              <w:rPr>
                <w:sz w:val="20"/>
                <w:szCs w:val="20"/>
              </w:rPr>
              <w:t xml:space="preserve">USSR/Ukraine (Yuzhnoye)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Ariane 44</w:t>
            </w:r>
          </w:p>
        </w:tc>
        <w:tc>
          <w:tcPr>
            <w:tcW w:w="0" w:type="auto"/>
          </w:tcPr>
          <w:p>
            <w:pPr>
              <w:spacing w:line="240" w:lineRule="auto" w:before="0" w:after="0"/>
              <w:pStyle w:val="Compact"/>
            </w:pPr>
            <w:r>
              <w:rPr>
                <w:sz w:val="20"/>
                <w:szCs w:val="20"/>
              </w:rPr>
              <w:t xml:space="preserve">1988</w:t>
            </w:r>
          </w:p>
        </w:tc>
        <w:tc>
          <w:tcPr>
            <w:tcW w:w="0" w:type="auto"/>
          </w:tcPr>
          <w:p>
            <w:pPr>
              <w:spacing w:line="240" w:lineRule="auto" w:before="0" w:after="0"/>
              <w:pStyle w:val="Compact"/>
            </w:pPr>
            <w:r>
              <w:rPr>
                <w:sz w:val="20"/>
                <w:szCs w:val="20"/>
              </w:rPr>
              <w:t xml:space="preserve">18300</w:t>
            </w:r>
          </w:p>
        </w:tc>
        <w:tc>
          <w:tcPr>
            <w:tcW w:w="0" w:type="auto"/>
          </w:tcPr>
          <w:p>
            <w:pPr>
              <w:spacing w:line="240" w:lineRule="auto" w:before="0" w:after="0"/>
              <w:pStyle w:val="Compact"/>
            </w:pPr>
            <w:r>
              <w:rPr>
                <w:sz w:val="20"/>
                <w:szCs w:val="20"/>
              </w:rPr>
              <w:t xml:space="preserve">3373</w:t>
            </w:r>
          </w:p>
        </w:tc>
        <w:tc>
          <w:tcPr>
            <w:tcW w:w="0" w:type="auto"/>
          </w:tcPr>
          <w:p>
            <w:pPr>
              <w:spacing w:line="240" w:lineRule="auto" w:before="0" w:after="0"/>
              <w:pStyle w:val="Compact"/>
            </w:pPr>
            <w:r>
              <w:rPr>
                <w:sz w:val="20"/>
                <w:szCs w:val="20"/>
              </w:rPr>
              <w:t xml:space="preserve">Europe (Arianespace)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Titan IV</w:t>
            </w:r>
          </w:p>
        </w:tc>
        <w:tc>
          <w:tcPr>
            <w:tcW w:w="0" w:type="auto"/>
          </w:tcPr>
          <w:p>
            <w:pPr>
              <w:spacing w:line="240" w:lineRule="auto" w:before="0" w:after="0"/>
              <w:pStyle w:val="Compact"/>
            </w:pPr>
            <w:r>
              <w:rPr>
                <w:sz w:val="20"/>
                <w:szCs w:val="20"/>
              </w:rPr>
              <w:t xml:space="preserve">1989</w:t>
            </w:r>
          </w:p>
        </w:tc>
        <w:tc>
          <w:tcPr>
            <w:tcW w:w="0" w:type="auto"/>
          </w:tcPr>
          <w:p>
            <w:pPr>
              <w:spacing w:line="240" w:lineRule="auto" w:before="0" w:after="0"/>
              <w:pStyle w:val="Compact"/>
            </w:pPr>
            <w:r>
              <w:rPr>
                <w:sz w:val="20"/>
                <w:szCs w:val="20"/>
              </w:rPr>
              <w:t xml:space="preserve">30800</w:t>
            </w:r>
          </w:p>
        </w:tc>
        <w:tc>
          <w:tcPr>
            <w:tcW w:w="0" w:type="auto"/>
          </w:tcPr>
          <w:p>
            <w:pPr>
              <w:spacing w:line="240" w:lineRule="auto" w:before="0" w:after="0"/>
              <w:pStyle w:val="Compact"/>
            </w:pPr>
            <w:r>
              <w:rPr>
                <w:sz w:val="20"/>
                <w:szCs w:val="20"/>
              </w:rPr>
              <w:t xml:space="preserve">3475</w:t>
            </w:r>
          </w:p>
        </w:tc>
        <w:tc>
          <w:tcPr>
            <w:tcW w:w="0" w:type="auto"/>
          </w:tcPr>
          <w:p>
            <w:pPr>
              <w:spacing w:line="240" w:lineRule="auto" w:before="0" w:after="0"/>
              <w:pStyle w:val="Compact"/>
            </w:pPr>
            <w:r>
              <w:rPr>
                <w:sz w:val="20"/>
                <w:szCs w:val="20"/>
              </w:rPr>
              <w:t xml:space="preserve">United States (Lockheed Martin)</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Pegasus</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41100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United States (Orbital Sciences)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II</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38800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United States (McDonnell Douglas/Boeing)</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2E</w:t>
            </w:r>
          </w:p>
        </w:tc>
        <w:tc>
          <w:tcPr>
            <w:tcW w:w="0" w:type="auto"/>
          </w:tcPr>
          <w:p>
            <w:pPr>
              <w:spacing w:line="240" w:lineRule="auto" w:before="0" w:after="0"/>
              <w:pStyle w:val="Compact"/>
            </w:pPr>
            <w:r>
              <w:rPr>
                <w:sz w:val="20"/>
                <w:szCs w:val="20"/>
              </w:rPr>
              <w:t xml:space="preserve">1990</w:t>
            </w:r>
          </w:p>
        </w:tc>
        <w:tc>
          <w:tcPr>
            <w:tcW w:w="0" w:type="auto"/>
          </w:tcPr>
          <w:p>
            <w:pPr>
              <w:spacing w:line="240" w:lineRule="auto" w:before="0" w:after="0"/>
              <w:pStyle w:val="Compact"/>
            </w:pPr>
            <w:r>
              <w:rPr>
                <w:sz w:val="20"/>
                <w:szCs w:val="20"/>
              </w:rPr>
              <w:t xml:space="preserve">9900</w:t>
            </w:r>
          </w:p>
        </w:tc>
        <w:tc>
          <w:tcPr>
            <w:tcW w:w="0" w:type="auto"/>
          </w:tcPr>
          <w:p>
            <w:pPr>
              <w:spacing w:line="240" w:lineRule="auto" w:before="0" w:after="0"/>
              <w:pStyle w:val="Compact"/>
            </w:pPr>
            <w:r>
              <w:rPr>
                <w:sz w:val="20"/>
                <w:szCs w:val="20"/>
              </w:rPr>
              <w:t xml:space="preserve">3596</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II</w:t>
            </w:r>
          </w:p>
        </w:tc>
        <w:tc>
          <w:tcPr>
            <w:tcW w:w="0" w:type="auto"/>
          </w:tcPr>
          <w:p>
            <w:pPr>
              <w:spacing w:line="240" w:lineRule="auto" w:before="0" w:after="0"/>
              <w:pStyle w:val="Compact"/>
            </w:pPr>
            <w:r>
              <w:rPr>
                <w:sz w:val="20"/>
                <w:szCs w:val="20"/>
              </w:rPr>
              <w:t xml:space="preserve">1991</w:t>
            </w:r>
          </w:p>
        </w:tc>
        <w:tc>
          <w:tcPr>
            <w:tcW w:w="0" w:type="auto"/>
          </w:tcPr>
          <w:p>
            <w:pPr>
              <w:spacing w:line="240" w:lineRule="auto" w:before="0" w:after="0"/>
              <w:pStyle w:val="Compact"/>
            </w:pPr>
            <w:r>
              <w:rPr>
                <w:sz w:val="20"/>
                <w:szCs w:val="20"/>
              </w:rPr>
              <w:t xml:space="preserve">18700</w:t>
            </w:r>
          </w:p>
        </w:tc>
        <w:tc>
          <w:tcPr>
            <w:tcW w:w="0" w:type="auto"/>
          </w:tcPr>
          <w:p>
            <w:pPr>
              <w:spacing w:line="240" w:lineRule="auto" w:before="0" w:after="0"/>
              <w:pStyle w:val="Compact"/>
            </w:pPr>
            <w:r>
              <w:rPr>
                <w:sz w:val="20"/>
                <w:szCs w:val="20"/>
              </w:rPr>
              <w:t xml:space="preserve">3687</w:t>
            </w:r>
          </w:p>
        </w:tc>
        <w:tc>
          <w:tcPr>
            <w:tcW w:w="0" w:type="auto"/>
          </w:tcPr>
          <w:p>
            <w:pPr>
              <w:spacing w:line="240" w:lineRule="auto" w:before="0" w:after="0"/>
              <w:pStyle w:val="Compact"/>
            </w:pPr>
            <w:r>
              <w:rPr>
                <w:sz w:val="20"/>
                <w:szCs w:val="20"/>
              </w:rPr>
              <w:t xml:space="preserve">United States (General Dynamics)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2D</w:t>
            </w:r>
          </w:p>
        </w:tc>
        <w:tc>
          <w:tcPr>
            <w:tcW w:w="0" w:type="auto"/>
          </w:tcPr>
          <w:p>
            <w:pPr>
              <w:spacing w:line="240" w:lineRule="auto" w:before="0" w:after="0"/>
              <w:pStyle w:val="Compact"/>
            </w:pPr>
            <w:r>
              <w:rPr>
                <w:sz w:val="20"/>
                <w:szCs w:val="20"/>
              </w:rPr>
              <w:t xml:space="preserve">1992</w:t>
            </w:r>
          </w:p>
        </w:tc>
        <w:tc>
          <w:tcPr>
            <w:tcW w:w="0" w:type="auto"/>
          </w:tcPr>
          <w:p>
            <w:pPr>
              <w:spacing w:line="240" w:lineRule="auto" w:before="0" w:after="0"/>
              <w:pStyle w:val="Compact"/>
            </w:pPr>
            <w:r>
              <w:rPr>
                <w:sz w:val="20"/>
                <w:szCs w:val="20"/>
              </w:rPr>
              <w:t xml:space="preserve">9100</w:t>
            </w:r>
          </w:p>
        </w:tc>
        <w:tc>
          <w:tcPr>
            <w:tcW w:w="0" w:type="auto"/>
          </w:tcPr>
          <w:p>
            <w:pPr>
              <w:spacing w:line="240" w:lineRule="auto" w:before="0" w:after="0"/>
              <w:pStyle w:val="Compact"/>
            </w:pPr>
            <w:r>
              <w:rPr>
                <w:sz w:val="20"/>
                <w:szCs w:val="20"/>
              </w:rPr>
              <w:t xml:space="preserve">3784</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PSLV</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8500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India (ISRO)</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H-II</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10500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Japan (NASDA/Mitsubishi)</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3A</w:t>
            </w:r>
          </w:p>
        </w:tc>
        <w:tc>
          <w:tcPr>
            <w:tcW w:w="0" w:type="auto"/>
          </w:tcPr>
          <w:p>
            <w:pPr>
              <w:spacing w:line="240" w:lineRule="auto" w:before="0" w:after="0"/>
              <w:pStyle w:val="Compact"/>
            </w:pPr>
            <w:r>
              <w:rPr>
                <w:sz w:val="20"/>
                <w:szCs w:val="20"/>
              </w:rPr>
              <w:t xml:space="preserve">1994</w:t>
            </w:r>
          </w:p>
        </w:tc>
        <w:tc>
          <w:tcPr>
            <w:tcW w:w="0" w:type="auto"/>
          </w:tcPr>
          <w:p>
            <w:pPr>
              <w:spacing w:line="240" w:lineRule="auto" w:before="0" w:after="0"/>
              <w:pStyle w:val="Compact"/>
            </w:pPr>
            <w:r>
              <w:rPr>
                <w:sz w:val="20"/>
                <w:szCs w:val="20"/>
              </w:rPr>
              <w:t xml:space="preserve">8700</w:t>
            </w:r>
          </w:p>
        </w:tc>
        <w:tc>
          <w:tcPr>
            <w:tcW w:w="0" w:type="auto"/>
          </w:tcPr>
          <w:p>
            <w:pPr>
              <w:spacing w:line="240" w:lineRule="auto" w:before="0" w:after="0"/>
              <w:pStyle w:val="Compact"/>
            </w:pPr>
            <w:r>
              <w:rPr>
                <w:sz w:val="20"/>
                <w:szCs w:val="20"/>
              </w:rPr>
              <w:t xml:space="preserve">3960</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M-V</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45800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Japan (ISAS)</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3B</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6200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Ariane 5G</w:t>
            </w:r>
          </w:p>
        </w:tc>
        <w:tc>
          <w:tcPr>
            <w:tcW w:w="0" w:type="auto"/>
          </w:tcPr>
          <w:p>
            <w:pPr>
              <w:spacing w:line="240" w:lineRule="auto" w:before="0" w:after="0"/>
              <w:pStyle w:val="Compact"/>
            </w:pPr>
            <w:r>
              <w:rPr>
                <w:sz w:val="20"/>
                <w:szCs w:val="20"/>
              </w:rPr>
              <w:t xml:space="preserve">1997</w:t>
            </w:r>
          </w:p>
        </w:tc>
        <w:tc>
          <w:tcPr>
            <w:tcW w:w="0" w:type="auto"/>
          </w:tcPr>
          <w:p>
            <w:pPr>
              <w:spacing w:line="240" w:lineRule="auto" w:before="0" w:after="0"/>
              <w:pStyle w:val="Compact"/>
            </w:pPr>
            <w:r>
              <w:rPr>
                <w:sz w:val="20"/>
                <w:szCs w:val="20"/>
              </w:rPr>
              <w:t xml:space="preserve">10200</w:t>
            </w:r>
          </w:p>
        </w:tc>
        <w:tc>
          <w:tcPr>
            <w:tcW w:w="0" w:type="auto"/>
          </w:tcPr>
          <w:p>
            <w:pPr>
              <w:spacing w:line="240" w:lineRule="auto" w:before="0" w:after="0"/>
              <w:pStyle w:val="Compact"/>
            </w:pPr>
            <w:r>
              <w:rPr>
                <w:sz w:val="20"/>
                <w:szCs w:val="20"/>
              </w:rPr>
              <w:t xml:space="preserve">4207</w:t>
            </w:r>
          </w:p>
        </w:tc>
        <w:tc>
          <w:tcPr>
            <w:tcW w:w="0" w:type="auto"/>
          </w:tcPr>
          <w:p>
            <w:pPr>
              <w:spacing w:line="240" w:lineRule="auto" w:before="0" w:after="0"/>
              <w:pStyle w:val="Compact"/>
            </w:pPr>
            <w:r>
              <w:rPr>
                <w:sz w:val="20"/>
                <w:szCs w:val="20"/>
              </w:rPr>
              <w:t xml:space="preserve">Europe (Arianespace)</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III</w:t>
            </w:r>
          </w:p>
        </w:tc>
        <w:tc>
          <w:tcPr>
            <w:tcW w:w="0" w:type="auto"/>
          </w:tcPr>
          <w:p>
            <w:pPr>
              <w:spacing w:line="240" w:lineRule="auto" w:before="0" w:after="0"/>
              <w:pStyle w:val="Compact"/>
            </w:pPr>
            <w:r>
              <w:rPr>
                <w:sz w:val="20"/>
                <w:szCs w:val="20"/>
              </w:rPr>
              <w:t xml:space="preserve">1999</w:t>
            </w:r>
          </w:p>
        </w:tc>
        <w:tc>
          <w:tcPr>
            <w:tcW w:w="0" w:type="auto"/>
          </w:tcPr>
          <w:p>
            <w:pPr>
              <w:spacing w:line="240" w:lineRule="auto" w:before="0" w:after="0"/>
              <w:pStyle w:val="Compact"/>
            </w:pPr>
            <w:r>
              <w:rPr>
                <w:sz w:val="20"/>
                <w:szCs w:val="20"/>
              </w:rPr>
              <w:t xml:space="preserve">18000</w:t>
            </w:r>
          </w:p>
        </w:tc>
        <w:tc>
          <w:tcPr>
            <w:tcW w:w="0" w:type="auto"/>
          </w:tcPr>
          <w:p>
            <w:pPr>
              <w:spacing w:line="240" w:lineRule="auto" w:before="0" w:after="0"/>
              <w:pStyle w:val="Compact"/>
            </w:pPr>
            <w:r>
              <w:rPr>
                <w:sz w:val="20"/>
                <w:szCs w:val="20"/>
              </w:rPr>
              <w:t xml:space="preserve">4367</w:t>
            </w:r>
          </w:p>
        </w:tc>
        <w:tc>
          <w:tcPr>
            <w:tcW w:w="0" w:type="auto"/>
          </w:tcPr>
          <w:p>
            <w:pPr>
              <w:spacing w:line="240" w:lineRule="auto" w:before="0" w:after="0"/>
              <w:pStyle w:val="Compact"/>
            </w:pPr>
            <w:r>
              <w:rPr>
                <w:sz w:val="20"/>
                <w:szCs w:val="20"/>
              </w:rPr>
              <w:t xml:space="preserve">United States (Boeing)</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Atlas V</w:t>
            </w:r>
          </w:p>
        </w:tc>
        <w:tc>
          <w:tcPr>
            <w:tcW w:w="0" w:type="auto"/>
          </w:tcPr>
          <w:p>
            <w:pPr>
              <w:spacing w:line="240" w:lineRule="auto" w:before="0" w:after="0"/>
              <w:pStyle w:val="Compact"/>
            </w:pPr>
            <w:r>
              <w:rPr>
                <w:sz w:val="20"/>
                <w:szCs w:val="20"/>
              </w:rPr>
              <w:t xml:space="preserve">2002</w:t>
            </w:r>
          </w:p>
        </w:tc>
        <w:tc>
          <w:tcPr>
            <w:tcW w:w="0" w:type="auto"/>
          </w:tcPr>
          <w:p>
            <w:pPr>
              <w:spacing w:line="240" w:lineRule="auto" w:before="0" w:after="0"/>
              <w:pStyle w:val="Compact"/>
            </w:pPr>
            <w:r>
              <w:rPr>
                <w:sz w:val="20"/>
                <w:szCs w:val="20"/>
              </w:rPr>
              <w:t xml:space="preserve">8100</w:t>
            </w:r>
          </w:p>
        </w:tc>
        <w:tc>
          <w:tcPr>
            <w:tcW w:w="0" w:type="auto"/>
          </w:tcPr>
          <w:p>
            <w:pPr>
              <w:spacing w:line="240" w:lineRule="auto" w:before="0" w:after="0"/>
              <w:pStyle w:val="Compact"/>
            </w:pPr>
            <w:r>
              <w:rPr>
                <w:sz w:val="20"/>
                <w:szCs w:val="20"/>
              </w:rPr>
              <w:t xml:space="preserve">4576</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IV</w:t>
            </w:r>
          </w:p>
        </w:tc>
        <w:tc>
          <w:tcPr>
            <w:tcW w:w="0" w:type="auto"/>
          </w:tcPr>
          <w:p>
            <w:pPr>
              <w:spacing w:line="240" w:lineRule="auto" w:before="0" w:after="0"/>
              <w:pStyle w:val="Compact"/>
            </w:pPr>
            <w:r>
              <w:rPr>
                <w:sz w:val="20"/>
                <w:szCs w:val="20"/>
              </w:rPr>
              <w:t xml:space="preserve">2002</w:t>
            </w:r>
          </w:p>
        </w:tc>
        <w:tc>
          <w:tcPr>
            <w:tcW w:w="0" w:type="auto"/>
          </w:tcPr>
          <w:p>
            <w:pPr>
              <w:spacing w:line="240" w:lineRule="auto" w:before="0" w:after="0"/>
              <w:pStyle w:val="Compact"/>
            </w:pPr>
            <w:r>
              <w:rPr>
                <w:sz w:val="20"/>
                <w:szCs w:val="20"/>
              </w:rPr>
              <w:t xml:space="preserve">10400</w:t>
            </w:r>
          </w:p>
        </w:tc>
        <w:tc>
          <w:tcPr>
            <w:tcW w:w="0" w:type="auto"/>
          </w:tcPr>
          <w:p>
            <w:pPr>
              <w:spacing w:line="240" w:lineRule="auto" w:before="0" w:after="0"/>
              <w:pStyle w:val="Compact"/>
            </w:pPr>
            <w:r>
              <w:rPr>
                <w:sz w:val="20"/>
                <w:szCs w:val="20"/>
              </w:rPr>
              <w:t xml:space="preserve">4576</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Delta IV Heavy</w:t>
            </w:r>
          </w:p>
        </w:tc>
        <w:tc>
          <w:tcPr>
            <w:tcW w:w="0" w:type="auto"/>
          </w:tcPr>
          <w:p>
            <w:pPr>
              <w:spacing w:line="240" w:lineRule="auto" w:before="0" w:after="0"/>
              <w:pStyle w:val="Compact"/>
            </w:pPr>
            <w:r>
              <w:rPr>
                <w:sz w:val="20"/>
                <w:szCs w:val="20"/>
              </w:rPr>
              <w:t xml:space="preserve">2004</w:t>
            </w:r>
          </w:p>
        </w:tc>
        <w:tc>
          <w:tcPr>
            <w:tcW w:w="0" w:type="auto"/>
          </w:tcPr>
          <w:p>
            <w:pPr>
              <w:spacing w:line="240" w:lineRule="auto" w:before="0" w:after="0"/>
              <w:pStyle w:val="Compact"/>
            </w:pPr>
            <w:r>
              <w:rPr>
                <w:sz w:val="20"/>
                <w:szCs w:val="20"/>
              </w:rPr>
              <w:t xml:space="preserve">11600</w:t>
            </w:r>
          </w:p>
        </w:tc>
        <w:tc>
          <w:tcPr>
            <w:tcW w:w="0" w:type="auto"/>
          </w:tcPr>
          <w:p>
            <w:pPr>
              <w:spacing w:line="240" w:lineRule="auto" w:before="0" w:after="0"/>
              <w:pStyle w:val="Compact"/>
            </w:pPr>
            <w:r>
              <w:rPr>
                <w:sz w:val="20"/>
                <w:szCs w:val="20"/>
              </w:rPr>
              <w:t xml:space="preserve">4694</w:t>
            </w:r>
          </w:p>
        </w:tc>
        <w:tc>
          <w:tcPr>
            <w:tcW w:w="0" w:type="auto"/>
          </w:tcPr>
          <w:p>
            <w:pPr>
              <w:spacing w:line="240" w:lineRule="auto" w:before="0" w:after="0"/>
              <w:pStyle w:val="Compact"/>
            </w:pPr>
            <w:r>
              <w:rPr>
                <w:sz w:val="20"/>
                <w:szCs w:val="20"/>
              </w:rPr>
              <w:t xml:space="preserve">United States (ULA)</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Falcon 9</w:t>
            </w:r>
          </w:p>
        </w:tc>
        <w:tc>
          <w:tcPr>
            <w:tcW w:w="0" w:type="auto"/>
          </w:tcPr>
          <w:p>
            <w:pPr>
              <w:spacing w:line="240" w:lineRule="auto" w:before="0" w:after="0"/>
              <w:pStyle w:val="Compact"/>
            </w:pPr>
            <w:r>
              <w:rPr>
                <w:sz w:val="20"/>
                <w:szCs w:val="20"/>
              </w:rPr>
              <w:t xml:space="preserve">2010</w:t>
            </w:r>
          </w:p>
        </w:tc>
        <w:tc>
          <w:tcPr>
            <w:tcW w:w="0" w:type="auto"/>
          </w:tcPr>
          <w:p>
            <w:pPr>
              <w:spacing w:line="240" w:lineRule="auto" w:before="0" w:after="0"/>
              <w:pStyle w:val="Compact"/>
            </w:pPr>
            <w:r>
              <w:rPr>
                <w:sz w:val="20"/>
                <w:szCs w:val="20"/>
              </w:rPr>
              <w:t xml:space="preserve">2600</w:t>
            </w:r>
          </w:p>
        </w:tc>
        <w:tc>
          <w:tcPr>
            <w:tcW w:w="0" w:type="auto"/>
          </w:tcPr>
          <w:p>
            <w:pPr>
              <w:spacing w:line="240" w:lineRule="auto" w:before="0" w:after="0"/>
              <w:pStyle w:val="Compact"/>
            </w:pPr>
            <w:r>
              <w:rPr>
                <w:sz w:val="20"/>
                <w:szCs w:val="20"/>
              </w:rPr>
              <w:t xml:space="preserve">5105</w:t>
            </w:r>
          </w:p>
        </w:tc>
        <w:tc>
          <w:tcPr>
            <w:tcW w:w="0" w:type="auto"/>
          </w:tcPr>
          <w:p>
            <w:pPr>
              <w:spacing w:line="240" w:lineRule="auto" w:before="0" w:after="0"/>
              <w:pStyle w:val="Compact"/>
            </w:pPr>
            <w:r>
              <w:rPr>
                <w:sz w:val="20"/>
                <w:szCs w:val="20"/>
              </w:rPr>
              <w:t xml:space="preserve">United States (SpaceX)</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Vega</w:t>
            </w:r>
          </w:p>
        </w:tc>
        <w:tc>
          <w:tcPr>
            <w:tcW w:w="0" w:type="auto"/>
          </w:tcPr>
          <w:p>
            <w:pPr>
              <w:spacing w:line="240" w:lineRule="auto" w:before="0" w:after="0"/>
              <w:pStyle w:val="Compact"/>
            </w:pPr>
            <w:r>
              <w:rPr>
                <w:sz w:val="20"/>
                <w:szCs w:val="20"/>
              </w:rPr>
              <w:t xml:space="preserve">2012</w:t>
            </w:r>
          </w:p>
        </w:tc>
        <w:tc>
          <w:tcPr>
            <w:tcW w:w="0" w:type="auto"/>
          </w:tcPr>
          <w:p>
            <w:pPr>
              <w:spacing w:line="240" w:lineRule="auto" w:before="0" w:after="0"/>
              <w:pStyle w:val="Compact"/>
            </w:pPr>
            <w:r>
              <w:rPr>
                <w:sz w:val="20"/>
                <w:szCs w:val="20"/>
              </w:rPr>
              <w:t xml:space="preserve">20000</w:t>
            </w:r>
          </w:p>
        </w:tc>
        <w:tc>
          <w:tcPr>
            <w:tcW w:w="0" w:type="auto"/>
          </w:tcPr>
          <w:p>
            <w:pPr>
              <w:spacing w:line="240" w:lineRule="auto" w:before="0" w:after="0"/>
              <w:pStyle w:val="Compact"/>
            </w:pPr>
            <w:r>
              <w:rPr>
                <w:sz w:val="20"/>
                <w:szCs w:val="20"/>
              </w:rPr>
              <w:t xml:space="preserve">5267</w:t>
            </w:r>
          </w:p>
        </w:tc>
        <w:tc>
          <w:tcPr>
            <w:tcW w:w="0" w:type="auto"/>
          </w:tcPr>
          <w:p>
            <w:pPr>
              <w:spacing w:line="240" w:lineRule="auto" w:before="0" w:after="0"/>
              <w:pStyle w:val="Compact"/>
            </w:pPr>
            <w:r>
              <w:rPr>
                <w:sz w:val="20"/>
                <w:szCs w:val="20"/>
              </w:rPr>
              <w:t xml:space="preserve">Europe (Arianespace/Avio)</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5</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7900</w:t>
            </w:r>
          </w:p>
        </w:tc>
        <w:tc>
          <w:tcPr>
            <w:tcW w:w="0" w:type="auto"/>
          </w:tcPr>
          <w:p>
            <w:pPr>
              <w:spacing w:line="240" w:lineRule="auto" w:before="0" w:after="0"/>
              <w:pStyle w:val="Compact"/>
            </w:pPr>
            <w:r>
              <w:rPr>
                <w:sz w:val="20"/>
                <w:szCs w:val="20"/>
              </w:rPr>
              <w:t xml:space="preserve">5612</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Electron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23100</w:t>
            </w:r>
          </w:p>
        </w:tc>
        <w:tc>
          <w:tcPr>
            <w:tcW w:w="0" w:type="auto"/>
          </w:tcPr>
          <w:p>
            <w:pPr>
              <w:spacing w:line="240" w:lineRule="auto" w:before="0" w:after="0"/>
              <w:pStyle w:val="Compact"/>
            </w:pPr>
            <w:r>
              <w:rPr>
                <w:sz w:val="20"/>
                <w:szCs w:val="20"/>
              </w:rPr>
              <w:t xml:space="preserve">5817</w:t>
            </w:r>
          </w:p>
        </w:tc>
        <w:tc>
          <w:tcPr>
            <w:tcW w:w="0" w:type="auto"/>
          </w:tcPr>
          <w:p>
            <w:pPr>
              <w:spacing w:line="240" w:lineRule="auto" w:before="0" w:after="0"/>
              <w:pStyle w:val="Compact"/>
            </w:pPr>
            <w:r>
              <w:rPr>
                <w:sz w:val="20"/>
                <w:szCs w:val="20"/>
              </w:rPr>
              <w:t xml:space="preserve">United States/New Zealand (Rocket Lab)</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Falcon Heavy</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1500</w:t>
            </w:r>
          </w:p>
        </w:tc>
        <w:tc>
          <w:tcPr>
            <w:tcW w:w="0" w:type="auto"/>
          </w:tcPr>
          <w:p>
            <w:pPr>
              <w:spacing w:line="240" w:lineRule="auto" w:before="0" w:after="0"/>
              <w:pStyle w:val="Compact"/>
            </w:pPr>
            <w:r>
              <w:rPr>
                <w:sz w:val="20"/>
                <w:szCs w:val="20"/>
              </w:rPr>
              <w:t xml:space="preserve">5817</w:t>
            </w:r>
          </w:p>
        </w:tc>
        <w:tc>
          <w:tcPr>
            <w:tcW w:w="0" w:type="auto"/>
          </w:tcPr>
          <w:p>
            <w:pPr>
              <w:spacing w:line="240" w:lineRule="auto" w:before="0" w:after="0"/>
              <w:pStyle w:val="Compact"/>
            </w:pPr>
            <w:r>
              <w:rPr>
                <w:sz w:val="20"/>
                <w:szCs w:val="20"/>
              </w:rPr>
              <w:t xml:space="preserve">United States (SpaceX)</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r>
        <w:tc>
          <w:tcPr>
            <w:tcW w:w="0" w:type="auto"/>
          </w:tcPr>
          <w:p>
            <w:pPr>
              <w:spacing w:line="240" w:lineRule="auto" w:before="0" w:after="0"/>
              <w:pStyle w:val="Compact"/>
            </w:pPr>
            <w:r>
              <w:rPr>
                <w:sz w:val="20"/>
                <w:szCs w:val="20"/>
              </w:rPr>
              <w:t xml:space="preserve">Long March 11</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10600</w:t>
            </w:r>
          </w:p>
        </w:tc>
        <w:tc>
          <w:tcPr>
            <w:tcW w:w="0" w:type="auto"/>
          </w:tcPr>
          <w:p>
            <w:pPr>
              <w:spacing w:line="240" w:lineRule="auto" w:before="0" w:after="0"/>
              <w:pStyle w:val="Compact"/>
            </w:pPr>
            <w:r>
              <w:rPr>
                <w:sz w:val="20"/>
                <w:szCs w:val="20"/>
              </w:rPr>
              <w:t xml:space="preserve">5919</w:t>
            </w:r>
          </w:p>
        </w:tc>
        <w:tc>
          <w:tcPr>
            <w:tcW w:w="0" w:type="auto"/>
          </w:tcPr>
          <w:p>
            <w:pPr>
              <w:spacing w:line="240" w:lineRule="auto" w:before="0" w:after="0"/>
              <w:pStyle w:val="Compact"/>
            </w:pPr>
            <w:r>
              <w:rPr>
                <w:sz w:val="20"/>
                <w:szCs w:val="20"/>
              </w:rPr>
              <w:t xml:space="preserve">China (CASC)</w:t>
            </w:r>
          </w:p>
        </w:tc>
        <w:tc>
          <w:tcPr>
            <w:tcW w:w="0" w:type="auto"/>
          </w:tcPr>
          <w:p>
            <w:pPr>
              <w:spacing w:line="240" w:lineRule="auto" w:before="0" w:after="0"/>
              <w:pStyle w:val="Compact"/>
            </w:pPr>
            <w:r>
              <w:rPr>
                <w:sz w:val="20"/>
                <w:szCs w:val="20"/>
              </w:rPr>
              <w:t xml:space="preserve">CSIS Aerospace Security launch-cost dataset (FY21 USD) via Our World in Data; cumulative launches: McDowell GCAT/SpaceStatsOnline</w:t>
            </w:r>
          </w:p>
        </w:tc>
      </w:tr>
    </w:tbl>
    <w:bookmarkEnd w:id="260"/>
    <w:bookmarkStart w:id="261" w:name="variable-construction"/>
    <w:p>
      <w:pPr>
        <w:pStyle w:val="Heading3"/>
        <w:spacing w:line="480" w:lineRule="auto"/>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cost_per_kg_leo_usd</w:t>
            </w:r>
          </w:p>
        </w:tc>
        <w:tc>
          <w:tcPr>
            <w:tcW w:w="0" w:type="auto"/>
          </w:tcPr>
          <w:p>
            <w:pPr>
              <w:spacing w:line="240" w:lineRule="auto" w:before="0" w:after="0"/>
              <w:pStyle w:val="Compact"/>
            </w:pPr>
            <w:r>
              <w:rPr>
                <w:sz w:val="20"/>
                <w:szCs w:val="20"/>
              </w:rPr>
              <w:t xml:space="preserve">Dedicated-launch price to place one kilogram of payload into low Earth orbit, inflation-adjusted to fiscal-year 2021 US dollars; the dependent variable (unit cost) in the Wright/experience-curve specification.</w:t>
            </w:r>
          </w:p>
        </w:tc>
        <w:tc>
          <w:tcPr>
            <w:tcW w:w="0" w:type="auto"/>
          </w:tcPr>
          <w:p>
            <w:pPr>
              <w:spacing w:line="240" w:lineRule="auto" w:before="0" w:after="0"/>
              <w:pStyle w:val="Compact"/>
            </w:pPr>
            <w:r>
              <w:rPr>
                <w:sz w:val="20"/>
                <w:szCs w:val="20"/>
              </w:rPr>
              <w:t xml:space="preserve">CSIS Aerospace Security Project launch-cost dataset (FY2021 USD), republished by Our World in Data [7][8]</w:t>
            </w:r>
          </w:p>
        </w:tc>
      </w:tr>
      <w:tr>
        <w:tc>
          <w:tcPr>
            <w:tcW w:w="0" w:type="auto"/>
          </w:tcPr>
          <w:p>
            <w:pPr>
              <w:spacing w:line="240" w:lineRule="auto" w:before="0" w:after="0"/>
              <w:pStyle w:val="Compact"/>
            </w:pPr>
            <w:r>
              <w:rPr>
                <w:sz w:val="20"/>
                <w:szCs w:val="20"/>
              </w:rPr>
              <w:t xml:space="preserve">cumulative_launches</w:t>
            </w:r>
          </w:p>
        </w:tc>
        <w:tc>
          <w:tcPr>
            <w:tcW w:w="0" w:type="auto"/>
          </w:tcPr>
          <w:p>
            <w:pPr>
              <w:spacing w:line="240" w:lineRule="auto" w:before="0" w:after="0"/>
              <w:pStyle w:val="Compact"/>
            </w:pPr>
            <w:r>
              <w:rPr>
                <w:sz w:val="20"/>
                <w:szCs w:val="20"/>
              </w:rPr>
              <w:t xml:space="preserve">Cumulative count of worldwide orbital launch attempts from 1957 through the vehicle’s first-flight year; the industry experience stock (cumulative</w:t>
            </w:r>
            <w:r>
              <w:rPr>
                <w:sz w:val="20"/>
                <w:szCs w:val="20"/>
              </w:rPr>
              <w:t xml:space="preserve"> </w:t>
            </w:r>
            <w:r>
              <w:rPr>
                <w:sz w:val="20"/>
                <w:szCs w:val="20"/>
              </w:rPr>
              <w:t xml:space="preserve">‘production’</w:t>
            </w:r>
            <w:r>
              <w:rPr>
                <w:sz w:val="20"/>
                <w:szCs w:val="20"/>
              </w:rPr>
              <w:t xml:space="preserve">) that Wright’s law relates to unit cost.</w:t>
            </w:r>
          </w:p>
        </w:tc>
        <w:tc>
          <w:tcPr>
            <w:tcW w:w="0" w:type="auto"/>
          </w:tcPr>
          <w:p>
            <w:pPr>
              <w:spacing w:line="240" w:lineRule="auto" w:before="0" w:after="0"/>
              <w:pStyle w:val="Compact"/>
            </w:pPr>
            <w:r>
              <w:rPr>
                <w:sz w:val="20"/>
                <w:szCs w:val="20"/>
              </w:rPr>
              <w:t xml:space="preserve">Annual worldwide orbital launch totals, Jonathan McDowell GCAT / SpaceStatsOnline, accumulated by the author [9]</w:t>
            </w:r>
          </w:p>
        </w:tc>
      </w:tr>
      <w:tr>
        <w:tc>
          <w:tcPr>
            <w:tcW w:w="0" w:type="auto"/>
          </w:tcPr>
          <w:p>
            <w:pPr>
              <w:spacing w:line="240" w:lineRule="auto" w:before="0" w:after="0"/>
              <w:pStyle w:val="Compact"/>
            </w:pPr>
            <w:r>
              <w:rPr>
                <w:sz w:val="20"/>
                <w:szCs w:val="20"/>
              </w:rPr>
              <w:t xml:space="preserve">first_flight_year</w:t>
            </w:r>
          </w:p>
        </w:tc>
        <w:tc>
          <w:tcPr>
            <w:tcW w:w="0" w:type="auto"/>
          </w:tcPr>
          <w:p>
            <w:pPr>
              <w:spacing w:line="240" w:lineRule="auto" w:before="0" w:after="0"/>
              <w:pStyle w:val="Compact"/>
            </w:pPr>
            <w:r>
              <w:rPr>
                <w:sz w:val="20"/>
                <w:szCs w:val="20"/>
              </w:rPr>
              <w:t xml:space="preserve">Calendar year of the launch vehicle’s first orbital flight.</w:t>
            </w:r>
          </w:p>
        </w:tc>
        <w:tc>
          <w:tcPr>
            <w:tcW w:w="0" w:type="auto"/>
          </w:tcPr>
          <w:p>
            <w:pPr>
              <w:spacing w:line="240" w:lineRule="auto" w:before="0" w:after="0"/>
              <w:pStyle w:val="Compact"/>
            </w:pPr>
            <w:r>
              <w:rPr>
                <w:sz w:val="20"/>
                <w:szCs w:val="20"/>
              </w:rPr>
              <w:t xml:space="preserve">CSIS / Our World in Data dataset [7][8]</w:t>
            </w:r>
          </w:p>
        </w:tc>
      </w:tr>
      <w:tr>
        <w:tc>
          <w:tcPr>
            <w:tcW w:w="0" w:type="auto"/>
          </w:tcPr>
          <w:p>
            <w:pPr>
              <w:spacing w:line="240" w:lineRule="auto" w:before="0" w:after="0"/>
              <w:pStyle w:val="Compact"/>
            </w:pPr>
            <w:r>
              <w:rPr>
                <w:sz w:val="20"/>
                <w:szCs w:val="20"/>
              </w:rPr>
              <w:t xml:space="preserve">launch_vehicle</w:t>
            </w:r>
          </w:p>
        </w:tc>
        <w:tc>
          <w:tcPr>
            <w:tcW w:w="0" w:type="auto"/>
          </w:tcPr>
          <w:p>
            <w:pPr>
              <w:spacing w:line="240" w:lineRule="auto" w:before="0" w:after="0"/>
              <w:pStyle w:val="Compact"/>
            </w:pPr>
            <w:r>
              <w:rPr>
                <w:sz w:val="20"/>
                <w:szCs w:val="20"/>
              </w:rPr>
              <w:t xml:space="preserve">Orbital launch vehicle family or variant.</w:t>
            </w:r>
          </w:p>
        </w:tc>
        <w:tc>
          <w:tcPr>
            <w:tcW w:w="0" w:type="auto"/>
          </w:tcPr>
          <w:p>
            <w:pPr>
              <w:spacing w:line="240" w:lineRule="auto" w:before="0" w:after="0"/>
              <w:pStyle w:val="Compact"/>
            </w:pPr>
            <w:r>
              <w:rPr>
                <w:sz w:val="20"/>
                <w:szCs w:val="20"/>
              </w:rPr>
              <w:t xml:space="preserve">CSIS / Our World in Data dataset [7][8]</w:t>
            </w:r>
          </w:p>
        </w:tc>
      </w:tr>
      <w:tr>
        <w:tc>
          <w:tcPr>
            <w:tcW w:w="0" w:type="auto"/>
          </w:tcPr>
          <w:p>
            <w:pPr>
              <w:spacing w:line="240" w:lineRule="auto" w:before="0" w:after="0"/>
              <w:pStyle w:val="Compact"/>
            </w:pPr>
            <w:r>
              <w:rPr>
                <w:sz w:val="20"/>
                <w:szCs w:val="20"/>
              </w:rPr>
              <w:t xml:space="preserve">provider_country</w:t>
            </w:r>
          </w:p>
        </w:tc>
        <w:tc>
          <w:tcPr>
            <w:tcW w:w="0" w:type="auto"/>
          </w:tcPr>
          <w:p>
            <w:pPr>
              <w:spacing w:line="240" w:lineRule="auto" w:before="0" w:after="0"/>
              <w:pStyle w:val="Compact"/>
            </w:pPr>
            <w:r>
              <w:rPr>
                <w:sz w:val="20"/>
                <w:szCs w:val="20"/>
              </w:rPr>
              <w:t xml:space="preserve">Operating nation and prime provider/contractor of the vehicle.</w:t>
            </w:r>
          </w:p>
        </w:tc>
        <w:tc>
          <w:tcPr>
            <w:tcW w:w="0" w:type="auto"/>
          </w:tcPr>
          <w:p>
            <w:pPr>
              <w:spacing w:line="240" w:lineRule="auto" w:before="0" w:after="0"/>
              <w:pStyle w:val="Compact"/>
            </w:pPr>
            <w:r>
              <w:rPr>
                <w:sz w:val="20"/>
                <w:szCs w:val="20"/>
              </w:rPr>
              <w:t xml:space="preserve">Public aerospace record</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real source(s) for each row’s cost, year, and cumulative-experience values.</w:t>
            </w:r>
          </w:p>
        </w:tc>
        <w:tc>
          <w:tcPr>
            <w:tcW w:w="0" w:type="auto"/>
          </w:tcPr>
          <w:p>
            <w:pPr>
              <w:spacing w:line="240" w:lineRule="auto" w:before="0" w:after="0"/>
              <w:pStyle w:val="Compact"/>
            </w:pPr>
            <w:r>
              <w:rPr>
                <w:sz w:val="20"/>
                <w:szCs w:val="20"/>
              </w:rPr>
              <w:t xml:space="preserve">Compiled by the author from [7][8][9]</w:t>
            </w:r>
          </w:p>
        </w:tc>
      </w:tr>
    </w:tbl>
    <w:bookmarkEnd w:id="261"/>
    <w:bookmarkEnd w:id="262"/>
    <w:bookmarkStart w:id="270" w:name="X5ef00f2d9dd8a432b4bbb9d0bffba9112407cb7"/>
    <w:p>
      <w:pPr>
        <w:pStyle w:val="Heading2"/>
        <w:spacing w:line="480" w:lineRule="auto"/>
      </w:pPr>
      <w:r>
        <w:t xml:space="preserve">A.2 Signals and Silences: A Survival Analysis of Counterspace Demonstration Timing</w:t>
      </w:r>
    </w:p>
    <w:p>
      <w:pPr>
        <w:pStyle w:val="FirstParagraph"/>
        <w:spacing w:line="480" w:lineRule="auto"/>
      </w:pPr>
      <w:r>
        <w:t xml:space="preserve">$$
    \[ h_i(t \mid \mathbf{x}_i) \;=\; h_0(t)\,\exp\!\big( \beta_1\,\text{prior\_tests}_i \;+\; \beta_2\,\text{rival\_tests\_24mo}_i \;+\; \beta_3\,\text{prior\_kinetic}_i \big), \qquad t = \text{duration\_months} \]
    $$</w:t>
      </w:r>
    </w:p>
    <w:bookmarkStart w:id="263" w:name="estimator-output-1"/>
    <w:p>
      <w:pPr>
        <w:pStyle w:val="Heading3"/>
        <w:spacing w:line="480" w:lineRule="auto"/>
      </w:pPr>
      <w:r>
        <w:t xml:space="preserve">Estimator output</w:t>
      </w:r>
    </w:p>
    <w:tbl>
      <w:tblPr>
        <w:tblStyle w:val="Table"/>
        <w:tblLook w:firstRow="1" w:lastRow="0" w:firstColumn="0" w:lastColumn="0" w:noHBand="0" w:noVBand="0" w:val="0020"/>
        <w:tblLayout w:type="autofit"/>
        <w:tblW w:w="0" w:type="auto"/>
      </w:tblPr>
      <w:tblGrid>
        <w:gridCol w:w="1131"/>
        <w:gridCol w:w="1131"/>
        <w:gridCol w:w="1131"/>
        <w:gridCol w:w="1131"/>
        <w:gridCol w:w="1131"/>
        <w:gridCol w:w="1131"/>
        <w:gridCol w:w="1131"/>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c>
          <w:tcPr>
            <w:tcW w:w="0" w:type="auto"/>
          </w:tcPr>
          <w:p>
            <w:pPr>
              <w:spacing w:line="240" w:lineRule="auto" w:before="0" w:after="0"/>
              <w:pStyle w:val="Compact"/>
            </w:pPr>
            <w:r>
              <w:rPr>
                <w:sz w:val="20"/>
                <w:szCs w:val="20"/>
              </w:rPr>
              <w:t xml:space="preserve">Hazard ratio</w:t>
            </w:r>
          </w:p>
        </w:tc>
      </w:tr>
      <w:tr>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-0.0803</w:t>
            </w:r>
          </w:p>
        </w:tc>
        <w:tc>
          <w:tcPr>
            <w:tcW w:w="0" w:type="auto"/>
          </w:tcPr>
          <w:p>
            <w:pPr>
              <w:spacing w:line="240" w:lineRule="auto" w:before="0" w:after="0"/>
              <w:pStyle w:val="Compact"/>
            </w:pPr>
            <w:r>
              <w:rPr>
                <w:sz w:val="20"/>
                <w:szCs w:val="20"/>
              </w:rPr>
              <w:t xml:space="preserve">0.0595</w:t>
            </w:r>
          </w:p>
        </w:tc>
        <w:tc>
          <w:tcPr>
            <w:tcW w:w="0" w:type="auto"/>
          </w:tcPr>
          <w:p>
            <w:pPr>
              <w:spacing w:line="240" w:lineRule="auto" w:before="0" w:after="0"/>
              <w:pStyle w:val="Compact"/>
            </w:pPr>
            <w:r>
              <w:rPr>
                <w:sz w:val="20"/>
                <w:szCs w:val="20"/>
              </w:rPr>
              <w:t xml:space="preserve">-1.3503</w:t>
            </w:r>
          </w:p>
        </w:tc>
        <w:tc>
          <w:tcPr>
            <w:tcW w:w="0" w:type="auto"/>
          </w:tcPr>
          <w:p>
            <w:pPr>
              <w:spacing w:line="240" w:lineRule="auto" w:before="0" w:after="0"/>
              <w:pStyle w:val="Compact"/>
            </w:pPr>
            <w:r>
              <w:rPr>
                <w:sz w:val="20"/>
                <w:szCs w:val="20"/>
              </w:rPr>
              <w:t xml:space="preserve">0.1769</w:t>
            </w:r>
          </w:p>
        </w:tc>
        <w:tc>
          <w:tcPr>
            <w:tcW w:w="0" w:type="auto"/>
          </w:tcPr>
          <w:p>
            <w:pPr>
              <w:spacing w:line="240" w:lineRule="auto" w:before="0" w:after="0"/>
              <w:pStyle w:val="Compact"/>
            </w:pPr>
            <w:r>
              <w:rPr>
                <w:sz w:val="20"/>
                <w:szCs w:val="20"/>
              </w:rPr>
              <w:t xml:space="preserve">[-0.1969, 0.0363]</w:t>
            </w:r>
          </w:p>
        </w:tc>
        <w:tc>
          <w:tcPr>
            <w:tcW w:w="0" w:type="auto"/>
          </w:tcPr>
          <w:p>
            <w:pPr>
              <w:spacing w:line="240" w:lineRule="auto" w:before="0" w:after="0"/>
              <w:pStyle w:val="Compact"/>
            </w:pPr>
            <w:r>
              <w:rPr>
                <w:sz w:val="20"/>
                <w:szCs w:val="20"/>
              </w:rPr>
              <w:t xml:space="preserve">0.9228</w:t>
            </w:r>
          </w:p>
        </w:tc>
      </w:tr>
      <w:tr>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0.1122</w:t>
            </w:r>
          </w:p>
        </w:tc>
        <w:tc>
          <w:tcPr>
            <w:tcW w:w="0" w:type="auto"/>
          </w:tcPr>
          <w:p>
            <w:pPr>
              <w:spacing w:line="240" w:lineRule="auto" w:before="0" w:after="0"/>
              <w:pStyle w:val="Compact"/>
            </w:pPr>
            <w:r>
              <w:rPr>
                <w:sz w:val="20"/>
                <w:szCs w:val="20"/>
              </w:rPr>
              <w:t xml:space="preserve">0.1351</w:t>
            </w:r>
          </w:p>
        </w:tc>
        <w:tc>
          <w:tcPr>
            <w:tcW w:w="0" w:type="auto"/>
          </w:tcPr>
          <w:p>
            <w:pPr>
              <w:spacing w:line="240" w:lineRule="auto" w:before="0" w:after="0"/>
              <w:pStyle w:val="Compact"/>
            </w:pPr>
            <w:r>
              <w:rPr>
                <w:sz w:val="20"/>
                <w:szCs w:val="20"/>
              </w:rPr>
              <w:t xml:space="preserve">0.8302</w:t>
            </w:r>
          </w:p>
        </w:tc>
        <w:tc>
          <w:tcPr>
            <w:tcW w:w="0" w:type="auto"/>
          </w:tcPr>
          <w:p>
            <w:pPr>
              <w:spacing w:line="240" w:lineRule="auto" w:before="0" w:after="0"/>
              <w:pStyle w:val="Compact"/>
            </w:pPr>
            <w:r>
              <w:rPr>
                <w:sz w:val="20"/>
                <w:szCs w:val="20"/>
              </w:rPr>
              <w:t xml:space="preserve">0.4064</w:t>
            </w:r>
          </w:p>
        </w:tc>
        <w:tc>
          <w:tcPr>
            <w:tcW w:w="0" w:type="auto"/>
          </w:tcPr>
          <w:p>
            <w:pPr>
              <w:spacing w:line="240" w:lineRule="auto" w:before="0" w:after="0"/>
              <w:pStyle w:val="Compact"/>
            </w:pPr>
            <w:r>
              <w:rPr>
                <w:sz w:val="20"/>
                <w:szCs w:val="20"/>
              </w:rPr>
              <w:t xml:space="preserve">[-0.1527, 0.377]</w:t>
            </w:r>
          </w:p>
        </w:tc>
        <w:tc>
          <w:tcPr>
            <w:tcW w:w="0" w:type="auto"/>
          </w:tcPr>
          <w:p>
            <w:pPr>
              <w:spacing w:line="240" w:lineRule="auto" w:before="0" w:after="0"/>
              <w:pStyle w:val="Compact"/>
            </w:pPr>
            <w:r>
              <w:rPr>
                <w:sz w:val="20"/>
                <w:szCs w:val="20"/>
              </w:rPr>
              <w:t xml:space="preserve">1.1187</w:t>
            </w:r>
          </w:p>
        </w:tc>
      </w:tr>
      <w:tr>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-0.642</w:t>
            </w:r>
          </w:p>
        </w:tc>
        <w:tc>
          <w:tcPr>
            <w:tcW w:w="0" w:type="auto"/>
          </w:tcPr>
          <w:p>
            <w:pPr>
              <w:spacing w:line="240" w:lineRule="auto" w:before="0" w:after="0"/>
              <w:pStyle w:val="Compact"/>
            </w:pPr>
            <w:r>
              <w:rPr>
                <w:sz w:val="20"/>
                <w:szCs w:val="20"/>
              </w:rPr>
              <w:t xml:space="preserve">0.4418</w:t>
            </w:r>
          </w:p>
        </w:tc>
        <w:tc>
          <w:tcPr>
            <w:tcW w:w="0" w:type="auto"/>
          </w:tcPr>
          <w:p>
            <w:pPr>
              <w:spacing w:line="240" w:lineRule="auto" w:before="0" w:after="0"/>
              <w:pStyle w:val="Compact"/>
            </w:pPr>
            <w:r>
              <w:rPr>
                <w:sz w:val="20"/>
                <w:szCs w:val="20"/>
              </w:rPr>
              <w:t xml:space="preserve">-1.4531</w:t>
            </w:r>
          </w:p>
        </w:tc>
        <w:tc>
          <w:tcPr>
            <w:tcW w:w="0" w:type="auto"/>
          </w:tcPr>
          <w:p>
            <w:pPr>
              <w:spacing w:line="240" w:lineRule="auto" w:before="0" w:after="0"/>
              <w:pStyle w:val="Compact"/>
            </w:pPr>
            <w:r>
              <w:rPr>
                <w:sz w:val="20"/>
                <w:szCs w:val="20"/>
              </w:rPr>
              <w:t xml:space="preserve">0.1462</w:t>
            </w:r>
          </w:p>
        </w:tc>
        <w:tc>
          <w:tcPr>
            <w:tcW w:w="0" w:type="auto"/>
          </w:tcPr>
          <w:p>
            <w:pPr>
              <w:spacing w:line="240" w:lineRule="auto" w:before="0" w:after="0"/>
              <w:pStyle w:val="Compact"/>
            </w:pPr>
            <w:r>
              <w:rPr>
                <w:sz w:val="20"/>
                <w:szCs w:val="20"/>
              </w:rPr>
              <w:t xml:space="preserve">[-1.508, 0.224]</w:t>
            </w:r>
          </w:p>
        </w:tc>
        <w:tc>
          <w:tcPr>
            <w:tcW w:w="0" w:type="auto"/>
          </w:tcPr>
          <w:p>
            <w:pPr>
              <w:spacing w:line="240" w:lineRule="auto" w:before="0" w:after="0"/>
              <w:pStyle w:val="Compact"/>
            </w:pPr>
            <w:r>
              <w:rPr>
                <w:sz w:val="20"/>
                <w:szCs w:val="20"/>
              </w:rPr>
              <w:t xml:space="preserve">0.5262</w:t>
            </w:r>
          </w:p>
        </w:tc>
      </w:tr>
    </w:tbl>
    <w:p>
      <w:pPr>
        <w:pStyle w:val="BodyText"/>
        <w:spacing w:line="480" w:lineRule="auto"/>
        <w:ind w:firstLine="720"/>
      </w:pPr>
      <w:r>
        <w:t xml:space="preserve">Fit: N = 32 events = 28</w:t>
      </w:r>
    </w:p>
    <w:bookmarkEnd w:id="263"/>
    <w:bookmarkStart w:id="267" w:name="figure-1"/>
    <w:p>
      <w:pPr>
        <w:pStyle w:val="Heading3"/>
        <w:spacing w:line="480" w:lineRule="auto"/>
      </w:pPr>
      <w:r>
        <w:t xml:space="preserve">Figure</w:t>
      </w:r>
    </w:p>
    <w:p>
      <w:pPr>
        <w:pStyle w:val="CaptionedFigure"/>
        <w:spacing w:line="480" w:lineRule="auto"/>
      </w:pPr>
      <w:r>
        <w:drawing>
          <wp:inline>
            <wp:extent cx="5669280" cy="3657600"/>
            <wp:effectExtent b="0" l="0" r="0" t="0"/>
            <wp:docPr descr="Figure A.2. Inter-test intervals for thirty-two direct-ascent counterspace spells across four testing states, 1984 to 2026, plotted against accumulated programme experience. Pooled Cox proportional-hazards estimates are beta_1 = -0.080 for prior tests (HR 0.92, p = 0.18), beta_2 = 0.110 for rival tests in the preceding twenty-four months (HR 1.12, p = 0.42), and beta_3 = -0.647 for a prior intercept-bearing test (HR 0.52, p = 0.14). The joint likelihood-ratio test yields p = 0.17 with a concordance of 0.61, and the proportional-hazards assumption is not rejected. The median observed inter-test interval is 10.7 months. Stratifying the baseline hazard by actor sharpens the experience effect to beta_1 = -0.159 (HR 0.85, p = 0.047) while leaving the rival-testing coefficient indistinguishable from zero, which is the paper’s central negative finding." title="" id="265" name="Picture"/>
            <a:graphic>
              <a:graphicData uri="http://schemas.openxmlformats.org/drawingml/2006/picture">
                <pic:pic>
                  <pic:nvPicPr>
                    <pic:cNvPr descr="D:/Claude_Code/brain/collegium/candidates/dissertations/GRAND_STRATEGY_CANON_01/research_papers/p2/paper_fig1.png" id="266" name="Picture"/>
                    <pic:cNvPicPr>
                      <a:picLocks noChangeArrowheads="1" noChangeAspect="1"/>
                    </pic:cNvPicPr>
                  </pic:nvPicPr>
                  <pic:blipFill>
                    <a:blip r:embed="rId264"/>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spacing w:line="480" w:lineRule="auto"/>
      </w:pPr>
      <w:r>
        <w:t xml:space="preserve">Figure A.2. Inter-test intervals for thirty-two direct-ascent counterspace spells across four testing states, 1984 to 2026, plotted against accumulated programme experience. Pooled Cox proportional-hazards estimates are beta_1 = -0.080 for prior tests (HR 0.92, p = 0.18), beta_2 = 0.110 for rival tests in the preceding twenty-four months (HR 1.12, p = 0.42), and beta_3 = -0.647 for a prior intercept-bearing test (HR 0.52, p = 0.14). The joint likelihood-ratio test yields p = 0.17 with a concordance of 0.61, and the proportional-hazards assumption is not rejected. The median observed inter-test interval is 10.7 months. Stratifying the baseline hazard by actor sharpens the experience effect to beta_1 = -0.159 (HR 0.85, p = 0.047) while leaving the rival-testing coefficient indistinguishable from zero, which is the paper’s central negative finding.</w:t>
      </w:r>
    </w:p>
    <w:bookmarkEnd w:id="267"/>
    <w:bookmarkStart w:id="268" w:name="data-real-observations-1"/>
    <w:p>
      <w:pPr>
        <w:pStyle w:val="Heading3"/>
        <w:spacing w:line="480" w:lineRule="auto"/>
      </w:pPr>
      <w:r>
        <w:t xml:space="preserve">Data (real observations)</w:t>
      </w:r>
    </w:p>
    <w:tbl>
      <w:tblPr>
        <w:tblStyle w:val="Table"/>
        <w:tblLook w:firstRow="1" w:lastRow="0" w:firstColumn="0" w:lastColumn="0" w:noHBand="0" w:noVBand="0" w:val="0020"/>
        <w:tblLayout w:type="autofit"/>
        <w:tblW w:w="0" w:type="auto"/>
      </w:tblPr>
      <w:tblGrid>
        <w:gridCol w:w="719"/>
        <w:gridCol w:w="719"/>
        <w:gridCol w:w="719"/>
        <w:gridCol w:w="719"/>
        <w:gridCol w:w="719"/>
        <w:gridCol w:w="719"/>
        <w:gridCol w:w="719"/>
        <w:gridCol w:w="719"/>
        <w:gridCol w:w="719"/>
        <w:gridCol w:w="719"/>
        <w:gridCol w:w="719"/>
      </w:tblGrid>
      <w:tr>
        <w:trPr>
          <w:tblHeader w:val="on"/>
        </w:trPr>
        <w:tc>
          <w:tcPr>
            <w:tcW w:w="0" w:type="auto"/>
          </w:tcPr>
          <w:p>
            <w:pPr>
              <w:spacing w:line="240" w:lineRule="auto" w:before="0" w:after="0"/>
              <w:pStyle w:val="Compact"/>
            </w:pPr>
            <w:r>
              <w:rPr>
                <w:sz w:val="20"/>
                <w:szCs w:val="20"/>
              </w:rPr>
              <w:t xml:space="preserve">actor</w:t>
            </w:r>
          </w:p>
        </w:tc>
        <w:tc>
          <w:tcPr>
            <w:tcW w:w="0" w:type="auto"/>
          </w:tcPr>
          <w:p>
            <w:pPr>
              <w:spacing w:line="240" w:lineRule="auto" w:before="0" w:after="0"/>
              <w:pStyle w:val="Compact"/>
            </w:pPr>
            <w:r>
              <w:rPr>
                <w:sz w:val="20"/>
                <w:szCs w:val="20"/>
              </w:rPr>
              <w:t xml:space="preserve">prior_test_date</w:t>
            </w:r>
          </w:p>
        </w:tc>
        <w:tc>
          <w:tcPr>
            <w:tcW w:w="0" w:type="auto"/>
          </w:tcPr>
          <w:p>
            <w:pPr>
              <w:spacing w:line="240" w:lineRule="auto" w:before="0" w:after="0"/>
              <w:pStyle w:val="Compact"/>
            </w:pPr>
            <w:r>
              <w:rPr>
                <w:sz w:val="20"/>
                <w:szCs w:val="20"/>
              </w:rPr>
              <w:t xml:space="preserve">test_date</w:t>
            </w:r>
          </w:p>
        </w:tc>
        <w:tc>
          <w:tcPr>
            <w:tcW w:w="0" w:type="auto"/>
          </w:tcPr>
          <w:p>
            <w:pPr>
              <w:spacing w:line="240" w:lineRule="auto" w:before="0" w:after="0"/>
              <w:pStyle w:val="Compact"/>
            </w:pPr>
            <w:r>
              <w:rPr>
                <w:sz w:val="20"/>
                <w:szCs w:val="20"/>
              </w:rPr>
              <w:t xml:space="preserve">system</w:t>
            </w:r>
          </w:p>
        </w:tc>
        <w:tc>
          <w:tcPr>
            <w:tcW w:w="0" w:type="auto"/>
          </w:tcPr>
          <w:p>
            <w:pPr>
              <w:spacing w:line="240" w:lineRule="auto" w:before="0" w:after="0"/>
              <w:pStyle w:val="Compact"/>
            </w:pPr>
            <w:r>
              <w:rPr>
                <w:sz w:val="20"/>
                <w:szCs w:val="20"/>
              </w:rPr>
              <w:t xml:space="preserve">test_type</w:t>
            </w:r>
          </w:p>
        </w:tc>
        <w:tc>
          <w:tcPr>
            <w:tcW w:w="0" w:type="auto"/>
          </w:tcPr>
          <w:p>
            <w:pPr>
              <w:spacing w:line="240" w:lineRule="auto" w:before="0" w:after="0"/>
              <w:pStyle w:val="Compact"/>
            </w:pPr>
            <w:r>
              <w:rPr>
                <w:sz w:val="20"/>
                <w:szCs w:val="20"/>
              </w:rPr>
              <w:t xml:space="preserve">duration_months</w:t>
            </w:r>
          </w:p>
        </w:tc>
        <w:tc>
          <w:tcPr>
            <w:tcW w:w="0" w:type="auto"/>
          </w:tcPr>
          <w:p>
            <w:pPr>
              <w:spacing w:line="240" w:lineRule="auto" w:before="0" w:after="0"/>
              <w:pStyle w:val="Compact"/>
            </w:pPr>
            <w:r>
              <w:rPr>
                <w:sz w:val="20"/>
                <w:szCs w:val="20"/>
              </w:rPr>
              <w:t xml:space="preserve">event</w:t>
            </w:r>
          </w:p>
        </w:tc>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2005-07-07</w:t>
            </w:r>
          </w:p>
        </w:tc>
        <w:tc>
          <w:tcPr>
            <w:tcW w:w="0" w:type="auto"/>
          </w:tcPr>
          <w:p>
            <w:pPr>
              <w:spacing w:line="240" w:lineRule="auto" w:before="0" w:after="0"/>
              <w:pStyle w:val="Compact"/>
            </w:pPr>
            <w:r>
              <w:rPr>
                <w:sz w:val="20"/>
                <w:szCs w:val="20"/>
              </w:rPr>
              <w:t xml:space="preserve">2006-02-06</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2006-02-06</w:t>
            </w:r>
          </w:p>
        </w:tc>
        <w:tc>
          <w:tcPr>
            <w:tcW w:w="0" w:type="auto"/>
          </w:tcPr>
          <w:p>
            <w:pPr>
              <w:spacing w:line="240" w:lineRule="auto" w:before="0" w:after="0"/>
              <w:pStyle w:val="Compact"/>
            </w:pPr>
            <w:r>
              <w:rPr>
                <w:sz w:val="20"/>
                <w:szCs w:val="20"/>
              </w:rPr>
              <w:t xml:space="preserve">2007-01-11</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2007-01-11</w:t>
            </w:r>
          </w:p>
        </w:tc>
        <w:tc>
          <w:tcPr>
            <w:tcW w:w="0" w:type="auto"/>
          </w:tcPr>
          <w:p>
            <w:pPr>
              <w:spacing w:line="240" w:lineRule="auto" w:before="0" w:after="0"/>
              <w:pStyle w:val="Compact"/>
            </w:pPr>
            <w:r>
              <w:rPr>
                <w:sz w:val="20"/>
                <w:szCs w:val="20"/>
              </w:rPr>
              <w:t xml:space="preserve">2010-01-11</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2010-01-11</w:t>
            </w:r>
          </w:p>
        </w:tc>
        <w:tc>
          <w:tcPr>
            <w:tcW w:w="0" w:type="auto"/>
          </w:tcPr>
          <w:p>
            <w:pPr>
              <w:spacing w:line="240" w:lineRule="auto" w:before="0" w:after="0"/>
              <w:pStyle w:val="Compact"/>
            </w:pPr>
            <w:r>
              <w:rPr>
                <w:sz w:val="20"/>
                <w:szCs w:val="20"/>
              </w:rPr>
              <w:t xml:space="preserve">2013-01-27</w:t>
            </w:r>
          </w:p>
        </w:tc>
        <w:tc>
          <w:tcPr>
            <w:tcW w:w="0" w:type="auto"/>
          </w:tcPr>
          <w:p>
            <w:pPr>
              <w:spacing w:line="240" w:lineRule="auto" w:before="0" w:after="0"/>
              <w:pStyle w:val="Compact"/>
            </w:pPr>
            <w:r>
              <w:rPr>
                <w:sz w:val="20"/>
                <w:szCs w:val="20"/>
              </w:rPr>
              <w:t xml:space="preserve">SC-19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2013-01-27</w:t>
            </w:r>
          </w:p>
        </w:tc>
        <w:tc>
          <w:tcPr>
            <w:tcW w:w="0" w:type="auto"/>
          </w:tcPr>
          <w:p>
            <w:pPr>
              <w:spacing w:line="240" w:lineRule="auto" w:before="0" w:after="0"/>
              <w:pStyle w:val="Compact"/>
            </w:pPr>
            <w:r>
              <w:rPr>
                <w:sz w:val="20"/>
                <w:szCs w:val="20"/>
              </w:rPr>
              <w:t xml:space="preserve">2013-05-13</w:t>
            </w:r>
          </w:p>
        </w:tc>
        <w:tc>
          <w:tcPr>
            <w:tcW w:w="0" w:type="auto"/>
          </w:tcPr>
          <w:p>
            <w:pPr>
              <w:spacing w:line="240" w:lineRule="auto" w:before="0" w:after="0"/>
              <w:pStyle w:val="Compact"/>
            </w:pPr>
            <w:r>
              <w:rPr>
                <w:sz w:val="20"/>
                <w:szCs w:val="20"/>
              </w:rPr>
              <w:t xml:space="preserve">DN-2 (possible)</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3.5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2013-05-13</w:t>
            </w:r>
          </w:p>
        </w:tc>
        <w:tc>
          <w:tcPr>
            <w:tcW w:w="0" w:type="auto"/>
          </w:tcPr>
          <w:p>
            <w:pPr>
              <w:spacing w:line="240" w:lineRule="auto" w:before="0" w:after="0"/>
              <w:pStyle w:val="Compact"/>
            </w:pPr>
            <w:r>
              <w:rPr>
                <w:sz w:val="20"/>
                <w:szCs w:val="20"/>
              </w:rPr>
              <w:t xml:space="preserve">2014-07-23</w:t>
            </w:r>
          </w:p>
        </w:tc>
        <w:tc>
          <w:tcPr>
            <w:tcW w:w="0" w:type="auto"/>
          </w:tcPr>
          <w:p>
            <w:pPr>
              <w:spacing w:line="240" w:lineRule="auto" w:before="0" w:after="0"/>
              <w:pStyle w:val="Compact"/>
            </w:pPr>
            <w:r>
              <w:rPr>
                <w:sz w:val="20"/>
                <w:szCs w:val="20"/>
              </w:rPr>
              <w:t xml:space="preserve">DN-2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14.3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2014-07-23</w:t>
            </w:r>
          </w:p>
        </w:tc>
        <w:tc>
          <w:tcPr>
            <w:tcW w:w="0" w:type="auto"/>
          </w:tcPr>
          <w:p>
            <w:pPr>
              <w:spacing w:line="240" w:lineRule="auto" w:before="0" w:after="0"/>
              <w:pStyle w:val="Compact"/>
            </w:pPr>
            <w:r>
              <w:rPr>
                <w:sz w:val="20"/>
                <w:szCs w:val="20"/>
              </w:rPr>
              <w:t xml:space="preserve">2015-10-30</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15.2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2015-10-30</w:t>
            </w:r>
          </w:p>
        </w:tc>
        <w:tc>
          <w:tcPr>
            <w:tcW w:w="0" w:type="auto"/>
          </w:tcPr>
          <w:p>
            <w:pPr>
              <w:spacing w:line="240" w:lineRule="auto" w:before="0" w:after="0"/>
              <w:pStyle w:val="Compact"/>
            </w:pPr>
            <w:r>
              <w:rPr>
                <w:sz w:val="20"/>
                <w:szCs w:val="20"/>
              </w:rPr>
              <w:t xml:space="preserve">2017-07-23</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20.8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2017-07-23</w:t>
            </w:r>
          </w:p>
        </w:tc>
        <w:tc>
          <w:tcPr>
            <w:tcW w:w="0" w:type="auto"/>
          </w:tcPr>
          <w:p>
            <w:pPr>
              <w:spacing w:line="240" w:lineRule="auto" w:before="0" w:after="0"/>
              <w:pStyle w:val="Compact"/>
            </w:pPr>
            <w:r>
              <w:rPr>
                <w:sz w:val="20"/>
                <w:szCs w:val="20"/>
              </w:rPr>
              <w:t xml:space="preserve">2018-02-05</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6.5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2018-02-05</w:t>
            </w:r>
          </w:p>
        </w:tc>
        <w:tc>
          <w:tcPr>
            <w:tcW w:w="0" w:type="auto"/>
          </w:tcPr>
          <w:p>
            <w:pPr>
              <w:spacing w:line="240" w:lineRule="auto" w:before="0" w:after="0"/>
              <w:pStyle w:val="Compact"/>
            </w:pPr>
            <w:r>
              <w:rPr>
                <w:sz w:val="20"/>
                <w:szCs w:val="20"/>
              </w:rPr>
              <w:t xml:space="preserve">2021-02-04</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2021-02-04</w:t>
            </w:r>
          </w:p>
        </w:tc>
        <w:tc>
          <w:tcPr>
            <w:tcW w:w="0" w:type="auto"/>
          </w:tcPr>
          <w:p>
            <w:pPr>
              <w:spacing w:line="240" w:lineRule="auto" w:before="0" w:after="0"/>
              <w:pStyle w:val="Compact"/>
            </w:pPr>
            <w:r>
              <w:rPr>
                <w:sz w:val="20"/>
                <w:szCs w:val="20"/>
              </w:rPr>
              <w:t xml:space="preserve">2022-06-19</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16.4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2022-06-19</w:t>
            </w:r>
          </w:p>
        </w:tc>
        <w:tc>
          <w:tcPr>
            <w:tcW w:w="0" w:type="auto"/>
          </w:tcPr>
          <w:p>
            <w:pPr>
              <w:spacing w:line="240" w:lineRule="auto" w:before="0" w:after="0"/>
              <w:pStyle w:val="Compact"/>
            </w:pPr>
            <w:r>
              <w:rPr>
                <w:sz w:val="20"/>
                <w:szCs w:val="20"/>
              </w:rPr>
              <w:t xml:space="preserve">2023-04-14</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9.8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2023-04-14</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37.9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2019-02-12</w:t>
            </w:r>
          </w:p>
        </w:tc>
        <w:tc>
          <w:tcPr>
            <w:tcW w:w="0" w:type="auto"/>
          </w:tcPr>
          <w:p>
            <w:pPr>
              <w:spacing w:line="240" w:lineRule="auto" w:before="0" w:after="0"/>
              <w:pStyle w:val="Compact"/>
            </w:pPr>
            <w:r>
              <w:rPr>
                <w:sz w:val="20"/>
                <w:szCs w:val="20"/>
              </w:rPr>
              <w:t xml:space="preserve">2019-03-27</w:t>
            </w:r>
          </w:p>
        </w:tc>
        <w:tc>
          <w:tcPr>
            <w:tcW w:w="0" w:type="auto"/>
          </w:tcPr>
          <w:p>
            <w:pPr>
              <w:spacing w:line="240" w:lineRule="auto" w:before="0" w:after="0"/>
              <w:pStyle w:val="Compact"/>
            </w:pPr>
            <w:r>
              <w:rPr>
                <w:sz w:val="20"/>
                <w:szCs w:val="20"/>
              </w:rPr>
              <w:t xml:space="preserve">PDV-MK II</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Indian Direct-Ascent Anti-Satellite Testing fact sheet (June 2026), Summary of Known or Suspected Indian DA-ASAT Tests in Space</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2019-03-27</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86.5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Indian Direct-Ascent Anti-Satellite Testing fact sheet (June 2026), Summary of Known or Suspected Indian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2014-08-15 [illustrative]</w:t>
            </w:r>
          </w:p>
        </w:tc>
        <w:tc>
          <w:tcPr>
            <w:tcW w:w="0" w:type="auto"/>
          </w:tcPr>
          <w:p>
            <w:pPr>
              <w:spacing w:line="240" w:lineRule="auto" w:before="0" w:after="0"/>
              <w:pStyle w:val="Compact"/>
            </w:pPr>
            <w:r>
              <w:rPr>
                <w:sz w:val="20"/>
                <w:szCs w:val="20"/>
              </w:rPr>
              <w:t xml:space="preserve">2015-04-22</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8.2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2015-04-22</w:t>
            </w:r>
          </w:p>
        </w:tc>
        <w:tc>
          <w:tcPr>
            <w:tcW w:w="0" w:type="auto"/>
          </w:tcPr>
          <w:p>
            <w:pPr>
              <w:spacing w:line="240" w:lineRule="auto" w:before="0" w:after="0"/>
              <w:pStyle w:val="Compact"/>
            </w:pPr>
            <w:r>
              <w:rPr>
                <w:sz w:val="20"/>
                <w:szCs w:val="20"/>
              </w:rPr>
              <w:t xml:space="preserve">2015-11-18</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2015-11-18</w:t>
            </w:r>
          </w:p>
        </w:tc>
        <w:tc>
          <w:tcPr>
            <w:tcW w:w="0" w:type="auto"/>
          </w:tcPr>
          <w:p>
            <w:pPr>
              <w:spacing w:line="240" w:lineRule="auto" w:before="0" w:after="0"/>
              <w:pStyle w:val="Compact"/>
            </w:pPr>
            <w:r>
              <w:rPr>
                <w:sz w:val="20"/>
                <w:szCs w:val="20"/>
              </w:rPr>
              <w:t xml:space="preserve">2016-05-25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2016-05-25</w:t>
            </w:r>
          </w:p>
        </w:tc>
        <w:tc>
          <w:tcPr>
            <w:tcW w:w="0" w:type="auto"/>
          </w:tcPr>
          <w:p>
            <w:pPr>
              <w:spacing w:line="240" w:lineRule="auto" w:before="0" w:after="0"/>
              <w:pStyle w:val="Compact"/>
            </w:pPr>
            <w:r>
              <w:rPr>
                <w:sz w:val="20"/>
                <w:szCs w:val="20"/>
              </w:rPr>
              <w:t xml:space="preserve">2016-12-16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2016-12-16</w:t>
            </w:r>
          </w:p>
        </w:tc>
        <w:tc>
          <w:tcPr>
            <w:tcW w:w="0" w:type="auto"/>
          </w:tcPr>
          <w:p>
            <w:pPr>
              <w:spacing w:line="240" w:lineRule="auto" w:before="0" w:after="0"/>
              <w:pStyle w:val="Compact"/>
            </w:pPr>
            <w:r>
              <w:rPr>
                <w:sz w:val="20"/>
                <w:szCs w:val="20"/>
              </w:rPr>
              <w:t xml:space="preserve">2018-03-26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15.3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2018-03-26</w:t>
            </w:r>
          </w:p>
        </w:tc>
        <w:tc>
          <w:tcPr>
            <w:tcW w:w="0" w:type="auto"/>
          </w:tcPr>
          <w:p>
            <w:pPr>
              <w:spacing w:line="240" w:lineRule="auto" w:before="0" w:after="0"/>
              <w:pStyle w:val="Compact"/>
            </w:pPr>
            <w:r>
              <w:rPr>
                <w:sz w:val="20"/>
                <w:szCs w:val="20"/>
              </w:rPr>
              <w:t xml:space="preserve">2018-12-23</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8.9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2018-12-23</w:t>
            </w:r>
          </w:p>
        </w:tc>
        <w:tc>
          <w:tcPr>
            <w:tcW w:w="0" w:type="auto"/>
          </w:tcPr>
          <w:p>
            <w:pPr>
              <w:spacing w:line="240" w:lineRule="auto" w:before="0" w:after="0"/>
              <w:pStyle w:val="Compact"/>
            </w:pPr>
            <w:r>
              <w:rPr>
                <w:sz w:val="20"/>
                <w:szCs w:val="20"/>
              </w:rPr>
              <w:t xml:space="preserve">2019-11-15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 [illustrative]</w:t>
            </w:r>
          </w:p>
        </w:tc>
        <w:tc>
          <w:tcPr>
            <w:tcW w:w="0" w:type="auto"/>
          </w:tcPr>
          <w:p>
            <w:pPr>
              <w:spacing w:line="240" w:lineRule="auto" w:before="0" w:after="0"/>
              <w:pStyle w:val="Compact"/>
            </w:pPr>
            <w:r>
              <w:rPr>
                <w:sz w:val="20"/>
                <w:szCs w:val="20"/>
              </w:rPr>
              <w:t xml:space="preserve">10.7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2019-11-15 [illustrative]</w:t>
            </w:r>
          </w:p>
        </w:tc>
        <w:tc>
          <w:tcPr>
            <w:tcW w:w="0" w:type="auto"/>
          </w:tcPr>
          <w:p>
            <w:pPr>
              <w:spacing w:line="240" w:lineRule="auto" w:before="0" w:after="0"/>
              <w:pStyle w:val="Compact"/>
            </w:pPr>
            <w:r>
              <w:rPr>
                <w:sz w:val="20"/>
                <w:szCs w:val="20"/>
              </w:rPr>
              <w:t xml:space="preserve">2020-04-15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2020-04-15</w:t>
            </w:r>
          </w:p>
        </w:tc>
        <w:tc>
          <w:tcPr>
            <w:tcW w:w="0" w:type="auto"/>
          </w:tcPr>
          <w:p>
            <w:pPr>
              <w:spacing w:line="240" w:lineRule="auto" w:before="0" w:after="0"/>
              <w:pStyle w:val="Compact"/>
            </w:pPr>
            <w:r>
              <w:rPr>
                <w:sz w:val="20"/>
                <w:szCs w:val="20"/>
              </w:rPr>
              <w:t xml:space="preserve">2020-12-16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2020-12-16</w:t>
            </w:r>
          </w:p>
        </w:tc>
        <w:tc>
          <w:tcPr>
            <w:tcW w:w="0" w:type="auto"/>
          </w:tcPr>
          <w:p>
            <w:pPr>
              <w:spacing w:line="240" w:lineRule="auto" w:before="0" w:after="0"/>
              <w:pStyle w:val="Compact"/>
            </w:pPr>
            <w:r>
              <w:rPr>
                <w:sz w:val="20"/>
                <w:szCs w:val="20"/>
              </w:rPr>
              <w:t xml:space="preserve">2021-11-15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2021-11-15</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54.9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1984-01-21</w:t>
            </w:r>
          </w:p>
        </w:tc>
        <w:tc>
          <w:tcPr>
            <w:tcW w:w="0" w:type="auto"/>
          </w:tcPr>
          <w:p>
            <w:pPr>
              <w:spacing w:line="240" w:lineRule="auto" w:before="0" w:after="0"/>
              <w:pStyle w:val="Compact"/>
            </w:pPr>
            <w:r>
              <w:rPr>
                <w:sz w:val="20"/>
                <w:szCs w:val="20"/>
              </w:rPr>
              <w:t xml:space="preserve">1984-11-13</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9.8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1984-11-13</w:t>
            </w:r>
          </w:p>
        </w:tc>
        <w:tc>
          <w:tcPr>
            <w:tcW w:w="0" w:type="auto"/>
          </w:tcPr>
          <w:p>
            <w:pPr>
              <w:spacing w:line="240" w:lineRule="auto" w:before="0" w:after="0"/>
              <w:pStyle w:val="Compact"/>
            </w:pPr>
            <w:r>
              <w:rPr>
                <w:sz w:val="20"/>
                <w:szCs w:val="20"/>
              </w:rPr>
              <w:t xml:space="preserve">1985-09-13</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1985-09-13</w:t>
            </w:r>
          </w:p>
        </w:tc>
        <w:tc>
          <w:tcPr>
            <w:tcW w:w="0" w:type="auto"/>
          </w:tcPr>
          <w:p>
            <w:pPr>
              <w:spacing w:line="240" w:lineRule="auto" w:before="0" w:after="0"/>
              <w:pStyle w:val="Compact"/>
            </w:pPr>
            <w:r>
              <w:rPr>
                <w:sz w:val="20"/>
                <w:szCs w:val="20"/>
              </w:rPr>
              <w:t xml:space="preserve">1986-08-22</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1986-08-22</w:t>
            </w:r>
          </w:p>
        </w:tc>
        <w:tc>
          <w:tcPr>
            <w:tcW w:w="0" w:type="auto"/>
          </w:tcPr>
          <w:p>
            <w:pPr>
              <w:spacing w:line="240" w:lineRule="auto" w:before="0" w:after="0"/>
              <w:pStyle w:val="Compact"/>
            </w:pPr>
            <w:r>
              <w:rPr>
                <w:sz w:val="20"/>
                <w:szCs w:val="20"/>
              </w:rPr>
              <w:t xml:space="preserve">1986-09-29</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1986-09-29</w:t>
            </w:r>
          </w:p>
        </w:tc>
        <w:tc>
          <w:tcPr>
            <w:tcW w:w="0" w:type="auto"/>
          </w:tcPr>
          <w:p>
            <w:pPr>
              <w:spacing w:line="240" w:lineRule="auto" w:before="0" w:after="0"/>
              <w:pStyle w:val="Compact"/>
            </w:pPr>
            <w:r>
              <w:rPr>
                <w:sz w:val="20"/>
                <w:szCs w:val="20"/>
              </w:rPr>
              <w:t xml:space="preserve">2008-02-20</w:t>
            </w:r>
          </w:p>
        </w:tc>
        <w:tc>
          <w:tcPr>
            <w:tcW w:w="0" w:type="auto"/>
          </w:tcPr>
          <w:p>
            <w:pPr>
              <w:spacing w:line="240" w:lineRule="auto" w:before="0" w:after="0"/>
              <w:pStyle w:val="Compact"/>
            </w:pPr>
            <w:r>
              <w:rPr>
                <w:sz w:val="20"/>
                <w:szCs w:val="20"/>
              </w:rPr>
              <w:t xml:space="preserve">SM-3 Block IA</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256.7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2008-02-20</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219.7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bl>
    <w:bookmarkEnd w:id="268"/>
    <w:bookmarkStart w:id="269" w:name="variable-construction-1"/>
    <w:p>
      <w:pPr>
        <w:pStyle w:val="Heading3"/>
        <w:spacing w:line="480" w:lineRule="auto"/>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duration_months</w:t>
            </w:r>
          </w:p>
        </w:tc>
        <w:tc>
          <w:tcPr>
            <w:tcW w:w="0" w:type="auto"/>
          </w:tcPr>
          <w:p>
            <w:pPr>
              <w:spacing w:line="240" w:lineRule="auto" w:before="0" w:after="0"/>
              <w:pStyle w:val="Compact"/>
            </w:pPr>
            <w:r>
              <w:rPr>
                <w:sz w:val="20"/>
                <w:szCs w:val="20"/>
              </w:rPr>
              <w:t xml:space="preserve">Elapsed time in months between an actor’s observed direct-ascent anti-satellite (DA-ASAT) flight test and that actor’s next observed test. For the final spell of each actor the interval runs to the 12 June 2026 evidence cutoff and is right-censored. Months are computed as elapsed days divided by 30.4375.</w:t>
            </w:r>
          </w:p>
        </w:tc>
        <w:tc>
          <w:tcPr>
            <w:tcW w:w="0" w:type="auto"/>
          </w:tcPr>
          <w:p>
            <w:pPr>
              <w:spacing w:line="240" w:lineRule="auto" w:before="0" w:after="0"/>
              <w:pStyle w:val="Compact"/>
            </w:pPr>
            <w:r>
              <w:rPr>
                <w:sz w:val="20"/>
                <w:szCs w:val="20"/>
              </w:rPr>
              <w:t xml:space="preserve">Test dates from the Secure World Foundation DA-ASAT fact-sheet series for China, Russia, the United States and India [1][2][3][4]; interval arithmetic by the author</w:t>
            </w:r>
          </w:p>
        </w:tc>
      </w:tr>
      <w:tr>
        <w:tc>
          <w:tcPr>
            <w:tcW w:w="0" w:type="auto"/>
          </w:tcPr>
          <w:p>
            <w:pPr>
              <w:spacing w:line="240" w:lineRule="auto" w:before="0" w:after="0"/>
              <w:pStyle w:val="Compact"/>
            </w:pPr>
            <w:r>
              <w:rPr>
                <w:sz w:val="20"/>
                <w:szCs w:val="20"/>
              </w:rPr>
              <w:t xml:space="preserve">event</w:t>
            </w:r>
          </w:p>
        </w:tc>
        <w:tc>
          <w:tcPr>
            <w:tcW w:w="0" w:type="auto"/>
          </w:tcPr>
          <w:p>
            <w:pPr>
              <w:spacing w:line="240" w:lineRule="auto" w:before="0" w:after="0"/>
              <w:pStyle w:val="Compact"/>
            </w:pPr>
            <w:r>
              <w:rPr>
                <w:sz w:val="20"/>
                <w:szCs w:val="20"/>
              </w:rPr>
              <w:t xml:space="preserve">Survival indicator: 1 if the spell terminates in an observed DA-ASAT flight test by the same actor, 0 if the spell is right-censored at the 12 June 2026 evidence cutoff with no further test observed. Twenty-eight of thirty-two spells are uncensored.</w:t>
            </w:r>
          </w:p>
        </w:tc>
        <w:tc>
          <w:tcPr>
            <w:tcW w:w="0" w:type="auto"/>
          </w:tcPr>
          <w:p>
            <w:pPr>
              <w:spacing w:line="240" w:lineRule="auto" w:before="0" w:after="0"/>
              <w:pStyle w:val="Compact"/>
            </w:pPr>
            <w:r>
              <w:rPr>
                <w:sz w:val="20"/>
                <w:szCs w:val="20"/>
              </w:rPr>
              <w:t xml:space="preserve">Constructed by the author from the SWF DA-ASAT test tables [1][2][3][4]</w:t>
            </w:r>
          </w:p>
        </w:tc>
      </w:tr>
      <w:tr>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Cumulative count of that actor’s documented DA-ASAT flight tests up to and including the test that opens the spell; a measure of accumulated programme experience and standing test infrastructure at risk-set entry.</w:t>
            </w:r>
          </w:p>
        </w:tc>
        <w:tc>
          <w:tcPr>
            <w:tcW w:w="0" w:type="auto"/>
          </w:tcPr>
          <w:p>
            <w:pPr>
              <w:spacing w:line="240" w:lineRule="auto" w:before="0" w:after="0"/>
              <w:pStyle w:val="Compact"/>
            </w:pPr>
            <w:r>
              <w:rPr>
                <w:sz w:val="20"/>
                <w:szCs w:val="20"/>
              </w:rPr>
              <w:t xml:space="preserve">Counted by the author from the SWF DA-ASAT test tables [1][2][3][4]</w:t>
            </w:r>
          </w:p>
        </w:tc>
      </w:tr>
      <w:tr>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Number of DA-ASAT flight tests conducted by any actor other than the focal actor during the twenty-four months ending on the spell-start date; the action-reaction or reciprocal-signalling covariate.</w:t>
            </w:r>
          </w:p>
        </w:tc>
        <w:tc>
          <w:tcPr>
            <w:tcW w:w="0" w:type="auto"/>
          </w:tcPr>
          <w:p>
            <w:pPr>
              <w:spacing w:line="240" w:lineRule="auto" w:before="0" w:after="0"/>
              <w:pStyle w:val="Compact"/>
            </w:pPr>
            <w:r>
              <w:rPr>
                <w:sz w:val="20"/>
                <w:szCs w:val="20"/>
              </w:rPr>
              <w:t xml:space="preserve">Counted by the author across the pooled SWF DA-ASAT test tables [1][2][3][4]</w:t>
            </w:r>
          </w:p>
        </w:tc>
      </w:tr>
      <w:tr>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Binary indicator equal to 1 if the test opening the spell flew a kill vehicle against a designated target, orbital or suborbital, and 0 if the Secure World Foundation classifies it as a rocket or launcher test with no known target. It encodes whether the actor’s most recent demonstration carried intercept content rather than propulsion content only.</w:t>
            </w:r>
          </w:p>
        </w:tc>
        <w:tc>
          <w:tcPr>
            <w:tcW w:w="0" w:type="auto"/>
          </w:tcPr>
          <w:p>
            <w:pPr>
              <w:spacing w:line="240" w:lineRule="auto" w:before="0" w:after="0"/>
              <w:pStyle w:val="Compact"/>
            </w:pPr>
            <w:r>
              <w:rPr>
                <w:sz w:val="20"/>
                <w:szCs w:val="20"/>
              </w:rPr>
              <w:t xml:space="preserve">Coded by the author from the SWF Result and Comment columns [1][2][3][4]</w:t>
            </w:r>
          </w:p>
        </w:tc>
      </w:tr>
      <w:tr>
        <w:tc>
          <w:tcPr>
            <w:tcW w:w="0" w:type="auto"/>
          </w:tcPr>
          <w:p>
            <w:pPr>
              <w:spacing w:line="240" w:lineRule="auto" w:before="0" w:after="0"/>
              <w:pStyle w:val="Compact"/>
            </w:pPr>
            <w:r>
              <w:rPr>
                <w:sz w:val="20"/>
                <w:szCs w:val="20"/>
              </w:rPr>
              <w:t xml:space="preserve">actor</w:t>
            </w:r>
          </w:p>
        </w:tc>
        <w:tc>
          <w:tcPr>
            <w:tcW w:w="0" w:type="auto"/>
          </w:tcPr>
          <w:p>
            <w:pPr>
              <w:spacing w:line="240" w:lineRule="auto" w:before="0" w:after="0"/>
              <w:pStyle w:val="Compact"/>
            </w:pPr>
            <w:r>
              <w:rPr>
                <w:sz w:val="20"/>
                <w:szCs w:val="20"/>
              </w:rPr>
              <w:t xml:space="preserve">State conducting the test programme: China, Russia, the United States or India.</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prior_test_date</w:t>
            </w:r>
          </w:p>
        </w:tc>
        <w:tc>
          <w:tcPr>
            <w:tcW w:w="0" w:type="auto"/>
          </w:tcPr>
          <w:p>
            <w:pPr>
              <w:spacing w:line="240" w:lineRule="auto" w:before="0" w:after="0"/>
              <w:pStyle w:val="Compact"/>
            </w:pPr>
            <w:r>
              <w:rPr>
                <w:sz w:val="20"/>
                <w:szCs w:val="20"/>
              </w:rPr>
              <w:t xml:space="preserve">Calendar date of the test that opens the spell. The Russian August 2014 entry is dated to mid-month because the Secure World Foundation reports month and year only for that launch.</w:t>
            </w:r>
          </w:p>
        </w:tc>
        <w:tc>
          <w:tcPr>
            <w:tcW w:w="0" w:type="auto"/>
          </w:tcPr>
          <w:p>
            <w:pPr>
              <w:spacing w:line="240" w:lineRule="auto" w:before="0" w:after="0"/>
              <w:pStyle w:val="Compact"/>
            </w:pPr>
            <w:r>
              <w:rPr>
                <w:sz w:val="20"/>
                <w:szCs w:val="20"/>
              </w:rPr>
              <w:t xml:space="preserve">SWF Russian, Chinese, US and Indian DA-ASAT fact sheets [1][2][3][4]</w:t>
            </w:r>
          </w:p>
        </w:tc>
      </w:tr>
      <w:tr>
        <w:tc>
          <w:tcPr>
            <w:tcW w:w="0" w:type="auto"/>
          </w:tcPr>
          <w:p>
            <w:pPr>
              <w:spacing w:line="240" w:lineRule="auto" w:before="0" w:after="0"/>
              <w:pStyle w:val="Compact"/>
            </w:pPr>
            <w:r>
              <w:rPr>
                <w:sz w:val="20"/>
                <w:szCs w:val="20"/>
              </w:rPr>
              <w:t xml:space="preserve">test_date</w:t>
            </w:r>
          </w:p>
        </w:tc>
        <w:tc>
          <w:tcPr>
            <w:tcW w:w="0" w:type="auto"/>
          </w:tcPr>
          <w:p>
            <w:pPr>
              <w:spacing w:line="240" w:lineRule="auto" w:before="0" w:after="0"/>
              <w:pStyle w:val="Compact"/>
            </w:pPr>
            <w:r>
              <w:rPr>
                <w:sz w:val="20"/>
                <w:szCs w:val="20"/>
              </w:rPr>
              <w:t xml:space="preserve">Calendar date of the test that closes the spell, or 12 June 2026 for right-censored spells.</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system</w:t>
            </w:r>
          </w:p>
        </w:tc>
        <w:tc>
          <w:tcPr>
            <w:tcW w:w="0" w:type="auto"/>
          </w:tcPr>
          <w:p>
            <w:pPr>
              <w:spacing w:line="240" w:lineRule="auto" w:before="0" w:after="0"/>
              <w:pStyle w:val="Compact"/>
            </w:pPr>
            <w:r>
              <w:rPr>
                <w:sz w:val="20"/>
                <w:szCs w:val="20"/>
              </w:rPr>
              <w:t xml:space="preserve">Interceptor designation associated with the closing test: SC-19, DN-2, DN-3, Nudol, ASM-135, SM-3 Block IA or PDV-MK II.</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test_type</w:t>
            </w:r>
          </w:p>
        </w:tc>
        <w:tc>
          <w:tcPr>
            <w:tcW w:w="0" w:type="auto"/>
          </w:tcPr>
          <w:p>
            <w:pPr>
              <w:spacing w:line="240" w:lineRule="auto" w:before="0" w:after="0"/>
              <w:pStyle w:val="Compact"/>
            </w:pPr>
            <w:r>
              <w:rPr>
                <w:sz w:val="20"/>
                <w:szCs w:val="20"/>
              </w:rPr>
              <w:t xml:space="preserve">Classification of the closing test as kinetic_orbital_target, kinetic_suborbital_target or rocket_test_no_target, with</w:t>
            </w:r>
            <w:r>
              <w:rPr>
                <w:sz w:val="20"/>
                <w:szCs w:val="20"/>
              </w:rPr>
              <w:t xml:space="preserve"> </w:t>
            </w:r>
            <w:r>
              <w:rPr>
                <w:sz w:val="20"/>
                <w:szCs w:val="20"/>
              </w:rPr>
              <w:t xml:space="preserve">‘censored’</w:t>
            </w:r>
            <w:r>
              <w:rPr>
                <w:sz w:val="20"/>
                <w:szCs w:val="20"/>
              </w:rPr>
              <w:t xml:space="preserve"> </w:t>
            </w:r>
            <w:r>
              <w:rPr>
                <w:sz w:val="20"/>
                <w:szCs w:val="20"/>
              </w:rPr>
              <w:t xml:space="preserve">where no further test is observed. The Russian 15 November 2019 entry is flagged illustrative because the SWF result cell reads only</w:t>
            </w:r>
            <w:r>
              <w:rPr>
                <w:sz w:val="20"/>
                <w:szCs w:val="20"/>
              </w:rPr>
              <w:t xml:space="preserve"> </w:t>
            </w:r>
            <w:r>
              <w:rPr>
                <w:sz w:val="20"/>
                <w:szCs w:val="20"/>
              </w:rPr>
              <w:t xml:space="preserve">‘?’</w:t>
            </w:r>
            <w:r>
              <w:rPr>
                <w:sz w:val="20"/>
                <w:szCs w:val="20"/>
              </w:rPr>
              <w:t xml:space="preserve">.</w:t>
            </w:r>
          </w:p>
        </w:tc>
        <w:tc>
          <w:tcPr>
            <w:tcW w:w="0" w:type="auto"/>
          </w:tcPr>
          <w:p>
            <w:pPr>
              <w:spacing w:line="240" w:lineRule="auto" w:before="0" w:after="0"/>
              <w:pStyle w:val="Compact"/>
            </w:pPr>
            <w:r>
              <w:rPr>
                <w:sz w:val="20"/>
                <w:szCs w:val="20"/>
              </w:rPr>
              <w:t xml:space="preserve">Coded by the author from SWF Target, Altitude and Result columns [1][2][3][4]</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specific Secure World Foundation fact sheet and summary table from which the row’s dates, system and outcome classification were taken.</w:t>
            </w:r>
          </w:p>
        </w:tc>
        <w:tc>
          <w:tcPr>
            <w:tcW w:w="0" w:type="auto"/>
          </w:tcPr>
          <w:p>
            <w:pPr>
              <w:spacing w:line="240" w:lineRule="auto" w:before="0" w:after="0"/>
              <w:pStyle w:val="Compact"/>
            </w:pPr>
            <w:r>
              <w:rPr>
                <w:sz w:val="20"/>
                <w:szCs w:val="20"/>
              </w:rPr>
              <w:t xml:space="preserve">Compiled by the author from [1][2][3][4]</w:t>
            </w:r>
          </w:p>
        </w:tc>
      </w:tr>
    </w:tbl>
    <w:bookmarkEnd w:id="269"/>
    <w:bookmarkEnd w:id="270"/>
    <w:bookmarkStart w:id="278" w:name="Xfd25e316b5c0de1be1338cb40b826bf7bf091cc"/>
    <w:p>
      <w:pPr>
        <w:pStyle w:val="Heading2"/>
        <w:spacing w:line="480" w:lineRule="auto"/>
      </w:pPr>
      <w:r>
        <w:t xml:space="preserve">A.3 The Economic Instrument in Orbit: National Space Investment and Strategic Space Output</w:t>
      </w:r>
    </w:p>
    <w:p>
      <w:pPr>
        <w:pStyle w:val="FirstParagraph"/>
        <w:spacing w:line="480" w:lineRule="auto"/>
      </w:pPr>
      <w:r>
        <w:t xml:space="preserve">$$
    \[ \ln(\text{payloads\_in\_orbit}_{it}) = \alpha + \beta_1 \ln(\text{space\_budget\_usd}_{it}) + \beta_2 \ln(\text{gdp\_usd}_{it}) + \sum_{t=2021}^{2024} \gamma_t D_t + \varepsilon_{it}, \qquad \widehat{\mathrm{Var}}(\hat{\beta}) = \text{HC1} \]
    $$</w:t>
      </w:r>
    </w:p>
    <w:bookmarkStart w:id="271" w:name="estimator-output-2"/>
    <w:p>
      <w:pPr>
        <w:pStyle w:val="Heading3"/>
        <w:spacing w:line="480" w:lineRule="auto"/>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-14.1365</w:t>
            </w:r>
          </w:p>
        </w:tc>
        <w:tc>
          <w:tcPr>
            <w:tcW w:w="0" w:type="auto"/>
          </w:tcPr>
          <w:p>
            <w:pPr>
              <w:spacing w:line="240" w:lineRule="auto" w:before="0" w:after="0"/>
              <w:pStyle w:val="Compact"/>
            </w:pPr>
            <w:r>
              <w:rPr>
                <w:sz w:val="20"/>
                <w:szCs w:val="20"/>
              </w:rPr>
              <w:t xml:space="preserve">8.8815</w:t>
            </w:r>
          </w:p>
        </w:tc>
        <w:tc>
          <w:tcPr>
            <w:tcW w:w="0" w:type="auto"/>
          </w:tcPr>
          <w:p>
            <w:pPr>
              <w:spacing w:line="240" w:lineRule="auto" w:before="0" w:after="0"/>
              <w:pStyle w:val="Compact"/>
            </w:pPr>
            <w:r>
              <w:rPr>
                <w:sz w:val="20"/>
                <w:szCs w:val="20"/>
              </w:rPr>
              <w:t xml:space="preserve">-1.5917</w:t>
            </w:r>
          </w:p>
        </w:tc>
        <w:tc>
          <w:tcPr>
            <w:tcW w:w="0" w:type="auto"/>
          </w:tcPr>
          <w:p>
            <w:pPr>
              <w:spacing w:line="240" w:lineRule="auto" w:before="0" w:after="0"/>
              <w:pStyle w:val="Compact"/>
            </w:pPr>
            <w:r>
              <w:rPr>
                <w:sz w:val="20"/>
                <w:szCs w:val="20"/>
              </w:rPr>
              <w:t xml:space="preserve">0.1115</w:t>
            </w:r>
          </w:p>
        </w:tc>
        <w:tc>
          <w:tcPr>
            <w:tcW w:w="0" w:type="auto"/>
          </w:tcPr>
          <w:p>
            <w:pPr>
              <w:spacing w:line="240" w:lineRule="auto" w:before="0" w:after="0"/>
              <w:pStyle w:val="Compact"/>
            </w:pPr>
            <w:r>
              <w:rPr>
                <w:sz w:val="20"/>
                <w:szCs w:val="20"/>
              </w:rPr>
              <w:t xml:space="preserve">[-31.5439, 3.2709]</w:t>
            </w:r>
          </w:p>
        </w:tc>
      </w:tr>
      <w:tr>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1.319</w:t>
            </w:r>
          </w:p>
        </w:tc>
        <w:tc>
          <w:tcPr>
            <w:tcW w:w="0" w:type="auto"/>
          </w:tcPr>
          <w:p>
            <w:pPr>
              <w:spacing w:line="240" w:lineRule="auto" w:before="0" w:after="0"/>
              <w:pStyle w:val="Compact"/>
            </w:pPr>
            <w:r>
              <w:rPr>
                <w:sz w:val="20"/>
                <w:szCs w:val="20"/>
              </w:rPr>
              <w:t xml:space="preserve">0.3127</w:t>
            </w:r>
          </w:p>
        </w:tc>
        <w:tc>
          <w:tcPr>
            <w:tcW w:w="0" w:type="auto"/>
          </w:tcPr>
          <w:p>
            <w:pPr>
              <w:spacing w:line="240" w:lineRule="auto" w:before="0" w:after="0"/>
              <w:pStyle w:val="Compact"/>
            </w:pPr>
            <w:r>
              <w:rPr>
                <w:sz w:val="20"/>
                <w:szCs w:val="20"/>
              </w:rPr>
              <w:t xml:space="preserve">4.2188</w:t>
            </w:r>
          </w:p>
        </w:tc>
        <w:tc>
          <w:tcPr>
            <w:tcW w:w="0" w:type="auto"/>
          </w:tcPr>
          <w:p>
            <w:pPr>
              <w:spacing w:line="240" w:lineRule="auto" w:before="0" w:after="0"/>
              <w:pStyle w:val="Compact"/>
            </w:pPr>
            <w:r>
              <w:rPr>
                <w:sz w:val="20"/>
                <w:szCs w:val="20"/>
              </w:rPr>
              <w:t xml:space="preserve">2.456e-05</w:t>
            </w:r>
          </w:p>
        </w:tc>
        <w:tc>
          <w:tcPr>
            <w:tcW w:w="0" w:type="auto"/>
          </w:tcPr>
          <w:p>
            <w:pPr>
              <w:spacing w:line="240" w:lineRule="auto" w:before="0" w:after="0"/>
              <w:pStyle w:val="Compact"/>
            </w:pPr>
            <w:r>
              <w:rPr>
                <w:sz w:val="20"/>
                <w:szCs w:val="20"/>
              </w:rPr>
              <w:t xml:space="preserve">[0.7062, 1.9318]</w:t>
            </w:r>
          </w:p>
        </w:tc>
      </w:tr>
      <w:tr>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-0.3263</w:t>
            </w:r>
          </w:p>
        </w:tc>
        <w:tc>
          <w:tcPr>
            <w:tcW w:w="0" w:type="auto"/>
          </w:tcPr>
          <w:p>
            <w:pPr>
              <w:spacing w:line="240" w:lineRule="auto" w:before="0" w:after="0"/>
              <w:pStyle w:val="Compact"/>
            </w:pPr>
            <w:r>
              <w:rPr>
                <w:sz w:val="20"/>
                <w:szCs w:val="20"/>
              </w:rPr>
              <w:t xml:space="preserve">0.5161</w:t>
            </w:r>
          </w:p>
        </w:tc>
        <w:tc>
          <w:tcPr>
            <w:tcW w:w="0" w:type="auto"/>
          </w:tcPr>
          <w:p>
            <w:pPr>
              <w:spacing w:line="240" w:lineRule="auto" w:before="0" w:after="0"/>
              <w:pStyle w:val="Compact"/>
            </w:pPr>
            <w:r>
              <w:rPr>
                <w:sz w:val="20"/>
                <w:szCs w:val="20"/>
              </w:rPr>
              <w:t xml:space="preserve">-0.6323</w:t>
            </w:r>
          </w:p>
        </w:tc>
        <w:tc>
          <w:tcPr>
            <w:tcW w:w="0" w:type="auto"/>
          </w:tcPr>
          <w:p>
            <w:pPr>
              <w:spacing w:line="240" w:lineRule="auto" w:before="0" w:after="0"/>
              <w:pStyle w:val="Compact"/>
            </w:pPr>
            <w:r>
              <w:rPr>
                <w:sz w:val="20"/>
                <w:szCs w:val="20"/>
              </w:rPr>
              <w:t xml:space="preserve">0.5272</w:t>
            </w:r>
          </w:p>
        </w:tc>
        <w:tc>
          <w:tcPr>
            <w:tcW w:w="0" w:type="auto"/>
          </w:tcPr>
          <w:p>
            <w:pPr>
              <w:spacing w:line="240" w:lineRule="auto" w:before="0" w:after="0"/>
              <w:pStyle w:val="Compact"/>
            </w:pPr>
            <w:r>
              <w:rPr>
                <w:sz w:val="20"/>
                <w:szCs w:val="20"/>
              </w:rPr>
              <w:t xml:space="preserve">[-1.3379, 0.6852]</w:t>
            </w:r>
          </w:p>
        </w:tc>
      </w:tr>
      <w:tr>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-0.3602</w:t>
            </w:r>
          </w:p>
        </w:tc>
        <w:tc>
          <w:tcPr>
            <w:tcW w:w="0" w:type="auto"/>
          </w:tcPr>
          <w:p>
            <w:pPr>
              <w:spacing w:line="240" w:lineRule="auto" w:before="0" w:after="0"/>
              <w:pStyle w:val="Compact"/>
            </w:pPr>
            <w:r>
              <w:rPr>
                <w:sz w:val="20"/>
                <w:szCs w:val="20"/>
              </w:rPr>
              <w:t xml:space="preserve">0.5438</w:t>
            </w:r>
          </w:p>
        </w:tc>
        <w:tc>
          <w:tcPr>
            <w:tcW w:w="0" w:type="auto"/>
          </w:tcPr>
          <w:p>
            <w:pPr>
              <w:spacing w:line="240" w:lineRule="auto" w:before="0" w:after="0"/>
              <w:pStyle w:val="Compact"/>
            </w:pPr>
            <w:r>
              <w:rPr>
                <w:sz w:val="20"/>
                <w:szCs w:val="20"/>
              </w:rPr>
              <w:t xml:space="preserve">-0.6623</w:t>
            </w:r>
          </w:p>
        </w:tc>
        <w:tc>
          <w:tcPr>
            <w:tcW w:w="0" w:type="auto"/>
          </w:tcPr>
          <w:p>
            <w:pPr>
              <w:spacing w:line="240" w:lineRule="auto" w:before="0" w:after="0"/>
              <w:pStyle w:val="Compact"/>
            </w:pPr>
            <w:r>
              <w:rPr>
                <w:sz w:val="20"/>
                <w:szCs w:val="20"/>
              </w:rPr>
              <w:t xml:space="preserve">0.5078</w:t>
            </w:r>
          </w:p>
        </w:tc>
        <w:tc>
          <w:tcPr>
            <w:tcW w:w="0" w:type="auto"/>
          </w:tcPr>
          <w:p>
            <w:pPr>
              <w:spacing w:line="240" w:lineRule="auto" w:before="0" w:after="0"/>
              <w:pStyle w:val="Compact"/>
            </w:pPr>
            <w:r>
              <w:rPr>
                <w:sz w:val="20"/>
                <w:szCs w:val="20"/>
              </w:rPr>
              <w:t xml:space="preserve">[-1.426, 0.7057]</w:t>
            </w:r>
          </w:p>
        </w:tc>
      </w:tr>
      <w:tr>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-0.062</w:t>
            </w:r>
          </w:p>
        </w:tc>
        <w:tc>
          <w:tcPr>
            <w:tcW w:w="0" w:type="auto"/>
          </w:tcPr>
          <w:p>
            <w:pPr>
              <w:spacing w:line="240" w:lineRule="auto" w:before="0" w:after="0"/>
              <w:pStyle w:val="Compact"/>
            </w:pPr>
            <w:r>
              <w:rPr>
                <w:sz w:val="20"/>
                <w:szCs w:val="20"/>
              </w:rPr>
              <w:t xml:space="preserve">0.4389</w:t>
            </w:r>
          </w:p>
        </w:tc>
        <w:tc>
          <w:tcPr>
            <w:tcW w:w="0" w:type="auto"/>
          </w:tcPr>
          <w:p>
            <w:pPr>
              <w:spacing w:line="240" w:lineRule="auto" w:before="0" w:after="0"/>
              <w:pStyle w:val="Compact"/>
            </w:pPr>
            <w:r>
              <w:rPr>
                <w:sz w:val="20"/>
                <w:szCs w:val="20"/>
              </w:rPr>
              <w:t xml:space="preserve">-0.1412</w:t>
            </w:r>
          </w:p>
        </w:tc>
        <w:tc>
          <w:tcPr>
            <w:tcW w:w="0" w:type="auto"/>
          </w:tcPr>
          <w:p>
            <w:pPr>
              <w:spacing w:line="240" w:lineRule="auto" w:before="0" w:after="0"/>
              <w:pStyle w:val="Compact"/>
            </w:pPr>
            <w:r>
              <w:rPr>
                <w:sz w:val="20"/>
                <w:szCs w:val="20"/>
              </w:rPr>
              <w:t xml:space="preserve">0.8877</w:t>
            </w:r>
          </w:p>
        </w:tc>
        <w:tc>
          <w:tcPr>
            <w:tcW w:w="0" w:type="auto"/>
          </w:tcPr>
          <w:p>
            <w:pPr>
              <w:spacing w:line="240" w:lineRule="auto" w:before="0" w:after="0"/>
              <w:pStyle w:val="Compact"/>
            </w:pPr>
            <w:r>
              <w:rPr>
                <w:sz w:val="20"/>
                <w:szCs w:val="20"/>
              </w:rPr>
              <w:t xml:space="preserve">[-0.9222, 0.7983]</w:t>
            </w:r>
          </w:p>
        </w:tc>
      </w:tr>
      <w:tr>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0.6376</w:t>
            </w:r>
          </w:p>
        </w:tc>
        <w:tc>
          <w:tcPr>
            <w:tcW w:w="0" w:type="auto"/>
          </w:tcPr>
          <w:p>
            <w:pPr>
              <w:spacing w:line="240" w:lineRule="auto" w:before="0" w:after="0"/>
              <w:pStyle w:val="Compact"/>
            </w:pPr>
            <w:r>
              <w:rPr>
                <w:sz w:val="20"/>
                <w:szCs w:val="20"/>
              </w:rPr>
              <w:t xml:space="preserve">0.5277</w:t>
            </w:r>
          </w:p>
        </w:tc>
        <w:tc>
          <w:tcPr>
            <w:tcW w:w="0" w:type="auto"/>
          </w:tcPr>
          <w:p>
            <w:pPr>
              <w:spacing w:line="240" w:lineRule="auto" w:before="0" w:after="0"/>
              <w:pStyle w:val="Compact"/>
            </w:pPr>
            <w:r>
              <w:rPr>
                <w:sz w:val="20"/>
                <w:szCs w:val="20"/>
              </w:rPr>
              <w:t xml:space="preserve">1.2083</w:t>
            </w:r>
          </w:p>
        </w:tc>
        <w:tc>
          <w:tcPr>
            <w:tcW w:w="0" w:type="auto"/>
          </w:tcPr>
          <w:p>
            <w:pPr>
              <w:spacing w:line="240" w:lineRule="auto" w:before="0" w:after="0"/>
              <w:pStyle w:val="Compact"/>
            </w:pPr>
            <w:r>
              <w:rPr>
                <w:sz w:val="20"/>
                <w:szCs w:val="20"/>
              </w:rPr>
              <w:t xml:space="preserve">0.2269</w:t>
            </w:r>
          </w:p>
        </w:tc>
        <w:tc>
          <w:tcPr>
            <w:tcW w:w="0" w:type="auto"/>
          </w:tcPr>
          <w:p>
            <w:pPr>
              <w:spacing w:line="240" w:lineRule="auto" w:before="0" w:after="0"/>
              <w:pStyle w:val="Compact"/>
            </w:pPr>
            <w:r>
              <w:rPr>
                <w:sz w:val="20"/>
                <w:szCs w:val="20"/>
              </w:rPr>
              <w:t xml:space="preserve">[-0.3967, 1.6718]</w:t>
            </w:r>
          </w:p>
        </w:tc>
      </w:tr>
      <w:tr>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-0.1971</w:t>
            </w:r>
          </w:p>
        </w:tc>
        <w:tc>
          <w:tcPr>
            <w:tcW w:w="0" w:type="auto"/>
          </w:tcPr>
          <w:p>
            <w:pPr>
              <w:spacing w:line="240" w:lineRule="auto" w:before="0" w:after="0"/>
              <w:pStyle w:val="Compact"/>
            </w:pPr>
            <w:r>
              <w:rPr>
                <w:sz w:val="20"/>
                <w:szCs w:val="20"/>
              </w:rPr>
              <w:t xml:space="preserve">0.5906</w:t>
            </w:r>
          </w:p>
        </w:tc>
        <w:tc>
          <w:tcPr>
            <w:tcW w:w="0" w:type="auto"/>
          </w:tcPr>
          <w:p>
            <w:pPr>
              <w:spacing w:line="240" w:lineRule="auto" w:before="0" w:after="0"/>
              <w:pStyle w:val="Compact"/>
            </w:pPr>
            <w:r>
              <w:rPr>
                <w:sz w:val="20"/>
                <w:szCs w:val="20"/>
              </w:rPr>
              <w:t xml:space="preserve">-0.3337</w:t>
            </w:r>
          </w:p>
        </w:tc>
        <w:tc>
          <w:tcPr>
            <w:tcW w:w="0" w:type="auto"/>
          </w:tcPr>
          <w:p>
            <w:pPr>
              <w:spacing w:line="240" w:lineRule="auto" w:before="0" w:after="0"/>
              <w:pStyle w:val="Compact"/>
            </w:pPr>
            <w:r>
              <w:rPr>
                <w:sz w:val="20"/>
                <w:szCs w:val="20"/>
              </w:rPr>
              <w:t xml:space="preserve">0.7386</w:t>
            </w:r>
          </w:p>
        </w:tc>
        <w:tc>
          <w:tcPr>
            <w:tcW w:w="0" w:type="auto"/>
          </w:tcPr>
          <w:p>
            <w:pPr>
              <w:spacing w:line="240" w:lineRule="auto" w:before="0" w:after="0"/>
              <w:pStyle w:val="Compact"/>
            </w:pPr>
            <w:r>
              <w:rPr>
                <w:sz w:val="20"/>
                <w:szCs w:val="20"/>
              </w:rPr>
              <w:t xml:space="preserve">[-1.3545, 0.9604]</w:t>
            </w:r>
          </w:p>
        </w:tc>
      </w:tr>
    </w:tbl>
    <w:p>
      <w:pPr>
        <w:pStyle w:val="BodyText"/>
        <w:spacing w:line="480" w:lineRule="auto"/>
        <w:ind w:firstLine="720"/>
      </w:pPr>
      <w:r>
        <w:t xml:space="preserve">Fit: N = 27 R2 = 0.7988 R2_adj = 0.7384 F = 35.429 F_p = 1.24e-09</w:t>
      </w:r>
    </w:p>
    <w:bookmarkEnd w:id="271"/>
    <w:bookmarkStart w:id="275" w:name="figure-2"/>
    <w:p>
      <w:pPr>
        <w:pStyle w:val="Heading3"/>
        <w:spacing w:line="480" w:lineRule="auto"/>
      </w:pPr>
      <w:r>
        <w:t xml:space="preserve">Figure</w:t>
      </w:r>
    </w:p>
    <w:p>
      <w:pPr>
        <w:pStyle w:val="CaptionedFigure"/>
        <w:spacing w:line="480" w:lineRule="auto"/>
      </w:pPr>
      <w:r>
        <w:drawing>
          <wp:inline>
            <wp:extent cx="5669280" cy="3657600"/>
            <wp:effectExtent b="0" l="0" r="0" t="0"/>
            <wp:docPr descr="Figure A.3. Government space investment and on-orbit payload stock across 27 country-year observations covering 13 states in 2018, 2021, 2022, 2023 and 2024. The log-log OLS fit with HC1 robust standard errors returns a budget elasticity of 1.32 (robust SE 0.31, p &lt; 0.001) and an R-squared of 0.80, while the coefficient on log GDP is statistically indistinguishable from zero. Aggregate national wealth does not predict orbital presence once the appropriated space budget is in the specification." title="" id="273" name="Picture"/>
            <a:graphic>
              <a:graphicData uri="http://schemas.openxmlformats.org/drawingml/2006/picture">
                <pic:pic>
                  <pic:nvPicPr>
                    <pic:cNvPr descr="D:/Claude_Code/brain/collegium/candidates/dissertations/GRAND_STRATEGY_CANON_01/research_papers/p3/paper_fig1.png" id="274" name="Picture"/>
                    <pic:cNvPicPr>
                      <a:picLocks noChangeArrowheads="1" noChangeAspect="1"/>
                    </pic:cNvPicPr>
                  </pic:nvPicPr>
                  <pic:blipFill>
                    <a:blip r:embed="rId272"/>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spacing w:line="480" w:lineRule="auto"/>
      </w:pPr>
      <w:r>
        <w:t xml:space="preserve">Figure A.3. Government space investment and on-orbit payload stock across 27 country-year observations covering 13 states in 2018, 2021, 2022, 2023 and 2024. The log-log OLS fit with HC1 robust standard errors returns a budget elasticity of 1.32 (robust SE 0.31, p &lt; 0.001) and an R-squared of 0.80, while the coefficient on log GDP is statistically indistinguishable from zero. Aggregate national wealth does not predict orbital presence once the appropriated space budget is in the specification.</w:t>
      </w:r>
    </w:p>
    <w:bookmarkEnd w:id="275"/>
    <w:bookmarkStart w:id="276" w:name="data-real-observations-2"/>
    <w:p>
      <w:pPr>
        <w:pStyle w:val="Heading3"/>
        <w:spacing w:line="480" w:lineRule="auto"/>
      </w:pPr>
      <w:r>
        <w:t xml:space="preserve">Data (real observations)</w:t>
      </w:r>
    </w:p>
    <w:tbl>
      <w:tblPr>
        <w:tblStyle w:val="Table"/>
        <w:tblLook w:firstRow="1" w:lastRow="0" w:firstColumn="0" w:lastColumn="0" w:noHBand="0" w:noVBand="0" w:val="0020"/>
        <w:tblLayout w:type="autofit"/>
        <w:tblW w:w="0" w:type="auto"/>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tcW w:w="0" w:type="auto"/>
          </w:tcPr>
          <w:p>
            <w:pPr>
              <w:spacing w:line="240" w:lineRule="auto" w:before="0" w:after="0"/>
              <w:pStyle w:val="Compact"/>
            </w:pPr>
            <w:r>
              <w:rPr>
                <w:sz w:val="20"/>
                <w:szCs w:val="20"/>
              </w:rPr>
              <w:t xml:space="preserve">country</w:t>
            </w:r>
          </w:p>
        </w:tc>
        <w:tc>
          <w:tcPr>
            <w:tcW w:w="0" w:type="auto"/>
          </w:tcPr>
          <w:p>
            <w:pPr>
              <w:spacing w:line="240" w:lineRule="auto" w:before="0" w:after="0"/>
              <w:pStyle w:val="Compact"/>
            </w:pPr>
            <w:r>
              <w:rPr>
                <w:sz w:val="20"/>
                <w:szCs w:val="20"/>
              </w:rPr>
              <w:t xml:space="preserve">iso3</w:t>
            </w:r>
          </w:p>
        </w:tc>
        <w:tc>
          <w:tcPr>
            <w:tcW w:w="0" w:type="auto"/>
          </w:tcPr>
          <w:p>
            <w:pPr>
              <w:spacing w:line="240" w:lineRule="auto" w:before="0" w:after="0"/>
              <w:pStyle w:val="Compact"/>
            </w:pPr>
            <w:r>
              <w:rPr>
                <w:sz w:val="20"/>
                <w:szCs w:val="20"/>
              </w:rPr>
              <w:t xml:space="preserve">year</w:t>
            </w:r>
          </w:p>
        </w:tc>
        <w:tc>
          <w:tcPr>
            <w:tcW w:w="0" w:type="auto"/>
          </w:tcPr>
          <w:p>
            <w:pPr>
              <w:spacing w:line="240" w:lineRule="auto" w:before="0" w:after="0"/>
              <w:pStyle w:val="Compact"/>
            </w:pPr>
            <w:r>
              <w:rPr>
                <w:sz w:val="20"/>
                <w:szCs w:val="20"/>
              </w:rPr>
              <w:t xml:space="preserve">space_budget_usd</w:t>
            </w:r>
          </w:p>
        </w:tc>
        <w:tc>
          <w:tcPr>
            <w:tcW w:w="0" w:type="auto"/>
          </w:tcPr>
          <w:p>
            <w:pPr>
              <w:spacing w:line="240" w:lineRule="auto" w:before="0" w:after="0"/>
              <w:pStyle w:val="Compact"/>
            </w:pPr>
            <w:r>
              <w:rPr>
                <w:sz w:val="20"/>
                <w:szCs w:val="20"/>
              </w:rPr>
              <w:t xml:space="preserve">gdp_usd</w:t>
            </w:r>
          </w:p>
        </w:tc>
        <w:tc>
          <w:tcPr>
            <w:tcW w:w="0" w:type="auto"/>
          </w:tcPr>
          <w:p>
            <w:pPr>
              <w:spacing w:line="240" w:lineRule="auto" w:before="0" w:after="0"/>
              <w:pStyle w:val="Compact"/>
            </w:pPr>
            <w:r>
              <w:rPr>
                <w:sz w:val="20"/>
                <w:szCs w:val="20"/>
              </w:rPr>
              <w:t xml:space="preserve">payloads_in_orbit</w:t>
            </w:r>
          </w:p>
        </w:tc>
        <w:tc>
          <w:tcPr>
            <w:tcW w:w="0" w:type="auto"/>
          </w:tcPr>
          <w:p>
            <w:pPr>
              <w:spacing w:line="240" w:lineRule="auto" w:before="0" w:after="0"/>
              <w:pStyle w:val="Compact"/>
            </w:pPr>
            <w:r>
              <w:rPr>
                <w:sz w:val="20"/>
                <w:szCs w:val="20"/>
              </w:rPr>
              <w:t xml:space="preserve">space_budget_pct_gdp</w:t>
            </w:r>
          </w:p>
        </w:tc>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ln_payloads_in_orbit</w:t>
            </w:r>
          </w:p>
        </w:tc>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40900000000</w:t>
            </w:r>
          </w:p>
        </w:tc>
        <w:tc>
          <w:tcPr>
            <w:tcW w:w="0" w:type="auto"/>
          </w:tcPr>
          <w:p>
            <w:pPr>
              <w:spacing w:line="240" w:lineRule="auto" w:before="0" w:after="0"/>
              <w:pStyle w:val="Compact"/>
            </w:pPr>
            <w:r>
              <w:rPr>
                <w:sz w:val="20"/>
                <w:szCs w:val="20"/>
              </w:rPr>
              <w:t xml:space="preserve">20656516000000</w:t>
            </w:r>
          </w:p>
        </w:tc>
        <w:tc>
          <w:tcPr>
            <w:tcW w:w="0" w:type="auto"/>
          </w:tcPr>
          <w:p>
            <w:pPr>
              <w:spacing w:line="240" w:lineRule="auto" w:before="0" w:after="0"/>
              <w:pStyle w:val="Compact"/>
            </w:pPr>
            <w:r>
              <w:rPr>
                <w:sz w:val="20"/>
                <w:szCs w:val="20"/>
              </w:rPr>
              <w:t xml:space="preserve">1715</w:t>
            </w:r>
          </w:p>
        </w:tc>
        <w:tc>
          <w:tcPr>
            <w:tcW w:w="0" w:type="auto"/>
          </w:tcPr>
          <w:p>
            <w:pPr>
              <w:spacing w:line="240" w:lineRule="auto" w:before="0" w:after="0"/>
              <w:pStyle w:val="Compact"/>
            </w:pPr>
            <w:r>
              <w:rPr>
                <w:sz w:val="20"/>
                <w:szCs w:val="20"/>
              </w:rPr>
              <w:t xml:space="preserve">0.198</w:t>
            </w:r>
          </w:p>
        </w:tc>
        <w:tc>
          <w:tcPr>
            <w:tcW w:w="0" w:type="auto"/>
          </w:tcPr>
          <w:p>
            <w:pPr>
              <w:spacing w:line="240" w:lineRule="auto" w:before="0" w:after="0"/>
              <w:pStyle w:val="Compact"/>
            </w:pPr>
            <w:r>
              <w:rPr>
                <w:sz w:val="20"/>
                <w:szCs w:val="20"/>
              </w:rPr>
              <w:t xml:space="preserve">24.4344</w:t>
            </w:r>
          </w:p>
        </w:tc>
        <w:tc>
          <w:tcPr>
            <w:tcW w:w="0" w:type="auto"/>
          </w:tcPr>
          <w:p>
            <w:pPr>
              <w:spacing w:line="240" w:lineRule="auto" w:before="0" w:after="0"/>
              <w:pStyle w:val="Compact"/>
            </w:pPr>
            <w:r>
              <w:rPr>
                <w:sz w:val="20"/>
                <w:szCs w:val="20"/>
              </w:rPr>
              <w:t xml:space="preserve">30.6591</w:t>
            </w:r>
          </w:p>
        </w:tc>
        <w:tc>
          <w:tcPr>
            <w:tcW w:w="0" w:type="auto"/>
          </w:tcPr>
          <w:p>
            <w:pPr>
              <w:spacing w:line="240" w:lineRule="auto" w:before="0" w:after="0"/>
              <w:pStyle w:val="Compact"/>
            </w:pPr>
            <w:r>
              <w:rPr>
                <w:sz w:val="20"/>
                <w:szCs w:val="20"/>
              </w:rPr>
              <w:t xml:space="preserve">7.4472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5830000000</w:t>
            </w:r>
          </w:p>
        </w:tc>
        <w:tc>
          <w:tcPr>
            <w:tcW w:w="0" w:type="auto"/>
          </w:tcPr>
          <w:p>
            <w:pPr>
              <w:spacing w:line="240" w:lineRule="auto" w:before="0" w:after="0"/>
              <w:pStyle w:val="Compact"/>
            </w:pPr>
            <w:r>
              <w:rPr>
                <w:sz w:val="20"/>
                <w:szCs w:val="20"/>
              </w:rPr>
              <w:t xml:space="preserve">14147765772964</w:t>
            </w:r>
          </w:p>
        </w:tc>
        <w:tc>
          <w:tcPr>
            <w:tcW w:w="0" w:type="auto"/>
          </w:tcPr>
          <w:p>
            <w:pPr>
              <w:spacing w:line="240" w:lineRule="auto" w:before="0" w:after="0"/>
              <w:pStyle w:val="Compact"/>
            </w:pPr>
            <w:r>
              <w:rPr>
                <w:sz w:val="20"/>
                <w:szCs w:val="20"/>
              </w:rPr>
              <w:t xml:space="preserve">346</w:t>
            </w:r>
          </w:p>
        </w:tc>
        <w:tc>
          <w:tcPr>
            <w:tcW w:w="0" w:type="auto"/>
          </w:tcPr>
          <w:p>
            <w:pPr>
              <w:spacing w:line="240" w:lineRule="auto" w:before="0" w:after="0"/>
              <w:pStyle w:val="Compact"/>
            </w:pPr>
            <w:r>
              <w:rPr>
                <w:sz w:val="20"/>
                <w:szCs w:val="20"/>
              </w:rPr>
              <w:t xml:space="preserve">0.0412</w:t>
            </w:r>
          </w:p>
        </w:tc>
        <w:tc>
          <w:tcPr>
            <w:tcW w:w="0" w:type="auto"/>
          </w:tcPr>
          <w:p>
            <w:pPr>
              <w:spacing w:line="240" w:lineRule="auto" w:before="0" w:after="0"/>
              <w:pStyle w:val="Compact"/>
            </w:pPr>
            <w:r>
              <w:rPr>
                <w:sz w:val="20"/>
                <w:szCs w:val="20"/>
              </w:rPr>
              <w:t xml:space="preserve">22.4863</w:t>
            </w:r>
          </w:p>
        </w:tc>
        <w:tc>
          <w:tcPr>
            <w:tcW w:w="0" w:type="auto"/>
          </w:tcPr>
          <w:p>
            <w:pPr>
              <w:spacing w:line="240" w:lineRule="auto" w:before="0" w:after="0"/>
              <w:pStyle w:val="Compact"/>
            </w:pPr>
            <w:r>
              <w:rPr>
                <w:sz w:val="20"/>
                <w:szCs w:val="20"/>
              </w:rPr>
              <w:t xml:space="preserve">30.2806</w:t>
            </w:r>
          </w:p>
        </w:tc>
        <w:tc>
          <w:tcPr>
            <w:tcW w:w="0" w:type="auto"/>
          </w:tcPr>
          <w:p>
            <w:pPr>
              <w:spacing w:line="240" w:lineRule="auto" w:before="0" w:after="0"/>
              <w:pStyle w:val="Compact"/>
            </w:pPr>
            <w:r>
              <w:rPr>
                <w:sz w:val="20"/>
                <w:szCs w:val="20"/>
              </w:rPr>
              <w:t xml:space="preserve">5.8464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RUS</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4200000000</w:t>
            </w:r>
          </w:p>
        </w:tc>
        <w:tc>
          <w:tcPr>
            <w:tcW w:w="0" w:type="auto"/>
          </w:tcPr>
          <w:p>
            <w:pPr>
              <w:spacing w:line="240" w:lineRule="auto" w:before="0" w:after="0"/>
              <w:pStyle w:val="Compact"/>
            </w:pPr>
            <w:r>
              <w:rPr>
                <w:sz w:val="20"/>
                <w:szCs w:val="20"/>
              </w:rPr>
              <w:t xml:space="preserve">1657328773461</w:t>
            </w:r>
          </w:p>
        </w:tc>
        <w:tc>
          <w:tcPr>
            <w:tcW w:w="0" w:type="auto"/>
          </w:tcPr>
          <w:p>
            <w:pPr>
              <w:spacing w:line="240" w:lineRule="auto" w:before="0" w:after="0"/>
              <w:pStyle w:val="Compact"/>
            </w:pPr>
            <w:r>
              <w:rPr>
                <w:sz w:val="20"/>
                <w:szCs w:val="20"/>
              </w:rPr>
              <w:t xml:space="preserve">1525</w:t>
            </w:r>
          </w:p>
        </w:tc>
        <w:tc>
          <w:tcPr>
            <w:tcW w:w="0" w:type="auto"/>
          </w:tcPr>
          <w:p>
            <w:pPr>
              <w:spacing w:line="240" w:lineRule="auto" w:before="0" w:after="0"/>
              <w:pStyle w:val="Compact"/>
            </w:pPr>
            <w:r>
              <w:rPr>
                <w:sz w:val="20"/>
                <w:szCs w:val="20"/>
              </w:rPr>
              <w:t xml:space="preserve">0.2534</w:t>
            </w:r>
          </w:p>
        </w:tc>
        <w:tc>
          <w:tcPr>
            <w:tcW w:w="0" w:type="auto"/>
          </w:tcPr>
          <w:p>
            <w:pPr>
              <w:spacing w:line="240" w:lineRule="auto" w:before="0" w:after="0"/>
              <w:pStyle w:val="Compact"/>
            </w:pPr>
            <w:r>
              <w:rPr>
                <w:sz w:val="20"/>
                <w:szCs w:val="20"/>
              </w:rPr>
              <w:t xml:space="preserve">22.1583</w:t>
            </w:r>
          </w:p>
        </w:tc>
        <w:tc>
          <w:tcPr>
            <w:tcW w:w="0" w:type="auto"/>
          </w:tcPr>
          <w:p>
            <w:pPr>
              <w:spacing w:line="240" w:lineRule="auto" w:before="0" w:after="0"/>
              <w:pStyle w:val="Compact"/>
            </w:pPr>
            <w:r>
              <w:rPr>
                <w:sz w:val="20"/>
                <w:szCs w:val="20"/>
              </w:rPr>
              <w:t xml:space="preserve">28.1362</w:t>
            </w:r>
          </w:p>
        </w:tc>
        <w:tc>
          <w:tcPr>
            <w:tcW w:w="0" w:type="auto"/>
          </w:tcPr>
          <w:p>
            <w:pPr>
              <w:spacing w:line="240" w:lineRule="auto" w:before="0" w:after="0"/>
              <w:pStyle w:val="Compact"/>
            </w:pPr>
            <w:r>
              <w:rPr>
                <w:sz w:val="20"/>
                <w:szCs w:val="20"/>
              </w:rPr>
              <w:t xml:space="preserve">7.3297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3200000000</w:t>
            </w:r>
          </w:p>
        </w:tc>
        <w:tc>
          <w:tcPr>
            <w:tcW w:w="0" w:type="auto"/>
          </w:tcPr>
          <w:p>
            <w:pPr>
              <w:spacing w:line="240" w:lineRule="auto" w:before="0" w:after="0"/>
              <w:pStyle w:val="Compact"/>
            </w:pPr>
            <w:r>
              <w:rPr>
                <w:sz w:val="20"/>
                <w:szCs w:val="20"/>
              </w:rPr>
              <w:t xml:space="preserve">2781576320884</w:t>
            </w:r>
          </w:p>
        </w:tc>
        <w:tc>
          <w:tcPr>
            <w:tcW w:w="0" w:type="auto"/>
          </w:tcPr>
          <w:p>
            <w:pPr>
              <w:spacing w:line="240" w:lineRule="auto" w:before="0" w:after="0"/>
              <w:pStyle w:val="Compact"/>
            </w:pPr>
            <w:r>
              <w:rPr>
                <w:sz w:val="20"/>
                <w:szCs w:val="20"/>
              </w:rPr>
              <w:t xml:space="preserve">63</w:t>
            </w:r>
          </w:p>
        </w:tc>
        <w:tc>
          <w:tcPr>
            <w:tcW w:w="0" w:type="auto"/>
          </w:tcPr>
          <w:p>
            <w:pPr>
              <w:spacing w:line="240" w:lineRule="auto" w:before="0" w:after="0"/>
              <w:pStyle w:val="Compact"/>
            </w:pPr>
            <w:r>
              <w:rPr>
                <w:sz w:val="20"/>
                <w:szCs w:val="20"/>
              </w:rPr>
              <w:t xml:space="preserve">0.115</w:t>
            </w:r>
          </w:p>
        </w:tc>
        <w:tc>
          <w:tcPr>
            <w:tcW w:w="0" w:type="auto"/>
          </w:tcPr>
          <w:p>
            <w:pPr>
              <w:spacing w:line="240" w:lineRule="auto" w:before="0" w:after="0"/>
              <w:pStyle w:val="Compact"/>
            </w:pPr>
            <w:r>
              <w:rPr>
                <w:sz w:val="20"/>
                <w:szCs w:val="20"/>
              </w:rPr>
              <w:t xml:space="preserve">21.8864</w:t>
            </w:r>
          </w:p>
        </w:tc>
        <w:tc>
          <w:tcPr>
            <w:tcW w:w="0" w:type="auto"/>
          </w:tcPr>
          <w:p>
            <w:pPr>
              <w:spacing w:line="240" w:lineRule="auto" w:before="0" w:after="0"/>
              <w:pStyle w:val="Compact"/>
            </w:pPr>
            <w:r>
              <w:rPr>
                <w:sz w:val="20"/>
                <w:szCs w:val="20"/>
              </w:rPr>
              <w:t xml:space="preserve">28.654</w:t>
            </w:r>
          </w:p>
        </w:tc>
        <w:tc>
          <w:tcPr>
            <w:tcW w:w="0" w:type="auto"/>
          </w:tcPr>
          <w:p>
            <w:pPr>
              <w:spacing w:line="240" w:lineRule="auto" w:before="0" w:after="0"/>
              <w:pStyle w:val="Compact"/>
            </w:pPr>
            <w:r>
              <w:rPr>
                <w:sz w:val="20"/>
                <w:szCs w:val="20"/>
              </w:rPr>
              <w:t xml:space="preserve">4.1431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3100000000</w:t>
            </w:r>
          </w:p>
        </w:tc>
        <w:tc>
          <w:tcPr>
            <w:tcW w:w="0" w:type="auto"/>
          </w:tcPr>
          <w:p>
            <w:pPr>
              <w:spacing w:line="240" w:lineRule="auto" w:before="0" w:after="0"/>
              <w:pStyle w:val="Compact"/>
            </w:pPr>
            <w:r>
              <w:rPr>
                <w:sz w:val="20"/>
                <w:szCs w:val="20"/>
              </w:rPr>
              <w:t xml:space="preserve">5154293721630</w:t>
            </w:r>
          </w:p>
        </w:tc>
        <w:tc>
          <w:tcPr>
            <w:tcW w:w="0" w:type="auto"/>
          </w:tcPr>
          <w:p>
            <w:pPr>
              <w:spacing w:line="240" w:lineRule="auto" w:before="0" w:after="0"/>
              <w:pStyle w:val="Compact"/>
            </w:pPr>
            <w:r>
              <w:rPr>
                <w:sz w:val="20"/>
                <w:szCs w:val="20"/>
              </w:rPr>
              <w:t xml:space="preserve">220</w:t>
            </w:r>
          </w:p>
        </w:tc>
        <w:tc>
          <w:tcPr>
            <w:tcW w:w="0" w:type="auto"/>
          </w:tcPr>
          <w:p>
            <w:pPr>
              <w:spacing w:line="240" w:lineRule="auto" w:before="0" w:after="0"/>
              <w:pStyle w:val="Compact"/>
            </w:pPr>
            <w:r>
              <w:rPr>
                <w:sz w:val="20"/>
                <w:szCs w:val="20"/>
              </w:rPr>
              <w:t xml:space="preserve">0.0601</w:t>
            </w:r>
          </w:p>
        </w:tc>
        <w:tc>
          <w:tcPr>
            <w:tcW w:w="0" w:type="auto"/>
          </w:tcPr>
          <w:p>
            <w:pPr>
              <w:spacing w:line="240" w:lineRule="auto" w:before="0" w:after="0"/>
              <w:pStyle w:val="Compact"/>
            </w:pPr>
            <w:r>
              <w:rPr>
                <w:sz w:val="20"/>
                <w:szCs w:val="20"/>
              </w:rPr>
              <w:t xml:space="preserve">21.8547</w:t>
            </w:r>
          </w:p>
        </w:tc>
        <w:tc>
          <w:tcPr>
            <w:tcW w:w="0" w:type="auto"/>
          </w:tcPr>
          <w:p>
            <w:pPr>
              <w:spacing w:line="240" w:lineRule="auto" w:before="0" w:after="0"/>
              <w:pStyle w:val="Compact"/>
            </w:pPr>
            <w:r>
              <w:rPr>
                <w:sz w:val="20"/>
                <w:szCs w:val="20"/>
              </w:rPr>
              <w:t xml:space="preserve">29.2708</w:t>
            </w:r>
          </w:p>
        </w:tc>
        <w:tc>
          <w:tcPr>
            <w:tcW w:w="0" w:type="auto"/>
          </w:tcPr>
          <w:p>
            <w:pPr>
              <w:spacing w:line="240" w:lineRule="auto" w:before="0" w:after="0"/>
              <w:pStyle w:val="Compact"/>
            </w:pPr>
            <w:r>
              <w:rPr>
                <w:sz w:val="20"/>
                <w:szCs w:val="20"/>
              </w:rPr>
              <w:t xml:space="preserve">5.3936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SpaceNews op-ed</w:t>
            </w:r>
            <w:r>
              <w:rPr>
                <w:sz w:val="20"/>
                <w:szCs w:val="20"/>
              </w:rPr>
              <w:t xml:space="preserve"> </w:t>
            </w:r>
            <w:r>
              <w:rPr>
                <w:sz w:val="20"/>
                <w:szCs w:val="20"/>
              </w:rPr>
              <w:t xml:space="preserve">‘Global government space budgets continues multiyear rebound’</w:t>
            </w:r>
            <w:r>
              <w:rPr>
                <w:sz w:val="20"/>
                <w:szCs w:val="20"/>
              </w:rPr>
              <w:t xml:space="preserve"> </w:t>
            </w:r>
            <w:r>
              <w:rPr>
                <w:sz w:val="20"/>
                <w:szCs w:val="20"/>
              </w:rPr>
              <w:t xml:space="preserve">(GSP 2019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54600000000</w:t>
            </w:r>
          </w:p>
        </w:tc>
        <w:tc>
          <w:tcPr>
            <w:tcW w:w="0" w:type="auto"/>
          </w:tcPr>
          <w:p>
            <w:pPr>
              <w:spacing w:line="240" w:lineRule="auto" w:before="0" w:after="0"/>
              <w:pStyle w:val="Compact"/>
            </w:pPr>
            <w:r>
              <w:rPr>
                <w:sz w:val="20"/>
                <w:szCs w:val="20"/>
              </w:rPr>
              <w:t xml:space="preserve">23725645000000</w:t>
            </w:r>
          </w:p>
        </w:tc>
        <w:tc>
          <w:tcPr>
            <w:tcW w:w="0" w:type="auto"/>
          </w:tcPr>
          <w:p>
            <w:pPr>
              <w:spacing w:line="240" w:lineRule="auto" w:before="0" w:after="0"/>
              <w:pStyle w:val="Compact"/>
            </w:pPr>
            <w:r>
              <w:rPr>
                <w:sz w:val="20"/>
                <w:szCs w:val="20"/>
              </w:rPr>
              <w:t xml:space="preserve">3897</w:t>
            </w:r>
          </w:p>
        </w:tc>
        <w:tc>
          <w:tcPr>
            <w:tcW w:w="0" w:type="auto"/>
          </w:tcPr>
          <w:p>
            <w:pPr>
              <w:spacing w:line="240" w:lineRule="auto" w:before="0" w:after="0"/>
              <w:pStyle w:val="Compact"/>
            </w:pPr>
            <w:r>
              <w:rPr>
                <w:sz w:val="20"/>
                <w:szCs w:val="20"/>
              </w:rPr>
              <w:t xml:space="preserve">0.2301</w:t>
            </w:r>
          </w:p>
        </w:tc>
        <w:tc>
          <w:tcPr>
            <w:tcW w:w="0" w:type="auto"/>
          </w:tcPr>
          <w:p>
            <w:pPr>
              <w:spacing w:line="240" w:lineRule="auto" w:before="0" w:after="0"/>
              <w:pStyle w:val="Compact"/>
            </w:pPr>
            <w:r>
              <w:rPr>
                <w:sz w:val="20"/>
                <w:szCs w:val="20"/>
              </w:rPr>
              <w:t xml:space="preserve">24.7233</w:t>
            </w:r>
          </w:p>
        </w:tc>
        <w:tc>
          <w:tcPr>
            <w:tcW w:w="0" w:type="auto"/>
          </w:tcPr>
          <w:p>
            <w:pPr>
              <w:spacing w:line="240" w:lineRule="auto" w:before="0" w:after="0"/>
              <w:pStyle w:val="Compact"/>
            </w:pPr>
            <w:r>
              <w:rPr>
                <w:sz w:val="20"/>
                <w:szCs w:val="20"/>
              </w:rPr>
              <w:t xml:space="preserve">30.7976</w:t>
            </w:r>
          </w:p>
        </w:tc>
        <w:tc>
          <w:tcPr>
            <w:tcW w:w="0" w:type="auto"/>
          </w:tcPr>
          <w:p>
            <w:pPr>
              <w:spacing w:line="240" w:lineRule="auto" w:before="0" w:after="0"/>
              <w:pStyle w:val="Compact"/>
            </w:pPr>
            <w:r>
              <w:rPr>
                <w:sz w:val="20"/>
                <w:szCs w:val="20"/>
              </w:rPr>
              <w:t xml:space="preserve">8.268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10300000000</w:t>
            </w:r>
          </w:p>
        </w:tc>
        <w:tc>
          <w:tcPr>
            <w:tcW w:w="0" w:type="auto"/>
          </w:tcPr>
          <w:p>
            <w:pPr>
              <w:spacing w:line="240" w:lineRule="auto" w:before="0" w:after="0"/>
              <w:pStyle w:val="Compact"/>
            </w:pPr>
            <w:r>
              <w:rPr>
                <w:sz w:val="20"/>
                <w:szCs w:val="20"/>
              </w:rPr>
              <w:t xml:space="preserve">18201698719564</w:t>
            </w:r>
          </w:p>
        </w:tc>
        <w:tc>
          <w:tcPr>
            <w:tcW w:w="0" w:type="auto"/>
          </w:tcPr>
          <w:p>
            <w:pPr>
              <w:spacing w:line="240" w:lineRule="auto" w:before="0" w:after="0"/>
              <w:pStyle w:val="Compact"/>
            </w:pPr>
            <w:r>
              <w:rPr>
                <w:sz w:val="20"/>
                <w:szCs w:val="20"/>
              </w:rPr>
              <w:t xml:space="preserve">577</w:t>
            </w:r>
          </w:p>
        </w:tc>
        <w:tc>
          <w:tcPr>
            <w:tcW w:w="0" w:type="auto"/>
          </w:tcPr>
          <w:p>
            <w:pPr>
              <w:spacing w:line="240" w:lineRule="auto" w:before="0" w:after="0"/>
              <w:pStyle w:val="Compact"/>
            </w:pPr>
            <w:r>
              <w:rPr>
                <w:sz w:val="20"/>
                <w:szCs w:val="20"/>
              </w:rPr>
              <w:t xml:space="preserve">0.0566</w:t>
            </w:r>
          </w:p>
        </w:tc>
        <w:tc>
          <w:tcPr>
            <w:tcW w:w="0" w:type="auto"/>
          </w:tcPr>
          <w:p>
            <w:pPr>
              <w:spacing w:line="240" w:lineRule="auto" w:before="0" w:after="0"/>
              <w:pStyle w:val="Compact"/>
            </w:pPr>
            <w:r>
              <w:rPr>
                <w:sz w:val="20"/>
                <w:szCs w:val="20"/>
              </w:rPr>
              <w:t xml:space="preserve">23.0554</w:t>
            </w:r>
          </w:p>
        </w:tc>
        <w:tc>
          <w:tcPr>
            <w:tcW w:w="0" w:type="auto"/>
          </w:tcPr>
          <w:p>
            <w:pPr>
              <w:spacing w:line="240" w:lineRule="auto" w:before="0" w:after="0"/>
              <w:pStyle w:val="Compact"/>
            </w:pPr>
            <w:r>
              <w:rPr>
                <w:sz w:val="20"/>
                <w:szCs w:val="20"/>
              </w:rPr>
              <w:t xml:space="preserve">30.5325</w:t>
            </w:r>
          </w:p>
        </w:tc>
        <w:tc>
          <w:tcPr>
            <w:tcW w:w="0" w:type="auto"/>
          </w:tcPr>
          <w:p>
            <w:pPr>
              <w:spacing w:line="240" w:lineRule="auto" w:before="0" w:after="0"/>
              <w:pStyle w:val="Compact"/>
            </w:pPr>
            <w:r>
              <w:rPr>
                <w:sz w:val="20"/>
                <w:szCs w:val="20"/>
              </w:rPr>
              <w:t xml:space="preserve">6.3578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4200000000</w:t>
            </w:r>
          </w:p>
        </w:tc>
        <w:tc>
          <w:tcPr>
            <w:tcW w:w="0" w:type="auto"/>
          </w:tcPr>
          <w:p>
            <w:pPr>
              <w:spacing w:line="240" w:lineRule="auto" w:before="0" w:after="0"/>
              <w:pStyle w:val="Compact"/>
            </w:pPr>
            <w:r>
              <w:rPr>
                <w:sz w:val="20"/>
                <w:szCs w:val="20"/>
              </w:rPr>
              <w:t xml:space="preserve">5225933520753</w:t>
            </w:r>
          </w:p>
        </w:tc>
        <w:tc>
          <w:tcPr>
            <w:tcW w:w="0" w:type="auto"/>
          </w:tcPr>
          <w:p>
            <w:pPr>
              <w:spacing w:line="240" w:lineRule="auto" w:before="0" w:after="0"/>
              <w:pStyle w:val="Compact"/>
            </w:pPr>
            <w:r>
              <w:rPr>
                <w:sz w:val="20"/>
                <w:szCs w:val="20"/>
              </w:rPr>
              <w:t xml:space="preserve">245</w:t>
            </w:r>
          </w:p>
        </w:tc>
        <w:tc>
          <w:tcPr>
            <w:tcW w:w="0" w:type="auto"/>
          </w:tcPr>
          <w:p>
            <w:pPr>
              <w:spacing w:line="240" w:lineRule="auto" w:before="0" w:after="0"/>
              <w:pStyle w:val="Compact"/>
            </w:pPr>
            <w:r>
              <w:rPr>
                <w:sz w:val="20"/>
                <w:szCs w:val="20"/>
              </w:rPr>
              <w:t xml:space="preserve">0.0804</w:t>
            </w:r>
          </w:p>
        </w:tc>
        <w:tc>
          <w:tcPr>
            <w:tcW w:w="0" w:type="auto"/>
          </w:tcPr>
          <w:p>
            <w:pPr>
              <w:spacing w:line="240" w:lineRule="auto" w:before="0" w:after="0"/>
              <w:pStyle w:val="Compact"/>
            </w:pPr>
            <w:r>
              <w:rPr>
                <w:sz w:val="20"/>
                <w:szCs w:val="20"/>
              </w:rPr>
              <w:t xml:space="preserve">22.1583</w:t>
            </w:r>
          </w:p>
        </w:tc>
        <w:tc>
          <w:tcPr>
            <w:tcW w:w="0" w:type="auto"/>
          </w:tcPr>
          <w:p>
            <w:pPr>
              <w:spacing w:line="240" w:lineRule="auto" w:before="0" w:after="0"/>
              <w:pStyle w:val="Compact"/>
            </w:pPr>
            <w:r>
              <w:rPr>
                <w:sz w:val="20"/>
                <w:szCs w:val="20"/>
              </w:rPr>
              <w:t xml:space="preserve">29.2846</w:t>
            </w:r>
          </w:p>
        </w:tc>
        <w:tc>
          <w:tcPr>
            <w:tcW w:w="0" w:type="auto"/>
          </w:tcPr>
          <w:p>
            <w:pPr>
              <w:spacing w:line="240" w:lineRule="auto" w:before="0" w:after="0"/>
              <w:pStyle w:val="Compact"/>
            </w:pPr>
            <w:r>
              <w:rPr>
                <w:sz w:val="20"/>
                <w:szCs w:val="20"/>
              </w:rPr>
              <w:t xml:space="preserve">5.5013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4000000000</w:t>
            </w:r>
          </w:p>
        </w:tc>
        <w:tc>
          <w:tcPr>
            <w:tcW w:w="0" w:type="auto"/>
          </w:tcPr>
          <w:p>
            <w:pPr>
              <w:spacing w:line="240" w:lineRule="auto" w:before="0" w:after="0"/>
              <w:pStyle w:val="Compact"/>
            </w:pPr>
            <w:r>
              <w:rPr>
                <w:sz w:val="20"/>
                <w:szCs w:val="20"/>
              </w:rPr>
              <w:t xml:space="preserve">2966433692008</w:t>
            </w:r>
          </w:p>
        </w:tc>
        <w:tc>
          <w:tcPr>
            <w:tcW w:w="0" w:type="auto"/>
          </w:tcPr>
          <w:p>
            <w:pPr>
              <w:spacing w:line="240" w:lineRule="auto" w:before="0" w:after="0"/>
              <w:pStyle w:val="Compact"/>
            </w:pPr>
            <w:r>
              <w:rPr>
                <w:sz w:val="20"/>
                <w:szCs w:val="20"/>
              </w:rPr>
              <w:t xml:space="preserve">78</w:t>
            </w:r>
          </w:p>
        </w:tc>
        <w:tc>
          <w:tcPr>
            <w:tcW w:w="0" w:type="auto"/>
          </w:tcPr>
          <w:p>
            <w:pPr>
              <w:spacing w:line="240" w:lineRule="auto" w:before="0" w:after="0"/>
              <w:pStyle w:val="Compact"/>
            </w:pPr>
            <w:r>
              <w:rPr>
                <w:sz w:val="20"/>
                <w:szCs w:val="20"/>
              </w:rPr>
              <w:t xml:space="preserve">0.1348</w:t>
            </w:r>
          </w:p>
        </w:tc>
        <w:tc>
          <w:tcPr>
            <w:tcW w:w="0" w:type="auto"/>
          </w:tcPr>
          <w:p>
            <w:pPr>
              <w:spacing w:line="240" w:lineRule="auto" w:before="0" w:after="0"/>
              <w:pStyle w:val="Compact"/>
            </w:pPr>
            <w:r>
              <w:rPr>
                <w:sz w:val="20"/>
                <w:szCs w:val="20"/>
              </w:rPr>
              <w:t xml:space="preserve">22.1096</w:t>
            </w:r>
          </w:p>
        </w:tc>
        <w:tc>
          <w:tcPr>
            <w:tcW w:w="0" w:type="auto"/>
          </w:tcPr>
          <w:p>
            <w:pPr>
              <w:spacing w:line="240" w:lineRule="auto" w:before="0" w:after="0"/>
              <w:pStyle w:val="Compact"/>
            </w:pPr>
            <w:r>
              <w:rPr>
                <w:sz w:val="20"/>
                <w:szCs w:val="20"/>
              </w:rPr>
              <w:t xml:space="preserve">28.7184</w:t>
            </w:r>
          </w:p>
        </w:tc>
        <w:tc>
          <w:tcPr>
            <w:tcW w:w="0" w:type="auto"/>
          </w:tcPr>
          <w:p>
            <w:pPr>
              <w:spacing w:line="240" w:lineRule="auto" w:before="0" w:after="0"/>
              <w:pStyle w:val="Compact"/>
            </w:pPr>
            <w:r>
              <w:rPr>
                <w:sz w:val="20"/>
                <w:szCs w:val="20"/>
              </w:rPr>
              <w:t xml:space="preserve">4.3567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Via Satellite,</w:t>
            </w:r>
            <w:r>
              <w:rPr>
                <w:sz w:val="20"/>
                <w:szCs w:val="20"/>
              </w:rPr>
              <w:t xml:space="preserve"> </w:t>
            </w:r>
            <w:r>
              <w:rPr>
                <w:sz w:val="20"/>
                <w:szCs w:val="20"/>
              </w:rPr>
              <w:t xml:space="preserve">‘Euroconsult Reports Record Government Space Investment in 2021’</w:t>
            </w:r>
            <w:r>
              <w:rPr>
                <w:sz w:val="20"/>
                <w:szCs w:val="20"/>
              </w:rPr>
              <w:t xml:space="preserve"> </w:t>
            </w:r>
            <w:r>
              <w:rPr>
                <w:sz w:val="20"/>
                <w:szCs w:val="20"/>
              </w:rPr>
              <w:t xml:space="preserve">(GSP 2022 ed.) (reported as close to $4.0bn);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62000000000</w:t>
            </w:r>
          </w:p>
        </w:tc>
        <w:tc>
          <w:tcPr>
            <w:tcW w:w="0" w:type="auto"/>
          </w:tcPr>
          <w:p>
            <w:pPr>
              <w:spacing w:line="240" w:lineRule="auto" w:before="0" w:after="0"/>
              <w:pStyle w:val="Compact"/>
            </w:pPr>
            <w:r>
              <w:rPr>
                <w:sz w:val="20"/>
                <w:szCs w:val="20"/>
              </w:rPr>
              <w:t xml:space="preserve">26054614000000</w:t>
            </w:r>
          </w:p>
        </w:tc>
        <w:tc>
          <w:tcPr>
            <w:tcW w:w="0" w:type="auto"/>
          </w:tcPr>
          <w:p>
            <w:pPr>
              <w:spacing w:line="240" w:lineRule="auto" w:before="0" w:after="0"/>
              <w:pStyle w:val="Compact"/>
            </w:pPr>
            <w:r>
              <w:rPr>
                <w:sz w:val="20"/>
                <w:szCs w:val="20"/>
              </w:rPr>
              <w:t xml:space="preserve">5480</w:t>
            </w:r>
          </w:p>
        </w:tc>
        <w:tc>
          <w:tcPr>
            <w:tcW w:w="0" w:type="auto"/>
          </w:tcPr>
          <w:p>
            <w:pPr>
              <w:spacing w:line="240" w:lineRule="auto" w:before="0" w:after="0"/>
              <w:pStyle w:val="Compact"/>
            </w:pPr>
            <w:r>
              <w:rPr>
                <w:sz w:val="20"/>
                <w:szCs w:val="20"/>
              </w:rPr>
              <w:t xml:space="preserve">0.238</w:t>
            </w:r>
          </w:p>
        </w:tc>
        <w:tc>
          <w:tcPr>
            <w:tcW w:w="0" w:type="auto"/>
          </w:tcPr>
          <w:p>
            <w:pPr>
              <w:spacing w:line="240" w:lineRule="auto" w:before="0" w:after="0"/>
              <w:pStyle w:val="Compact"/>
            </w:pPr>
            <w:r>
              <w:rPr>
                <w:sz w:val="20"/>
                <w:szCs w:val="20"/>
              </w:rPr>
              <w:t xml:space="preserve">24.8504</w:t>
            </w:r>
          </w:p>
        </w:tc>
        <w:tc>
          <w:tcPr>
            <w:tcW w:w="0" w:type="auto"/>
          </w:tcPr>
          <w:p>
            <w:pPr>
              <w:spacing w:line="240" w:lineRule="auto" w:before="0" w:after="0"/>
              <w:pStyle w:val="Compact"/>
            </w:pPr>
            <w:r>
              <w:rPr>
                <w:sz w:val="20"/>
                <w:szCs w:val="20"/>
              </w:rPr>
              <w:t xml:space="preserve">30.8912</w:t>
            </w:r>
          </w:p>
        </w:tc>
        <w:tc>
          <w:tcPr>
            <w:tcW w:w="0" w:type="auto"/>
          </w:tcPr>
          <w:p>
            <w:pPr>
              <w:spacing w:line="240" w:lineRule="auto" w:before="0" w:after="0"/>
              <w:pStyle w:val="Compact"/>
            </w:pPr>
            <w:r>
              <w:rPr>
                <w:sz w:val="20"/>
                <w:szCs w:val="20"/>
              </w:rPr>
              <w:t xml:space="preserve">8.6089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12000000000</w:t>
            </w:r>
          </w:p>
        </w:tc>
        <w:tc>
          <w:tcPr>
            <w:tcW w:w="0" w:type="auto"/>
          </w:tcPr>
          <w:p>
            <w:pPr>
              <w:spacing w:line="240" w:lineRule="auto" w:before="0" w:after="0"/>
              <w:pStyle w:val="Compact"/>
            </w:pPr>
            <w:r>
              <w:rPr>
                <w:sz w:val="20"/>
                <w:szCs w:val="20"/>
              </w:rPr>
              <w:t xml:space="preserve">18316765021690</w:t>
            </w:r>
          </w:p>
        </w:tc>
        <w:tc>
          <w:tcPr>
            <w:tcW w:w="0" w:type="auto"/>
          </w:tcPr>
          <w:p>
            <w:pPr>
              <w:spacing w:line="240" w:lineRule="auto" w:before="0" w:after="0"/>
              <w:pStyle w:val="Compact"/>
            </w:pPr>
            <w:r>
              <w:rPr>
                <w:sz w:val="20"/>
                <w:szCs w:val="20"/>
              </w:rPr>
              <w:t xml:space="preserve">751</w:t>
            </w:r>
          </w:p>
        </w:tc>
        <w:tc>
          <w:tcPr>
            <w:tcW w:w="0" w:type="auto"/>
          </w:tcPr>
          <w:p>
            <w:pPr>
              <w:spacing w:line="240" w:lineRule="auto" w:before="0" w:after="0"/>
              <w:pStyle w:val="Compact"/>
            </w:pPr>
            <w:r>
              <w:rPr>
                <w:sz w:val="20"/>
                <w:szCs w:val="20"/>
              </w:rPr>
              <w:t xml:space="preserve">0.0655</w:t>
            </w:r>
          </w:p>
        </w:tc>
        <w:tc>
          <w:tcPr>
            <w:tcW w:w="0" w:type="auto"/>
          </w:tcPr>
          <w:p>
            <w:pPr>
              <w:spacing w:line="240" w:lineRule="auto" w:before="0" w:after="0"/>
              <w:pStyle w:val="Compact"/>
            </w:pPr>
            <w:r>
              <w:rPr>
                <w:sz w:val="20"/>
                <w:szCs w:val="20"/>
              </w:rPr>
              <w:t xml:space="preserve">23.2082</w:t>
            </w:r>
          </w:p>
        </w:tc>
        <w:tc>
          <w:tcPr>
            <w:tcW w:w="0" w:type="auto"/>
          </w:tcPr>
          <w:p>
            <w:pPr>
              <w:spacing w:line="240" w:lineRule="auto" w:before="0" w:after="0"/>
              <w:pStyle w:val="Compact"/>
            </w:pPr>
            <w:r>
              <w:rPr>
                <w:sz w:val="20"/>
                <w:szCs w:val="20"/>
              </w:rPr>
              <w:t xml:space="preserve">30.5388</w:t>
            </w:r>
          </w:p>
        </w:tc>
        <w:tc>
          <w:tcPr>
            <w:tcW w:w="0" w:type="auto"/>
          </w:tcPr>
          <w:p>
            <w:pPr>
              <w:spacing w:line="240" w:lineRule="auto" w:before="0" w:after="0"/>
              <w:pStyle w:val="Compact"/>
            </w:pPr>
            <w:r>
              <w:rPr>
                <w:sz w:val="20"/>
                <w:szCs w:val="20"/>
              </w:rPr>
              <w:t xml:space="preserve">6.6214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5000000000</w:t>
            </w:r>
          </w:p>
        </w:tc>
        <w:tc>
          <w:tcPr>
            <w:tcW w:w="0" w:type="auto"/>
          </w:tcPr>
          <w:p>
            <w:pPr>
              <w:spacing w:line="240" w:lineRule="auto" w:before="0" w:after="0"/>
              <w:pStyle w:val="Compact"/>
            </w:pPr>
            <w:r>
              <w:rPr>
                <w:sz w:val="20"/>
                <w:szCs w:val="20"/>
              </w:rPr>
              <w:t xml:space="preserve">4447976207315</w:t>
            </w:r>
          </w:p>
        </w:tc>
        <w:tc>
          <w:tcPr>
            <w:tcW w:w="0" w:type="auto"/>
          </w:tcPr>
          <w:p>
            <w:pPr>
              <w:spacing w:line="240" w:lineRule="auto" w:before="0" w:after="0"/>
              <w:pStyle w:val="Compact"/>
            </w:pPr>
            <w:r>
              <w:rPr>
                <w:sz w:val="20"/>
                <w:szCs w:val="20"/>
              </w:rPr>
              <w:t xml:space="preserve">238</w:t>
            </w:r>
          </w:p>
        </w:tc>
        <w:tc>
          <w:tcPr>
            <w:tcW w:w="0" w:type="auto"/>
          </w:tcPr>
          <w:p>
            <w:pPr>
              <w:spacing w:line="240" w:lineRule="auto" w:before="0" w:after="0"/>
              <w:pStyle w:val="Compact"/>
            </w:pPr>
            <w:r>
              <w:rPr>
                <w:sz w:val="20"/>
                <w:szCs w:val="20"/>
              </w:rPr>
              <w:t xml:space="preserve">0.1124</w:t>
            </w:r>
          </w:p>
        </w:tc>
        <w:tc>
          <w:tcPr>
            <w:tcW w:w="0" w:type="auto"/>
          </w:tcPr>
          <w:p>
            <w:pPr>
              <w:spacing w:line="240" w:lineRule="auto" w:before="0" w:after="0"/>
              <w:pStyle w:val="Compact"/>
            </w:pPr>
            <w:r>
              <w:rPr>
                <w:sz w:val="20"/>
                <w:szCs w:val="20"/>
              </w:rPr>
              <w:t xml:space="preserve">22.3327</w:t>
            </w:r>
          </w:p>
        </w:tc>
        <w:tc>
          <w:tcPr>
            <w:tcW w:w="0" w:type="auto"/>
          </w:tcPr>
          <w:p>
            <w:pPr>
              <w:spacing w:line="240" w:lineRule="auto" w:before="0" w:after="0"/>
              <w:pStyle w:val="Compact"/>
            </w:pPr>
            <w:r>
              <w:rPr>
                <w:sz w:val="20"/>
                <w:szCs w:val="20"/>
              </w:rPr>
              <w:t xml:space="preserve">29.1235</w:t>
            </w:r>
          </w:p>
        </w:tc>
        <w:tc>
          <w:tcPr>
            <w:tcW w:w="0" w:type="auto"/>
          </w:tcPr>
          <w:p>
            <w:pPr>
              <w:spacing w:line="240" w:lineRule="auto" w:before="0" w:after="0"/>
              <w:pStyle w:val="Compact"/>
            </w:pPr>
            <w:r>
              <w:rPr>
                <w:sz w:val="20"/>
                <w:szCs w:val="20"/>
              </w:rPr>
              <w:t xml:space="preserve">5.4723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BroadcastPro ME,</w:t>
            </w:r>
            <w:r>
              <w:rPr>
                <w:sz w:val="20"/>
                <w:szCs w:val="20"/>
              </w:rPr>
              <w:t xml:space="preserve"> </w:t>
            </w:r>
            <w:r>
              <w:rPr>
                <w:sz w:val="20"/>
                <w:szCs w:val="20"/>
              </w:rPr>
              <w:t xml:space="preserve">‘Global governments’</w:t>
            </w:r>
            <w:r>
              <w:rPr>
                <w:sz w:val="20"/>
                <w:szCs w:val="20"/>
              </w:rPr>
              <w:t xml:space="preserve"> </w:t>
            </w:r>
            <w:r>
              <w:rPr>
                <w:sz w:val="20"/>
                <w:szCs w:val="20"/>
              </w:rPr>
              <w:t xml:space="preserve">space budget reaches $103bn in 2022’ (GSP 2023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73000000000</w:t>
            </w:r>
          </w:p>
        </w:tc>
        <w:tc>
          <w:tcPr>
            <w:tcW w:w="0" w:type="auto"/>
          </w:tcPr>
          <w:p>
            <w:pPr>
              <w:spacing w:line="240" w:lineRule="auto" w:before="0" w:after="0"/>
              <w:pStyle w:val="Compact"/>
            </w:pPr>
            <w:r>
              <w:rPr>
                <w:sz w:val="20"/>
                <w:szCs w:val="20"/>
              </w:rPr>
              <w:t xml:space="preserve">27811517000000</w:t>
            </w:r>
          </w:p>
        </w:tc>
        <w:tc>
          <w:tcPr>
            <w:tcW w:w="0" w:type="auto"/>
          </w:tcPr>
          <w:p>
            <w:pPr>
              <w:spacing w:line="240" w:lineRule="auto" w:before="0" w:after="0"/>
              <w:pStyle w:val="Compact"/>
            </w:pPr>
            <w:r>
              <w:rPr>
                <w:sz w:val="20"/>
                <w:szCs w:val="20"/>
              </w:rPr>
              <w:t xml:space="preserve">7263</w:t>
            </w:r>
          </w:p>
        </w:tc>
        <w:tc>
          <w:tcPr>
            <w:tcW w:w="0" w:type="auto"/>
          </w:tcPr>
          <w:p>
            <w:pPr>
              <w:spacing w:line="240" w:lineRule="auto" w:before="0" w:after="0"/>
              <w:pStyle w:val="Compact"/>
            </w:pPr>
            <w:r>
              <w:rPr>
                <w:sz w:val="20"/>
                <w:szCs w:val="20"/>
              </w:rPr>
              <w:t xml:space="preserve">0.2625</w:t>
            </w:r>
          </w:p>
        </w:tc>
        <w:tc>
          <w:tcPr>
            <w:tcW w:w="0" w:type="auto"/>
          </w:tcPr>
          <w:p>
            <w:pPr>
              <w:spacing w:line="240" w:lineRule="auto" w:before="0" w:after="0"/>
              <w:pStyle w:val="Compact"/>
            </w:pPr>
            <w:r>
              <w:rPr>
                <w:sz w:val="20"/>
                <w:szCs w:val="20"/>
              </w:rPr>
              <w:t xml:space="preserve">25.0137</w:t>
            </w:r>
          </w:p>
        </w:tc>
        <w:tc>
          <w:tcPr>
            <w:tcW w:w="0" w:type="auto"/>
          </w:tcPr>
          <w:p>
            <w:pPr>
              <w:spacing w:line="240" w:lineRule="auto" w:before="0" w:after="0"/>
              <w:pStyle w:val="Compact"/>
            </w:pPr>
            <w:r>
              <w:rPr>
                <w:sz w:val="20"/>
                <w:szCs w:val="20"/>
              </w:rPr>
              <w:t xml:space="preserve">30.9565</w:t>
            </w:r>
          </w:p>
        </w:tc>
        <w:tc>
          <w:tcPr>
            <w:tcW w:w="0" w:type="auto"/>
          </w:tcPr>
          <w:p>
            <w:pPr>
              <w:spacing w:line="240" w:lineRule="auto" w:before="0" w:after="0"/>
              <w:pStyle w:val="Compact"/>
            </w:pPr>
            <w:r>
              <w:rPr>
                <w:sz w:val="20"/>
                <w:szCs w:val="20"/>
              </w:rPr>
              <w:t xml:space="preserve">8.8905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IND</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1690000000</w:t>
            </w:r>
          </w:p>
        </w:tc>
        <w:tc>
          <w:tcPr>
            <w:tcW w:w="0" w:type="auto"/>
          </w:tcPr>
          <w:p>
            <w:pPr>
              <w:spacing w:line="240" w:lineRule="auto" w:before="0" w:after="0"/>
              <w:pStyle w:val="Compact"/>
            </w:pPr>
            <w:r>
              <w:rPr>
                <w:sz w:val="20"/>
                <w:szCs w:val="20"/>
              </w:rPr>
              <w:t xml:space="preserve">3500906030645</w:t>
            </w:r>
          </w:p>
        </w:tc>
        <w:tc>
          <w:tcPr>
            <w:tcW w:w="0" w:type="auto"/>
          </w:tcPr>
          <w:p>
            <w:pPr>
              <w:spacing w:line="240" w:lineRule="auto" w:before="0" w:after="0"/>
              <w:pStyle w:val="Compact"/>
            </w:pPr>
            <w:r>
              <w:rPr>
                <w:sz w:val="20"/>
                <w:szCs w:val="20"/>
              </w:rPr>
              <w:t xml:space="preserve">111</w:t>
            </w:r>
          </w:p>
        </w:tc>
        <w:tc>
          <w:tcPr>
            <w:tcW w:w="0" w:type="auto"/>
          </w:tcPr>
          <w:p>
            <w:pPr>
              <w:spacing w:line="240" w:lineRule="auto" w:before="0" w:after="0"/>
              <w:pStyle w:val="Compact"/>
            </w:pPr>
            <w:r>
              <w:rPr>
                <w:sz w:val="20"/>
                <w:szCs w:val="20"/>
              </w:rPr>
              <w:t xml:space="preserve">0.0483</w:t>
            </w:r>
          </w:p>
        </w:tc>
        <w:tc>
          <w:tcPr>
            <w:tcW w:w="0" w:type="auto"/>
          </w:tcPr>
          <w:p>
            <w:pPr>
              <w:spacing w:line="240" w:lineRule="auto" w:before="0" w:after="0"/>
              <w:pStyle w:val="Compact"/>
            </w:pPr>
            <w:r>
              <w:rPr>
                <w:sz w:val="20"/>
                <w:szCs w:val="20"/>
              </w:rPr>
              <w:t xml:space="preserve">21.248</w:t>
            </w:r>
          </w:p>
        </w:tc>
        <w:tc>
          <w:tcPr>
            <w:tcW w:w="0" w:type="auto"/>
          </w:tcPr>
          <w:p>
            <w:pPr>
              <w:spacing w:line="240" w:lineRule="auto" w:before="0" w:after="0"/>
              <w:pStyle w:val="Compact"/>
            </w:pPr>
            <w:r>
              <w:rPr>
                <w:sz w:val="20"/>
                <w:szCs w:val="20"/>
              </w:rPr>
              <w:t xml:space="preserve">28.884</w:t>
            </w:r>
          </w:p>
        </w:tc>
        <w:tc>
          <w:tcPr>
            <w:tcW w:w="0" w:type="auto"/>
          </w:tcPr>
          <w:p>
            <w:pPr>
              <w:spacing w:line="240" w:lineRule="auto" w:before="0" w:after="0"/>
              <w:pStyle w:val="Compact"/>
            </w:pPr>
            <w:r>
              <w:rPr>
                <w:sz w:val="20"/>
                <w:szCs w:val="20"/>
              </w:rPr>
              <w:t xml:space="preserve">4.7095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GBR</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1450000000</w:t>
            </w:r>
          </w:p>
        </w:tc>
        <w:tc>
          <w:tcPr>
            <w:tcW w:w="0" w:type="auto"/>
          </w:tcPr>
          <w:p>
            <w:pPr>
              <w:spacing w:line="240" w:lineRule="auto" w:before="0" w:after="0"/>
              <w:pStyle w:val="Compact"/>
            </w:pPr>
            <w:r>
              <w:rPr>
                <w:sz w:val="20"/>
                <w:szCs w:val="20"/>
              </w:rPr>
              <w:t xml:space="preserve">3420796653789</w:t>
            </w:r>
          </w:p>
        </w:tc>
        <w:tc>
          <w:tcPr>
            <w:tcW w:w="0" w:type="auto"/>
          </w:tcPr>
          <w:p>
            <w:pPr>
              <w:spacing w:line="240" w:lineRule="auto" w:before="0" w:after="0"/>
              <w:pStyle w:val="Compact"/>
            </w:pPr>
            <w:r>
              <w:rPr>
                <w:sz w:val="20"/>
                <w:szCs w:val="20"/>
              </w:rPr>
              <w:t xml:space="preserve">698</w:t>
            </w:r>
          </w:p>
        </w:tc>
        <w:tc>
          <w:tcPr>
            <w:tcW w:w="0" w:type="auto"/>
          </w:tcPr>
          <w:p>
            <w:pPr>
              <w:spacing w:line="240" w:lineRule="auto" w:before="0" w:after="0"/>
              <w:pStyle w:val="Compact"/>
            </w:pPr>
            <w:r>
              <w:rPr>
                <w:sz w:val="20"/>
                <w:szCs w:val="20"/>
              </w:rPr>
              <w:t xml:space="preserve">0.0424</w:t>
            </w:r>
          </w:p>
        </w:tc>
        <w:tc>
          <w:tcPr>
            <w:tcW w:w="0" w:type="auto"/>
          </w:tcPr>
          <w:p>
            <w:pPr>
              <w:spacing w:line="240" w:lineRule="auto" w:before="0" w:after="0"/>
              <w:pStyle w:val="Compact"/>
            </w:pPr>
            <w:r>
              <w:rPr>
                <w:sz w:val="20"/>
                <w:szCs w:val="20"/>
              </w:rPr>
              <w:t xml:space="preserve">21.0948</w:t>
            </w:r>
          </w:p>
        </w:tc>
        <w:tc>
          <w:tcPr>
            <w:tcW w:w="0" w:type="auto"/>
          </w:tcPr>
          <w:p>
            <w:pPr>
              <w:spacing w:line="240" w:lineRule="auto" w:before="0" w:after="0"/>
              <w:pStyle w:val="Compact"/>
            </w:pPr>
            <w:r>
              <w:rPr>
                <w:sz w:val="20"/>
                <w:szCs w:val="20"/>
              </w:rPr>
              <w:t xml:space="preserve">28.8609</w:t>
            </w:r>
          </w:p>
        </w:tc>
        <w:tc>
          <w:tcPr>
            <w:tcW w:w="0" w:type="auto"/>
          </w:tcPr>
          <w:p>
            <w:pPr>
              <w:spacing w:line="240" w:lineRule="auto" w:before="0" w:after="0"/>
              <w:pStyle w:val="Compact"/>
            </w:pPr>
            <w:r>
              <w:rPr>
                <w:sz w:val="20"/>
                <w:szCs w:val="20"/>
              </w:rPr>
              <w:t xml:space="preserve">6.5482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Spain</w:t>
            </w:r>
          </w:p>
        </w:tc>
        <w:tc>
          <w:tcPr>
            <w:tcW w:w="0" w:type="auto"/>
          </w:tcPr>
          <w:p>
            <w:pPr>
              <w:spacing w:line="240" w:lineRule="auto" w:before="0" w:after="0"/>
              <w:pStyle w:val="Compact"/>
            </w:pPr>
            <w:r>
              <w:rPr>
                <w:sz w:val="20"/>
                <w:szCs w:val="20"/>
              </w:rPr>
              <w:t xml:space="preserve">ESP</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757000000</w:t>
            </w:r>
          </w:p>
        </w:tc>
        <w:tc>
          <w:tcPr>
            <w:tcW w:w="0" w:type="auto"/>
          </w:tcPr>
          <w:p>
            <w:pPr>
              <w:spacing w:line="240" w:lineRule="auto" w:before="0" w:after="0"/>
              <w:pStyle w:val="Compact"/>
            </w:pPr>
            <w:r>
              <w:rPr>
                <w:sz w:val="20"/>
                <w:szCs w:val="20"/>
              </w:rPr>
              <w:t xml:space="preserve">1619481980720</w:t>
            </w:r>
          </w:p>
        </w:tc>
        <w:tc>
          <w:tcPr>
            <w:tcW w:w="0" w:type="auto"/>
          </w:tcPr>
          <w:p>
            <w:pPr>
              <w:spacing w:line="240" w:lineRule="auto" w:before="0" w:after="0"/>
              <w:pStyle w:val="Compact"/>
            </w:pPr>
            <w:r>
              <w:rPr>
                <w:sz w:val="20"/>
                <w:szCs w:val="20"/>
              </w:rPr>
              <w:t xml:space="preserve">51</w:t>
            </w:r>
          </w:p>
        </w:tc>
        <w:tc>
          <w:tcPr>
            <w:tcW w:w="0" w:type="auto"/>
          </w:tcPr>
          <w:p>
            <w:pPr>
              <w:spacing w:line="240" w:lineRule="auto" w:before="0" w:after="0"/>
              <w:pStyle w:val="Compact"/>
            </w:pPr>
            <w:r>
              <w:rPr>
                <w:sz w:val="20"/>
                <w:szCs w:val="20"/>
              </w:rPr>
              <w:t xml:space="preserve">0.0467</w:t>
            </w:r>
          </w:p>
        </w:tc>
        <w:tc>
          <w:tcPr>
            <w:tcW w:w="0" w:type="auto"/>
          </w:tcPr>
          <w:p>
            <w:pPr>
              <w:spacing w:line="240" w:lineRule="auto" w:before="0" w:after="0"/>
              <w:pStyle w:val="Compact"/>
            </w:pPr>
            <w:r>
              <w:rPr>
                <w:sz w:val="20"/>
                <w:szCs w:val="20"/>
              </w:rPr>
              <w:t xml:space="preserve">20.4449</w:t>
            </w:r>
          </w:p>
        </w:tc>
        <w:tc>
          <w:tcPr>
            <w:tcW w:w="0" w:type="auto"/>
          </w:tcPr>
          <w:p>
            <w:pPr>
              <w:spacing w:line="240" w:lineRule="auto" w:before="0" w:after="0"/>
              <w:pStyle w:val="Compact"/>
            </w:pPr>
            <w:r>
              <w:rPr>
                <w:sz w:val="20"/>
                <w:szCs w:val="20"/>
              </w:rPr>
              <w:t xml:space="preserve">28.1131</w:t>
            </w:r>
          </w:p>
        </w:tc>
        <w:tc>
          <w:tcPr>
            <w:tcW w:w="0" w:type="auto"/>
          </w:tcPr>
          <w:p>
            <w:pPr>
              <w:spacing w:line="240" w:lineRule="auto" w:before="0" w:after="0"/>
              <w:pStyle w:val="Compact"/>
            </w:pPr>
            <w:r>
              <w:rPr>
                <w:sz w:val="20"/>
                <w:szCs w:val="20"/>
              </w:rPr>
              <w:t xml:space="preserve">3.9318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Canada</w:t>
            </w:r>
          </w:p>
        </w:tc>
        <w:tc>
          <w:tcPr>
            <w:tcW w:w="0" w:type="auto"/>
          </w:tcPr>
          <w:p>
            <w:pPr>
              <w:spacing w:line="240" w:lineRule="auto" w:before="0" w:after="0"/>
              <w:pStyle w:val="Compact"/>
            </w:pPr>
            <w:r>
              <w:rPr>
                <w:sz w:val="20"/>
                <w:szCs w:val="20"/>
              </w:rPr>
              <w:t xml:space="preserve">CAN</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730000000</w:t>
            </w:r>
          </w:p>
        </w:tc>
        <w:tc>
          <w:tcPr>
            <w:tcW w:w="0" w:type="auto"/>
          </w:tcPr>
          <w:p>
            <w:pPr>
              <w:spacing w:line="240" w:lineRule="auto" w:before="0" w:after="0"/>
              <w:pStyle w:val="Compact"/>
            </w:pPr>
            <w:r>
              <w:rPr>
                <w:sz w:val="20"/>
                <w:szCs w:val="20"/>
              </w:rPr>
              <w:t xml:space="preserve">2196593836347</w:t>
            </w:r>
          </w:p>
        </w:tc>
        <w:tc>
          <w:tcPr>
            <w:tcW w:w="0" w:type="auto"/>
          </w:tcPr>
          <w:p>
            <w:pPr>
              <w:spacing w:line="240" w:lineRule="auto" w:before="0" w:after="0"/>
              <w:pStyle w:val="Compact"/>
            </w:pPr>
            <w:r>
              <w:rPr>
                <w:sz w:val="20"/>
                <w:szCs w:val="20"/>
              </w:rPr>
              <w:t xml:space="preserve">83</w:t>
            </w:r>
          </w:p>
        </w:tc>
        <w:tc>
          <w:tcPr>
            <w:tcW w:w="0" w:type="auto"/>
          </w:tcPr>
          <w:p>
            <w:pPr>
              <w:spacing w:line="240" w:lineRule="auto" w:before="0" w:after="0"/>
              <w:pStyle w:val="Compact"/>
            </w:pPr>
            <w:r>
              <w:rPr>
                <w:sz w:val="20"/>
                <w:szCs w:val="20"/>
              </w:rPr>
              <w:t xml:space="preserve">0.0332</w:t>
            </w:r>
          </w:p>
        </w:tc>
        <w:tc>
          <w:tcPr>
            <w:tcW w:w="0" w:type="auto"/>
          </w:tcPr>
          <w:p>
            <w:pPr>
              <w:spacing w:line="240" w:lineRule="auto" w:before="0" w:after="0"/>
              <w:pStyle w:val="Compact"/>
            </w:pPr>
            <w:r>
              <w:rPr>
                <w:sz w:val="20"/>
                <w:szCs w:val="20"/>
              </w:rPr>
              <w:t xml:space="preserve">20.4086</w:t>
            </w:r>
          </w:p>
        </w:tc>
        <w:tc>
          <w:tcPr>
            <w:tcW w:w="0" w:type="auto"/>
          </w:tcPr>
          <w:p>
            <w:pPr>
              <w:spacing w:line="240" w:lineRule="auto" w:before="0" w:after="0"/>
              <w:pStyle w:val="Compact"/>
            </w:pPr>
            <w:r>
              <w:rPr>
                <w:sz w:val="20"/>
                <w:szCs w:val="20"/>
              </w:rPr>
              <w:t xml:space="preserve">28.4179</w:t>
            </w:r>
          </w:p>
        </w:tc>
        <w:tc>
          <w:tcPr>
            <w:tcW w:w="0" w:type="auto"/>
          </w:tcPr>
          <w:p>
            <w:pPr>
              <w:spacing w:line="240" w:lineRule="auto" w:before="0" w:after="0"/>
              <w:pStyle w:val="Compact"/>
            </w:pPr>
            <w:r>
              <w:rPr>
                <w:sz w:val="20"/>
                <w:szCs w:val="20"/>
              </w:rPr>
              <w:t xml:space="preserve">4.4188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South Korea</w:t>
            </w:r>
          </w:p>
        </w:tc>
        <w:tc>
          <w:tcPr>
            <w:tcW w:w="0" w:type="auto"/>
          </w:tcPr>
          <w:p>
            <w:pPr>
              <w:spacing w:line="240" w:lineRule="auto" w:before="0" w:after="0"/>
              <w:pStyle w:val="Compact"/>
            </w:pPr>
            <w:r>
              <w:rPr>
                <w:sz w:val="20"/>
                <w:szCs w:val="20"/>
              </w:rPr>
              <w:t xml:space="preserve">KOR</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723000000</w:t>
            </w:r>
          </w:p>
        </w:tc>
        <w:tc>
          <w:tcPr>
            <w:tcW w:w="0" w:type="auto"/>
          </w:tcPr>
          <w:p>
            <w:pPr>
              <w:spacing w:line="240" w:lineRule="auto" w:before="0" w:after="0"/>
              <w:pStyle w:val="Compact"/>
            </w:pPr>
            <w:r>
              <w:rPr>
                <w:sz w:val="20"/>
                <w:szCs w:val="20"/>
              </w:rPr>
              <w:t xml:space="preserve">1844800934392</w:t>
            </w:r>
          </w:p>
        </w:tc>
        <w:tc>
          <w:tcPr>
            <w:tcW w:w="0" w:type="auto"/>
          </w:tcPr>
          <w:p>
            <w:pPr>
              <w:spacing w:line="240" w:lineRule="auto" w:before="0" w:after="0"/>
              <w:pStyle w:val="Compact"/>
            </w:pPr>
            <w:r>
              <w:rPr>
                <w:sz w:val="20"/>
                <w:szCs w:val="20"/>
              </w:rPr>
              <w:t xml:space="preserve">44</w:t>
            </w:r>
          </w:p>
        </w:tc>
        <w:tc>
          <w:tcPr>
            <w:tcW w:w="0" w:type="auto"/>
          </w:tcPr>
          <w:p>
            <w:pPr>
              <w:spacing w:line="240" w:lineRule="auto" w:before="0" w:after="0"/>
              <w:pStyle w:val="Compact"/>
            </w:pPr>
            <w:r>
              <w:rPr>
                <w:sz w:val="20"/>
                <w:szCs w:val="20"/>
              </w:rPr>
              <w:t xml:space="preserve">0.0392</w:t>
            </w:r>
          </w:p>
        </w:tc>
        <w:tc>
          <w:tcPr>
            <w:tcW w:w="0" w:type="auto"/>
          </w:tcPr>
          <w:p>
            <w:pPr>
              <w:spacing w:line="240" w:lineRule="auto" w:before="0" w:after="0"/>
              <w:pStyle w:val="Compact"/>
            </w:pPr>
            <w:r>
              <w:rPr>
                <w:sz w:val="20"/>
                <w:szCs w:val="20"/>
              </w:rPr>
              <w:t xml:space="preserve">20.3989</w:t>
            </w:r>
          </w:p>
        </w:tc>
        <w:tc>
          <w:tcPr>
            <w:tcW w:w="0" w:type="auto"/>
          </w:tcPr>
          <w:p>
            <w:pPr>
              <w:spacing w:line="240" w:lineRule="auto" w:before="0" w:after="0"/>
              <w:pStyle w:val="Compact"/>
            </w:pPr>
            <w:r>
              <w:rPr>
                <w:sz w:val="20"/>
                <w:szCs w:val="20"/>
              </w:rPr>
              <w:t xml:space="preserve">28.2434</w:t>
            </w:r>
          </w:p>
        </w:tc>
        <w:tc>
          <w:tcPr>
            <w:tcW w:w="0" w:type="auto"/>
          </w:tcPr>
          <w:p>
            <w:pPr>
              <w:spacing w:line="240" w:lineRule="auto" w:before="0" w:after="0"/>
              <w:pStyle w:val="Compact"/>
            </w:pPr>
            <w:r>
              <w:rPr>
                <w:sz w:val="20"/>
                <w:szCs w:val="20"/>
              </w:rPr>
              <w:t xml:space="preserve">3.7842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Australia</w:t>
            </w:r>
          </w:p>
        </w:tc>
        <w:tc>
          <w:tcPr>
            <w:tcW w:w="0" w:type="auto"/>
          </w:tcPr>
          <w:p>
            <w:pPr>
              <w:spacing w:line="240" w:lineRule="auto" w:before="0" w:after="0"/>
              <w:pStyle w:val="Compact"/>
            </w:pPr>
            <w:r>
              <w:rPr>
                <w:sz w:val="20"/>
                <w:szCs w:val="20"/>
              </w:rPr>
              <w:t xml:space="preserve">AUS</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631000000</w:t>
            </w:r>
          </w:p>
        </w:tc>
        <w:tc>
          <w:tcPr>
            <w:tcW w:w="0" w:type="auto"/>
          </w:tcPr>
          <w:p>
            <w:pPr>
              <w:spacing w:line="240" w:lineRule="auto" w:before="0" w:after="0"/>
              <w:pStyle w:val="Compact"/>
            </w:pPr>
            <w:r>
              <w:rPr>
                <w:sz w:val="20"/>
                <w:szCs w:val="20"/>
              </w:rPr>
              <w:t xml:space="preserve">1734451264656</w:t>
            </w:r>
          </w:p>
        </w:tc>
        <w:tc>
          <w:tcPr>
            <w:tcW w:w="0" w:type="auto"/>
          </w:tcPr>
          <w:p>
            <w:pPr>
              <w:spacing w:line="240" w:lineRule="auto" w:before="0" w:after="0"/>
              <w:pStyle w:val="Compact"/>
            </w:pPr>
            <w:r>
              <w:rPr>
                <w:sz w:val="20"/>
                <w:szCs w:val="20"/>
              </w:rPr>
              <w:t xml:space="preserve">44</w:t>
            </w:r>
          </w:p>
        </w:tc>
        <w:tc>
          <w:tcPr>
            <w:tcW w:w="0" w:type="auto"/>
          </w:tcPr>
          <w:p>
            <w:pPr>
              <w:spacing w:line="240" w:lineRule="auto" w:before="0" w:after="0"/>
              <w:pStyle w:val="Compact"/>
            </w:pPr>
            <w:r>
              <w:rPr>
                <w:sz w:val="20"/>
                <w:szCs w:val="20"/>
              </w:rPr>
              <w:t xml:space="preserve">0.0364</w:t>
            </w:r>
          </w:p>
        </w:tc>
        <w:tc>
          <w:tcPr>
            <w:tcW w:w="0" w:type="auto"/>
          </w:tcPr>
          <w:p>
            <w:pPr>
              <w:spacing w:line="240" w:lineRule="auto" w:before="0" w:after="0"/>
              <w:pStyle w:val="Compact"/>
            </w:pPr>
            <w:r>
              <w:rPr>
                <w:sz w:val="20"/>
                <w:szCs w:val="20"/>
              </w:rPr>
              <w:t xml:space="preserve">20.2628</w:t>
            </w:r>
          </w:p>
        </w:tc>
        <w:tc>
          <w:tcPr>
            <w:tcW w:w="0" w:type="auto"/>
          </w:tcPr>
          <w:p>
            <w:pPr>
              <w:spacing w:line="240" w:lineRule="auto" w:before="0" w:after="0"/>
              <w:pStyle w:val="Compact"/>
            </w:pPr>
            <w:r>
              <w:rPr>
                <w:sz w:val="20"/>
                <w:szCs w:val="20"/>
              </w:rPr>
              <w:t xml:space="preserve">28.1817</w:t>
            </w:r>
          </w:p>
        </w:tc>
        <w:tc>
          <w:tcPr>
            <w:tcW w:w="0" w:type="auto"/>
          </w:tcPr>
          <w:p>
            <w:pPr>
              <w:spacing w:line="240" w:lineRule="auto" w:before="0" w:after="0"/>
              <w:pStyle w:val="Compact"/>
            </w:pPr>
            <w:r>
              <w:rPr>
                <w:sz w:val="20"/>
                <w:szCs w:val="20"/>
              </w:rPr>
              <w:t xml:space="preserve">3.7842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Euroconsult/Novaspace, Government Space Programs (annual), as reported in SpaceQ,</w:t>
            </w:r>
            <w:r>
              <w:rPr>
                <w:sz w:val="20"/>
                <w:szCs w:val="20"/>
              </w:rPr>
              <w:t xml:space="preserve"> </w:t>
            </w:r>
            <w:r>
              <w:rPr>
                <w:sz w:val="20"/>
                <w:szCs w:val="20"/>
              </w:rPr>
              <w:t xml:space="preserve">‘Defence Expenditures Again Drive Record Government Spending in Space’</w:t>
            </w:r>
            <w:r>
              <w:rPr>
                <w:sz w:val="20"/>
                <w:szCs w:val="20"/>
              </w:rPr>
              <w:t xml:space="preserve"> </w:t>
            </w:r>
            <w:r>
              <w:rPr>
                <w:sz w:val="20"/>
                <w:szCs w:val="20"/>
              </w:rPr>
              <w:t xml:space="preserve">(GSP 23rd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USA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79680000000</w:t>
            </w:r>
          </w:p>
        </w:tc>
        <w:tc>
          <w:tcPr>
            <w:tcW w:w="0" w:type="auto"/>
          </w:tcPr>
          <w:p>
            <w:pPr>
              <w:spacing w:line="240" w:lineRule="auto" w:before="0" w:after="0"/>
              <w:pStyle w:val="Compact"/>
            </w:pPr>
            <w:r>
              <w:rPr>
                <w:sz w:val="20"/>
                <w:szCs w:val="20"/>
              </w:rPr>
              <w:t xml:space="preserve">29298013000000</w:t>
            </w:r>
          </w:p>
        </w:tc>
        <w:tc>
          <w:tcPr>
            <w:tcW w:w="0" w:type="auto"/>
          </w:tcPr>
          <w:p>
            <w:pPr>
              <w:spacing w:line="240" w:lineRule="auto" w:before="0" w:after="0"/>
              <w:pStyle w:val="Compact"/>
            </w:pPr>
            <w:r>
              <w:rPr>
                <w:sz w:val="20"/>
                <w:szCs w:val="20"/>
              </w:rPr>
              <w:t xml:space="preserve">8797</w:t>
            </w:r>
          </w:p>
        </w:tc>
        <w:tc>
          <w:tcPr>
            <w:tcW w:w="0" w:type="auto"/>
          </w:tcPr>
          <w:p>
            <w:pPr>
              <w:spacing w:line="240" w:lineRule="auto" w:before="0" w:after="0"/>
              <w:pStyle w:val="Compact"/>
            </w:pPr>
            <w:r>
              <w:rPr>
                <w:sz w:val="20"/>
                <w:szCs w:val="20"/>
              </w:rPr>
              <w:t xml:space="preserve">0.272</w:t>
            </w:r>
          </w:p>
        </w:tc>
        <w:tc>
          <w:tcPr>
            <w:tcW w:w="0" w:type="auto"/>
          </w:tcPr>
          <w:p>
            <w:pPr>
              <w:spacing w:line="240" w:lineRule="auto" w:before="0" w:after="0"/>
              <w:pStyle w:val="Compact"/>
            </w:pPr>
            <w:r>
              <w:rPr>
                <w:sz w:val="20"/>
                <w:szCs w:val="20"/>
              </w:rPr>
              <w:t xml:space="preserve">25.1013</w:t>
            </w:r>
          </w:p>
        </w:tc>
        <w:tc>
          <w:tcPr>
            <w:tcW w:w="0" w:type="auto"/>
          </w:tcPr>
          <w:p>
            <w:pPr>
              <w:spacing w:line="240" w:lineRule="auto" w:before="0" w:after="0"/>
              <w:pStyle w:val="Compact"/>
            </w:pPr>
            <w:r>
              <w:rPr>
                <w:sz w:val="20"/>
                <w:szCs w:val="20"/>
              </w:rPr>
              <w:t xml:space="preserve">31.0085</w:t>
            </w:r>
          </w:p>
        </w:tc>
        <w:tc>
          <w:tcPr>
            <w:tcW w:w="0" w:type="auto"/>
          </w:tcPr>
          <w:p>
            <w:pPr>
              <w:spacing w:line="240" w:lineRule="auto" w:before="0" w:after="0"/>
              <w:pStyle w:val="Compact"/>
            </w:pPr>
            <w:r>
              <w:rPr>
                <w:sz w:val="20"/>
                <w:szCs w:val="20"/>
              </w:rPr>
              <w:t xml:space="preserve">9.0822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CHN</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19890000000</w:t>
            </w:r>
          </w:p>
        </w:tc>
        <w:tc>
          <w:tcPr>
            <w:tcW w:w="0" w:type="auto"/>
          </w:tcPr>
          <w:p>
            <w:pPr>
              <w:spacing w:line="240" w:lineRule="auto" w:before="0" w:after="0"/>
              <w:pStyle w:val="Compact"/>
            </w:pPr>
            <w:r>
              <w:rPr>
                <w:sz w:val="20"/>
                <w:szCs w:val="20"/>
              </w:rPr>
              <w:t xml:space="preserve">18729668435848</w:t>
            </w:r>
          </w:p>
        </w:tc>
        <w:tc>
          <w:tcPr>
            <w:tcW w:w="0" w:type="auto"/>
          </w:tcPr>
          <w:p>
            <w:pPr>
              <w:spacing w:line="240" w:lineRule="auto" w:before="0" w:after="0"/>
              <w:pStyle w:val="Compact"/>
            </w:pPr>
            <w:r>
              <w:rPr>
                <w:sz w:val="20"/>
                <w:szCs w:val="20"/>
              </w:rPr>
              <w:t xml:space="preserve">1067</w:t>
            </w:r>
          </w:p>
        </w:tc>
        <w:tc>
          <w:tcPr>
            <w:tcW w:w="0" w:type="auto"/>
          </w:tcPr>
          <w:p>
            <w:pPr>
              <w:spacing w:line="240" w:lineRule="auto" w:before="0" w:after="0"/>
              <w:pStyle w:val="Compact"/>
            </w:pPr>
            <w:r>
              <w:rPr>
                <w:sz w:val="20"/>
                <w:szCs w:val="20"/>
              </w:rPr>
              <w:t xml:space="preserve">0.1062</w:t>
            </w:r>
          </w:p>
        </w:tc>
        <w:tc>
          <w:tcPr>
            <w:tcW w:w="0" w:type="auto"/>
          </w:tcPr>
          <w:p>
            <w:pPr>
              <w:spacing w:line="240" w:lineRule="auto" w:before="0" w:after="0"/>
              <w:pStyle w:val="Compact"/>
            </w:pPr>
            <w:r>
              <w:rPr>
                <w:sz w:val="20"/>
                <w:szCs w:val="20"/>
              </w:rPr>
              <w:t xml:space="preserve">23.7135</w:t>
            </w:r>
          </w:p>
        </w:tc>
        <w:tc>
          <w:tcPr>
            <w:tcW w:w="0" w:type="auto"/>
          </w:tcPr>
          <w:p>
            <w:pPr>
              <w:spacing w:line="240" w:lineRule="auto" w:before="0" w:after="0"/>
              <w:pStyle w:val="Compact"/>
            </w:pPr>
            <w:r>
              <w:rPr>
                <w:sz w:val="20"/>
                <w:szCs w:val="20"/>
              </w:rPr>
              <w:t xml:space="preserve">30.5611</w:t>
            </w:r>
          </w:p>
        </w:tc>
        <w:tc>
          <w:tcPr>
            <w:tcW w:w="0" w:type="auto"/>
          </w:tcPr>
          <w:p>
            <w:pPr>
              <w:spacing w:line="240" w:lineRule="auto" w:before="0" w:after="0"/>
              <w:pStyle w:val="Compact"/>
            </w:pPr>
            <w:r>
              <w:rPr>
                <w:sz w:val="20"/>
                <w:szCs w:val="20"/>
              </w:rPr>
              <w:t xml:space="preserve">6.9726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JPN</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6800000000</w:t>
            </w:r>
          </w:p>
        </w:tc>
        <w:tc>
          <w:tcPr>
            <w:tcW w:w="0" w:type="auto"/>
          </w:tcPr>
          <w:p>
            <w:pPr>
              <w:spacing w:line="240" w:lineRule="auto" w:before="0" w:after="0"/>
              <w:pStyle w:val="Compact"/>
            </w:pPr>
            <w:r>
              <w:rPr>
                <w:sz w:val="20"/>
                <w:szCs w:val="20"/>
              </w:rPr>
              <w:t xml:space="preserve">4190008188359</w:t>
            </w:r>
          </w:p>
        </w:tc>
        <w:tc>
          <w:tcPr>
            <w:tcW w:w="0" w:type="auto"/>
          </w:tcPr>
          <w:p>
            <w:pPr>
              <w:spacing w:line="240" w:lineRule="auto" w:before="0" w:after="0"/>
              <w:pStyle w:val="Compact"/>
            </w:pPr>
            <w:r>
              <w:rPr>
                <w:sz w:val="20"/>
                <w:szCs w:val="20"/>
              </w:rPr>
              <w:t xml:space="preserve">226</w:t>
            </w:r>
          </w:p>
        </w:tc>
        <w:tc>
          <w:tcPr>
            <w:tcW w:w="0" w:type="auto"/>
          </w:tcPr>
          <w:p>
            <w:pPr>
              <w:spacing w:line="240" w:lineRule="auto" w:before="0" w:after="0"/>
              <w:pStyle w:val="Compact"/>
            </w:pPr>
            <w:r>
              <w:rPr>
                <w:sz w:val="20"/>
                <w:szCs w:val="20"/>
              </w:rPr>
              <w:t xml:space="preserve">0.1623</w:t>
            </w:r>
          </w:p>
        </w:tc>
        <w:tc>
          <w:tcPr>
            <w:tcW w:w="0" w:type="auto"/>
          </w:tcPr>
          <w:p>
            <w:pPr>
              <w:spacing w:line="240" w:lineRule="auto" w:before="0" w:after="0"/>
              <w:pStyle w:val="Compact"/>
            </w:pPr>
            <w:r>
              <w:rPr>
                <w:sz w:val="20"/>
                <w:szCs w:val="20"/>
              </w:rPr>
              <w:t xml:space="preserve">22.6402</w:t>
            </w:r>
          </w:p>
        </w:tc>
        <w:tc>
          <w:tcPr>
            <w:tcW w:w="0" w:type="auto"/>
          </w:tcPr>
          <w:p>
            <w:pPr>
              <w:spacing w:line="240" w:lineRule="auto" w:before="0" w:after="0"/>
              <w:pStyle w:val="Compact"/>
            </w:pPr>
            <w:r>
              <w:rPr>
                <w:sz w:val="20"/>
                <w:szCs w:val="20"/>
              </w:rPr>
              <w:t xml:space="preserve">29.0637</w:t>
            </w:r>
          </w:p>
        </w:tc>
        <w:tc>
          <w:tcPr>
            <w:tcW w:w="0" w:type="auto"/>
          </w:tcPr>
          <w:p>
            <w:pPr>
              <w:spacing w:line="240" w:lineRule="auto" w:before="0" w:after="0"/>
              <w:pStyle w:val="Compact"/>
            </w:pPr>
            <w:r>
              <w:rPr>
                <w:sz w:val="20"/>
                <w:szCs w:val="20"/>
              </w:rPr>
              <w:t xml:space="preserve">5.4205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RUS</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3960000000</w:t>
            </w:r>
          </w:p>
        </w:tc>
        <w:tc>
          <w:tcPr>
            <w:tcW w:w="0" w:type="auto"/>
          </w:tcPr>
          <w:p>
            <w:pPr>
              <w:spacing w:line="240" w:lineRule="auto" w:before="0" w:after="0"/>
              <w:pStyle w:val="Compact"/>
            </w:pPr>
            <w:r>
              <w:rPr>
                <w:sz w:val="20"/>
                <w:szCs w:val="20"/>
              </w:rPr>
              <w:t xml:space="preserve">2186462268813</w:t>
            </w:r>
          </w:p>
        </w:tc>
        <w:tc>
          <w:tcPr>
            <w:tcW w:w="0" w:type="auto"/>
          </w:tcPr>
          <w:p>
            <w:pPr>
              <w:spacing w:line="240" w:lineRule="auto" w:before="0" w:after="0"/>
              <w:pStyle w:val="Compact"/>
            </w:pPr>
            <w:r>
              <w:rPr>
                <w:sz w:val="20"/>
                <w:szCs w:val="20"/>
              </w:rPr>
              <w:t xml:space="preserve">1662</w:t>
            </w:r>
          </w:p>
        </w:tc>
        <w:tc>
          <w:tcPr>
            <w:tcW w:w="0" w:type="auto"/>
          </w:tcPr>
          <w:p>
            <w:pPr>
              <w:spacing w:line="240" w:lineRule="auto" w:before="0" w:after="0"/>
              <w:pStyle w:val="Compact"/>
            </w:pPr>
            <w:r>
              <w:rPr>
                <w:sz w:val="20"/>
                <w:szCs w:val="20"/>
              </w:rPr>
              <w:t xml:space="preserve">0.1811</w:t>
            </w:r>
          </w:p>
        </w:tc>
        <w:tc>
          <w:tcPr>
            <w:tcW w:w="0" w:type="auto"/>
          </w:tcPr>
          <w:p>
            <w:pPr>
              <w:spacing w:line="240" w:lineRule="auto" w:before="0" w:after="0"/>
              <w:pStyle w:val="Compact"/>
            </w:pPr>
            <w:r>
              <w:rPr>
                <w:sz w:val="20"/>
                <w:szCs w:val="20"/>
              </w:rPr>
              <w:t xml:space="preserve">22.0995</w:t>
            </w:r>
          </w:p>
        </w:tc>
        <w:tc>
          <w:tcPr>
            <w:tcW w:w="0" w:type="auto"/>
          </w:tcPr>
          <w:p>
            <w:pPr>
              <w:spacing w:line="240" w:lineRule="auto" w:before="0" w:after="0"/>
              <w:pStyle w:val="Compact"/>
            </w:pPr>
            <w:r>
              <w:rPr>
                <w:sz w:val="20"/>
                <w:szCs w:val="20"/>
              </w:rPr>
              <w:t xml:space="preserve">28.4133</w:t>
            </w:r>
          </w:p>
        </w:tc>
        <w:tc>
          <w:tcPr>
            <w:tcW w:w="0" w:type="auto"/>
          </w:tcPr>
          <w:p>
            <w:pPr>
              <w:spacing w:line="240" w:lineRule="auto" w:before="0" w:after="0"/>
              <w:pStyle w:val="Compact"/>
            </w:pPr>
            <w:r>
              <w:rPr>
                <w:sz w:val="20"/>
                <w:szCs w:val="20"/>
              </w:rPr>
              <w:t xml:space="preserve">7.4158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FRA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3710000000</w:t>
            </w:r>
          </w:p>
        </w:tc>
        <w:tc>
          <w:tcPr>
            <w:tcW w:w="0" w:type="auto"/>
          </w:tcPr>
          <w:p>
            <w:pPr>
              <w:spacing w:line="240" w:lineRule="auto" w:before="0" w:after="0"/>
              <w:pStyle w:val="Compact"/>
            </w:pPr>
            <w:r>
              <w:rPr>
                <w:sz w:val="20"/>
                <w:szCs w:val="20"/>
              </w:rPr>
              <w:t xml:space="preserve">3160442622465</w:t>
            </w:r>
          </w:p>
        </w:tc>
        <w:tc>
          <w:tcPr>
            <w:tcW w:w="0" w:type="auto"/>
          </w:tcPr>
          <w:p>
            <w:pPr>
              <w:spacing w:line="240" w:lineRule="auto" w:before="0" w:after="0"/>
              <w:pStyle w:val="Compact"/>
            </w:pPr>
            <w:r>
              <w:rPr>
                <w:sz w:val="20"/>
                <w:szCs w:val="20"/>
              </w:rPr>
              <w:t xml:space="preserve">106</w:t>
            </w:r>
          </w:p>
        </w:tc>
        <w:tc>
          <w:tcPr>
            <w:tcW w:w="0" w:type="auto"/>
          </w:tcPr>
          <w:p>
            <w:pPr>
              <w:spacing w:line="240" w:lineRule="auto" w:before="0" w:after="0"/>
              <w:pStyle w:val="Compact"/>
            </w:pPr>
            <w:r>
              <w:rPr>
                <w:sz w:val="20"/>
                <w:szCs w:val="20"/>
              </w:rPr>
              <w:t xml:space="preserve">0.1174</w:t>
            </w:r>
          </w:p>
        </w:tc>
        <w:tc>
          <w:tcPr>
            <w:tcW w:w="0" w:type="auto"/>
          </w:tcPr>
          <w:p>
            <w:pPr>
              <w:spacing w:line="240" w:lineRule="auto" w:before="0" w:after="0"/>
              <w:pStyle w:val="Compact"/>
            </w:pPr>
            <w:r>
              <w:rPr>
                <w:sz w:val="20"/>
                <w:szCs w:val="20"/>
              </w:rPr>
              <w:t xml:space="preserve">22.0343</w:t>
            </w:r>
          </w:p>
        </w:tc>
        <w:tc>
          <w:tcPr>
            <w:tcW w:w="0" w:type="auto"/>
          </w:tcPr>
          <w:p>
            <w:pPr>
              <w:spacing w:line="240" w:lineRule="auto" w:before="0" w:after="0"/>
              <w:pStyle w:val="Compact"/>
            </w:pPr>
            <w:r>
              <w:rPr>
                <w:sz w:val="20"/>
                <w:szCs w:val="20"/>
              </w:rPr>
              <w:t xml:space="preserve">28.7817</w:t>
            </w:r>
          </w:p>
        </w:tc>
        <w:tc>
          <w:tcPr>
            <w:tcW w:w="0" w:type="auto"/>
          </w:tcPr>
          <w:p>
            <w:pPr>
              <w:spacing w:line="240" w:lineRule="auto" w:before="0" w:after="0"/>
              <w:pStyle w:val="Compact"/>
            </w:pPr>
            <w:r>
              <w:rPr>
                <w:sz w:val="20"/>
                <w:szCs w:val="20"/>
              </w:rPr>
              <w:t xml:space="preserve">4.6634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Germany</w:t>
            </w:r>
          </w:p>
        </w:tc>
        <w:tc>
          <w:tcPr>
            <w:tcW w:w="0" w:type="auto"/>
          </w:tcPr>
          <w:p>
            <w:pPr>
              <w:spacing w:line="240" w:lineRule="auto" w:before="0" w:after="0"/>
              <w:pStyle w:val="Compact"/>
            </w:pPr>
            <w:r>
              <w:rPr>
                <w:sz w:val="20"/>
                <w:szCs w:val="20"/>
              </w:rPr>
              <w:t xml:space="preserve">DEU</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2780000000</w:t>
            </w:r>
          </w:p>
        </w:tc>
        <w:tc>
          <w:tcPr>
            <w:tcW w:w="0" w:type="auto"/>
          </w:tcPr>
          <w:p>
            <w:pPr>
              <w:spacing w:line="240" w:lineRule="auto" w:before="0" w:after="0"/>
              <w:pStyle w:val="Compact"/>
            </w:pPr>
            <w:r>
              <w:rPr>
                <w:sz w:val="20"/>
                <w:szCs w:val="20"/>
              </w:rPr>
              <w:t xml:space="preserve">4685592577805</w:t>
            </w:r>
          </w:p>
        </w:tc>
        <w:tc>
          <w:tcPr>
            <w:tcW w:w="0" w:type="auto"/>
          </w:tcPr>
          <w:p>
            <w:pPr>
              <w:spacing w:line="240" w:lineRule="auto" w:before="0" w:after="0"/>
              <w:pStyle w:val="Compact"/>
            </w:pPr>
            <w:r>
              <w:rPr>
                <w:sz w:val="20"/>
                <w:szCs w:val="20"/>
              </w:rPr>
              <w:t xml:space="preserve">84</w:t>
            </w:r>
          </w:p>
        </w:tc>
        <w:tc>
          <w:tcPr>
            <w:tcW w:w="0" w:type="auto"/>
          </w:tcPr>
          <w:p>
            <w:pPr>
              <w:spacing w:line="240" w:lineRule="auto" w:before="0" w:after="0"/>
              <w:pStyle w:val="Compact"/>
            </w:pPr>
            <w:r>
              <w:rPr>
                <w:sz w:val="20"/>
                <w:szCs w:val="20"/>
              </w:rPr>
              <w:t xml:space="preserve">0.0593</w:t>
            </w:r>
          </w:p>
        </w:tc>
        <w:tc>
          <w:tcPr>
            <w:tcW w:w="0" w:type="auto"/>
          </w:tcPr>
          <w:p>
            <w:pPr>
              <w:spacing w:line="240" w:lineRule="auto" w:before="0" w:after="0"/>
              <w:pStyle w:val="Compact"/>
            </w:pPr>
            <w:r>
              <w:rPr>
                <w:sz w:val="20"/>
                <w:szCs w:val="20"/>
              </w:rPr>
              <w:t xml:space="preserve">21.7457</w:t>
            </w:r>
          </w:p>
        </w:tc>
        <w:tc>
          <w:tcPr>
            <w:tcW w:w="0" w:type="auto"/>
          </w:tcPr>
          <w:p>
            <w:pPr>
              <w:spacing w:line="240" w:lineRule="auto" w:before="0" w:after="0"/>
              <w:pStyle w:val="Compact"/>
            </w:pPr>
            <w:r>
              <w:rPr>
                <w:sz w:val="20"/>
                <w:szCs w:val="20"/>
              </w:rPr>
              <w:t xml:space="preserve">29.1755</w:t>
            </w:r>
          </w:p>
        </w:tc>
        <w:tc>
          <w:tcPr>
            <w:tcW w:w="0" w:type="auto"/>
          </w:tcPr>
          <w:p>
            <w:pPr>
              <w:spacing w:line="240" w:lineRule="auto" w:before="0" w:after="0"/>
              <w:pStyle w:val="Compact"/>
            </w:pPr>
            <w:r>
              <w:rPr>
                <w:sz w:val="20"/>
                <w:szCs w:val="20"/>
              </w:rPr>
              <w:t xml:space="preserve">4.4308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Italy</w:t>
            </w:r>
          </w:p>
        </w:tc>
        <w:tc>
          <w:tcPr>
            <w:tcW w:w="0" w:type="auto"/>
          </w:tcPr>
          <w:p>
            <w:pPr>
              <w:spacing w:line="240" w:lineRule="auto" w:before="0" w:after="0"/>
              <w:pStyle w:val="Compact"/>
            </w:pPr>
            <w:r>
              <w:rPr>
                <w:sz w:val="20"/>
                <w:szCs w:val="20"/>
              </w:rPr>
              <w:t xml:space="preserve">ITA</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2650000000</w:t>
            </w:r>
          </w:p>
        </w:tc>
        <w:tc>
          <w:tcPr>
            <w:tcW w:w="0" w:type="auto"/>
          </w:tcPr>
          <w:p>
            <w:pPr>
              <w:spacing w:line="240" w:lineRule="auto" w:before="0" w:after="0"/>
              <w:pStyle w:val="Compact"/>
            </w:pPr>
            <w:r>
              <w:rPr>
                <w:sz w:val="20"/>
                <w:szCs w:val="20"/>
              </w:rPr>
              <w:t xml:space="preserve">2383435562458</w:t>
            </w:r>
          </w:p>
        </w:tc>
        <w:tc>
          <w:tcPr>
            <w:tcW w:w="0" w:type="auto"/>
          </w:tcPr>
          <w:p>
            <w:pPr>
              <w:spacing w:line="240" w:lineRule="auto" w:before="0" w:after="0"/>
              <w:pStyle w:val="Compact"/>
            </w:pPr>
            <w:r>
              <w:rPr>
                <w:sz w:val="20"/>
                <w:szCs w:val="20"/>
              </w:rPr>
              <w:t xml:space="preserve">59</w:t>
            </w:r>
          </w:p>
        </w:tc>
        <w:tc>
          <w:tcPr>
            <w:tcW w:w="0" w:type="auto"/>
          </w:tcPr>
          <w:p>
            <w:pPr>
              <w:spacing w:line="240" w:lineRule="auto" w:before="0" w:after="0"/>
              <w:pStyle w:val="Compact"/>
            </w:pPr>
            <w:r>
              <w:rPr>
                <w:sz w:val="20"/>
                <w:szCs w:val="20"/>
              </w:rPr>
              <w:t xml:space="preserve">0.1112</w:t>
            </w:r>
          </w:p>
        </w:tc>
        <w:tc>
          <w:tcPr>
            <w:tcW w:w="0" w:type="auto"/>
          </w:tcPr>
          <w:p>
            <w:pPr>
              <w:spacing w:line="240" w:lineRule="auto" w:before="0" w:after="0"/>
              <w:pStyle w:val="Compact"/>
            </w:pPr>
            <w:r>
              <w:rPr>
                <w:sz w:val="20"/>
                <w:szCs w:val="20"/>
              </w:rPr>
              <w:t xml:space="preserve">21.6978</w:t>
            </w:r>
          </w:p>
        </w:tc>
        <w:tc>
          <w:tcPr>
            <w:tcW w:w="0" w:type="auto"/>
          </w:tcPr>
          <w:p>
            <w:pPr>
              <w:spacing w:line="240" w:lineRule="auto" w:before="0" w:after="0"/>
              <w:pStyle w:val="Compact"/>
            </w:pPr>
            <w:r>
              <w:rPr>
                <w:sz w:val="20"/>
                <w:szCs w:val="20"/>
              </w:rPr>
              <w:t xml:space="preserve">28.4996</w:t>
            </w:r>
          </w:p>
        </w:tc>
        <w:tc>
          <w:tcPr>
            <w:tcW w:w="0" w:type="auto"/>
          </w:tcPr>
          <w:p>
            <w:pPr>
              <w:spacing w:line="240" w:lineRule="auto" w:before="0" w:after="0"/>
              <w:pStyle w:val="Compact"/>
            </w:pPr>
            <w:r>
              <w:rPr>
                <w:sz w:val="20"/>
                <w:szCs w:val="20"/>
              </w:rPr>
              <w:t xml:space="preserve">4.0775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IND</w:t>
            </w:r>
          </w:p>
        </w:tc>
        <w:tc>
          <w:tcPr>
            <w:tcW w:w="0" w:type="auto"/>
          </w:tcPr>
          <w:p>
            <w:pPr>
              <w:spacing w:line="240" w:lineRule="auto" w:before="0" w:after="0"/>
              <w:pStyle w:val="Compact"/>
            </w:pPr>
            <w:r>
              <w:rPr>
                <w:sz w:val="20"/>
                <w:szCs w:val="20"/>
              </w:rPr>
              <w:t xml:space="preserve">2024</w:t>
            </w:r>
          </w:p>
        </w:tc>
        <w:tc>
          <w:tcPr>
            <w:tcW w:w="0" w:type="auto"/>
          </w:tcPr>
          <w:p>
            <w:pPr>
              <w:spacing w:line="240" w:lineRule="auto" w:before="0" w:after="0"/>
              <w:pStyle w:val="Compact"/>
            </w:pPr>
            <w:r>
              <w:rPr>
                <w:sz w:val="20"/>
                <w:szCs w:val="20"/>
              </w:rPr>
              <w:t xml:space="preserve">1890000000</w:t>
            </w:r>
          </w:p>
        </w:tc>
        <w:tc>
          <w:tcPr>
            <w:tcW w:w="0" w:type="auto"/>
          </w:tcPr>
          <w:p>
            <w:pPr>
              <w:spacing w:line="240" w:lineRule="auto" w:before="0" w:after="0"/>
              <w:pStyle w:val="Compact"/>
            </w:pPr>
            <w:r>
              <w:rPr>
                <w:sz w:val="20"/>
                <w:szCs w:val="20"/>
              </w:rPr>
              <w:t xml:space="preserve">3760813470501</w:t>
            </w:r>
          </w:p>
        </w:tc>
        <w:tc>
          <w:tcPr>
            <w:tcW w:w="0" w:type="auto"/>
          </w:tcPr>
          <w:p>
            <w:pPr>
              <w:spacing w:line="240" w:lineRule="auto" w:before="0" w:after="0"/>
              <w:pStyle w:val="Compact"/>
            </w:pPr>
            <w:r>
              <w:rPr>
                <w:sz w:val="20"/>
                <w:szCs w:val="20"/>
              </w:rPr>
              <w:t xml:space="preserve">110</w:t>
            </w:r>
          </w:p>
        </w:tc>
        <w:tc>
          <w:tcPr>
            <w:tcW w:w="0" w:type="auto"/>
          </w:tcPr>
          <w:p>
            <w:pPr>
              <w:spacing w:line="240" w:lineRule="auto" w:before="0" w:after="0"/>
              <w:pStyle w:val="Compact"/>
            </w:pPr>
            <w:r>
              <w:rPr>
                <w:sz w:val="20"/>
                <w:szCs w:val="20"/>
              </w:rPr>
              <w:t xml:space="preserve">0.0503</w:t>
            </w:r>
          </w:p>
        </w:tc>
        <w:tc>
          <w:tcPr>
            <w:tcW w:w="0" w:type="auto"/>
          </w:tcPr>
          <w:p>
            <w:pPr>
              <w:spacing w:line="240" w:lineRule="auto" w:before="0" w:after="0"/>
              <w:pStyle w:val="Compact"/>
            </w:pPr>
            <w:r>
              <w:rPr>
                <w:sz w:val="20"/>
                <w:szCs w:val="20"/>
              </w:rPr>
              <w:t xml:space="preserve">21.3598</w:t>
            </w:r>
          </w:p>
        </w:tc>
        <w:tc>
          <w:tcPr>
            <w:tcW w:w="0" w:type="auto"/>
          </w:tcPr>
          <w:p>
            <w:pPr>
              <w:spacing w:line="240" w:lineRule="auto" w:before="0" w:after="0"/>
              <w:pStyle w:val="Compact"/>
            </w:pPr>
            <w:r>
              <w:rPr>
                <w:sz w:val="20"/>
                <w:szCs w:val="20"/>
              </w:rPr>
              <w:t xml:space="preserve">28.9557</w:t>
            </w:r>
          </w:p>
        </w:tc>
        <w:tc>
          <w:tcPr>
            <w:tcW w:w="0" w:type="auto"/>
          </w:tcPr>
          <w:p>
            <w:pPr>
              <w:spacing w:line="240" w:lineRule="auto" w:before="0" w:after="0"/>
              <w:pStyle w:val="Compact"/>
            </w:pPr>
            <w:r>
              <w:rPr>
                <w:sz w:val="20"/>
                <w:szCs w:val="20"/>
              </w:rPr>
              <w:t xml:space="preserve">4.7005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Euroconsult/Novaspace, Government Space Programs (annual), as reported in Statista series 745717 compiled from Novaspace GSP 24th ed.; GDP: World Bank WDI NY.GDP.MKTP.CD (API retrieval 2026-07-29); Satellite stock: CelesTrak SATCAT (satcat.csv, retrieved 2026-07-29), payloads launched on or before 31 Dec of year and not decayed</w:t>
            </w:r>
          </w:p>
        </w:tc>
      </w:tr>
    </w:tbl>
    <w:bookmarkEnd w:id="276"/>
    <w:bookmarkStart w:id="277" w:name="variable-construction-2"/>
    <w:p>
      <w:pPr>
        <w:pStyle w:val="Heading3"/>
        <w:spacing w:line="480" w:lineRule="auto"/>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country</w:t>
            </w:r>
          </w:p>
        </w:tc>
        <w:tc>
          <w:tcPr>
            <w:tcW w:w="0" w:type="auto"/>
          </w:tcPr>
          <w:p>
            <w:pPr>
              <w:spacing w:line="240" w:lineRule="auto" w:before="0" w:after="0"/>
              <w:pStyle w:val="Compact"/>
            </w:pPr>
            <w:r>
              <w:rPr>
                <w:sz w:val="20"/>
                <w:szCs w:val="20"/>
              </w:rPr>
              <w:t xml:space="preserve">Name of the state whose government space budget and on-orbit payload stock are observed in the given year.</w:t>
            </w:r>
          </w:p>
        </w:tc>
        <w:tc>
          <w:tcPr>
            <w:tcW w:w="0" w:type="auto"/>
          </w:tcPr>
          <w:p>
            <w:pPr>
              <w:spacing w:line="240" w:lineRule="auto" w:before="0" w:after="0"/>
              <w:pStyle w:val="Compact"/>
            </w:pPr>
            <w:r>
              <w:rPr>
                <w:sz w:val="20"/>
                <w:szCs w:val="20"/>
              </w:rPr>
              <w:t xml:space="preserve">Compiled by the author from [8][9][10][11][12]</w:t>
            </w:r>
          </w:p>
        </w:tc>
      </w:tr>
      <w:tr>
        <w:tc>
          <w:tcPr>
            <w:tcW w:w="0" w:type="auto"/>
          </w:tcPr>
          <w:p>
            <w:pPr>
              <w:spacing w:line="240" w:lineRule="auto" w:before="0" w:after="0"/>
              <w:pStyle w:val="Compact"/>
            </w:pPr>
            <w:r>
              <w:rPr>
                <w:sz w:val="20"/>
                <w:szCs w:val="20"/>
              </w:rPr>
              <w:t xml:space="preserve">iso3</w:t>
            </w:r>
          </w:p>
        </w:tc>
        <w:tc>
          <w:tcPr>
            <w:tcW w:w="0" w:type="auto"/>
          </w:tcPr>
          <w:p>
            <w:pPr>
              <w:spacing w:line="240" w:lineRule="auto" w:before="0" w:after="0"/>
              <w:pStyle w:val="Compact"/>
            </w:pPr>
            <w:r>
              <w:rPr>
                <w:sz w:val="20"/>
                <w:szCs w:val="20"/>
              </w:rPr>
              <w:t xml:space="preserve">ISO 3166-1 alpha-3 country code, used as the join key to World Bank national accounts.</w:t>
            </w:r>
          </w:p>
        </w:tc>
        <w:tc>
          <w:tcPr>
            <w:tcW w:w="0" w:type="auto"/>
          </w:tcPr>
          <w:p>
            <w:pPr>
              <w:spacing w:line="240" w:lineRule="auto" w:before="0" w:after="0"/>
              <w:pStyle w:val="Compact"/>
            </w:pPr>
            <w:r>
              <w:rPr>
                <w:sz w:val="20"/>
                <w:szCs w:val="20"/>
              </w:rPr>
              <w:t xml:space="preserve">World Bank WDI country coding [13]</w:t>
            </w:r>
          </w:p>
        </w:tc>
      </w:tr>
      <w:tr>
        <w:tc>
          <w:tcPr>
            <w:tcW w:w="0" w:type="auto"/>
          </w:tcPr>
          <w:p>
            <w:pPr>
              <w:spacing w:line="240" w:lineRule="auto" w:before="0" w:after="0"/>
              <w:pStyle w:val="Compact"/>
            </w:pPr>
            <w:r>
              <w:rPr>
                <w:sz w:val="20"/>
                <w:szCs w:val="20"/>
              </w:rPr>
              <w:t xml:space="preserve">year</w:t>
            </w:r>
          </w:p>
        </w:tc>
        <w:tc>
          <w:tcPr>
            <w:tcW w:w="0" w:type="auto"/>
          </w:tcPr>
          <w:p>
            <w:pPr>
              <w:spacing w:line="240" w:lineRule="auto" w:before="0" w:after="0"/>
              <w:pStyle w:val="Compact"/>
            </w:pPr>
            <w:r>
              <w:rPr>
                <w:sz w:val="20"/>
                <w:szCs w:val="20"/>
              </w:rPr>
              <w:t xml:space="preserve">Calendar year of the budget observation and of the 31 December on-orbit stock measurement.</w:t>
            </w:r>
          </w:p>
        </w:tc>
        <w:tc>
          <w:tcPr>
            <w:tcW w:w="0" w:type="auto"/>
          </w:tcPr>
          <w:p>
            <w:pPr>
              <w:spacing w:line="240" w:lineRule="auto" w:before="0" w:after="0"/>
              <w:pStyle w:val="Compact"/>
            </w:pPr>
            <w:r>
              <w:rPr>
                <w:sz w:val="20"/>
                <w:szCs w:val="20"/>
              </w:rPr>
              <w:t xml:space="preserve">Compiled by the author from [8][9][10][11][12][14]</w:t>
            </w:r>
          </w:p>
        </w:tc>
      </w:tr>
      <w:tr>
        <w:tc>
          <w:tcPr>
            <w:tcW w:w="0" w:type="auto"/>
          </w:tcPr>
          <w:p>
            <w:pPr>
              <w:spacing w:line="240" w:lineRule="auto" w:before="0" w:after="0"/>
              <w:pStyle w:val="Compact"/>
            </w:pPr>
            <w:r>
              <w:rPr>
                <w:sz w:val="20"/>
                <w:szCs w:val="20"/>
              </w:rPr>
              <w:t xml:space="preserve">space_budget_usd</w:t>
            </w:r>
          </w:p>
        </w:tc>
        <w:tc>
          <w:tcPr>
            <w:tcW w:w="0" w:type="auto"/>
          </w:tcPr>
          <w:p>
            <w:pPr>
              <w:spacing w:line="240" w:lineRule="auto" w:before="0" w:after="0"/>
              <w:pStyle w:val="Compact"/>
            </w:pPr>
            <w:r>
              <w:rPr>
                <w:sz w:val="20"/>
                <w:szCs w:val="20"/>
              </w:rPr>
              <w:t xml:space="preserve">Total government space budget of the country in that year, in current US dollars, covering both civil and defense space appropriations as reported in the Euroconsult/Novaspace Government Space Programs series. This is the economic instrument as an appropriated quantity, not as an outcome.</w:t>
            </w:r>
          </w:p>
        </w:tc>
        <w:tc>
          <w:tcPr>
            <w:tcW w:w="0" w:type="auto"/>
          </w:tcPr>
          <w:p>
            <w:pPr>
              <w:spacing w:line="240" w:lineRule="auto" w:before="0" w:after="0"/>
              <w:pStyle w:val="Compact"/>
            </w:pPr>
            <w:r>
              <w:rPr>
                <w:sz w:val="20"/>
                <w:szCs w:val="20"/>
              </w:rPr>
              <w:t xml:space="preserve">Euroconsult/Novaspace, Government Space Programs, editions reported in [8][9][10][11][12]</w:t>
            </w:r>
          </w:p>
        </w:tc>
      </w:tr>
      <w:tr>
        <w:tc>
          <w:tcPr>
            <w:tcW w:w="0" w:type="auto"/>
          </w:tcPr>
          <w:p>
            <w:pPr>
              <w:spacing w:line="240" w:lineRule="auto" w:before="0" w:after="0"/>
              <w:pStyle w:val="Compact"/>
            </w:pPr>
            <w:r>
              <w:rPr>
                <w:sz w:val="20"/>
                <w:szCs w:val="20"/>
              </w:rPr>
              <w:t xml:space="preserve">gdp_usd</w:t>
            </w:r>
          </w:p>
        </w:tc>
        <w:tc>
          <w:tcPr>
            <w:tcW w:w="0" w:type="auto"/>
          </w:tcPr>
          <w:p>
            <w:pPr>
              <w:spacing w:line="240" w:lineRule="auto" w:before="0" w:after="0"/>
              <w:pStyle w:val="Compact"/>
            </w:pPr>
            <w:r>
              <w:rPr>
                <w:sz w:val="20"/>
                <w:szCs w:val="20"/>
              </w:rPr>
              <w:t xml:space="preserve">Gross domestic product in current US dollars, the aggregate national wealth base against which the space appropriation is drawn.</w:t>
            </w:r>
          </w:p>
        </w:tc>
        <w:tc>
          <w:tcPr>
            <w:tcW w:w="0" w:type="auto"/>
          </w:tcPr>
          <w:p>
            <w:pPr>
              <w:spacing w:line="240" w:lineRule="auto" w:before="0" w:after="0"/>
              <w:pStyle w:val="Compact"/>
            </w:pPr>
            <w:r>
              <w:rPr>
                <w:sz w:val="20"/>
                <w:szCs w:val="20"/>
              </w:rPr>
              <w:t xml:space="preserve">World Bank World Development Indicators, series NY.GDP.MKTP.CD [13]</w:t>
            </w:r>
          </w:p>
        </w:tc>
      </w:tr>
      <w:tr>
        <w:tc>
          <w:tcPr>
            <w:tcW w:w="0" w:type="auto"/>
          </w:tcPr>
          <w:p>
            <w:pPr>
              <w:spacing w:line="240" w:lineRule="auto" w:before="0" w:after="0"/>
              <w:pStyle w:val="Compact"/>
            </w:pPr>
            <w:r>
              <w:rPr>
                <w:sz w:val="20"/>
                <w:szCs w:val="20"/>
              </w:rPr>
              <w:t xml:space="preserve">payloads_in_orbit</w:t>
            </w:r>
          </w:p>
        </w:tc>
        <w:tc>
          <w:tcPr>
            <w:tcW w:w="0" w:type="auto"/>
          </w:tcPr>
          <w:p>
            <w:pPr>
              <w:spacing w:line="240" w:lineRule="auto" w:before="0" w:after="0"/>
              <w:pStyle w:val="Compact"/>
            </w:pPr>
            <w:r>
              <w:rPr>
                <w:sz w:val="20"/>
                <w:szCs w:val="20"/>
              </w:rPr>
              <w:t xml:space="preserve">Count of catalogued payloads attributed to that country’s owner code that were launched on or before 31 December of the year and had not decayed by that date. The strategic-output measure: the stock of national assets physically present in orbit.</w:t>
            </w:r>
          </w:p>
        </w:tc>
        <w:tc>
          <w:tcPr>
            <w:tcW w:w="0" w:type="auto"/>
          </w:tcPr>
          <w:p>
            <w:pPr>
              <w:spacing w:line="240" w:lineRule="auto" w:before="0" w:after="0"/>
              <w:pStyle w:val="Compact"/>
            </w:pPr>
            <w:r>
              <w:rPr>
                <w:sz w:val="20"/>
                <w:szCs w:val="20"/>
              </w:rPr>
              <w:t xml:space="preserve">CelesTrak SATCAT, satcat.csv, retrieved 29 July 2026 [14]</w:t>
            </w:r>
          </w:p>
        </w:tc>
      </w:tr>
      <w:tr>
        <w:tc>
          <w:tcPr>
            <w:tcW w:w="0" w:type="auto"/>
          </w:tcPr>
          <w:p>
            <w:pPr>
              <w:spacing w:line="240" w:lineRule="auto" w:before="0" w:after="0"/>
              <w:pStyle w:val="Compact"/>
            </w:pPr>
            <w:r>
              <w:rPr>
                <w:sz w:val="20"/>
                <w:szCs w:val="20"/>
              </w:rPr>
              <w:t xml:space="preserve">space_budget_pct_gdp</w:t>
            </w:r>
          </w:p>
        </w:tc>
        <w:tc>
          <w:tcPr>
            <w:tcW w:w="0" w:type="auto"/>
          </w:tcPr>
          <w:p>
            <w:pPr>
              <w:spacing w:line="240" w:lineRule="auto" w:before="0" w:after="0"/>
              <w:pStyle w:val="Compact"/>
            </w:pPr>
            <w:r>
              <w:rPr>
                <w:sz w:val="20"/>
                <w:szCs w:val="20"/>
              </w:rPr>
              <w:t xml:space="preserve">Government space budget expressed as a percentage of GDP, the intensity of national commitment to the space instrument.</w:t>
            </w:r>
          </w:p>
        </w:tc>
        <w:tc>
          <w:tcPr>
            <w:tcW w:w="0" w:type="auto"/>
          </w:tcPr>
          <w:p>
            <w:pPr>
              <w:spacing w:line="240" w:lineRule="auto" w:before="0" w:after="0"/>
              <w:pStyle w:val="Compact"/>
            </w:pPr>
            <w:r>
              <w:rPr>
                <w:sz w:val="20"/>
                <w:szCs w:val="20"/>
              </w:rPr>
              <w:t xml:space="preserve">Author’s calculation from [8][9][10][11][12] and [13]</w:t>
            </w:r>
          </w:p>
        </w:tc>
      </w:tr>
      <w:tr>
        <w:tc>
          <w:tcPr>
            <w:tcW w:w="0" w:type="auto"/>
          </w:tcPr>
          <w:p>
            <w:pPr>
              <w:spacing w:line="240" w:lineRule="auto" w:before="0" w:after="0"/>
              <w:pStyle w:val="Compact"/>
            </w:pPr>
            <w:r>
              <w:rPr>
                <w:sz w:val="20"/>
                <w:szCs w:val="20"/>
              </w:rPr>
              <w:t xml:space="preserve">ln_space_budget_usd</w:t>
            </w:r>
          </w:p>
        </w:tc>
        <w:tc>
          <w:tcPr>
            <w:tcW w:w="0" w:type="auto"/>
          </w:tcPr>
          <w:p>
            <w:pPr>
              <w:spacing w:line="240" w:lineRule="auto" w:before="0" w:after="0"/>
              <w:pStyle w:val="Compact"/>
            </w:pPr>
            <w:r>
              <w:rPr>
                <w:sz w:val="20"/>
                <w:szCs w:val="20"/>
              </w:rPr>
              <w:t xml:space="preserve">Natural logarithm of space_budget_usd; the regressor of interest, so that its coefficient reads as an elasticity.</w:t>
            </w:r>
          </w:p>
        </w:tc>
        <w:tc>
          <w:tcPr>
            <w:tcW w:w="0" w:type="auto"/>
          </w:tcPr>
          <w:p>
            <w:pPr>
              <w:spacing w:line="240" w:lineRule="auto" w:before="0" w:after="0"/>
              <w:pStyle w:val="Compact"/>
            </w:pPr>
            <w:r>
              <w:rPr>
                <w:sz w:val="20"/>
                <w:szCs w:val="20"/>
              </w:rPr>
              <w:t xml:space="preserve">Author’s transformation of [8][9][10][11][12]</w:t>
            </w:r>
          </w:p>
        </w:tc>
      </w:tr>
      <w:tr>
        <w:tc>
          <w:tcPr>
            <w:tcW w:w="0" w:type="auto"/>
          </w:tcPr>
          <w:p>
            <w:pPr>
              <w:spacing w:line="240" w:lineRule="auto" w:before="0" w:after="0"/>
              <w:pStyle w:val="Compact"/>
            </w:pPr>
            <w:r>
              <w:rPr>
                <w:sz w:val="20"/>
                <w:szCs w:val="20"/>
              </w:rPr>
              <w:t xml:space="preserve">ln_gdp_usd</w:t>
            </w:r>
          </w:p>
        </w:tc>
        <w:tc>
          <w:tcPr>
            <w:tcW w:w="0" w:type="auto"/>
          </w:tcPr>
          <w:p>
            <w:pPr>
              <w:spacing w:line="240" w:lineRule="auto" w:before="0" w:after="0"/>
              <w:pStyle w:val="Compact"/>
            </w:pPr>
            <w:r>
              <w:rPr>
                <w:sz w:val="20"/>
                <w:szCs w:val="20"/>
              </w:rPr>
              <w:t xml:space="preserve">Natural logarithm of gdp_usd; controls for national economic scale so that the budget coefficient is not simply reading country size.</w:t>
            </w:r>
          </w:p>
        </w:tc>
        <w:tc>
          <w:tcPr>
            <w:tcW w:w="0" w:type="auto"/>
          </w:tcPr>
          <w:p>
            <w:pPr>
              <w:spacing w:line="240" w:lineRule="auto" w:before="0" w:after="0"/>
              <w:pStyle w:val="Compact"/>
            </w:pPr>
            <w:r>
              <w:rPr>
                <w:sz w:val="20"/>
                <w:szCs w:val="20"/>
              </w:rPr>
              <w:t xml:space="preserve">Author’s transformation of [13]</w:t>
            </w:r>
          </w:p>
        </w:tc>
      </w:tr>
      <w:tr>
        <w:tc>
          <w:tcPr>
            <w:tcW w:w="0" w:type="auto"/>
          </w:tcPr>
          <w:p>
            <w:pPr>
              <w:spacing w:line="240" w:lineRule="auto" w:before="0" w:after="0"/>
              <w:pStyle w:val="Compact"/>
            </w:pPr>
            <w:r>
              <w:rPr>
                <w:sz w:val="20"/>
                <w:szCs w:val="20"/>
              </w:rPr>
              <w:t xml:space="preserve">ln_payloads_in_orbit</w:t>
            </w:r>
          </w:p>
        </w:tc>
        <w:tc>
          <w:tcPr>
            <w:tcW w:w="0" w:type="auto"/>
          </w:tcPr>
          <w:p>
            <w:pPr>
              <w:spacing w:line="240" w:lineRule="auto" w:before="0" w:after="0"/>
              <w:pStyle w:val="Compact"/>
            </w:pPr>
            <w:r>
              <w:rPr>
                <w:sz w:val="20"/>
                <w:szCs w:val="20"/>
              </w:rPr>
              <w:t xml:space="preserve">Natural logarithm of payloads_in_orbit; the dependent variable, chosen because the on-orbit stock spans more than two orders of magnitude across the panel.</w:t>
            </w:r>
          </w:p>
        </w:tc>
        <w:tc>
          <w:tcPr>
            <w:tcW w:w="0" w:type="auto"/>
          </w:tcPr>
          <w:p>
            <w:pPr>
              <w:spacing w:line="240" w:lineRule="auto" w:before="0" w:after="0"/>
              <w:pStyle w:val="Compact"/>
            </w:pPr>
            <w:r>
              <w:rPr>
                <w:sz w:val="20"/>
                <w:szCs w:val="20"/>
              </w:rPr>
              <w:t xml:space="preserve">Author’s transformation of [14]</w:t>
            </w:r>
          </w:p>
        </w:tc>
      </w:tr>
      <w:tr>
        <w:tc>
          <w:tcPr>
            <w:tcW w:w="0" w:type="auto"/>
          </w:tcPr>
          <w:p>
            <w:pPr>
              <w:spacing w:line="240" w:lineRule="auto" w:before="0" w:after="0"/>
              <w:pStyle w:val="Compact"/>
            </w:pPr>
            <w:r>
              <w:rPr>
                <w:sz w:val="20"/>
                <w:szCs w:val="20"/>
              </w:rPr>
              <w:t xml:space="preserve">yr2021</w:t>
            </w:r>
          </w:p>
        </w:tc>
        <w:tc>
          <w:tcPr>
            <w:tcW w:w="0" w:type="auto"/>
          </w:tcPr>
          <w:p>
            <w:pPr>
              <w:spacing w:line="240" w:lineRule="auto" w:before="0" w:after="0"/>
              <w:pStyle w:val="Compact"/>
            </w:pPr>
            <w:r>
              <w:rPr>
                <w:sz w:val="20"/>
                <w:szCs w:val="20"/>
              </w:rPr>
              <w:t xml:space="preserve">Year dummy equal to 1 for observations in 2021 and 0 otherwise; 2018 is the omitted base year.</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yr2022</w:t>
            </w:r>
          </w:p>
        </w:tc>
        <w:tc>
          <w:tcPr>
            <w:tcW w:w="0" w:type="auto"/>
          </w:tcPr>
          <w:p>
            <w:pPr>
              <w:spacing w:line="240" w:lineRule="auto" w:before="0" w:after="0"/>
              <w:pStyle w:val="Compact"/>
            </w:pPr>
            <w:r>
              <w:rPr>
                <w:sz w:val="20"/>
                <w:szCs w:val="20"/>
              </w:rPr>
              <w:t xml:space="preserve">Year dummy equal to 1 for observations in 2022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yr2023</w:t>
            </w:r>
          </w:p>
        </w:tc>
        <w:tc>
          <w:tcPr>
            <w:tcW w:w="0" w:type="auto"/>
          </w:tcPr>
          <w:p>
            <w:pPr>
              <w:spacing w:line="240" w:lineRule="auto" w:before="0" w:after="0"/>
              <w:pStyle w:val="Compact"/>
            </w:pPr>
            <w:r>
              <w:rPr>
                <w:sz w:val="20"/>
                <w:szCs w:val="20"/>
              </w:rPr>
              <w:t xml:space="preserve">Year dummy equal to 1 for observations in 2023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yr2024</w:t>
            </w:r>
          </w:p>
        </w:tc>
        <w:tc>
          <w:tcPr>
            <w:tcW w:w="0" w:type="auto"/>
          </w:tcPr>
          <w:p>
            <w:pPr>
              <w:spacing w:line="240" w:lineRule="auto" w:before="0" w:after="0"/>
              <w:pStyle w:val="Compact"/>
            </w:pPr>
            <w:r>
              <w:rPr>
                <w:sz w:val="20"/>
                <w:szCs w:val="20"/>
              </w:rPr>
              <w:t xml:space="preserve">Year dummy equal to 1 for observations in 2024 and 0 otherwise.</w:t>
            </w:r>
          </w:p>
        </w:tc>
        <w:tc>
          <w:tcPr>
            <w:tcW w:w="0" w:type="auto"/>
          </w:tcPr>
          <w:p>
            <w:pPr>
              <w:spacing w:line="240" w:lineRule="auto" w:before="0" w:after="0"/>
              <w:pStyle w:val="Compact"/>
            </w:pPr>
            <w:r>
              <w:rPr>
                <w:sz w:val="20"/>
                <w:szCs w:val="20"/>
              </w:rPr>
              <w:t xml:space="preserve">Author’s construction</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specific real source of the budget figure, the GDP series, and the satellite-stock computation for that row.</w:t>
            </w:r>
          </w:p>
        </w:tc>
        <w:tc>
          <w:tcPr>
            <w:tcW w:w="0" w:type="auto"/>
          </w:tcPr>
          <w:p>
            <w:pPr>
              <w:spacing w:line="240" w:lineRule="auto" w:before="0" w:after="0"/>
              <w:pStyle w:val="Compact"/>
            </w:pPr>
            <w:r>
              <w:rPr>
                <w:sz w:val="20"/>
                <w:szCs w:val="20"/>
              </w:rPr>
              <w:t xml:space="preserve">Compiled by the author</w:t>
            </w:r>
          </w:p>
        </w:tc>
      </w:tr>
    </w:tbl>
    <w:bookmarkEnd w:id="277"/>
    <w:bookmarkEnd w:id="278"/>
    <w:bookmarkStart w:id="286" w:name="X3566cc6f2322d2c8e98ae275a499e6a3586878b"/>
    <w:p>
      <w:pPr>
        <w:pStyle w:val="Heading2"/>
        <w:spacing w:line="480" w:lineRule="auto"/>
      </w:pPr>
      <w:r>
        <w:t xml:space="preserve">A.4 Rules on Paper and Rules in Use: Licensing Strength, Orbital Altitude, and Documented Post-Mission Disposal Outcomes</w:t>
      </w:r>
    </w:p>
    <w:p>
      <w:pPr>
        <w:pStyle w:val="FirstParagraph"/>
        <w:spacing w:line="480" w:lineRule="auto"/>
      </w:pPr>
      <w:r>
        <w:t xml:space="preserve">$$
    \[ \operatorname{logit}\big(\Pr(pmd\_success_i = 1)\big) = \beta_0 + \beta_1\, eol\_altitude\_km_i + \beta_2\, licensing\_strength_i + \beta_3\, eol\_year\_c_i \]
    $$</w:t>
      </w:r>
    </w:p>
    <w:bookmarkStart w:id="279" w:name="estimator-output-3"/>
    <w:p>
      <w:pPr>
        <w:pStyle w:val="Heading3"/>
        <w:spacing w:line="480" w:lineRule="auto"/>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6.1302</w:t>
            </w:r>
          </w:p>
        </w:tc>
        <w:tc>
          <w:tcPr>
            <w:tcW w:w="0" w:type="auto"/>
          </w:tcPr>
          <w:p>
            <w:pPr>
              <w:spacing w:line="240" w:lineRule="auto" w:before="0" w:after="0"/>
              <w:pStyle w:val="Compact"/>
            </w:pPr>
            <w:r>
              <w:rPr>
                <w:sz w:val="20"/>
                <w:szCs w:val="20"/>
              </w:rPr>
              <w:t xml:space="preserve">3.1863</w:t>
            </w:r>
          </w:p>
        </w:tc>
        <w:tc>
          <w:tcPr>
            <w:tcW w:w="0" w:type="auto"/>
          </w:tcPr>
          <w:p>
            <w:pPr>
              <w:spacing w:line="240" w:lineRule="auto" w:before="0" w:after="0"/>
              <w:pStyle w:val="Compact"/>
            </w:pPr>
            <w:r>
              <w:rPr>
                <w:sz w:val="20"/>
                <w:szCs w:val="20"/>
              </w:rPr>
              <w:t xml:space="preserve">1.9239</w:t>
            </w:r>
          </w:p>
        </w:tc>
        <w:tc>
          <w:tcPr>
            <w:tcW w:w="0" w:type="auto"/>
          </w:tcPr>
          <w:p>
            <w:pPr>
              <w:spacing w:line="240" w:lineRule="auto" w:before="0" w:after="0"/>
              <w:pStyle w:val="Compact"/>
            </w:pPr>
            <w:r>
              <w:rPr>
                <w:sz w:val="20"/>
                <w:szCs w:val="20"/>
              </w:rPr>
              <w:t xml:space="preserve">0.0544</w:t>
            </w:r>
          </w:p>
        </w:tc>
        <w:tc>
          <w:tcPr>
            <w:tcW w:w="0" w:type="auto"/>
          </w:tcPr>
          <w:p>
            <w:pPr>
              <w:spacing w:line="240" w:lineRule="auto" w:before="0" w:after="0"/>
              <w:pStyle w:val="Compact"/>
            </w:pPr>
            <w:r>
              <w:rPr>
                <w:sz w:val="20"/>
                <w:szCs w:val="20"/>
              </w:rPr>
              <w:t xml:space="preserve">[-0.1148, 12.3751]</w:t>
            </w:r>
          </w:p>
        </w:tc>
      </w:tr>
      <w:tr>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-0.0073</w:t>
            </w:r>
          </w:p>
        </w:tc>
        <w:tc>
          <w:tcPr>
            <w:tcW w:w="0" w:type="auto"/>
          </w:tcPr>
          <w:p>
            <w:pPr>
              <w:spacing w:line="240" w:lineRule="auto" w:before="0" w:after="0"/>
              <w:pStyle w:val="Compact"/>
            </w:pPr>
            <w:r>
              <w:rPr>
                <w:sz w:val="20"/>
                <w:szCs w:val="20"/>
              </w:rPr>
              <w:t xml:space="preserve">0.0041</w:t>
            </w:r>
          </w:p>
        </w:tc>
        <w:tc>
          <w:tcPr>
            <w:tcW w:w="0" w:type="auto"/>
          </w:tcPr>
          <w:p>
            <w:pPr>
              <w:spacing w:line="240" w:lineRule="auto" w:before="0" w:after="0"/>
              <w:pStyle w:val="Compact"/>
            </w:pPr>
            <w:r>
              <w:rPr>
                <w:sz w:val="20"/>
                <w:szCs w:val="20"/>
              </w:rPr>
              <w:t xml:space="preserve">-1.769</w:t>
            </w:r>
          </w:p>
        </w:tc>
        <w:tc>
          <w:tcPr>
            <w:tcW w:w="0" w:type="auto"/>
          </w:tcPr>
          <w:p>
            <w:pPr>
              <w:spacing w:line="240" w:lineRule="auto" w:before="0" w:after="0"/>
              <w:pStyle w:val="Compact"/>
            </w:pPr>
            <w:r>
              <w:rPr>
                <w:sz w:val="20"/>
                <w:szCs w:val="20"/>
              </w:rPr>
              <w:t xml:space="preserve">0.0769</w:t>
            </w:r>
          </w:p>
        </w:tc>
        <w:tc>
          <w:tcPr>
            <w:tcW w:w="0" w:type="auto"/>
          </w:tcPr>
          <w:p>
            <w:pPr>
              <w:spacing w:line="240" w:lineRule="auto" w:before="0" w:after="0"/>
              <w:pStyle w:val="Compact"/>
            </w:pPr>
            <w:r>
              <w:rPr>
                <w:sz w:val="20"/>
                <w:szCs w:val="20"/>
              </w:rPr>
              <w:t xml:space="preserve">[-0.0154, 0.0007868]</w:t>
            </w:r>
          </w:p>
        </w:tc>
      </w:tr>
      <w:tr>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0.0236</w:t>
            </w:r>
          </w:p>
        </w:tc>
        <w:tc>
          <w:tcPr>
            <w:tcW w:w="0" w:type="auto"/>
          </w:tcPr>
          <w:p>
            <w:pPr>
              <w:spacing w:line="240" w:lineRule="auto" w:before="0" w:after="0"/>
              <w:pStyle w:val="Compact"/>
            </w:pPr>
            <w:r>
              <w:rPr>
                <w:sz w:val="20"/>
                <w:szCs w:val="20"/>
              </w:rPr>
              <w:t xml:space="preserve">0.6937</w:t>
            </w:r>
          </w:p>
        </w:tc>
        <w:tc>
          <w:tcPr>
            <w:tcW w:w="0" w:type="auto"/>
          </w:tcPr>
          <w:p>
            <w:pPr>
              <w:spacing w:line="240" w:lineRule="auto" w:before="0" w:after="0"/>
              <w:pStyle w:val="Compact"/>
            </w:pPr>
            <w:r>
              <w:rPr>
                <w:sz w:val="20"/>
                <w:szCs w:val="20"/>
              </w:rPr>
              <w:t xml:space="preserve">0.034</w:t>
            </w:r>
          </w:p>
        </w:tc>
        <w:tc>
          <w:tcPr>
            <w:tcW w:w="0" w:type="auto"/>
          </w:tcPr>
          <w:p>
            <w:pPr>
              <w:spacing w:line="240" w:lineRule="auto" w:before="0" w:after="0"/>
              <w:pStyle w:val="Compact"/>
            </w:pPr>
            <w:r>
              <w:rPr>
                <w:sz w:val="20"/>
                <w:szCs w:val="20"/>
              </w:rPr>
              <w:t xml:space="preserve">0.9728</w:t>
            </w:r>
          </w:p>
        </w:tc>
        <w:tc>
          <w:tcPr>
            <w:tcW w:w="0" w:type="auto"/>
          </w:tcPr>
          <w:p>
            <w:pPr>
              <w:spacing w:line="240" w:lineRule="auto" w:before="0" w:after="0"/>
              <w:pStyle w:val="Compact"/>
            </w:pPr>
            <w:r>
              <w:rPr>
                <w:sz w:val="20"/>
                <w:szCs w:val="20"/>
              </w:rPr>
              <w:t xml:space="preserve">[-1.336, 1.3832]</w:t>
            </w:r>
          </w:p>
        </w:tc>
      </w:tr>
      <w:tr>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0.0874</w:t>
            </w:r>
          </w:p>
        </w:tc>
        <w:tc>
          <w:tcPr>
            <w:tcW w:w="0" w:type="auto"/>
          </w:tcPr>
          <w:p>
            <w:pPr>
              <w:spacing w:line="240" w:lineRule="auto" w:before="0" w:after="0"/>
              <w:pStyle w:val="Compact"/>
            </w:pPr>
            <w:r>
              <w:rPr>
                <w:sz w:val="20"/>
                <w:szCs w:val="20"/>
              </w:rPr>
              <w:t xml:space="preserve">0.0867</w:t>
            </w:r>
          </w:p>
        </w:tc>
        <w:tc>
          <w:tcPr>
            <w:tcW w:w="0" w:type="auto"/>
          </w:tcPr>
          <w:p>
            <w:pPr>
              <w:spacing w:line="240" w:lineRule="auto" w:before="0" w:after="0"/>
              <w:pStyle w:val="Compact"/>
            </w:pPr>
            <w:r>
              <w:rPr>
                <w:sz w:val="20"/>
                <w:szCs w:val="20"/>
              </w:rPr>
              <w:t xml:space="preserve">1.0078</w:t>
            </w:r>
          </w:p>
        </w:tc>
        <w:tc>
          <w:tcPr>
            <w:tcW w:w="0" w:type="auto"/>
          </w:tcPr>
          <w:p>
            <w:pPr>
              <w:spacing w:line="240" w:lineRule="auto" w:before="0" w:after="0"/>
              <w:pStyle w:val="Compact"/>
            </w:pPr>
            <w:r>
              <w:rPr>
                <w:sz w:val="20"/>
                <w:szCs w:val="20"/>
              </w:rPr>
              <w:t xml:space="preserve">0.3136</w:t>
            </w:r>
          </w:p>
        </w:tc>
        <w:tc>
          <w:tcPr>
            <w:tcW w:w="0" w:type="auto"/>
          </w:tcPr>
          <w:p>
            <w:pPr>
              <w:spacing w:line="240" w:lineRule="auto" w:before="0" w:after="0"/>
              <w:pStyle w:val="Compact"/>
            </w:pPr>
            <w:r>
              <w:rPr>
                <w:sz w:val="20"/>
                <w:szCs w:val="20"/>
              </w:rPr>
              <w:t xml:space="preserve">[-0.0826, 0.2574]</w:t>
            </w:r>
          </w:p>
        </w:tc>
      </w:tr>
    </w:tbl>
    <w:p>
      <w:pPr>
        <w:pStyle w:val="BodyText"/>
        <w:spacing w:line="480" w:lineRule="auto"/>
        <w:ind w:firstLine="720"/>
      </w:pPr>
      <w:r>
        <w:t xml:space="preserve">Fit: N = 25 pseudo_R2 = 0.3008 LL = -9.6323</w:t>
      </w:r>
    </w:p>
    <w:bookmarkEnd w:id="279"/>
    <w:bookmarkStart w:id="283" w:name="figure-3"/>
    <w:p>
      <w:pPr>
        <w:pStyle w:val="Heading3"/>
        <w:spacing w:line="480" w:lineRule="auto"/>
      </w:pPr>
      <w:r>
        <w:t xml:space="preserve">Figure</w:t>
      </w:r>
    </w:p>
    <w:p>
      <w:pPr>
        <w:pStyle w:val="CaptionedFigure"/>
        <w:spacing w:line="480" w:lineRule="auto"/>
      </w:pPr>
      <w:r>
        <w:drawing>
          <wp:inline>
            <wp:extent cx="5669280" cy="3657600"/>
            <wp:effectExtent b="0" l="0" r="0" t="0"/>
            <wp:docPr descr="Figure A.4. Documented post-mission disposal outcomes for 25 individually reported end-of-life events, 2000 to 2023, plotted against operational altitude at end of mission. Every failure sits at or above 575 km, and the highest-altitude case in the sample, Jason-1 at 1324 km, is a failure under one of the strongest licensing regimes present. The physical boundary orders the outcome more visibly than the legal one." title="" id="281" name="Picture"/>
            <a:graphic>
              <a:graphicData uri="http://schemas.openxmlformats.org/drawingml/2006/picture">
                <pic:pic>
                  <pic:nvPicPr>
                    <pic:cNvPr descr="D:/Claude_Code/brain/collegium/candidates/dissertations/GRAND_STRATEGY_CANON_01/research_papers/p4/paper_fig1.png" id="282" name="Picture"/>
                    <pic:cNvPicPr>
                      <a:picLocks noChangeArrowheads="1" noChangeAspect="1"/>
                    </pic:cNvPicPr>
                  </pic:nvPicPr>
                  <pic:blipFill>
                    <a:blip r:embed="rId280"/>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spacing w:line="480" w:lineRule="auto"/>
      </w:pPr>
      <w:r>
        <w:t xml:space="preserve">Figure A.4. Documented post-mission disposal outcomes for 25 individually reported end-of-life events, 2000 to 2023, plotted against operational altitude at end of mission. Every failure sits at or above 575 km, and the highest-altitude case in the sample, Jason-1 at 1324 km, is a failure under one of the strongest licensing regimes present. The physical boundary orders the outcome more visibly than the legal one.</w:t>
      </w:r>
    </w:p>
    <w:bookmarkEnd w:id="283"/>
    <w:bookmarkStart w:id="284" w:name="data-real-observations-3"/>
    <w:p>
      <w:pPr>
        <w:pStyle w:val="Heading3"/>
        <w:spacing w:line="480" w:lineRule="auto"/>
      </w:pPr>
      <w:r>
        <w:t xml:space="preserve">Data (real observations)</w:t>
      </w:r>
    </w:p>
    <w:tbl>
      <w:tblPr>
        <w:tblStyle w:val="Table"/>
        <w:tblLook w:firstRow="1" w:lastRow="0" w:firstColumn="0" w:lastColumn="0" w:noHBand="0" w:noVBand="0" w:val="0020"/>
        <w:tblLayout w:type="autofit"/>
        <w:tblW w:w="0" w:type="auto"/>
      </w:tblPr>
      <w:tblGrid>
        <w:gridCol w:w="719"/>
        <w:gridCol w:w="719"/>
        <w:gridCol w:w="719"/>
        <w:gridCol w:w="719"/>
        <w:gridCol w:w="719"/>
        <w:gridCol w:w="719"/>
        <w:gridCol w:w="719"/>
        <w:gridCol w:w="719"/>
        <w:gridCol w:w="719"/>
        <w:gridCol w:w="719"/>
        <w:gridCol w:w="719"/>
      </w:tblGrid>
      <w:tr>
        <w:trPr>
          <w:tblHeader w:val="on"/>
        </w:trPr>
        <w:tc>
          <w:tcPr>
            <w:tcW w:w="0" w:type="auto"/>
          </w:tcPr>
          <w:p>
            <w:pPr>
              <w:spacing w:line="240" w:lineRule="auto" w:before="0" w:after="0"/>
              <w:pStyle w:val="Compact"/>
            </w:pPr>
            <w:r>
              <w:rPr>
                <w:sz w:val="20"/>
                <w:szCs w:val="20"/>
              </w:rPr>
              <w:t xml:space="preserve">spacecraft</w:t>
            </w:r>
          </w:p>
        </w:tc>
        <w:tc>
          <w:tcPr>
            <w:tcW w:w="0" w:type="auto"/>
          </w:tcPr>
          <w:p>
            <w:pPr>
              <w:spacing w:line="240" w:lineRule="auto" w:before="0" w:after="0"/>
              <w:pStyle w:val="Compact"/>
            </w:pPr>
            <w:r>
              <w:rPr>
                <w:sz w:val="20"/>
                <w:szCs w:val="20"/>
              </w:rPr>
              <w:t xml:space="preserve">operator</w:t>
            </w:r>
          </w:p>
        </w:tc>
        <w:tc>
          <w:tcPr>
            <w:tcW w:w="0" w:type="auto"/>
          </w:tcPr>
          <w:p>
            <w:pPr>
              <w:spacing w:line="240" w:lineRule="auto" w:before="0" w:after="0"/>
              <w:pStyle w:val="Compact"/>
            </w:pPr>
            <w:r>
              <w:rPr>
                <w:sz w:val="20"/>
                <w:szCs w:val="20"/>
              </w:rPr>
              <w:t xml:space="preserve">flag_state</w:t>
            </w:r>
          </w:p>
        </w:tc>
        <w:tc>
          <w:tcPr>
            <w:tcW w:w="0" w:type="auto"/>
          </w:tcPr>
          <w:p>
            <w:pPr>
              <w:spacing w:line="240" w:lineRule="auto" w:before="0" w:after="0"/>
              <w:pStyle w:val="Compact"/>
            </w:pPr>
            <w:r>
              <w:rPr>
                <w:sz w:val="20"/>
                <w:szCs w:val="20"/>
              </w:rPr>
              <w:t xml:space="preserve">gov_operator</w:t>
            </w:r>
          </w:p>
        </w:tc>
        <w:tc>
          <w:tcPr>
            <w:tcW w:w="0" w:type="auto"/>
          </w:tcPr>
          <w:p>
            <w:pPr>
              <w:spacing w:line="240" w:lineRule="auto" w:before="0" w:after="0"/>
              <w:pStyle w:val="Compact"/>
            </w:pPr>
            <w:r>
              <w:rPr>
                <w:sz w:val="20"/>
                <w:szCs w:val="20"/>
              </w:rPr>
              <w:t xml:space="preserve">eol_year</w:t>
            </w:r>
          </w:p>
        </w:tc>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licensing_strength_analyst_coded</w:t>
            </w:r>
          </w:p>
        </w:tc>
        <w:tc>
          <w:tcPr>
            <w:tcW w:w="0" w:type="auto"/>
          </w:tcPr>
          <w:p>
            <w:pPr>
              <w:spacing w:line="240" w:lineRule="auto" w:before="0" w:after="0"/>
              <w:pStyle w:val="Compact"/>
            </w:pPr>
            <w:r>
              <w:rPr>
                <w:sz w:val="20"/>
                <w:szCs w:val="20"/>
              </w:rPr>
              <w:t xml:space="preserve">pmd_success</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Compton Gamma Ray Observatory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450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GSFC HEASARC CGRO deorbit record (heasarc.gsfc.nasa.gov/docs/cgro/deorbit): controlled re-entry 4 June 2000. Licensing index from US Government Orbital Debris Mitigation Standard Practices (1997)</w:t>
            </w:r>
          </w:p>
        </w:tc>
      </w:tr>
      <w:tr>
        <w:tc>
          <w:tcPr>
            <w:tcW w:w="0" w:type="auto"/>
          </w:tcPr>
          <w:p>
            <w:pPr>
              <w:spacing w:line="240" w:lineRule="auto" w:before="0" w:after="0"/>
              <w:pStyle w:val="Compact"/>
            </w:pPr>
            <w:r>
              <w:rPr>
                <w:sz w:val="20"/>
                <w:szCs w:val="20"/>
              </w:rPr>
              <w:t xml:space="preserve">ERS-1</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782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ESA press release, ERS-1: Nine-year success story comes to an end (2000): attitude-control system failure 10 March 2000, no disposal executed; spacecraft remains catalogued inside the LEO protected region. No binding ESA disposal policy in force before ESA/ADMIN/IPOL(2008)2</w:t>
            </w:r>
          </w:p>
        </w:tc>
      </w:tr>
      <w:tr>
        <w:tc>
          <w:tcPr>
            <w:tcW w:w="0" w:type="auto"/>
          </w:tcPr>
          <w:p>
            <w:pPr>
              <w:spacing w:line="240" w:lineRule="auto" w:before="0" w:after="0"/>
              <w:pStyle w:val="Compact"/>
            </w:pPr>
            <w:r>
              <w:rPr>
                <w:sz w:val="20"/>
                <w:szCs w:val="20"/>
              </w:rPr>
              <w:t xml:space="preserve">SPOT-1</w:t>
            </w:r>
          </w:p>
        </w:tc>
        <w:tc>
          <w:tcPr>
            <w:tcW w:w="0" w:type="auto"/>
          </w:tcPr>
          <w:p>
            <w:pPr>
              <w:spacing w:line="240" w:lineRule="auto" w:before="0" w:after="0"/>
              <w:pStyle w:val="Compact"/>
            </w:pPr>
            <w:r>
              <w:rPr>
                <w:sz w:val="20"/>
                <w:szCs w:val="20"/>
              </w:rPr>
              <w:t xml:space="preserve">CNES</w:t>
            </w:r>
          </w:p>
        </w:tc>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822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F. Alby, Spot 1 end of life disposition manoeuvres, Advances in Space Research, 2005 (ScienceDirect PII S0273117704009160): CNES executed end-of-life disposition manoeuvres in November 2003, before the French Space Operations Act (Law 2008-518, in force 2010) applied</w:t>
            </w:r>
          </w:p>
        </w:tc>
      </w:tr>
      <w:tr>
        <w:tc>
          <w:tcPr>
            <w:tcW w:w="0" w:type="auto"/>
          </w:tcPr>
          <w:p>
            <w:pPr>
              <w:spacing w:line="240" w:lineRule="auto" w:before="0" w:after="0"/>
              <w:pStyle w:val="Compact"/>
            </w:pPr>
            <w:r>
              <w:rPr>
                <w:sz w:val="20"/>
                <w:szCs w:val="20"/>
              </w:rPr>
              <w:t xml:space="preserve">UARS</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2005</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585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UARS mission record: final orbit-lowering burn December 2005; re-entry 24 September 2011. E. G. Stansbery and N. L. Johnson, UARS Re-entry Prediction and Analysis, NASA NTRS 20120001824</w:t>
            </w:r>
          </w:p>
        </w:tc>
      </w:tr>
      <w:tr>
        <w:tc>
          <w:tcPr>
            <w:tcW w:w="0" w:type="auto"/>
          </w:tcPr>
          <w:p>
            <w:pPr>
              <w:spacing w:line="240" w:lineRule="auto" w:before="0" w:after="0"/>
              <w:pStyle w:val="Compact"/>
            </w:pPr>
            <w:r>
              <w:rPr>
                <w:sz w:val="20"/>
                <w:szCs w:val="20"/>
              </w:rPr>
              <w:t xml:space="preserve">ICESat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600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ICESat mission record (icesat.gsfc.nasa.gov) and eoPortal ICESat entry: decommissioned August 2010 with orbit lowering, re-entry 30 August 2010. NASA-STD-8719.14 (2007) and US Government ODMSP</w:t>
            </w:r>
          </w:p>
        </w:tc>
      </w:tr>
      <w:tr>
        <w:tc>
          <w:tcPr>
            <w:tcW w:w="0" w:type="auto"/>
          </w:tcPr>
          <w:p>
            <w:pPr>
              <w:spacing w:line="240" w:lineRule="auto" w:before="0" w:after="0"/>
              <w:pStyle w:val="Compact"/>
            </w:pPr>
            <w:r>
              <w:rPr>
                <w:sz w:val="20"/>
                <w:szCs w:val="20"/>
              </w:rPr>
              <w:t xml:space="preserve">ERS-2</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785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ERS-2 reenters Earth’s atmosphere over Pacific Ocean (2024): 66 deorbit manoeuvres in July and August 2011 lowered mean altitude from 785 km to 573 km; re-entry 21 February 2024. ESA/ADMIN/IPOL(2008)2 in force</w:t>
            </w:r>
          </w:p>
        </w:tc>
      </w:tr>
      <w:tr>
        <w:tc>
          <w:tcPr>
            <w:tcW w:w="0" w:type="auto"/>
          </w:tcPr>
          <w:p>
            <w:pPr>
              <w:spacing w:line="240" w:lineRule="auto" w:before="0" w:after="0"/>
              <w:pStyle w:val="Compact"/>
            </w:pPr>
            <w:r>
              <w:rPr>
                <w:sz w:val="20"/>
                <w:szCs w:val="20"/>
              </w:rPr>
              <w:t xml:space="preserve">ALOS (Daichi)</w:t>
            </w:r>
          </w:p>
        </w:tc>
        <w:tc>
          <w:tcPr>
            <w:tcW w:w="0" w:type="auto"/>
          </w:tcPr>
          <w:p>
            <w:pPr>
              <w:spacing w:line="240" w:lineRule="auto" w:before="0" w:after="0"/>
              <w:pStyle w:val="Compact"/>
            </w:pPr>
            <w:r>
              <w:rPr>
                <w:sz w:val="20"/>
                <w:szCs w:val="20"/>
              </w:rPr>
              <w:t xml:space="preserve">JAXA</w:t>
            </w:r>
          </w:p>
        </w:tc>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692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JAXA press release, DAICHI (ALOS) Operation Completion, 12 May 2011: total power loss 22 April 2011, spacecraft commanded to power down in orbit, no disposal executed. JAXA JMR-003 Space Debris Mitigation Standard in force; Japan Space Activities Act not yet enacted</w:t>
            </w:r>
          </w:p>
        </w:tc>
      </w:tr>
      <w:tr>
        <w:tc>
          <w:tcPr>
            <w:tcW w:w="0" w:type="auto"/>
          </w:tcPr>
          <w:p>
            <w:pPr>
              <w:spacing w:line="240" w:lineRule="auto" w:before="0" w:after="0"/>
              <w:pStyle w:val="Compact"/>
            </w:pPr>
            <w:r>
              <w:rPr>
                <w:sz w:val="20"/>
                <w:szCs w:val="20"/>
              </w:rPr>
              <w:t xml:space="preserve">Envisat</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770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ESA, Focus on space debris: Envisat: contact lost April 2012 before any disposal manoeuvre, estimated residual orbital lifetime about 150 years. ESA/ADMIN/IPOL(2008)2 in force</w:t>
            </w:r>
          </w:p>
        </w:tc>
      </w:tr>
      <w:tr>
        <w:tc>
          <w:tcPr>
            <w:tcW w:w="0" w:type="auto"/>
          </w:tcPr>
          <w:p>
            <w:pPr>
              <w:spacing w:line="240" w:lineRule="auto" w:before="0" w:after="0"/>
              <w:pStyle w:val="Compact"/>
            </w:pPr>
            <w:r>
              <w:rPr>
                <w:sz w:val="20"/>
                <w:szCs w:val="20"/>
              </w:rPr>
              <w:t xml:space="preserve">GOCE</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224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GOCE: Reentry into atmosphere: propellant exhausted 21 October 2013, re-entry 11 November 2013 over the South Atlantic. ESA/ADMIN/IPOL(2008)2 in force</w:t>
            </w:r>
          </w:p>
        </w:tc>
      </w:tr>
      <w:tr>
        <w:tc>
          <w:tcPr>
            <w:tcW w:w="0" w:type="auto"/>
          </w:tcPr>
          <w:p>
            <w:pPr>
              <w:spacing w:line="240" w:lineRule="auto" w:before="0" w:after="0"/>
              <w:pStyle w:val="Compact"/>
            </w:pPr>
            <w:r>
              <w:rPr>
                <w:sz w:val="20"/>
                <w:szCs w:val="20"/>
              </w:rPr>
              <w:t xml:space="preserve">Landsat 5</w:t>
            </w:r>
          </w:p>
        </w:tc>
        <w:tc>
          <w:tcPr>
            <w:tcW w:w="0" w:type="auto"/>
          </w:tcPr>
          <w:p>
            <w:pPr>
              <w:spacing w:line="240" w:lineRule="auto" w:before="0" w:after="0"/>
              <w:pStyle w:val="Compact"/>
            </w:pPr>
            <w:r>
              <w:rPr>
                <w:sz w:val="20"/>
                <w:szCs w:val="20"/>
              </w:rPr>
              <w:t xml:space="preserve">USGS and 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705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USGS, USGS Completes Decommissioning of Landsat 5 (2013): instruments powered off January 2013 and the spacecraft manoeuvred from its 705 km operational orbit into a lower disposal orbit; decommissioning completed 5 June 2013</w:t>
            </w:r>
          </w:p>
        </w:tc>
      </w:tr>
      <w:tr>
        <w:tc>
          <w:tcPr>
            <w:tcW w:w="0" w:type="auto"/>
          </w:tcPr>
          <w:p>
            <w:pPr>
              <w:spacing w:line="240" w:lineRule="auto" w:before="0" w:after="0"/>
              <w:pStyle w:val="Compact"/>
            </w:pPr>
            <w:r>
              <w:rPr>
                <w:sz w:val="20"/>
                <w:szCs w:val="20"/>
              </w:rPr>
              <w:t xml:space="preserve">Jason-1</w:t>
            </w:r>
          </w:p>
        </w:tc>
        <w:tc>
          <w:tcPr>
            <w:tcW w:w="0" w:type="auto"/>
          </w:tcPr>
          <w:p>
            <w:pPr>
              <w:spacing w:line="240" w:lineRule="auto" w:before="0" w:after="0"/>
              <w:pStyle w:val="Compact"/>
            </w:pPr>
            <w:r>
              <w:rPr>
                <w:sz w:val="20"/>
                <w:szCs w:val="20"/>
              </w:rPr>
              <w:t xml:space="preserve">CNES and NASA</w:t>
            </w:r>
          </w:p>
        </w:tc>
        <w:tc>
          <w:tcPr>
            <w:tcW w:w="0" w:type="auto"/>
          </w:tcPr>
          <w:p>
            <w:pPr>
              <w:spacing w:line="240" w:lineRule="auto" w:before="0" w:after="0"/>
              <w:pStyle w:val="Compact"/>
            </w:pPr>
            <w:r>
              <w:rPr>
                <w:sz w:val="20"/>
                <w:szCs w:val="20"/>
              </w:rPr>
              <w:t xml:space="preserve">France</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1324</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NASA JPL news release, Long-Running Jason-1 Ocean Satellite Takes Final Bow (2013) and AVISO Jason-1 mission record: passivated and decommissioned 1 July 2013 at 1324 km, estimated to remain in orbit about 1000 years. French Space Operations Act (Law 2008-518) in force since 2010</w:t>
            </w:r>
          </w:p>
        </w:tc>
      </w:tr>
      <w:tr>
        <w:tc>
          <w:tcPr>
            <w:tcW w:w="0" w:type="auto"/>
          </w:tcPr>
          <w:p>
            <w:pPr>
              <w:spacing w:line="240" w:lineRule="auto" w:before="0" w:after="0"/>
              <w:pStyle w:val="Compact"/>
            </w:pPr>
            <w:r>
              <w:rPr>
                <w:sz w:val="20"/>
                <w:szCs w:val="20"/>
              </w:rPr>
              <w:t xml:space="preserve">NOAA-16</w:t>
            </w:r>
          </w:p>
        </w:tc>
        <w:tc>
          <w:tcPr>
            <w:tcW w:w="0" w:type="auto"/>
          </w:tcPr>
          <w:p>
            <w:pPr>
              <w:spacing w:line="240" w:lineRule="auto" w:before="0" w:after="0"/>
              <w:pStyle w:val="Compact"/>
            </w:pPr>
            <w:r>
              <w:rPr>
                <w:sz w:val="20"/>
                <w:szCs w:val="20"/>
              </w:rPr>
              <w:t xml:space="preserve">NOAA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849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NOAA media release, NOAA retires NOAA-16 polar satellite (deactivated 9 June 2014), and ESA 7th European Conference on Space Debris, Analysis of Breakup Events (SDC7 paper 1005): NOAA-16 fragmented in orbit 25 November 2015 with no disposal executed</w:t>
            </w:r>
          </w:p>
        </w:tc>
      </w:tr>
      <w:tr>
        <w:tc>
          <w:tcPr>
            <w:tcW w:w="0" w:type="auto"/>
          </w:tcPr>
          <w:p>
            <w:pPr>
              <w:spacing w:line="240" w:lineRule="auto" w:before="0" w:after="0"/>
              <w:pStyle w:val="Compact"/>
            </w:pPr>
            <w:r>
              <w:rPr>
                <w:sz w:val="20"/>
                <w:szCs w:val="20"/>
              </w:rPr>
              <w:t xml:space="preserve">TRMM</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2015</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402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NASA GPM, TRMM Spacecraft Re-Entry (gpm.nasa.gov): station-keeping fuel exhausted 2014, re-entry 15-16 June 2015 over the South Indian Ocean</w:t>
            </w:r>
          </w:p>
        </w:tc>
      </w:tr>
      <w:tr>
        <w:tc>
          <w:tcPr>
            <w:tcW w:w="0" w:type="auto"/>
          </w:tcPr>
          <w:p>
            <w:pPr>
              <w:spacing w:line="240" w:lineRule="auto" w:before="0" w:after="0"/>
              <w:pStyle w:val="Compact"/>
            </w:pPr>
            <w:r>
              <w:rPr>
                <w:sz w:val="20"/>
                <w:szCs w:val="20"/>
              </w:rPr>
              <w:t xml:space="preserve">Hitomi (ASTRO-H)</w:t>
            </w:r>
          </w:p>
        </w:tc>
        <w:tc>
          <w:tcPr>
            <w:tcW w:w="0" w:type="auto"/>
          </w:tcPr>
          <w:p>
            <w:pPr>
              <w:spacing w:line="240" w:lineRule="auto" w:before="0" w:after="0"/>
              <w:pStyle w:val="Compact"/>
            </w:pPr>
            <w:r>
              <w:rPr>
                <w:sz w:val="20"/>
                <w:szCs w:val="20"/>
              </w:rPr>
              <w:t xml:space="preserve">JAXA</w:t>
            </w:r>
          </w:p>
        </w:tc>
        <w:tc>
          <w:tcPr>
            <w:tcW w:w="0" w:type="auto"/>
          </w:tcPr>
          <w:p>
            <w:pPr>
              <w:spacing w:line="240" w:lineRule="auto" w:before="0" w:after="0"/>
              <w:pStyle w:val="Compact"/>
            </w:pPr>
            <w:r>
              <w:rPr>
                <w:sz w:val="20"/>
                <w:szCs w:val="20"/>
              </w:rPr>
              <w:t xml:space="preserve">Japan</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575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An analysis of the 2016 Hitomi breakup event, Earth, Planets and Space 69:51, 2017, DOI 10.1186/s40623-017-0633-3: loss of attitude control and on-orbit breakup 26 March 2016, no disposal executed. Japan Space Activities Act (Act No. 76 of 2016) not yet in force</w:t>
            </w:r>
          </w:p>
        </w:tc>
      </w:tr>
      <w:tr>
        <w:tc>
          <w:tcPr>
            <w:tcW w:w="0" w:type="auto"/>
          </w:tcPr>
          <w:p>
            <w:pPr>
              <w:spacing w:line="240" w:lineRule="auto" w:before="0" w:after="0"/>
              <w:pStyle w:val="Compact"/>
            </w:pPr>
            <w:r>
              <w:rPr>
                <w:sz w:val="20"/>
                <w:szCs w:val="20"/>
              </w:rPr>
              <w:t xml:space="preserve">Tiangong-1</w:t>
            </w:r>
          </w:p>
        </w:tc>
        <w:tc>
          <w:tcPr>
            <w:tcW w:w="0" w:type="auto"/>
          </w:tcPr>
          <w:p>
            <w:pPr>
              <w:spacing w:line="240" w:lineRule="auto" w:before="0" w:after="0"/>
              <w:pStyle w:val="Compact"/>
            </w:pPr>
            <w:r>
              <w:rPr>
                <w:sz w:val="20"/>
                <w:szCs w:val="20"/>
              </w:rPr>
              <w:t xml:space="preserve">China Manned Space Agency</w:t>
            </w:r>
          </w:p>
        </w:tc>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350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The Aerospace Corporation, Chinese Space Station Tiangong-1 Returns, and ESA Rocket Science reentry updates (2018): control lost March 2016, uncontrolled re-entry 1-2 April 2018 over the South Pacific. SASTIND Interim Measures on Space Debris Mitigation and Protection (2010)</w:t>
            </w:r>
          </w:p>
        </w:tc>
      </w:tr>
      <w:tr>
        <w:tc>
          <w:tcPr>
            <w:tcW w:w="0" w:type="auto"/>
          </w:tcPr>
          <w:p>
            <w:pPr>
              <w:spacing w:line="240" w:lineRule="auto" w:before="0" w:after="0"/>
              <w:pStyle w:val="Compact"/>
            </w:pPr>
            <w:r>
              <w:rPr>
                <w:sz w:val="20"/>
                <w:szCs w:val="20"/>
              </w:rPr>
              <w:t xml:space="preserve">Iridium Block 1 constellation</w:t>
            </w:r>
          </w:p>
        </w:tc>
        <w:tc>
          <w:tcPr>
            <w:tcW w:w="0" w:type="auto"/>
          </w:tcPr>
          <w:p>
            <w:pPr>
              <w:spacing w:line="240" w:lineRule="auto" w:before="0" w:after="0"/>
              <w:pStyle w:val="Compact"/>
            </w:pPr>
            <w:r>
              <w:rPr>
                <w:sz w:val="20"/>
                <w:szCs w:val="20"/>
              </w:rPr>
              <w:t xml:space="preserve">Iridium Communications</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780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Iridium Deorbit Strategy, Execution, and Results, 1st International Orbital Debris Conference 2019, paper 6190, and UNOOSA case study report Iridium Deorbit of Block 1 Constellation: 64 of 65 Block 1 spacecraft actively de-boosted, campaign concluded December 2019. FCC IB Docket 02-54 Second Report and Order (2004)</w:t>
            </w:r>
          </w:p>
        </w:tc>
      </w:tr>
      <w:tr>
        <w:tc>
          <w:tcPr>
            <w:tcW w:w="0" w:type="auto"/>
          </w:tcPr>
          <w:p>
            <w:pPr>
              <w:spacing w:line="240" w:lineRule="auto" w:before="0" w:after="0"/>
              <w:pStyle w:val="Compact"/>
            </w:pPr>
            <w:r>
              <w:rPr>
                <w:sz w:val="20"/>
                <w:szCs w:val="20"/>
              </w:rPr>
              <w:t xml:space="preserve">Tiangong-2</w:t>
            </w:r>
          </w:p>
        </w:tc>
        <w:tc>
          <w:tcPr>
            <w:tcW w:w="0" w:type="auto"/>
          </w:tcPr>
          <w:p>
            <w:pPr>
              <w:spacing w:line="240" w:lineRule="auto" w:before="0" w:after="0"/>
              <w:pStyle w:val="Compact"/>
            </w:pPr>
            <w:r>
              <w:rPr>
                <w:sz w:val="20"/>
                <w:szCs w:val="20"/>
              </w:rPr>
              <w:t xml:space="preserve">China Manned Space Agency</w:t>
            </w:r>
          </w:p>
        </w:tc>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380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China Manned Space Agency mission record and SpaceNews, China’s Tiangong-2 space lab reenters over South Pacific (2019): controlled de-orbit and destructive re-entry 19 July 2019</w:t>
            </w:r>
          </w:p>
        </w:tc>
      </w:tr>
      <w:tr>
        <w:tc>
          <w:tcPr>
            <w:tcW w:w="0" w:type="auto"/>
          </w:tcPr>
          <w:p>
            <w:pPr>
              <w:spacing w:line="240" w:lineRule="auto" w:before="0" w:after="0"/>
              <w:pStyle w:val="Compact"/>
            </w:pPr>
            <w:r>
              <w:rPr>
                <w:sz w:val="20"/>
                <w:szCs w:val="20"/>
              </w:rPr>
              <w:t xml:space="preserve">TechDemoSat-1</w:t>
            </w:r>
          </w:p>
        </w:tc>
        <w:tc>
          <w:tcPr>
            <w:tcW w:w="0" w:type="auto"/>
          </w:tcPr>
          <w:p>
            <w:pPr>
              <w:spacing w:line="240" w:lineRule="auto" w:before="0" w:after="0"/>
              <w:pStyle w:val="Compact"/>
            </w:pPr>
            <w:r>
              <w:rPr>
                <w:sz w:val="20"/>
                <w:szCs w:val="20"/>
              </w:rPr>
              <w:t xml:space="preserve">SSTL</w:t>
            </w:r>
          </w:p>
        </w:tc>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635</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SSTL and UKspace, TechDemoSat-1 on-board camera captures drag sail deployment (2019): Icarus-1 de-orbit drag sail deployed May 2019 at end of mission from a 635 km orbit. UK Outer Space Act 1986 licensing and indemnity regime</w:t>
            </w:r>
          </w:p>
        </w:tc>
      </w:tr>
      <w:tr>
        <w:tc>
          <w:tcPr>
            <w:tcW w:w="0" w:type="auto"/>
          </w:tcPr>
          <w:p>
            <w:pPr>
              <w:spacing w:line="240" w:lineRule="auto" w:before="0" w:after="0"/>
              <w:pStyle w:val="Compact"/>
            </w:pPr>
            <w:r>
              <w:rPr>
                <w:sz w:val="20"/>
                <w:szCs w:val="20"/>
              </w:rPr>
              <w:t xml:space="preserve">Cartosat-2</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635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Atmospheric Re-entry of Cartosat-2 (isro.gov.in): 26 perigee-reduction burns between 6 March and 3 September 2020 placed the spacecraft in a 630 x 390 km orbit, re-entry 14 February 2024. No binding Indian national disposal instrument in force at end of life</w:t>
            </w:r>
          </w:p>
        </w:tc>
      </w:tr>
      <w:tr>
        <w:tc>
          <w:tcPr>
            <w:tcW w:w="0" w:type="auto"/>
          </w:tcPr>
          <w:p>
            <w:pPr>
              <w:spacing w:line="240" w:lineRule="auto" w:before="0" w:after="0"/>
              <w:pStyle w:val="Compact"/>
            </w:pPr>
            <w:r>
              <w:rPr>
                <w:sz w:val="20"/>
                <w:szCs w:val="20"/>
              </w:rPr>
              <w:t xml:space="preserve">Starlink v0.9 batch</w:t>
            </w:r>
          </w:p>
        </w:tc>
        <w:tc>
          <w:tcPr>
            <w:tcW w:w="0" w:type="auto"/>
          </w:tcPr>
          <w:p>
            <w:pPr>
              <w:spacing w:line="240" w:lineRule="auto" w:before="0" w:after="0"/>
              <w:pStyle w:val="Compact"/>
            </w:pPr>
            <w:r>
              <w:rPr>
                <w:sz w:val="20"/>
                <w:szCs w:val="20"/>
              </w:rPr>
              <w:t xml:space="preserve">SpaceX</w:t>
            </w:r>
          </w:p>
        </w:tc>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550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SpaceNews, SpaceX launches Starlink satellites as it deorbits original ones (2020): active de-orbit of the May 2019 v0.9 batch from the 550 km shell. FCC IB Docket 02-54 Second Report and Order (2004); FCC 22-74 five-year rule not yet adopted</w:t>
            </w:r>
          </w:p>
        </w:tc>
      </w:tr>
      <w:tr>
        <w:tc>
          <w:tcPr>
            <w:tcW w:w="0" w:type="auto"/>
          </w:tcPr>
          <w:p>
            <w:pPr>
              <w:spacing w:line="240" w:lineRule="auto" w:before="0" w:after="0"/>
              <w:pStyle w:val="Compact"/>
            </w:pPr>
            <w:r>
              <w:rPr>
                <w:sz w:val="20"/>
                <w:szCs w:val="20"/>
              </w:rPr>
              <w:t xml:space="preserve">RemoveDEBRIS</w:t>
            </w:r>
          </w:p>
        </w:tc>
        <w:tc>
          <w:tcPr>
            <w:tcW w:w="0" w:type="auto"/>
          </w:tcPr>
          <w:p>
            <w:pPr>
              <w:spacing w:line="240" w:lineRule="auto" w:before="0" w:after="0"/>
              <w:pStyle w:val="Compact"/>
            </w:pPr>
            <w:r>
              <w:rPr>
                <w:sz w:val="20"/>
                <w:szCs w:val="20"/>
              </w:rPr>
              <w:t xml:space="preserve">Surrey Space Centre</w:t>
            </w:r>
          </w:p>
        </w:tc>
        <w:tc>
          <w:tcPr>
            <w:tcW w:w="0" w:type="auto"/>
          </w:tcPr>
          <w:p>
            <w:pPr>
              <w:spacing w:line="240" w:lineRule="auto" w:before="0" w:after="0"/>
              <w:pStyle w:val="Compact"/>
            </w:pPr>
            <w:r>
              <w:rPr>
                <w:sz w:val="20"/>
                <w:szCs w:val="20"/>
              </w:rPr>
              <w:t xml:space="preserve">United Kingdom</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405</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University of Surrey RemoveDEBRIS mission record (surrey.ac.uk/surrey-space-centre/missions/removedebris): drag sail deployed at end of mission, re-entry 4 December 2021. UK Outer Space Act 1986 licensing and indemnity regime</w:t>
            </w:r>
          </w:p>
        </w:tc>
      </w:tr>
      <w:tr>
        <w:tc>
          <w:tcPr>
            <w:tcW w:w="0" w:type="auto"/>
          </w:tcPr>
          <w:p>
            <w:pPr>
              <w:spacing w:line="240" w:lineRule="auto" w:before="0" w:after="0"/>
              <w:pStyle w:val="Compact"/>
            </w:pPr>
            <w:r>
              <w:rPr>
                <w:sz w:val="20"/>
                <w:szCs w:val="20"/>
              </w:rPr>
              <w:t xml:space="preserve">RISAT-2</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550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and eoPortal RISAT-2 mission record: re-entry 30 October 2022 over the Indian Ocean after 13 years of service, with propellant depleted. No binding Indian national disposal instrument in force at end of life</w:t>
            </w:r>
          </w:p>
        </w:tc>
      </w:tr>
      <w:tr>
        <w:tc>
          <w:tcPr>
            <w:tcW w:w="0" w:type="auto"/>
          </w:tcPr>
          <w:p>
            <w:pPr>
              <w:spacing w:line="240" w:lineRule="auto" w:before="0" w:after="0"/>
              <w:pStyle w:val="Compact"/>
            </w:pPr>
            <w:r>
              <w:rPr>
                <w:sz w:val="20"/>
                <w:szCs w:val="20"/>
              </w:rPr>
              <w:t xml:space="preserve">Sentinel-1B</w:t>
            </w:r>
          </w:p>
        </w:tc>
        <w:tc>
          <w:tcPr>
            <w:tcW w:w="0" w:type="auto"/>
          </w:tcPr>
          <w:p>
            <w:pPr>
              <w:spacing w:line="240" w:lineRule="auto" w:before="0" w:after="0"/>
              <w:pStyle w:val="Compact"/>
            </w:pPr>
            <w:r>
              <w:rPr>
                <w:sz w:val="20"/>
                <w:szCs w:val="20"/>
              </w:rPr>
              <w:t xml:space="preserve">ESA and European Commission</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2022</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693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Mission ends for Copernicus Sentinel-1B satellite and Sentinel-1B journeys back to Earth: disposal operations February 2023 to April 2024 reached a final orbit permitting re-entry within 25 years, electrical passivation 12 September 2024. ESA/ADMIN/IPOL(2014)2 in force</w:t>
            </w:r>
          </w:p>
        </w:tc>
      </w:tr>
      <w:tr>
        <w:tc>
          <w:tcPr>
            <w:tcW w:w="0" w:type="auto"/>
          </w:tcPr>
          <w:p>
            <w:pPr>
              <w:spacing w:line="240" w:lineRule="auto" w:before="0" w:after="0"/>
              <w:pStyle w:val="Compact"/>
            </w:pPr>
            <w:r>
              <w:rPr>
                <w:sz w:val="20"/>
                <w:szCs w:val="20"/>
              </w:rPr>
              <w:t xml:space="preserve">Megha-Tropiques-1</w:t>
            </w:r>
          </w:p>
        </w:tc>
        <w:tc>
          <w:tcPr>
            <w:tcW w:w="0" w:type="auto"/>
          </w:tcPr>
          <w:p>
            <w:pPr>
              <w:spacing w:line="240" w:lineRule="auto" w:before="0" w:after="0"/>
              <w:pStyle w:val="Compact"/>
            </w:pPr>
            <w:r>
              <w:rPr>
                <w:sz w:val="20"/>
                <w:szCs w:val="20"/>
              </w:rPr>
              <w:t xml:space="preserve">ISRO</w:t>
            </w:r>
          </w:p>
        </w:tc>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867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ISRO, MT1 Controlled Re-entry Successful and impacted on the Pacific Ocean, and ISRO Controlled Re-entry Experiment of Megha-Tropiques-1: controlled re-entry 7 March 2023. Indian Space Policy 2023 approved after the disposal, no binding national instrument in force at end of life</w:t>
            </w:r>
          </w:p>
        </w:tc>
      </w:tr>
      <w:tr>
        <w:tc>
          <w:tcPr>
            <w:tcW w:w="0" w:type="auto"/>
          </w:tcPr>
          <w:p>
            <w:pPr>
              <w:spacing w:line="240" w:lineRule="auto" w:before="0" w:after="0"/>
              <w:pStyle w:val="Compact"/>
            </w:pPr>
            <w:r>
              <w:rPr>
                <w:sz w:val="20"/>
                <w:szCs w:val="20"/>
              </w:rPr>
              <w:t xml:space="preserve">Aeolus</w:t>
            </w:r>
          </w:p>
        </w:tc>
        <w:tc>
          <w:tcPr>
            <w:tcW w:w="0" w:type="auto"/>
          </w:tcPr>
          <w:p>
            <w:pPr>
              <w:spacing w:line="240" w:lineRule="auto" w:before="0" w:after="0"/>
              <w:pStyle w:val="Compact"/>
            </w:pPr>
            <w:r>
              <w:rPr>
                <w:sz w:val="20"/>
                <w:szCs w:val="20"/>
              </w:rPr>
              <w:t xml:space="preserve">ESA</w:t>
            </w:r>
          </w:p>
        </w:tc>
        <w:tc>
          <w:tcPr>
            <w:tcW w:w="0" w:type="auto"/>
          </w:tcPr>
          <w:p>
            <w:pPr>
              <w:spacing w:line="240" w:lineRule="auto" w:before="0" w:after="0"/>
              <w:pStyle w:val="Compact"/>
            </w:pPr>
            <w:r>
              <w:rPr>
                <w:sz w:val="20"/>
                <w:szCs w:val="20"/>
              </w:rPr>
              <w:t xml:space="preserve">ESA member states</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2023</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320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ESA, Guiding Aeolus’ safe reentry and Preparing Aeolus’s assisted reentry: assisted re-entry manoeuvres 24-28 July 2023 lowered the orbit from 320 km to 120 km, re-entry 28 July 2023. ESA/ADMIN/IPOL(2023)1 and ESSB-ST-U-007 Issue 1 (2023), which introduce a five-year disposal limit</w:t>
            </w:r>
          </w:p>
        </w:tc>
      </w:tr>
    </w:tbl>
    <w:bookmarkEnd w:id="284"/>
    <w:bookmarkStart w:id="285" w:name="variable-construction-3"/>
    <w:p>
      <w:pPr>
        <w:pStyle w:val="Heading3"/>
        <w:spacing w:line="480" w:lineRule="auto"/>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pmd_success</w:t>
            </w:r>
          </w:p>
        </w:tc>
        <w:tc>
          <w:tcPr>
            <w:tcW w:w="0" w:type="auto"/>
          </w:tcPr>
          <w:p>
            <w:pPr>
              <w:spacing w:line="240" w:lineRule="auto" w:before="0" w:after="0"/>
              <w:pStyle w:val="Compact"/>
            </w:pPr>
            <w:r>
              <w:rPr>
                <w:sz w:val="20"/>
                <w:szCs w:val="20"/>
              </w:rPr>
              <w:t xml:space="preserve">Documented post-mission disposal outcome for a named spacecraft or constellation whose end-of-life disposition is individually reported in the public record. Coded 1 where the record documents either an atmospheric re-entry at or after end of mission or an executed end-of-life disposal manoeuvre that the operating agency states was performed to clear the protected region, and 0 where the record documents that the spacecraft reached end of mission with no disposal executed and remained inside the LEO protected region. No value is inferred from the analyst’s judgement about the case: every row cites the specific agency record, press release, or peer-reviewed paper that reports the disposition. Rows whose disposition could not be traced to such a record were excluded rather than estimated.</w:t>
            </w:r>
          </w:p>
        </w:tc>
        <w:tc>
          <w:tcPr>
            <w:tcW w:w="0" w:type="auto"/>
          </w:tcPr>
          <w:p>
            <w:pPr>
              <w:spacing w:line="240" w:lineRule="auto" w:before="0" w:after="0"/>
              <w:pStyle w:val="Compact"/>
            </w:pPr>
            <w:r>
              <w:rPr>
                <w:sz w:val="20"/>
                <w:szCs w:val="20"/>
              </w:rPr>
              <w:t xml:space="preserve">Per-row agency and journal records listed in the source column of data.csv (ESA, NASA, USGS, NOAA, JAXA, ISRO, CNES, China Manned Space Agency, Iridium Communications, SSTL, University of Surrey, SpaceX via SpaceNews reporting); framing definitions from ESA’s Annual Space Environment Report, Issue 10.0, GEN-DB-LOG-00288-OPS-SD, 1 May 2026, Section 6.1</w:t>
            </w:r>
          </w:p>
        </w:tc>
      </w:tr>
      <w:tr>
        <w:tc>
          <w:tcPr>
            <w:tcW w:w="0" w:type="auto"/>
          </w:tcPr>
          <w:p>
            <w:pPr>
              <w:spacing w:line="240" w:lineRule="auto" w:before="0" w:after="0"/>
              <w:pStyle w:val="Compact"/>
            </w:pPr>
            <w:r>
              <w:rPr>
                <w:sz w:val="20"/>
                <w:szCs w:val="20"/>
              </w:rPr>
              <w:t xml:space="preserve">eol_altitude_km</w:t>
            </w:r>
          </w:p>
        </w:tc>
        <w:tc>
          <w:tcPr>
            <w:tcW w:w="0" w:type="auto"/>
          </w:tcPr>
          <w:p>
            <w:pPr>
              <w:spacing w:line="240" w:lineRule="auto" w:before="0" w:after="0"/>
              <w:pStyle w:val="Compact"/>
            </w:pPr>
            <w:r>
              <w:rPr>
                <w:sz w:val="20"/>
                <w:szCs w:val="20"/>
              </w:rPr>
              <w:t xml:space="preserve">Nominal mean operational altitude of the spacecraft at end of mission, in kilometres, as published in the mission record. This is the physical boundary variable: atmospheric drag clears the low band without institutional action and does not clear the high band at all.</w:t>
            </w:r>
          </w:p>
        </w:tc>
        <w:tc>
          <w:tcPr>
            <w:tcW w:w="0" w:type="auto"/>
          </w:tcPr>
          <w:p>
            <w:pPr>
              <w:spacing w:line="240" w:lineRule="auto" w:before="0" w:after="0"/>
              <w:pStyle w:val="Compact"/>
            </w:pPr>
            <w:r>
              <w:rPr>
                <w:sz w:val="20"/>
                <w:szCs w:val="20"/>
              </w:rPr>
              <w:t xml:space="preserve">Published mission specifications in the operating agency records cited per row; ESA Annual Space Environment Report, Issue 10.0, Table 1.3, for the definition of the IADC LEO protected region (altitude below 2000 km)</w:t>
            </w:r>
          </w:p>
        </w:tc>
      </w:tr>
      <w:tr>
        <w:tc>
          <w:tcPr>
            <w:tcW w:w="0" w:type="auto"/>
          </w:tcPr>
          <w:p>
            <w:pPr>
              <w:spacing w:line="240" w:lineRule="auto" w:before="0" w:after="0"/>
              <w:pStyle w:val="Compact"/>
            </w:pPr>
            <w:r>
              <w:rPr>
                <w:sz w:val="20"/>
                <w:szCs w:val="20"/>
              </w:rPr>
              <w:t xml:space="preserve">licensing_strength</w:t>
            </w:r>
          </w:p>
        </w:tc>
        <w:tc>
          <w:tcPr>
            <w:tcW w:w="0" w:type="auto"/>
          </w:tcPr>
          <w:p>
            <w:pPr>
              <w:spacing w:line="240" w:lineRule="auto" w:before="0" w:after="0"/>
              <w:pStyle w:val="Compact"/>
            </w:pPr>
            <w:r>
              <w:rPr>
                <w:sz w:val="20"/>
                <w:szCs w:val="20"/>
              </w:rPr>
              <w:t xml:space="preserve">ANALYST-CONSTRUCTED ordinal index, 0 to 4, of the binding disposal obligation in force over the operator in its end-of-life year. One point each for: a published binding post-mission-disposal requirement (national regulation or agency technical standard) in force; a national space-activities authorisation statute in force that conditions authorisation on end-of-life disposal; a disposal-timeline requirement stricter than the IADC 25-year default in force; and a published enforcement, licence-revocation, or financial-guarantee mechanism attached to that authorisation. The index is scored from dated published instruments, but the aggregation into a 0-4 scale is the analyst’s construction and not a reported statistic. The indicator column licensing_strength_analyst_coded is 1 on every row for that reason.</w:t>
            </w:r>
          </w:p>
        </w:tc>
        <w:tc>
          <w:tcPr>
            <w:tcW w:w="0" w:type="auto"/>
          </w:tcPr>
          <w:p>
            <w:pPr>
              <w:spacing w:line="240" w:lineRule="auto" w:before="0" w:after="0"/>
              <w:pStyle w:val="Compact"/>
            </w:pPr>
            <w:r>
              <w:rPr>
                <w:sz w:val="20"/>
                <w:szCs w:val="20"/>
              </w:rPr>
              <w:t xml:space="preserve">US Government Orbital Debris Mitigation Standard Practices (1997, revised 2019); NASA-STD-8719.14 (2007); FCC Second Report and Order, IB Docket 02-54 (2004); FCC 22-74 (2022); French Space Operations Act, Law 2008-518 (in force 2010); UK Outer Space Act 1986; UK Space Industry Act 2018; Japan Space Activities Act, Act No. 76 of 2016 (in force 2018); JAXA JMR-003; ESA/ADMIN/IPOL(2008)2, ESA/ADMIN/IPOL(2014)2, and ESA/ADMIN/IPOL(2023)1 with ESSB-ST-U-007 Issue 1 (2023); SASTIND Interim Measures on Space Debris Mitigation and Protection (2010); Indian Space Policy 2023</w:t>
            </w:r>
          </w:p>
        </w:tc>
      </w:tr>
      <w:tr>
        <w:tc>
          <w:tcPr>
            <w:tcW w:w="0" w:type="auto"/>
          </w:tcPr>
          <w:p>
            <w:pPr>
              <w:spacing w:line="240" w:lineRule="auto" w:before="0" w:after="0"/>
              <w:pStyle w:val="Compact"/>
            </w:pPr>
            <w:r>
              <w:rPr>
                <w:sz w:val="20"/>
                <w:szCs w:val="20"/>
              </w:rPr>
              <w:t xml:space="preserve">licensing_strength_analyst_coded</w:t>
            </w:r>
          </w:p>
        </w:tc>
        <w:tc>
          <w:tcPr>
            <w:tcW w:w="0" w:type="auto"/>
          </w:tcPr>
          <w:p>
            <w:pPr>
              <w:spacing w:line="240" w:lineRule="auto" w:before="0" w:after="0"/>
              <w:pStyle w:val="Compact"/>
            </w:pPr>
            <w:r>
              <w:rPr>
                <w:sz w:val="20"/>
                <w:szCs w:val="20"/>
              </w:rPr>
              <w:t xml:space="preserve">Indicator set to 1 on every row to record that licensing_strength is an analyst-constructed index rather than a reported number. No outcome value in this dataset carries such an indicator, because no outcome value is analyst-coded.</w:t>
            </w:r>
          </w:p>
        </w:tc>
        <w:tc>
          <w:tcPr>
            <w:tcW w:w="0" w:type="auto"/>
          </w:tcPr>
          <w:p>
            <w:pPr>
              <w:spacing w:line="240" w:lineRule="auto" w:before="0" w:after="0"/>
              <w:pStyle w:val="Compact"/>
            </w:pPr>
            <w:r>
              <w:rPr>
                <w:sz w:val="20"/>
                <w:szCs w:val="20"/>
              </w:rPr>
              <w:t xml:space="preserve">Construction note</w:t>
            </w:r>
          </w:p>
        </w:tc>
      </w:tr>
      <w:tr>
        <w:tc>
          <w:tcPr>
            <w:tcW w:w="0" w:type="auto"/>
          </w:tcPr>
          <w:p>
            <w:pPr>
              <w:spacing w:line="240" w:lineRule="auto" w:before="0" w:after="0"/>
              <w:pStyle w:val="Compact"/>
            </w:pPr>
            <w:r>
              <w:rPr>
                <w:sz w:val="20"/>
                <w:szCs w:val="20"/>
              </w:rPr>
              <w:t xml:space="preserve">eol_year_c</w:t>
            </w:r>
          </w:p>
        </w:tc>
        <w:tc>
          <w:tcPr>
            <w:tcW w:w="0" w:type="auto"/>
          </w:tcPr>
          <w:p>
            <w:pPr>
              <w:spacing w:line="240" w:lineRule="auto" w:before="0" w:after="0"/>
              <w:pStyle w:val="Compact"/>
            </w:pPr>
            <w:r>
              <w:rPr>
                <w:sz w:val="20"/>
                <w:szCs w:val="20"/>
              </w:rPr>
              <w:t xml:space="preserve">Calendar year of end of mission, centred on 2013. Included to absorb the secular tightening of the mitigation regime and the improvement in disposal practice across the sample window.</w:t>
            </w:r>
          </w:p>
        </w:tc>
        <w:tc>
          <w:tcPr>
            <w:tcW w:w="0" w:type="auto"/>
          </w:tcPr>
          <w:p>
            <w:pPr>
              <w:spacing w:line="240" w:lineRule="auto" w:before="0" w:after="0"/>
              <w:pStyle w:val="Compact"/>
            </w:pPr>
            <w:r>
              <w:rPr>
                <w:sz w:val="20"/>
                <w:szCs w:val="20"/>
              </w:rPr>
              <w:t xml:space="preserve">Derived from eol_year, which is taken from the agency record cited per row</w:t>
            </w:r>
          </w:p>
        </w:tc>
      </w:tr>
      <w:tr>
        <w:tc>
          <w:tcPr>
            <w:tcW w:w="0" w:type="auto"/>
          </w:tcPr>
          <w:p>
            <w:pPr>
              <w:spacing w:line="240" w:lineRule="auto" w:before="0" w:after="0"/>
              <w:pStyle w:val="Compact"/>
            </w:pPr>
            <w:r>
              <w:rPr>
                <w:sz w:val="20"/>
                <w:szCs w:val="20"/>
              </w:rPr>
              <w:t xml:space="preserve">eol_year</w:t>
            </w:r>
          </w:p>
        </w:tc>
        <w:tc>
          <w:tcPr>
            <w:tcW w:w="0" w:type="auto"/>
          </w:tcPr>
          <w:p>
            <w:pPr>
              <w:spacing w:line="240" w:lineRule="auto" w:before="0" w:after="0"/>
              <w:pStyle w:val="Compact"/>
            </w:pPr>
            <w:r>
              <w:rPr>
                <w:sz w:val="20"/>
                <w:szCs w:val="20"/>
              </w:rPr>
              <w:t xml:space="preserve">Calendar year in which the spacecraft reached end of mission, as reported in the cited record.</w:t>
            </w:r>
          </w:p>
        </w:tc>
        <w:tc>
          <w:tcPr>
            <w:tcW w:w="0" w:type="auto"/>
          </w:tcPr>
          <w:p>
            <w:pPr>
              <w:spacing w:line="240" w:lineRule="auto" w:before="0" w:after="0"/>
              <w:pStyle w:val="Compact"/>
            </w:pPr>
            <w:r>
              <w:rPr>
                <w:sz w:val="20"/>
                <w:szCs w:val="20"/>
              </w:rPr>
              <w:t xml:space="preserve">Per-row agency records listed in the source column of data.csv</w:t>
            </w:r>
          </w:p>
        </w:tc>
      </w:tr>
      <w:tr>
        <w:tc>
          <w:tcPr>
            <w:tcW w:w="0" w:type="auto"/>
          </w:tcPr>
          <w:p>
            <w:pPr>
              <w:spacing w:line="240" w:lineRule="auto" w:before="0" w:after="0"/>
              <w:pStyle w:val="Compact"/>
            </w:pPr>
            <w:r>
              <w:rPr>
                <w:sz w:val="20"/>
                <w:szCs w:val="20"/>
              </w:rPr>
              <w:t xml:space="preserve">gov_operator</w:t>
            </w:r>
          </w:p>
        </w:tc>
        <w:tc>
          <w:tcPr>
            <w:tcW w:w="0" w:type="auto"/>
          </w:tcPr>
          <w:p>
            <w:pPr>
              <w:spacing w:line="240" w:lineRule="auto" w:before="0" w:after="0"/>
              <w:pStyle w:val="Compact"/>
            </w:pPr>
            <w:r>
              <w:rPr>
                <w:sz w:val="20"/>
                <w:szCs w:val="20"/>
              </w:rPr>
              <w:t xml:space="preserve">1 if the operator is a government agency or intergovernmental body, 0 if commercial or academic. Reported in the dataset for audit but excluded from the estimating equation: all four non-governmental cases in the documented sample are successes, so the variable perfectly separates the outcome and cannot be estimated.</w:t>
            </w:r>
          </w:p>
        </w:tc>
        <w:tc>
          <w:tcPr>
            <w:tcW w:w="0" w:type="auto"/>
          </w:tcPr>
          <w:p>
            <w:pPr>
              <w:spacing w:line="240" w:lineRule="auto" w:before="0" w:after="0"/>
              <w:pStyle w:val="Compact"/>
            </w:pPr>
            <w:r>
              <w:rPr>
                <w:sz w:val="20"/>
                <w:szCs w:val="20"/>
              </w:rPr>
              <w:t xml:space="preserve">Operator identity from the agency and corporate records cited per row</w:t>
            </w:r>
          </w:p>
        </w:tc>
      </w:tr>
    </w:tbl>
    <w:bookmarkEnd w:id="285"/>
    <w:bookmarkEnd w:id="286"/>
    <w:bookmarkStart w:id="294" w:name="X6ee6c336e7a1d5329a0f7fe845cbf9b4e48ce5e"/>
    <w:p>
      <w:pPr>
        <w:pStyle w:val="Heading2"/>
        <w:spacing w:line="480" w:lineRule="auto"/>
      </w:pPr>
      <w:r>
        <w:t xml:space="preserve">A.5 Imperial Overstretch on Orbit: Space Spending Relative to Economic Base and Program Performance</w:t>
      </w:r>
    </w:p>
    <w:p>
      <w:pPr>
        <w:pStyle w:val="FirstParagraph"/>
        <w:spacing w:line="480" w:lineRule="auto"/>
      </w:pPr>
      <w:r>
        <w:t xml:space="preserve">$$
    \[ cost\_overrun\_pct_i = \beta_0 + \beta_1\, space\_spend\_pct\_gdp_i + \beta_2\, space\_effort\_ratio\_pct_i + \beta_3\, years\_in\_development_i + \beta_4\, human\_spaceflight_i + \varepsilon_i \]
    $$</w:t>
      </w:r>
    </w:p>
    <w:bookmarkStart w:id="287" w:name="estimator-output-4"/>
    <w:p>
      <w:pPr>
        <w:pStyle w:val="Heading3"/>
        <w:spacing w:line="480" w:lineRule="auto"/>
      </w:pPr>
      <w:r>
        <w:t xml:space="preserve">Estimator output</w:t>
      </w:r>
    </w:p>
    <w:tbl>
      <w:tblPr>
        <w:tblStyle w:val="Table"/>
        <w:tblLook w:firstRow="1" w:lastRow="0" w:firstColumn="0" w:lastColumn="0" w:noHBand="0" w:noVBand="0" w:val="0020"/>
        <w:tblLayout w:type="autofit"/>
        <w:tblW w:w="0" w:type="auto"/>
      </w:tblPr>
      <w:tblGrid>
        <w:gridCol w:w="1320"/>
        <w:gridCol w:w="1320"/>
        <w:gridCol w:w="1320"/>
        <w:gridCol w:w="1320"/>
        <w:gridCol w:w="1320"/>
        <w:gridCol w:w="1320"/>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t</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r>
      <w:tr>
        <w:tc>
          <w:tcPr>
            <w:tcW w:w="0" w:type="auto"/>
          </w:tcPr>
          <w:p>
            <w:pPr>
              <w:spacing w:line="240" w:lineRule="auto" w:before="0" w:after="0"/>
              <w:pStyle w:val="Compact"/>
            </w:pPr>
            <w:r>
              <w:rPr>
                <w:sz w:val="20"/>
                <w:szCs w:val="20"/>
              </w:rPr>
              <w:t xml:space="preserve">const</w:t>
            </w:r>
          </w:p>
        </w:tc>
        <w:tc>
          <w:tcPr>
            <w:tcW w:w="0" w:type="auto"/>
          </w:tcPr>
          <w:p>
            <w:pPr>
              <w:spacing w:line="240" w:lineRule="auto" w:before="0" w:after="0"/>
              <w:pStyle w:val="Compact"/>
            </w:pPr>
            <w:r>
              <w:rPr>
                <w:sz w:val="20"/>
                <w:szCs w:val="20"/>
              </w:rPr>
              <w:t xml:space="preserve">-69.4687</w:t>
            </w:r>
          </w:p>
        </w:tc>
        <w:tc>
          <w:tcPr>
            <w:tcW w:w="0" w:type="auto"/>
          </w:tcPr>
          <w:p>
            <w:pPr>
              <w:spacing w:line="240" w:lineRule="auto" w:before="0" w:after="0"/>
              <w:pStyle w:val="Compact"/>
            </w:pPr>
            <w:r>
              <w:rPr>
                <w:sz w:val="20"/>
                <w:szCs w:val="20"/>
              </w:rPr>
              <w:t xml:space="preserve">253.6716</w:t>
            </w:r>
          </w:p>
        </w:tc>
        <w:tc>
          <w:tcPr>
            <w:tcW w:w="0" w:type="auto"/>
          </w:tcPr>
          <w:p>
            <w:pPr>
              <w:spacing w:line="240" w:lineRule="auto" w:before="0" w:after="0"/>
              <w:pStyle w:val="Compact"/>
            </w:pPr>
            <w:r>
              <w:rPr>
                <w:sz w:val="20"/>
                <w:szCs w:val="20"/>
              </w:rPr>
              <w:t xml:space="preserve">-0.2739</w:t>
            </w:r>
          </w:p>
        </w:tc>
        <w:tc>
          <w:tcPr>
            <w:tcW w:w="0" w:type="auto"/>
          </w:tcPr>
          <w:p>
            <w:pPr>
              <w:spacing w:line="240" w:lineRule="auto" w:before="0" w:after="0"/>
              <w:pStyle w:val="Compact"/>
            </w:pPr>
            <w:r>
              <w:rPr>
                <w:sz w:val="20"/>
                <w:szCs w:val="20"/>
              </w:rPr>
              <w:t xml:space="preserve">0.7842</w:t>
            </w:r>
          </w:p>
        </w:tc>
        <w:tc>
          <w:tcPr>
            <w:tcW w:w="0" w:type="auto"/>
          </w:tcPr>
          <w:p>
            <w:pPr>
              <w:spacing w:line="240" w:lineRule="auto" w:before="0" w:after="0"/>
              <w:pStyle w:val="Compact"/>
            </w:pPr>
            <w:r>
              <w:rPr>
                <w:sz w:val="20"/>
                <w:szCs w:val="20"/>
              </w:rPr>
              <w:t xml:space="preserve">[-566.6558, 427.7185]</w:t>
            </w:r>
          </w:p>
        </w:tc>
      </w:tr>
      <w:tr>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347.5327</w:t>
            </w:r>
          </w:p>
        </w:tc>
        <w:tc>
          <w:tcPr>
            <w:tcW w:w="0" w:type="auto"/>
          </w:tcPr>
          <w:p>
            <w:pPr>
              <w:spacing w:line="240" w:lineRule="auto" w:before="0" w:after="0"/>
              <w:pStyle w:val="Compact"/>
            </w:pPr>
            <w:r>
              <w:rPr>
                <w:sz w:val="20"/>
                <w:szCs w:val="20"/>
              </w:rPr>
              <w:t xml:space="preserve">2621.8217</w:t>
            </w:r>
          </w:p>
        </w:tc>
        <w:tc>
          <w:tcPr>
            <w:tcW w:w="0" w:type="auto"/>
          </w:tcPr>
          <w:p>
            <w:pPr>
              <w:spacing w:line="240" w:lineRule="auto" w:before="0" w:after="0"/>
              <w:pStyle w:val="Compact"/>
            </w:pPr>
            <w:r>
              <w:rPr>
                <w:sz w:val="20"/>
                <w:szCs w:val="20"/>
              </w:rPr>
              <w:t xml:space="preserve">0.1326</w:t>
            </w:r>
          </w:p>
        </w:tc>
        <w:tc>
          <w:tcPr>
            <w:tcW w:w="0" w:type="auto"/>
          </w:tcPr>
          <w:p>
            <w:pPr>
              <w:spacing w:line="240" w:lineRule="auto" w:before="0" w:after="0"/>
              <w:pStyle w:val="Compact"/>
            </w:pPr>
            <w:r>
              <w:rPr>
                <w:sz w:val="20"/>
                <w:szCs w:val="20"/>
              </w:rPr>
              <w:t xml:space="preserve">0.8945</w:t>
            </w:r>
          </w:p>
        </w:tc>
        <w:tc>
          <w:tcPr>
            <w:tcW w:w="0" w:type="auto"/>
          </w:tcPr>
          <w:p>
            <w:pPr>
              <w:spacing w:line="240" w:lineRule="auto" w:before="0" w:after="0"/>
              <w:pStyle w:val="Compact"/>
            </w:pPr>
            <w:r>
              <w:rPr>
                <w:sz w:val="20"/>
                <w:szCs w:val="20"/>
              </w:rPr>
              <w:t xml:space="preserve">[-4791.1435, 5486.2089]</w:t>
            </w:r>
          </w:p>
        </w:tc>
      </w:tr>
      <w:tr>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0.2141</w:t>
            </w:r>
          </w:p>
        </w:tc>
        <w:tc>
          <w:tcPr>
            <w:tcW w:w="0" w:type="auto"/>
          </w:tcPr>
          <w:p>
            <w:pPr>
              <w:spacing w:line="240" w:lineRule="auto" w:before="0" w:after="0"/>
              <w:pStyle w:val="Compact"/>
            </w:pPr>
            <w:r>
              <w:rPr>
                <w:sz w:val="20"/>
                <w:szCs w:val="20"/>
              </w:rPr>
              <w:t xml:space="preserve">0.564</w:t>
            </w:r>
          </w:p>
        </w:tc>
        <w:tc>
          <w:tcPr>
            <w:tcW w:w="0" w:type="auto"/>
          </w:tcPr>
          <w:p>
            <w:pPr>
              <w:spacing w:line="240" w:lineRule="auto" w:before="0" w:after="0"/>
              <w:pStyle w:val="Compact"/>
            </w:pPr>
            <w:r>
              <w:rPr>
                <w:sz w:val="20"/>
                <w:szCs w:val="20"/>
              </w:rPr>
              <w:t xml:space="preserve">0.3795</w:t>
            </w:r>
          </w:p>
        </w:tc>
        <w:tc>
          <w:tcPr>
            <w:tcW w:w="0" w:type="auto"/>
          </w:tcPr>
          <w:p>
            <w:pPr>
              <w:spacing w:line="240" w:lineRule="auto" w:before="0" w:after="0"/>
              <w:pStyle w:val="Compact"/>
            </w:pPr>
            <w:r>
              <w:rPr>
                <w:sz w:val="20"/>
                <w:szCs w:val="20"/>
              </w:rPr>
              <w:t xml:space="preserve">0.7043</w:t>
            </w:r>
          </w:p>
        </w:tc>
        <w:tc>
          <w:tcPr>
            <w:tcW w:w="0" w:type="auto"/>
          </w:tcPr>
          <w:p>
            <w:pPr>
              <w:spacing w:line="240" w:lineRule="auto" w:before="0" w:after="0"/>
              <w:pStyle w:val="Compact"/>
            </w:pPr>
            <w:r>
              <w:rPr>
                <w:sz w:val="20"/>
                <w:szCs w:val="20"/>
              </w:rPr>
              <w:t xml:space="preserve">[-0.8914, 1.3196]</w:t>
            </w:r>
          </w:p>
        </w:tc>
      </w:tr>
      <w:tr>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13.9596</w:t>
            </w:r>
          </w:p>
        </w:tc>
        <w:tc>
          <w:tcPr>
            <w:tcW w:w="0" w:type="auto"/>
          </w:tcPr>
          <w:p>
            <w:pPr>
              <w:spacing w:line="240" w:lineRule="auto" w:before="0" w:after="0"/>
              <w:pStyle w:val="Compact"/>
            </w:pPr>
            <w:r>
              <w:rPr>
                <w:sz w:val="20"/>
                <w:szCs w:val="20"/>
              </w:rPr>
              <w:t xml:space="preserve">4.6125</w:t>
            </w:r>
          </w:p>
        </w:tc>
        <w:tc>
          <w:tcPr>
            <w:tcW w:w="0" w:type="auto"/>
          </w:tcPr>
          <w:p>
            <w:pPr>
              <w:spacing w:line="240" w:lineRule="auto" w:before="0" w:after="0"/>
              <w:pStyle w:val="Compact"/>
            </w:pPr>
            <w:r>
              <w:rPr>
                <w:sz w:val="20"/>
                <w:szCs w:val="20"/>
              </w:rPr>
              <w:t xml:space="preserve">3.0265</w:t>
            </w:r>
          </w:p>
        </w:tc>
        <w:tc>
          <w:tcPr>
            <w:tcW w:w="0" w:type="auto"/>
          </w:tcPr>
          <w:p>
            <w:pPr>
              <w:spacing w:line="240" w:lineRule="auto" w:before="0" w:after="0"/>
              <w:pStyle w:val="Compact"/>
            </w:pPr>
            <w:r>
              <w:rPr>
                <w:sz w:val="20"/>
                <w:szCs w:val="20"/>
              </w:rPr>
              <w:t xml:space="preserve">0.0025</w:t>
            </w:r>
          </w:p>
        </w:tc>
        <w:tc>
          <w:tcPr>
            <w:tcW w:w="0" w:type="auto"/>
          </w:tcPr>
          <w:p>
            <w:pPr>
              <w:spacing w:line="240" w:lineRule="auto" w:before="0" w:after="0"/>
              <w:pStyle w:val="Compact"/>
            </w:pPr>
            <w:r>
              <w:rPr>
                <w:sz w:val="20"/>
                <w:szCs w:val="20"/>
              </w:rPr>
              <w:t xml:space="preserve">[4.9192, 23]</w:t>
            </w:r>
          </w:p>
        </w:tc>
      </w:tr>
      <w:tr>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-35.5434</w:t>
            </w:r>
          </w:p>
        </w:tc>
        <w:tc>
          <w:tcPr>
            <w:tcW w:w="0" w:type="auto"/>
          </w:tcPr>
          <w:p>
            <w:pPr>
              <w:spacing w:line="240" w:lineRule="auto" w:before="0" w:after="0"/>
              <w:pStyle w:val="Compact"/>
            </w:pPr>
            <w:r>
              <w:rPr>
                <w:sz w:val="20"/>
                <w:szCs w:val="20"/>
              </w:rPr>
              <w:t xml:space="preserve">27.4524</w:t>
            </w:r>
          </w:p>
        </w:tc>
        <w:tc>
          <w:tcPr>
            <w:tcW w:w="0" w:type="auto"/>
          </w:tcPr>
          <w:p>
            <w:pPr>
              <w:spacing w:line="240" w:lineRule="auto" w:before="0" w:after="0"/>
              <w:pStyle w:val="Compact"/>
            </w:pPr>
            <w:r>
              <w:rPr>
                <w:sz w:val="20"/>
                <w:szCs w:val="20"/>
              </w:rPr>
              <w:t xml:space="preserve">-1.2947</w:t>
            </w:r>
          </w:p>
        </w:tc>
        <w:tc>
          <w:tcPr>
            <w:tcW w:w="0" w:type="auto"/>
          </w:tcPr>
          <w:p>
            <w:pPr>
              <w:spacing w:line="240" w:lineRule="auto" w:before="0" w:after="0"/>
              <w:pStyle w:val="Compact"/>
            </w:pPr>
            <w:r>
              <w:rPr>
                <w:sz w:val="20"/>
                <w:szCs w:val="20"/>
              </w:rPr>
              <w:t xml:space="preserve">0.1954</w:t>
            </w:r>
          </w:p>
        </w:tc>
        <w:tc>
          <w:tcPr>
            <w:tcW w:w="0" w:type="auto"/>
          </w:tcPr>
          <w:p>
            <w:pPr>
              <w:spacing w:line="240" w:lineRule="auto" w:before="0" w:after="0"/>
              <w:pStyle w:val="Compact"/>
            </w:pPr>
            <w:r>
              <w:rPr>
                <w:sz w:val="20"/>
                <w:szCs w:val="20"/>
              </w:rPr>
              <w:t xml:space="preserve">[-89.349, 18.2623]</w:t>
            </w:r>
          </w:p>
        </w:tc>
      </w:tr>
    </w:tbl>
    <w:p>
      <w:pPr>
        <w:pStyle w:val="BodyText"/>
        <w:spacing w:line="480" w:lineRule="auto"/>
        <w:ind w:firstLine="720"/>
      </w:pPr>
      <w:r>
        <w:t xml:space="preserve">Fit: N = 22 R2 = 0.7003 R2_adj = 0.6298 F = 31.9122 F_p = 1.061e-07</w:t>
      </w:r>
    </w:p>
    <w:bookmarkEnd w:id="287"/>
    <w:bookmarkStart w:id="291" w:name="figure-4"/>
    <w:p>
      <w:pPr>
        <w:pStyle w:val="Heading3"/>
        <w:spacing w:line="480" w:lineRule="auto"/>
      </w:pPr>
      <w:r>
        <w:t xml:space="preserve">Figure</w:t>
      </w:r>
    </w:p>
    <w:p>
      <w:pPr>
        <w:pStyle w:val="CaptionedFigure"/>
        <w:spacing w:line="480" w:lineRule="auto"/>
      </w:pPr>
      <w:r>
        <w:drawing>
          <wp:inline>
            <wp:extent cx="5669280" cy="3657600"/>
            <wp:effectExtent b="0" l="0" r="0" t="0"/>
            <wp:docPr descr="Figure A.5. Cumulative development cost growth against the project’s claim on NASA’s committed major-project development base, twenty-two major projects assessed by GAO in 2021 and 2022. The fitted slope is flat and statistically indistinguishable from zero (beta_2 = 0.21, HC3 p = 0.78), so the levels form of the overstretch proposition is not supported. The overall specification nonetheless explains most of the variance (R-squared = 0.70, F(4,17) = 9.93, p = 0.0002), and the work is carried by exposure rather than by scale: each additional year under an approved baseline is associated with 13.96 percentage points of further cost growth (HC3 p = 0.03). The two extreme observations at upper left, the Space Network Ground Segment Sustainment effort and the James Webb Space Telescope, are small and mid-sized commitments carried for nine and fourteen years respectively." title="" id="289" name="Picture"/>
            <a:graphic>
              <a:graphicData uri="http://schemas.openxmlformats.org/drawingml/2006/picture">
                <pic:pic>
                  <pic:nvPicPr>
                    <pic:cNvPr descr="D:/Claude_Code/brain/collegium/candidates/dissertations/GRAND_STRATEGY_CANON_01/research_papers/p5/paper_fig1.png" id="290" name="Picture"/>
                    <pic:cNvPicPr>
                      <a:picLocks noChangeArrowheads="1" noChangeAspect="1"/>
                    </pic:cNvPicPr>
                  </pic:nvPicPr>
                  <pic:blipFill>
                    <a:blip r:embed="rId288"/>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spacing w:line="480" w:lineRule="auto"/>
      </w:pPr>
      <w:r>
        <w:t xml:space="preserve">Figure A.5. Cumulative development cost growth against the project’s claim on NASA’s committed major-project development base, twenty-two major projects assessed by GAO in 2021 and 2022. The fitted slope is flat and statistically indistinguishable from zero (beta_2 = 0.21, HC3 p = 0.78), so the levels form of the overstretch proposition is not supported. The overall specification nonetheless explains most of the variance (R-squared = 0.70, F(4,17) = 9.93, p = 0.0002), and the work is carried by exposure rather than by scale: each additional year under an approved baseline is associated with 13.96 percentage points of further cost growth (HC3 p = 0.03). The two extreme observations at upper left, the Space Network Ground Segment Sustainment effort and the James Webb Space Telescope, are small and mid-sized commitments carried for nine and fourteen years respectively.</w:t>
      </w:r>
    </w:p>
    <w:bookmarkEnd w:id="291"/>
    <w:bookmarkStart w:id="292" w:name="data-real-observations-4"/>
    <w:p>
      <w:pPr>
        <w:pStyle w:val="Heading3"/>
        <w:spacing w:line="480" w:lineRule="auto"/>
      </w:pPr>
      <w:r>
        <w:t xml:space="preserve">Data (real observations)</w:t>
      </w:r>
    </w:p>
    <w:tbl>
      <w:tblPr>
        <w:tblStyle w:val="Table"/>
        <w:tblLook w:firstRow="1" w:lastRow="0" w:firstColumn="0" w:lastColumn="0" w:noHBand="0" w:noVBand="0" w:val="0020"/>
        <w:tblLayout w:type="autofit"/>
        <w:tblW w:w="0" w:type="auto"/>
      </w:tblPr>
      <w:tblGrid>
        <w:gridCol w:w="609"/>
        <w:gridCol w:w="609"/>
        <w:gridCol w:w="609"/>
        <w:gridCol w:w="609"/>
        <w:gridCol w:w="609"/>
        <w:gridCol w:w="609"/>
        <w:gridCol w:w="609"/>
        <w:gridCol w:w="609"/>
        <w:gridCol w:w="609"/>
        <w:gridCol w:w="609"/>
        <w:gridCol w:w="609"/>
        <w:gridCol w:w="609"/>
        <w:gridCol w:w="609"/>
      </w:tblGrid>
      <w:tr>
        <w:trPr>
          <w:tblHeader w:val="on"/>
        </w:trPr>
        <w:tc>
          <w:tcPr>
            <w:tcW w:w="0" w:type="auto"/>
          </w:tcPr>
          <w:p>
            <w:pPr>
              <w:spacing w:line="240" w:lineRule="auto" w:before="0" w:after="0"/>
              <w:pStyle w:val="Compact"/>
            </w:pPr>
            <w:r>
              <w:rPr>
                <w:sz w:val="20"/>
                <w:szCs w:val="20"/>
              </w:rPr>
              <w:t xml:space="preserve">program</w:t>
            </w:r>
          </w:p>
        </w:tc>
        <w:tc>
          <w:tcPr>
            <w:tcW w:w="0" w:type="auto"/>
          </w:tcPr>
          <w:p>
            <w:pPr>
              <w:spacing w:line="240" w:lineRule="auto" w:before="0" w:after="0"/>
              <w:pStyle w:val="Compact"/>
            </w:pPr>
            <w:r>
              <w:rPr>
                <w:sz w:val="20"/>
                <w:szCs w:val="20"/>
              </w:rPr>
              <w:t xml:space="preserve">agency</w:t>
            </w:r>
          </w:p>
        </w:tc>
        <w:tc>
          <w:tcPr>
            <w:tcW w:w="0" w:type="auto"/>
          </w:tcPr>
          <w:p>
            <w:pPr>
              <w:spacing w:line="240" w:lineRule="auto" w:before="0" w:after="0"/>
              <w:pStyle w:val="Compact"/>
            </w:pPr>
            <w:r>
              <w:rPr>
                <w:sz w:val="20"/>
                <w:szCs w:val="20"/>
              </w:rPr>
              <w:t xml:space="preserve">baseline_year</w:t>
            </w:r>
          </w:p>
        </w:tc>
        <w:tc>
          <w:tcPr>
            <w:tcW w:w="0" w:type="auto"/>
          </w:tcPr>
          <w:p>
            <w:pPr>
              <w:spacing w:line="240" w:lineRule="auto" w:before="0" w:after="0"/>
              <w:pStyle w:val="Compact"/>
            </w:pPr>
            <w:r>
              <w:rPr>
                <w:sz w:val="20"/>
                <w:szCs w:val="20"/>
              </w:rPr>
              <w:t xml:space="preserve">baseline_dev_cost_musd</w:t>
            </w:r>
          </w:p>
        </w:tc>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schedule_slip_months</w:t>
            </w:r>
          </w:p>
        </w:tc>
        <w:tc>
          <w:tcPr>
            <w:tcW w:w="0" w:type="auto"/>
          </w:tcPr>
          <w:p>
            <w:pPr>
              <w:spacing w:line="240" w:lineRule="auto" w:before="0" w:after="0"/>
              <w:pStyle w:val="Compact"/>
            </w:pPr>
            <w:r>
              <w:rPr>
                <w:sz w:val="20"/>
                <w:szCs w:val="20"/>
              </w:rPr>
              <w:t xml:space="preserve">cost_overrun_musd</w:t>
            </w:r>
          </w:p>
        </w:tc>
        <w:tc>
          <w:tcPr>
            <w:tcW w:w="0" w:type="auto"/>
          </w:tcPr>
          <w:p>
            <w:pPr>
              <w:spacing w:line="240" w:lineRule="auto" w:before="0" w:after="0"/>
              <w:pStyle w:val="Compact"/>
            </w:pPr>
            <w:r>
              <w:rPr>
                <w:sz w:val="20"/>
                <w:szCs w:val="20"/>
              </w:rPr>
              <w:t xml:space="preserve">cost_overrun_pct</w:t>
            </w:r>
          </w:p>
        </w:tc>
        <w:tc>
          <w:tcPr>
            <w:tcW w:w="0" w:type="auto"/>
          </w:tcPr>
          <w:p>
            <w:pPr>
              <w:spacing w:line="240" w:lineRule="auto" w:before="0" w:after="0"/>
              <w:pStyle w:val="Compact"/>
            </w:pPr>
            <w:r>
              <w:rPr>
                <w:sz w:val="20"/>
                <w:szCs w:val="20"/>
              </w:rPr>
              <w:t xml:space="preserve">baseline_year_analyst_coded</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James Webb Space Telescope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2008</w:t>
            </w:r>
          </w:p>
        </w:tc>
        <w:tc>
          <w:tcPr>
            <w:tcW w:w="0" w:type="auto"/>
          </w:tcPr>
          <w:p>
            <w:pPr>
              <w:spacing w:line="240" w:lineRule="auto" w:before="0" w:after="0"/>
              <w:pStyle w:val="Compact"/>
            </w:pPr>
            <w:r>
              <w:rPr>
                <w:sz w:val="20"/>
                <w:szCs w:val="20"/>
              </w:rPr>
              <w:t xml:space="preserve">2581.1</w:t>
            </w:r>
          </w:p>
        </w:tc>
        <w:tc>
          <w:tcPr>
            <w:tcW w:w="0" w:type="auto"/>
          </w:tcPr>
          <w:p>
            <w:pPr>
              <w:spacing w:line="240" w:lineRule="auto" w:before="0" w:after="0"/>
              <w:pStyle w:val="Compact"/>
            </w:pPr>
            <w:r>
              <w:rPr>
                <w:sz w:val="20"/>
                <w:szCs w:val="20"/>
              </w:rPr>
              <w:t xml:space="preserve">0.1172</w:t>
            </w:r>
          </w:p>
        </w:tc>
        <w:tc>
          <w:tcPr>
            <w:tcW w:w="0" w:type="auto"/>
          </w:tcPr>
          <w:p>
            <w:pPr>
              <w:spacing w:line="240" w:lineRule="auto" w:before="0" w:after="0"/>
              <w:pStyle w:val="Compact"/>
            </w:pPr>
            <w:r>
              <w:rPr>
                <w:sz w:val="20"/>
                <w:szCs w:val="20"/>
              </w:rPr>
              <w:t xml:space="preserve">8.538</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90</w:t>
            </w:r>
          </w:p>
        </w:tc>
        <w:tc>
          <w:tcPr>
            <w:tcW w:w="0" w:type="auto"/>
          </w:tcPr>
          <w:p>
            <w:pPr>
              <w:spacing w:line="240" w:lineRule="auto" w:before="0" w:after="0"/>
              <w:pStyle w:val="Compact"/>
            </w:pPr>
            <w:r>
              <w:rPr>
                <w:sz w:val="20"/>
                <w:szCs w:val="20"/>
              </w:rPr>
              <w:t xml:space="preserve">4536</w:t>
            </w:r>
          </w:p>
        </w:tc>
        <w:tc>
          <w:tcPr>
            <w:tcW w:w="0" w:type="auto"/>
          </w:tcPr>
          <w:p>
            <w:pPr>
              <w:spacing w:line="240" w:lineRule="auto" w:before="0" w:after="0"/>
              <w:pStyle w:val="Compact"/>
            </w:pPr>
            <w:r>
              <w:rPr>
                <w:sz w:val="20"/>
                <w:szCs w:val="20"/>
              </w:rPr>
              <w:t xml:space="preserve">175.7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Space Network Ground Segment Sustainment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2013</w:t>
            </w:r>
          </w:p>
        </w:tc>
        <w:tc>
          <w:tcPr>
            <w:tcW w:w="0" w:type="auto"/>
          </w:tcPr>
          <w:p>
            <w:pPr>
              <w:spacing w:line="240" w:lineRule="auto" w:before="0" w:after="0"/>
              <w:pStyle w:val="Compact"/>
            </w:pPr>
            <w:r>
              <w:rPr>
                <w:sz w:val="20"/>
                <w:szCs w:val="20"/>
              </w:rPr>
              <w:t xml:space="preserve">368.1</w:t>
            </w:r>
          </w:p>
        </w:tc>
        <w:tc>
          <w:tcPr>
            <w:tcW w:w="0" w:type="auto"/>
          </w:tcPr>
          <w:p>
            <w:pPr>
              <w:spacing w:line="240" w:lineRule="auto" w:before="0" w:after="0"/>
              <w:pStyle w:val="Compact"/>
            </w:pPr>
            <w:r>
              <w:rPr>
                <w:sz w:val="20"/>
                <w:szCs w:val="20"/>
              </w:rPr>
              <w:t xml:space="preserve">0.0999</w:t>
            </w:r>
          </w:p>
        </w:tc>
        <w:tc>
          <w:tcPr>
            <w:tcW w:w="0" w:type="auto"/>
          </w:tcPr>
          <w:p>
            <w:pPr>
              <w:spacing w:line="240" w:lineRule="auto" w:before="0" w:after="0"/>
              <w:pStyle w:val="Compact"/>
            </w:pPr>
            <w:r>
              <w:rPr>
                <w:sz w:val="20"/>
                <w:szCs w:val="20"/>
              </w:rPr>
              <w:t xml:space="preserve">1.218</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48</w:t>
            </w:r>
          </w:p>
        </w:tc>
        <w:tc>
          <w:tcPr>
            <w:tcW w:w="0" w:type="auto"/>
          </w:tcPr>
          <w:p>
            <w:pPr>
              <w:spacing w:line="240" w:lineRule="auto" w:before="0" w:after="0"/>
              <w:pStyle w:val="Compact"/>
            </w:pPr>
            <w:r>
              <w:rPr>
                <w:sz w:val="20"/>
                <w:szCs w:val="20"/>
              </w:rPr>
              <w:t xml:space="preserve">589.2</w:t>
            </w:r>
          </w:p>
        </w:tc>
        <w:tc>
          <w:tcPr>
            <w:tcW w:w="0" w:type="auto"/>
          </w:tcPr>
          <w:p>
            <w:pPr>
              <w:spacing w:line="240" w:lineRule="auto" w:before="0" w:after="0"/>
              <w:pStyle w:val="Compact"/>
            </w:pPr>
            <w:r>
              <w:rPr>
                <w:sz w:val="20"/>
                <w:szCs w:val="20"/>
              </w:rPr>
              <w:t xml:space="preserve">160.1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Exploration Ground Systems</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1843.5</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6.098</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42</w:t>
            </w:r>
          </w:p>
        </w:tc>
        <w:tc>
          <w:tcPr>
            <w:tcW w:w="0" w:type="auto"/>
          </w:tcPr>
          <w:p>
            <w:pPr>
              <w:spacing w:line="240" w:lineRule="auto" w:before="0" w:after="0"/>
              <w:pStyle w:val="Compact"/>
            </w:pPr>
            <w:r>
              <w:rPr>
                <w:sz w:val="20"/>
                <w:szCs w:val="20"/>
              </w:rPr>
              <w:t xml:space="preserve">749</w:t>
            </w:r>
          </w:p>
        </w:tc>
        <w:tc>
          <w:tcPr>
            <w:tcW w:w="0" w:type="auto"/>
          </w:tcPr>
          <w:p>
            <w:pPr>
              <w:spacing w:line="240" w:lineRule="auto" w:before="0" w:after="0"/>
              <w:pStyle w:val="Compact"/>
            </w:pPr>
            <w:r>
              <w:rPr>
                <w:sz w:val="20"/>
                <w:szCs w:val="20"/>
              </w:rPr>
              <w:t xml:space="preserve">40.6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Space Launch System</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2014</w:t>
            </w:r>
          </w:p>
        </w:tc>
        <w:tc>
          <w:tcPr>
            <w:tcW w:w="0" w:type="auto"/>
          </w:tcPr>
          <w:p>
            <w:pPr>
              <w:spacing w:line="240" w:lineRule="auto" w:before="0" w:after="0"/>
              <w:pStyle w:val="Compact"/>
            </w:pPr>
            <w:r>
              <w:rPr>
                <w:sz w:val="20"/>
                <w:szCs w:val="20"/>
              </w:rPr>
              <w:t xml:space="preserve">6390</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21.136</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42</w:t>
            </w:r>
          </w:p>
        </w:tc>
        <w:tc>
          <w:tcPr>
            <w:tcW w:w="0" w:type="auto"/>
          </w:tcPr>
          <w:p>
            <w:pPr>
              <w:spacing w:line="240" w:lineRule="auto" w:before="0" w:after="0"/>
              <w:pStyle w:val="Compact"/>
            </w:pPr>
            <w:r>
              <w:rPr>
                <w:sz w:val="20"/>
                <w:szCs w:val="20"/>
              </w:rPr>
              <w:t xml:space="preserve">2718.3</w:t>
            </w:r>
          </w:p>
        </w:tc>
        <w:tc>
          <w:tcPr>
            <w:tcW w:w="0" w:type="auto"/>
          </w:tcPr>
          <w:p>
            <w:pPr>
              <w:spacing w:line="240" w:lineRule="auto" w:before="0" w:after="0"/>
              <w:pStyle w:val="Compact"/>
            </w:pPr>
            <w:r>
              <w:rPr>
                <w:sz w:val="20"/>
                <w:szCs w:val="20"/>
              </w:rPr>
              <w:t xml:space="preserve">42.5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Orion Multi-Purpose Crew Vehicle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2015</w:t>
            </w:r>
          </w:p>
        </w:tc>
        <w:tc>
          <w:tcPr>
            <w:tcW w:w="0" w:type="auto"/>
          </w:tcPr>
          <w:p>
            <w:pPr>
              <w:spacing w:line="240" w:lineRule="auto" w:before="0" w:after="0"/>
              <w:pStyle w:val="Compact"/>
            </w:pPr>
            <w:r>
              <w:rPr>
                <w:sz w:val="20"/>
                <w:szCs w:val="20"/>
              </w:rPr>
              <w:t xml:space="preserve">6768.4</w:t>
            </w:r>
          </w:p>
        </w:tc>
        <w:tc>
          <w:tcPr>
            <w:tcW w:w="0" w:type="auto"/>
          </w:tcPr>
          <w:p>
            <w:pPr>
              <w:spacing w:line="240" w:lineRule="auto" w:before="0" w:after="0"/>
              <w:pStyle w:val="Compact"/>
            </w:pPr>
            <w:r>
              <w:rPr>
                <w:sz w:val="20"/>
                <w:szCs w:val="20"/>
              </w:rPr>
              <w:t xml:space="preserve">0.0984</w:t>
            </w:r>
          </w:p>
        </w:tc>
        <w:tc>
          <w:tcPr>
            <w:tcW w:w="0" w:type="auto"/>
          </w:tcPr>
          <w:p>
            <w:pPr>
              <w:spacing w:line="240" w:lineRule="auto" w:before="0" w:after="0"/>
              <w:pStyle w:val="Compact"/>
            </w:pPr>
            <w:r>
              <w:rPr>
                <w:sz w:val="20"/>
                <w:szCs w:val="20"/>
              </w:rPr>
              <w:t xml:space="preserve">22.388</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2532.8</w:t>
            </w:r>
          </w:p>
        </w:tc>
        <w:tc>
          <w:tcPr>
            <w:tcW w:w="0" w:type="auto"/>
          </w:tcPr>
          <w:p>
            <w:pPr>
              <w:spacing w:line="240" w:lineRule="auto" w:before="0" w:after="0"/>
              <w:pStyle w:val="Compact"/>
            </w:pPr>
            <w:r>
              <w:rPr>
                <w:sz w:val="20"/>
                <w:szCs w:val="20"/>
              </w:rPr>
              <w:t xml:space="preserve">37.4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Surface Water and Ocean Topography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571.5</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1.89</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67.5</w:t>
            </w:r>
          </w:p>
        </w:tc>
        <w:tc>
          <w:tcPr>
            <w:tcW w:w="0" w:type="auto"/>
          </w:tcPr>
          <w:p>
            <w:pPr>
              <w:spacing w:line="240" w:lineRule="auto" w:before="0" w:after="0"/>
              <w:pStyle w:val="Compact"/>
            </w:pPr>
            <w:r>
              <w:rPr>
                <w:sz w:val="20"/>
                <w:szCs w:val="20"/>
              </w:rPr>
              <w:t xml:space="preserve">11.8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NISAR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661</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2.186</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113.3</w:t>
            </w:r>
          </w:p>
        </w:tc>
        <w:tc>
          <w:tcPr>
            <w:tcW w:w="0" w:type="auto"/>
          </w:tcPr>
          <w:p>
            <w:pPr>
              <w:spacing w:line="240" w:lineRule="auto" w:before="0" w:after="0"/>
              <w:pStyle w:val="Compact"/>
            </w:pPr>
            <w:r>
              <w:rPr>
                <w:sz w:val="20"/>
                <w:szCs w:val="20"/>
              </w:rPr>
              <w:t xml:space="preserve">17.1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Mars 2020 (Perseverance)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2016</w:t>
            </w:r>
          </w:p>
        </w:tc>
        <w:tc>
          <w:tcPr>
            <w:tcW w:w="0" w:type="auto"/>
          </w:tcPr>
          <w:p>
            <w:pPr>
              <w:spacing w:line="240" w:lineRule="auto" w:before="0" w:after="0"/>
              <w:pStyle w:val="Compact"/>
            </w:pPr>
            <w:r>
              <w:rPr>
                <w:sz w:val="20"/>
                <w:szCs w:val="20"/>
              </w:rPr>
              <w:t xml:space="preserve">1676.9</w:t>
            </w:r>
          </w:p>
        </w:tc>
        <w:tc>
          <w:tcPr>
            <w:tcW w:w="0" w:type="auto"/>
          </w:tcPr>
          <w:p>
            <w:pPr>
              <w:spacing w:line="240" w:lineRule="auto" w:before="0" w:after="0"/>
              <w:pStyle w:val="Compact"/>
            </w:pPr>
            <w:r>
              <w:rPr>
                <w:sz w:val="20"/>
                <w:szCs w:val="20"/>
              </w:rPr>
              <w:t xml:space="preserve">0.1026</w:t>
            </w:r>
          </w:p>
        </w:tc>
        <w:tc>
          <w:tcPr>
            <w:tcW w:w="0" w:type="auto"/>
          </w:tcPr>
          <w:p>
            <w:pPr>
              <w:spacing w:line="240" w:lineRule="auto" w:before="0" w:after="0"/>
              <w:pStyle w:val="Compact"/>
            </w:pPr>
            <w:r>
              <w:rPr>
                <w:sz w:val="20"/>
                <w:szCs w:val="20"/>
              </w:rPr>
              <w:t xml:space="preserve">5.412</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356.2</w:t>
            </w:r>
          </w:p>
        </w:tc>
        <w:tc>
          <w:tcPr>
            <w:tcW w:w="0" w:type="auto"/>
          </w:tcPr>
          <w:p>
            <w:pPr>
              <w:spacing w:line="240" w:lineRule="auto" w:before="0" w:after="0"/>
              <w:pStyle w:val="Compact"/>
            </w:pPr>
            <w:r>
              <w:rPr>
                <w:sz w:val="20"/>
                <w:szCs w:val="20"/>
              </w:rPr>
              <w:t xml:space="preserve">21.2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GAO-21-306 (May 2021) Table 2;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Landsat 9</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2017</w:t>
            </w:r>
          </w:p>
        </w:tc>
        <w:tc>
          <w:tcPr>
            <w:tcW w:w="0" w:type="auto"/>
          </w:tcPr>
          <w:p>
            <w:pPr>
              <w:spacing w:line="240" w:lineRule="auto" w:before="0" w:after="0"/>
              <w:pStyle w:val="Compact"/>
            </w:pPr>
            <w:r>
              <w:rPr>
                <w:sz w:val="20"/>
                <w:szCs w:val="20"/>
              </w:rPr>
              <w:t xml:space="preserve">634.2</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2.098</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-138.5</w:t>
            </w:r>
          </w:p>
        </w:tc>
        <w:tc>
          <w:tcPr>
            <w:tcW w:w="0" w:type="auto"/>
          </w:tcPr>
          <w:p>
            <w:pPr>
              <w:spacing w:line="240" w:lineRule="auto" w:before="0" w:after="0"/>
              <w:pStyle w:val="Compact"/>
            </w:pPr>
            <w:r>
              <w:rPr>
                <w:sz w:val="20"/>
                <w:szCs w:val="20"/>
              </w:rPr>
              <w:t xml:space="preserve">-21.8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Laser Communications Relay Demonstration</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2017</w:t>
            </w:r>
          </w:p>
        </w:tc>
        <w:tc>
          <w:tcPr>
            <w:tcW w:w="0" w:type="auto"/>
          </w:tcPr>
          <w:p>
            <w:pPr>
              <w:spacing w:line="240" w:lineRule="auto" w:before="0" w:after="0"/>
              <w:pStyle w:val="Compact"/>
            </w:pPr>
            <w:r>
              <w:rPr>
                <w:sz w:val="20"/>
                <w:szCs w:val="20"/>
              </w:rPr>
              <w:t xml:space="preserve">91.8</w:t>
            </w:r>
          </w:p>
        </w:tc>
        <w:tc>
          <w:tcPr>
            <w:tcW w:w="0" w:type="auto"/>
          </w:tcPr>
          <w:p>
            <w:pPr>
              <w:spacing w:line="240" w:lineRule="auto" w:before="0" w:after="0"/>
              <w:pStyle w:val="Compact"/>
            </w:pPr>
            <w:r>
              <w:rPr>
                <w:sz w:val="20"/>
                <w:szCs w:val="20"/>
              </w:rPr>
              <w:t xml:space="preserve">0.1002</w:t>
            </w:r>
          </w:p>
        </w:tc>
        <w:tc>
          <w:tcPr>
            <w:tcW w:w="0" w:type="auto"/>
          </w:tcPr>
          <w:p>
            <w:pPr>
              <w:spacing w:line="240" w:lineRule="auto" w:before="0" w:after="0"/>
              <w:pStyle w:val="Compact"/>
            </w:pPr>
            <w:r>
              <w:rPr>
                <w:sz w:val="20"/>
                <w:szCs w:val="20"/>
              </w:rPr>
              <w:t xml:space="preserve">0.304</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25</w:t>
            </w:r>
          </w:p>
        </w:tc>
        <w:tc>
          <w:tcPr>
            <w:tcW w:w="0" w:type="auto"/>
          </w:tcPr>
          <w:p>
            <w:pPr>
              <w:spacing w:line="240" w:lineRule="auto" w:before="0" w:after="0"/>
              <w:pStyle w:val="Compact"/>
            </w:pPr>
            <w:r>
              <w:rPr>
                <w:sz w:val="20"/>
                <w:szCs w:val="20"/>
              </w:rPr>
              <w:t xml:space="preserve">53.3</w:t>
            </w:r>
          </w:p>
        </w:tc>
        <w:tc>
          <w:tcPr>
            <w:tcW w:w="0" w:type="auto"/>
          </w:tcPr>
          <w:p>
            <w:pPr>
              <w:spacing w:line="240" w:lineRule="auto" w:before="0" w:after="0"/>
              <w:pStyle w:val="Compact"/>
            </w:pPr>
            <w:r>
              <w:rPr>
                <w:sz w:val="20"/>
                <w:szCs w:val="20"/>
              </w:rPr>
              <w:t xml:space="preserve">58.1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Lucy</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622.2</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2.058</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-57.2</w:t>
            </w:r>
          </w:p>
        </w:tc>
        <w:tc>
          <w:tcPr>
            <w:tcW w:w="0" w:type="auto"/>
          </w:tcPr>
          <w:p>
            <w:pPr>
              <w:spacing w:line="240" w:lineRule="auto" w:before="0" w:after="0"/>
              <w:pStyle w:val="Compact"/>
            </w:pPr>
            <w:r>
              <w:rPr>
                <w:sz w:val="20"/>
                <w:szCs w:val="20"/>
              </w:rPr>
              <w:t xml:space="preserve">-9.2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Low Boom Flight Demonstrator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467.7</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1.547</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104.5</w:t>
            </w:r>
          </w:p>
        </w:tc>
        <w:tc>
          <w:tcPr>
            <w:tcW w:w="0" w:type="auto"/>
          </w:tcPr>
          <w:p>
            <w:pPr>
              <w:spacing w:line="240" w:lineRule="auto" w:before="0" w:after="0"/>
              <w:pStyle w:val="Compact"/>
            </w:pPr>
            <w:r>
              <w:rPr>
                <w:sz w:val="20"/>
                <w:szCs w:val="20"/>
              </w:rPr>
              <w:t xml:space="preserve">22.3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Double Asteroid Redirection Test</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2018</w:t>
            </w:r>
          </w:p>
        </w:tc>
        <w:tc>
          <w:tcPr>
            <w:tcW w:w="0" w:type="auto"/>
          </w:tcPr>
          <w:p>
            <w:pPr>
              <w:spacing w:line="240" w:lineRule="auto" w:before="0" w:after="0"/>
              <w:pStyle w:val="Compact"/>
            </w:pPr>
            <w:r>
              <w:rPr>
                <w:sz w:val="20"/>
                <w:szCs w:val="20"/>
              </w:rPr>
              <w:t xml:space="preserve">258.3</w:t>
            </w:r>
          </w:p>
        </w:tc>
        <w:tc>
          <w:tcPr>
            <w:tcW w:w="0" w:type="auto"/>
          </w:tcPr>
          <w:p>
            <w:pPr>
              <w:spacing w:line="240" w:lineRule="auto" w:before="0" w:after="0"/>
              <w:pStyle w:val="Compact"/>
            </w:pPr>
            <w:r>
              <w:rPr>
                <w:sz w:val="20"/>
                <w:szCs w:val="20"/>
              </w:rPr>
              <w:t xml:space="preserve">0.1004</w:t>
            </w:r>
          </w:p>
        </w:tc>
        <w:tc>
          <w:tcPr>
            <w:tcW w:w="0" w:type="auto"/>
          </w:tcPr>
          <w:p>
            <w:pPr>
              <w:spacing w:line="240" w:lineRule="auto" w:before="0" w:after="0"/>
              <w:pStyle w:val="Compact"/>
            </w:pPr>
            <w:r>
              <w:rPr>
                <w:sz w:val="20"/>
                <w:szCs w:val="20"/>
              </w:rPr>
              <w:t xml:space="preserve">0.854</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11.8</w:t>
            </w:r>
          </w:p>
        </w:tc>
        <w:tc>
          <w:tcPr>
            <w:tcW w:w="0" w:type="auto"/>
          </w:tcPr>
          <w:p>
            <w:pPr>
              <w:spacing w:line="240" w:lineRule="auto" w:before="0" w:after="0"/>
              <w:pStyle w:val="Compact"/>
            </w:pPr>
            <w:r>
              <w:rPr>
                <w:sz w:val="20"/>
                <w:szCs w:val="20"/>
              </w:rPr>
              <w:t xml:space="preserve">4.6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GAO-19-262SP Table 2 confirmation-year column;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Psyche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681.9</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2.256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-30.8</w:t>
            </w:r>
          </w:p>
        </w:tc>
        <w:tc>
          <w:tcPr>
            <w:tcW w:w="0" w:type="auto"/>
          </w:tcPr>
          <w:p>
            <w:pPr>
              <w:spacing w:line="240" w:lineRule="auto" w:before="0" w:after="0"/>
              <w:pStyle w:val="Compact"/>
            </w:pPr>
            <w:r>
              <w:rPr>
                <w:sz w:val="20"/>
                <w:szCs w:val="20"/>
              </w:rPr>
              <w:t xml:space="preserve">-4.5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Europa Clipper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2412.8</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7.981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96.2</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PACE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558</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1.846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74.3</w:t>
            </w:r>
          </w:p>
        </w:tc>
        <w:tc>
          <w:tcPr>
            <w:tcW w:w="0" w:type="auto"/>
          </w:tcPr>
          <w:p>
            <w:pPr>
              <w:spacing w:line="240" w:lineRule="auto" w:before="0" w:after="0"/>
              <w:pStyle w:val="Compact"/>
            </w:pPr>
            <w:r>
              <w:rPr>
                <w:sz w:val="20"/>
                <w:szCs w:val="20"/>
              </w:rPr>
              <w:t xml:space="preserve">13.3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Solar Electric Propulsion</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2019</w:t>
            </w:r>
          </w:p>
        </w:tc>
        <w:tc>
          <w:tcPr>
            <w:tcW w:w="0" w:type="auto"/>
          </w:tcPr>
          <w:p>
            <w:pPr>
              <w:spacing w:line="240" w:lineRule="auto" w:before="0" w:after="0"/>
              <w:pStyle w:val="Compact"/>
            </w:pPr>
            <w:r>
              <w:rPr>
                <w:sz w:val="20"/>
                <w:szCs w:val="20"/>
              </w:rPr>
              <w:t xml:space="preserve">155.9</w:t>
            </w:r>
          </w:p>
        </w:tc>
        <w:tc>
          <w:tcPr>
            <w:tcW w:w="0" w:type="auto"/>
          </w:tcPr>
          <w:p>
            <w:pPr>
              <w:spacing w:line="240" w:lineRule="auto" w:before="0" w:after="0"/>
              <w:pStyle w:val="Compact"/>
            </w:pPr>
            <w:r>
              <w:rPr>
                <w:sz w:val="20"/>
                <w:szCs w:val="20"/>
              </w:rPr>
              <w:t xml:space="preserve">0.0998</w:t>
            </w:r>
          </w:p>
        </w:tc>
        <w:tc>
          <w:tcPr>
            <w:tcW w:w="0" w:type="auto"/>
          </w:tcPr>
          <w:p>
            <w:pPr>
              <w:spacing w:line="240" w:lineRule="auto" w:before="0" w:after="0"/>
              <w:pStyle w:val="Compact"/>
            </w:pPr>
            <w:r>
              <w:rPr>
                <w:sz w:val="20"/>
                <w:szCs w:val="20"/>
              </w:rPr>
              <w:t xml:space="preserve">0.516</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46</w:t>
            </w:r>
          </w:p>
        </w:tc>
        <w:tc>
          <w:tcPr>
            <w:tcW w:w="0" w:type="auto"/>
          </w:tcPr>
          <w:p>
            <w:pPr>
              <w:spacing w:line="240" w:lineRule="auto" w:before="0" w:after="0"/>
              <w:pStyle w:val="Compact"/>
            </w:pPr>
            <w:r>
              <w:rPr>
                <w:sz w:val="20"/>
                <w:szCs w:val="20"/>
              </w:rPr>
              <w:t xml:space="preserve">47.3</w:t>
            </w:r>
          </w:p>
        </w:tc>
        <w:tc>
          <w:tcPr>
            <w:tcW w:w="0" w:type="auto"/>
          </w:tcPr>
          <w:p>
            <w:pPr>
              <w:spacing w:line="240" w:lineRule="auto" w:before="0" w:after="0"/>
              <w:pStyle w:val="Compact"/>
            </w:pPr>
            <w:r>
              <w:rPr>
                <w:sz w:val="20"/>
                <w:szCs w:val="20"/>
              </w:rPr>
              <w:t xml:space="preserve">30.3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GAO-22-105212 (July 2022) Table 6; baseline year bounded by GAO-19-262SP Table 1 (in formulation) and GAO-21-306 Table 2 (baselined);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Nancy Grace Roman Space Telescope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2898.1</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9.586</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371.9</w:t>
            </w:r>
          </w:p>
        </w:tc>
        <w:tc>
          <w:tcPr>
            <w:tcW w:w="0" w:type="auto"/>
          </w:tcPr>
          <w:p>
            <w:pPr>
              <w:spacing w:line="240" w:lineRule="auto" w:before="0" w:after="0"/>
              <w:pStyle w:val="Compact"/>
            </w:pPr>
            <w:r>
              <w:rPr>
                <w:sz w:val="20"/>
                <w:szCs w:val="20"/>
              </w:rPr>
              <w:t xml:space="preserve">12.8</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OSAM-1</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974.4</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3.223</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146.1</w:t>
            </w:r>
          </w:p>
        </w:tc>
        <w:tc>
          <w:tcPr>
            <w:tcW w:w="0" w:type="auto"/>
          </w:tcPr>
          <w:p>
            <w:pPr>
              <w:spacing w:line="240" w:lineRule="auto" w:before="0" w:after="0"/>
              <w:pStyle w:val="Compact"/>
            </w:pPr>
            <w:r>
              <w:rPr>
                <w:sz w:val="20"/>
                <w:szCs w:val="20"/>
              </w:rPr>
              <w:t xml:space="preserve">15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SPHEREx</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2020</w:t>
            </w:r>
          </w:p>
        </w:tc>
        <w:tc>
          <w:tcPr>
            <w:tcW w:w="0" w:type="auto"/>
          </w:tcPr>
          <w:p>
            <w:pPr>
              <w:spacing w:line="240" w:lineRule="auto" w:before="0" w:after="0"/>
              <w:pStyle w:val="Compact"/>
            </w:pPr>
            <w:r>
              <w:rPr>
                <w:sz w:val="20"/>
                <w:szCs w:val="20"/>
              </w:rPr>
              <w:t xml:space="preserve">367.8</w:t>
            </w:r>
          </w:p>
        </w:tc>
        <w:tc>
          <w:tcPr>
            <w:tcW w:w="0" w:type="auto"/>
          </w:tcPr>
          <w:p>
            <w:pPr>
              <w:spacing w:line="240" w:lineRule="auto" w:before="0" w:after="0"/>
              <w:pStyle w:val="Compact"/>
            </w:pPr>
            <w:r>
              <w:rPr>
                <w:sz w:val="20"/>
                <w:szCs w:val="20"/>
              </w:rPr>
              <w:t xml:space="preserve">0.1059</w:t>
            </w:r>
          </w:p>
        </w:tc>
        <w:tc>
          <w:tcPr>
            <w:tcW w:w="0" w:type="auto"/>
          </w:tcPr>
          <w:p>
            <w:pPr>
              <w:spacing w:line="240" w:lineRule="auto" w:before="0" w:after="0"/>
              <w:pStyle w:val="Compact"/>
            </w:pPr>
            <w:r>
              <w:rPr>
                <w:sz w:val="20"/>
                <w:szCs w:val="20"/>
              </w:rPr>
              <w:t xml:space="preserve">1.217</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Table 3 (first-year estimate reported);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Interstellar Mapping and Acceleration Probe</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589.5</w:t>
            </w:r>
          </w:p>
        </w:tc>
        <w:tc>
          <w:tcPr>
            <w:tcW w:w="0" w:type="auto"/>
          </w:tcPr>
          <w:p>
            <w:pPr>
              <w:spacing w:line="240" w:lineRule="auto" w:before="0" w:after="0"/>
              <w:pStyle w:val="Compact"/>
            </w:pPr>
            <w:r>
              <w:rPr>
                <w:sz w:val="20"/>
                <w:szCs w:val="20"/>
              </w:rPr>
              <w:t xml:space="preserve">0.0981</w:t>
            </w:r>
          </w:p>
        </w:tc>
        <w:tc>
          <w:tcPr>
            <w:tcW w:w="0" w:type="auto"/>
          </w:tcPr>
          <w:p>
            <w:pPr>
              <w:spacing w:line="240" w:lineRule="auto" w:before="0" w:after="0"/>
              <w:pStyle w:val="Compact"/>
            </w:pPr>
            <w:r>
              <w:rPr>
                <w:sz w:val="20"/>
                <w:szCs w:val="20"/>
              </w:rPr>
              <w:t xml:space="preserve">1.95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GAO-22-105212 App. V (moved to implementation in review period); NASA budget: Budget of NASA fiscal-year appropriations series; GDP: World Bank WDI NY.GDP.MKTP.CD</w:t>
            </w:r>
          </w:p>
        </w:tc>
      </w:tr>
      <w:tr>
        <w:tc>
          <w:tcPr>
            <w:tcW w:w="0" w:type="auto"/>
          </w:tcPr>
          <w:p>
            <w:pPr>
              <w:spacing w:line="240" w:lineRule="auto" w:before="0" w:after="0"/>
              <w:pStyle w:val="Compact"/>
            </w:pPr>
            <w:r>
              <w:rPr>
                <w:sz w:val="20"/>
                <w:szCs w:val="20"/>
              </w:rPr>
              <w:t xml:space="preserve">VIPER</w:t>
            </w:r>
          </w:p>
        </w:tc>
        <w:tc>
          <w:tcPr>
            <w:tcW w:w="0" w:type="auto"/>
          </w:tcPr>
          <w:p>
            <w:pPr>
              <w:spacing w:line="240" w:lineRule="auto" w:before="0" w:after="0"/>
              <w:pStyle w:val="Compact"/>
            </w:pPr>
            <w:r>
              <w:rPr>
                <w:sz w:val="20"/>
                <w:szCs w:val="20"/>
              </w:rPr>
              <w:t xml:space="preserve">NASA</w:t>
            </w:r>
          </w:p>
        </w:tc>
        <w:tc>
          <w:tcPr>
            <w:tcW w:w="0" w:type="auto"/>
          </w:tcPr>
          <w:p>
            <w:pPr>
              <w:spacing w:line="240" w:lineRule="auto" w:before="0" w:after="0"/>
              <w:pStyle w:val="Compact"/>
            </w:pPr>
            <w:r>
              <w:rPr>
                <w:sz w:val="20"/>
                <w:szCs w:val="20"/>
              </w:rPr>
              <w:t xml:space="preserve">2021</w:t>
            </w:r>
          </w:p>
        </w:tc>
        <w:tc>
          <w:tcPr>
            <w:tcW w:w="0" w:type="auto"/>
          </w:tcPr>
          <w:p>
            <w:pPr>
              <w:spacing w:line="240" w:lineRule="auto" w:before="0" w:after="0"/>
              <w:pStyle w:val="Compact"/>
            </w:pPr>
            <w:r>
              <w:rPr>
                <w:sz w:val="20"/>
                <w:szCs w:val="20"/>
              </w:rPr>
              <w:t xml:space="preserve">336.2</w:t>
            </w:r>
          </w:p>
        </w:tc>
        <w:tc>
          <w:tcPr>
            <w:tcW w:w="0" w:type="auto"/>
          </w:tcPr>
          <w:p>
            <w:pPr>
              <w:spacing w:line="240" w:lineRule="auto" w:before="0" w:after="0"/>
              <w:pStyle w:val="Compact"/>
            </w:pPr>
            <w:r>
              <w:rPr>
                <w:sz w:val="20"/>
                <w:szCs w:val="20"/>
              </w:rPr>
              <w:t xml:space="preserve">0.0981</w:t>
            </w:r>
          </w:p>
        </w:tc>
        <w:tc>
          <w:tcPr>
            <w:tcW w:w="0" w:type="auto"/>
          </w:tcPr>
          <w:p>
            <w:pPr>
              <w:spacing w:line="240" w:lineRule="auto" w:before="0" w:after="0"/>
              <w:pStyle w:val="Compact"/>
            </w:pPr>
            <w:r>
              <w:rPr>
                <w:sz w:val="20"/>
                <w:szCs w:val="20"/>
              </w:rPr>
              <w:t xml:space="preserve">1.112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GAO-22-105212 (July 2022) Table 6; baseline year: GAO-21-306 (NASA approved VIPER to enter implementation, March 2021); NASA budget: Budget of NASA fiscal-year appropriations series; GDP: World Bank WDI NY.GDP.MKTP.CD</w:t>
            </w:r>
          </w:p>
        </w:tc>
      </w:tr>
    </w:tbl>
    <w:bookmarkEnd w:id="292"/>
    <w:bookmarkStart w:id="293" w:name="variable-construction-4"/>
    <w:p>
      <w:pPr>
        <w:pStyle w:val="Heading3"/>
        <w:spacing w:line="480" w:lineRule="auto"/>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cost_overrun_pct</w:t>
            </w:r>
          </w:p>
        </w:tc>
        <w:tc>
          <w:tcPr>
            <w:tcW w:w="0" w:type="auto"/>
          </w:tcPr>
          <w:p>
            <w:pPr>
              <w:spacing w:line="240" w:lineRule="auto" w:before="0" w:after="0"/>
              <w:pStyle w:val="Compact"/>
            </w:pPr>
            <w:r>
              <w:rPr>
                <w:sz w:val="20"/>
                <w:szCs w:val="20"/>
              </w:rPr>
              <w:t xml:space="preserve">Cumulative development cost growth of the project measured against the original development cost baseline approved at its confirmation review, expressed as a percentage. Negative values denote underruns. Values are taken verbatim from GAO’s portfolio tables and were independently re-derived as cost_overrun_musd divided by baseline_dev_cost_musd; all twenty-two rows reproduce GAO’s published percentage to within 0.1 percentage point.</w:t>
            </w:r>
          </w:p>
        </w:tc>
        <w:tc>
          <w:tcPr>
            <w:tcW w:w="0" w:type="auto"/>
          </w:tcPr>
          <w:p>
            <w:pPr>
              <w:spacing w:line="240" w:lineRule="auto" w:before="0" w:after="0"/>
              <w:pStyle w:val="Compact"/>
            </w:pPr>
            <w:r>
              <w:rPr>
                <w:sz w:val="20"/>
                <w:szCs w:val="20"/>
              </w:rPr>
              <w:t xml:space="preserve">GAO-22-105212 (July 2022) Table 6; GAO-21-306 (May 2021) Table 2 for Mars 2020</w:t>
            </w:r>
          </w:p>
        </w:tc>
      </w:tr>
      <w:tr>
        <w:tc>
          <w:tcPr>
            <w:tcW w:w="0" w:type="auto"/>
          </w:tcPr>
          <w:p>
            <w:pPr>
              <w:spacing w:line="240" w:lineRule="auto" w:before="0" w:after="0"/>
              <w:pStyle w:val="Compact"/>
            </w:pPr>
            <w:r>
              <w:rPr>
                <w:sz w:val="20"/>
                <w:szCs w:val="20"/>
              </w:rPr>
              <w:t xml:space="preserve">space_spend_pct_gdp</w:t>
            </w:r>
          </w:p>
        </w:tc>
        <w:tc>
          <w:tcPr>
            <w:tcW w:w="0" w:type="auto"/>
          </w:tcPr>
          <w:p>
            <w:pPr>
              <w:spacing w:line="240" w:lineRule="auto" w:before="0" w:after="0"/>
              <w:pStyle w:val="Compact"/>
            </w:pPr>
            <w:r>
              <w:rPr>
                <w:sz w:val="20"/>
                <w:szCs w:val="20"/>
              </w:rPr>
              <w:t xml:space="preserve">The sponsoring nation’s civil space effort relative to its economic base in the year the project’s cost baseline was committed: NASA enacted budget authority for that fiscal year divided by United States gross domestic product for the same year, expressed as a percentage. This is the direct empirical analogue of Kennedy’s ratio of commitment to productive base.</w:t>
            </w:r>
          </w:p>
        </w:tc>
        <w:tc>
          <w:tcPr>
            <w:tcW w:w="0" w:type="auto"/>
          </w:tcPr>
          <w:p>
            <w:pPr>
              <w:spacing w:line="240" w:lineRule="auto" w:before="0" w:after="0"/>
              <w:pStyle w:val="Compact"/>
            </w:pPr>
            <w:r>
              <w:rPr>
                <w:sz w:val="20"/>
                <w:szCs w:val="20"/>
              </w:rPr>
              <w:t xml:space="preserve">NASA fiscal-year appropriations series (FY2008 to FY2022); World Bank World Development Indicators NY.GDP.MKTP.CD (United States, current USD)</w:t>
            </w:r>
          </w:p>
        </w:tc>
      </w:tr>
      <w:tr>
        <w:tc>
          <w:tcPr>
            <w:tcW w:w="0" w:type="auto"/>
          </w:tcPr>
          <w:p>
            <w:pPr>
              <w:spacing w:line="240" w:lineRule="auto" w:before="0" w:after="0"/>
              <w:pStyle w:val="Compact"/>
            </w:pPr>
            <w:r>
              <w:rPr>
                <w:sz w:val="20"/>
                <w:szCs w:val="20"/>
              </w:rPr>
              <w:t xml:space="preserve">space_effort_ratio_pct</w:t>
            </w:r>
          </w:p>
        </w:tc>
        <w:tc>
          <w:tcPr>
            <w:tcW w:w="0" w:type="auto"/>
          </w:tcPr>
          <w:p>
            <w:pPr>
              <w:spacing w:line="240" w:lineRule="auto" w:before="0" w:after="0"/>
              <w:pStyle w:val="Compact"/>
            </w:pPr>
            <w:r>
              <w:rPr>
                <w:sz w:val="20"/>
                <w:szCs w:val="20"/>
              </w:rPr>
              <w:t xml:space="preserve">The project’s own claim on the agency’s committed development base: original baseline development cost divided by the total original baseline development cost of the entire major-project portfolio assessed in the same GAO cycle (30,232.4 million dollars in the 2022 assessment; 30,983.6 million dollars in the 2021 assessment), expressed as a percentage. This operationalizes overstretch at the portfolio rather than the national level.</w:t>
            </w:r>
          </w:p>
        </w:tc>
        <w:tc>
          <w:tcPr>
            <w:tcW w:w="0" w:type="auto"/>
          </w:tcPr>
          <w:p>
            <w:pPr>
              <w:spacing w:line="240" w:lineRule="auto" w:before="0" w:after="0"/>
              <w:pStyle w:val="Compact"/>
            </w:pPr>
            <w:r>
              <w:rPr>
                <w:sz w:val="20"/>
                <w:szCs w:val="20"/>
              </w:rPr>
              <w:t xml:space="preserve">Computed by the author from GAO-22-105212 Table 6 and GAO-21-306 Table 2 baseline and portfolio-total columns</w:t>
            </w:r>
          </w:p>
        </w:tc>
      </w:tr>
      <w:tr>
        <w:tc>
          <w:tcPr>
            <w:tcW w:w="0" w:type="auto"/>
          </w:tcPr>
          <w:p>
            <w:pPr>
              <w:spacing w:line="240" w:lineRule="auto" w:before="0" w:after="0"/>
              <w:pStyle w:val="Compact"/>
            </w:pPr>
            <w:r>
              <w:rPr>
                <w:sz w:val="20"/>
                <w:szCs w:val="20"/>
              </w:rPr>
              <w:t xml:space="preserve">years_in_development</w:t>
            </w:r>
          </w:p>
        </w:tc>
        <w:tc>
          <w:tcPr>
            <w:tcW w:w="0" w:type="auto"/>
          </w:tcPr>
          <w:p>
            <w:pPr>
              <w:spacing w:line="240" w:lineRule="auto" w:before="0" w:after="0"/>
              <w:pStyle w:val="Compact"/>
            </w:pPr>
            <w:r>
              <w:rPr>
                <w:sz w:val="20"/>
                <w:szCs w:val="20"/>
              </w:rPr>
              <w:t xml:space="preserve">Elapsed years of exposure under the approved baseline: the GAO assessment year minus the year in which the project set its original cost and schedule baseline. Captures how long a commitment has been carried, as distinct from how large it is.</w:t>
            </w:r>
          </w:p>
        </w:tc>
        <w:tc>
          <w:tcPr>
            <w:tcW w:w="0" w:type="auto"/>
          </w:tcPr>
          <w:p>
            <w:pPr>
              <w:spacing w:line="240" w:lineRule="auto" w:before="0" w:after="0"/>
              <w:pStyle w:val="Compact"/>
            </w:pPr>
            <w:r>
              <w:rPr>
                <w:sz w:val="20"/>
                <w:szCs w:val="20"/>
              </w:rPr>
              <w:t xml:space="preserve">Derived from baseline_year and the GAO assessment vintage (2022 for twenty-one rows, 2021 for Mars 2020)</w:t>
            </w:r>
          </w:p>
        </w:tc>
      </w:tr>
      <w:tr>
        <w:tc>
          <w:tcPr>
            <w:tcW w:w="0" w:type="auto"/>
          </w:tcPr>
          <w:p>
            <w:pPr>
              <w:spacing w:line="240" w:lineRule="auto" w:before="0" w:after="0"/>
              <w:pStyle w:val="Compact"/>
            </w:pPr>
            <w:r>
              <w:rPr>
                <w:sz w:val="20"/>
                <w:szCs w:val="20"/>
              </w:rPr>
              <w:t xml:space="preserve">baseline_year</w:t>
            </w:r>
          </w:p>
        </w:tc>
        <w:tc>
          <w:tcPr>
            <w:tcW w:w="0" w:type="auto"/>
          </w:tcPr>
          <w:p>
            <w:pPr>
              <w:spacing w:line="240" w:lineRule="auto" w:before="0" w:after="0"/>
              <w:pStyle w:val="Compact"/>
            </w:pPr>
            <w:r>
              <w:rPr>
                <w:sz w:val="20"/>
                <w:szCs w:val="20"/>
              </w:rPr>
              <w:t xml:space="preserve">Calendar year in which the project’s original cost and schedule baseline was approved. Thirteen values are read directly from the confirmation-year column of GAO-19-262SP Table 2; three (Roman, OSAM-1, SPHEREx) from GAO-21-306 Table 3, which identifies them as first-year baseline reporters; two (IMAP, VIPER) from GAO-22-105212 Appendix V and GAO-21-306 narrative. Four values (Psyche, Europa Clipper, PACE, Solar Electric Propulsion) are bracketed as illustrative: GAO documents place each in formulation as of the 2019 assessment and baselined as of the 2021 assessment, which bounds but does not fix the year.</w:t>
            </w:r>
          </w:p>
        </w:tc>
        <w:tc>
          <w:tcPr>
            <w:tcW w:w="0" w:type="auto"/>
          </w:tcPr>
          <w:p>
            <w:pPr>
              <w:spacing w:line="240" w:lineRule="auto" w:before="0" w:after="0"/>
              <w:pStyle w:val="Compact"/>
            </w:pPr>
            <w:r>
              <w:rPr>
                <w:sz w:val="20"/>
                <w:szCs w:val="20"/>
              </w:rPr>
              <w:t xml:space="preserve">GAO-19-262SP Tables 1 and 2; GAO-21-306 Tables 2 and 3; GAO-22-105212 Appendix V</w:t>
            </w:r>
          </w:p>
        </w:tc>
      </w:tr>
      <w:tr>
        <w:tc>
          <w:tcPr>
            <w:tcW w:w="0" w:type="auto"/>
          </w:tcPr>
          <w:p>
            <w:pPr>
              <w:spacing w:line="240" w:lineRule="auto" w:before="0" w:after="0"/>
              <w:pStyle w:val="Compact"/>
            </w:pPr>
            <w:r>
              <w:rPr>
                <w:sz w:val="20"/>
                <w:szCs w:val="20"/>
              </w:rPr>
              <w:t xml:space="preserve">human_spaceflight</w:t>
            </w:r>
          </w:p>
        </w:tc>
        <w:tc>
          <w:tcPr>
            <w:tcW w:w="0" w:type="auto"/>
          </w:tcPr>
          <w:p>
            <w:pPr>
              <w:spacing w:line="240" w:lineRule="auto" w:before="0" w:after="0"/>
              <w:pStyle w:val="Compact"/>
            </w:pPr>
            <w:r>
              <w:rPr>
                <w:sz w:val="20"/>
                <w:szCs w:val="20"/>
              </w:rPr>
              <w:t xml:space="preserve">Binary indicator equal to 1 if GAO assigns the project to the Deep Space Exploration budget portfolio, that is, the crewed Artemis architecture (Orion, Space Launch System, Exploration Ground Systems), and 0 otherwise.</w:t>
            </w:r>
          </w:p>
        </w:tc>
        <w:tc>
          <w:tcPr>
            <w:tcW w:w="0" w:type="auto"/>
          </w:tcPr>
          <w:p>
            <w:pPr>
              <w:spacing w:line="240" w:lineRule="auto" w:before="0" w:after="0"/>
              <w:pStyle w:val="Compact"/>
            </w:pPr>
            <w:r>
              <w:rPr>
                <w:sz w:val="20"/>
                <w:szCs w:val="20"/>
              </w:rPr>
              <w:t xml:space="preserve">Budget Portfolio designations on the individual project pages of GAO-22-105212</w:t>
            </w:r>
          </w:p>
        </w:tc>
      </w:tr>
      <w:tr>
        <w:tc>
          <w:tcPr>
            <w:tcW w:w="0" w:type="auto"/>
          </w:tcPr>
          <w:p>
            <w:pPr>
              <w:spacing w:line="240" w:lineRule="auto" w:before="0" w:after="0"/>
              <w:pStyle w:val="Compact"/>
            </w:pPr>
            <w:r>
              <w:rPr>
                <w:sz w:val="20"/>
                <w:szCs w:val="20"/>
              </w:rPr>
              <w:t xml:space="preserve">baseline_dev_cost_musd</w:t>
            </w:r>
          </w:p>
        </w:tc>
        <w:tc>
          <w:tcPr>
            <w:tcW w:w="0" w:type="auto"/>
          </w:tcPr>
          <w:p>
            <w:pPr>
              <w:spacing w:line="240" w:lineRule="auto" w:before="0" w:after="0"/>
              <w:pStyle w:val="Compact"/>
            </w:pPr>
            <w:r>
              <w:rPr>
                <w:sz w:val="20"/>
                <w:szCs w:val="20"/>
              </w:rPr>
              <w:t xml:space="preserve">Original baseline development cost estimate in then-year millions of United States dollars, set at the project’s confirmation review.</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cost_overrun_musd</w:t>
            </w:r>
          </w:p>
        </w:tc>
        <w:tc>
          <w:tcPr>
            <w:tcW w:w="0" w:type="auto"/>
          </w:tcPr>
          <w:p>
            <w:pPr>
              <w:spacing w:line="240" w:lineRule="auto" w:before="0" w:after="0"/>
              <w:pStyle w:val="Compact"/>
            </w:pPr>
            <w:r>
              <w:rPr>
                <w:sz w:val="20"/>
                <w:szCs w:val="20"/>
              </w:rPr>
              <w:t xml:space="preserve">Cumulative development cost overrun against the original baseline, in then-year millions of United States dollars. Negative values denote underruns.</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schedule_slip_months</w:t>
            </w:r>
          </w:p>
        </w:tc>
        <w:tc>
          <w:tcPr>
            <w:tcW w:w="0" w:type="auto"/>
          </w:tcPr>
          <w:p>
            <w:pPr>
              <w:spacing w:line="240" w:lineRule="auto" w:before="0" w:after="0"/>
              <w:pStyle w:val="Compact"/>
            </w:pPr>
            <w:r>
              <w:rPr>
                <w:sz w:val="20"/>
                <w:szCs w:val="20"/>
              </w:rPr>
              <w:t xml:space="preserve">Cumulative launch or milestone delay against the original baseline schedule, in months. Negative values denote earlier than baselined dates.</w:t>
            </w:r>
          </w:p>
        </w:tc>
        <w:tc>
          <w:tcPr>
            <w:tcW w:w="0" w:type="auto"/>
          </w:tcPr>
          <w:p>
            <w:pPr>
              <w:spacing w:line="240" w:lineRule="auto" w:before="0" w:after="0"/>
              <w:pStyle w:val="Compact"/>
            </w:pPr>
            <w:r>
              <w:rPr>
                <w:sz w:val="20"/>
                <w:szCs w:val="20"/>
              </w:rPr>
              <w:t xml:space="preserve">GAO-22-105212 Table 6; GAO-21-306 Table 2</w:t>
            </w:r>
          </w:p>
        </w:tc>
      </w:tr>
      <w:tr>
        <w:tc>
          <w:tcPr>
            <w:tcW w:w="0" w:type="auto"/>
          </w:tcPr>
          <w:p>
            <w:pPr>
              <w:spacing w:line="240" w:lineRule="auto" w:before="0" w:after="0"/>
              <w:pStyle w:val="Compact"/>
            </w:pPr>
            <w:r>
              <w:rPr>
                <w:sz w:val="20"/>
                <w:szCs w:val="20"/>
              </w:rPr>
              <w:t xml:space="preserve">program</w:t>
            </w:r>
          </w:p>
        </w:tc>
        <w:tc>
          <w:tcPr>
            <w:tcW w:w="0" w:type="auto"/>
          </w:tcPr>
          <w:p>
            <w:pPr>
              <w:spacing w:line="240" w:lineRule="auto" w:before="0" w:after="0"/>
              <w:pStyle w:val="Compact"/>
            </w:pPr>
            <w:r>
              <w:rPr>
                <w:sz w:val="20"/>
                <w:szCs w:val="20"/>
              </w:rPr>
              <w:t xml:space="preserve">Name of the NASA major project (life-cycle cost above 250 million dollars) as reported by GAO.</w:t>
            </w:r>
          </w:p>
        </w:tc>
        <w:tc>
          <w:tcPr>
            <w:tcW w:w="0" w:type="auto"/>
          </w:tcPr>
          <w:p>
            <w:pPr>
              <w:spacing w:line="240" w:lineRule="auto" w:before="0" w:after="0"/>
              <w:pStyle w:val="Compact"/>
            </w:pPr>
            <w:r>
              <w:rPr>
                <w:sz w:val="20"/>
                <w:szCs w:val="20"/>
              </w:rPr>
              <w:t xml:space="preserve">GAO-22-105212; GAO-21-306</w:t>
            </w:r>
          </w:p>
        </w:tc>
      </w:tr>
      <w:tr>
        <w:tc>
          <w:tcPr>
            <w:tcW w:w="0" w:type="auto"/>
          </w:tcPr>
          <w:p>
            <w:pPr>
              <w:spacing w:line="240" w:lineRule="auto" w:before="0" w:after="0"/>
              <w:pStyle w:val="Compact"/>
            </w:pPr>
            <w:r>
              <w:rPr>
                <w:sz w:val="20"/>
                <w:szCs w:val="20"/>
              </w:rPr>
              <w:t xml:space="preserve">agency</w:t>
            </w:r>
          </w:p>
        </w:tc>
        <w:tc>
          <w:tcPr>
            <w:tcW w:w="0" w:type="auto"/>
          </w:tcPr>
          <w:p>
            <w:pPr>
              <w:spacing w:line="240" w:lineRule="auto" w:before="0" w:after="0"/>
              <w:pStyle w:val="Compact"/>
            </w:pPr>
            <w:r>
              <w:rPr>
                <w:sz w:val="20"/>
                <w:szCs w:val="20"/>
              </w:rPr>
              <w:t xml:space="preserve">Sponsoring agency for the project. All twenty-two observations are NASA major projects, so the national space-effort measure varies only through the year of baseline commitment.</w:t>
            </w:r>
          </w:p>
        </w:tc>
        <w:tc>
          <w:tcPr>
            <w:tcW w:w="0" w:type="auto"/>
          </w:tcPr>
          <w:p>
            <w:pPr>
              <w:spacing w:line="240" w:lineRule="auto" w:before="0" w:after="0"/>
              <w:pStyle w:val="Compact"/>
            </w:pPr>
            <w:r>
              <w:rPr>
                <w:sz w:val="20"/>
                <w:szCs w:val="20"/>
              </w:rPr>
              <w:t xml:space="preserve">GAO-22-105212; GAO-21-306</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for each row, the specific GAO table supplying the cost and schedule values, the specific GAO document supplying the baseline year, and the macroeconomic series supplying budget and GDP.</w:t>
            </w:r>
          </w:p>
        </w:tc>
        <w:tc>
          <w:tcPr>
            <w:tcW w:w="0" w:type="auto"/>
          </w:tcPr>
          <w:p>
            <w:pPr>
              <w:spacing w:line="240" w:lineRule="auto" w:before="0" w:after="0"/>
              <w:pStyle w:val="Compact"/>
            </w:pPr>
            <w:r>
              <w:rPr>
                <w:sz w:val="20"/>
                <w:szCs w:val="20"/>
              </w:rPr>
              <w:t xml:space="preserve">Compiled by the author from [6][7][8][10][11]</w:t>
            </w:r>
          </w:p>
        </w:tc>
      </w:tr>
    </w:tbl>
    <w:bookmarkEnd w:id="293"/>
    <w:bookmarkEnd w:id="294"/>
    <w:bookmarkEnd w:id="295"/>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line="240" w:lineRule="auto"/>
      <w:ind w:left="380"/>
    </w:pPr>
    <w:rPr>
      <w:rFonts w:ascii="Arial" w:cs="Arial" w:eastAsia="Arial" w:hAnsi="Arial"/>
      <w:b/>
      <w:bCs/>
      <w:sz w:val="20"/>
      <w:szCs w:val="20"/>
    </w:rPr>
  </w:style>
  <w:style w:styleId="TOC2" w:type="paragraph">
    <w:name w:val="toc 2"/>
    <w:basedOn w:val="Normal"/>
    <w:uiPriority w:val="1"/>
    <w:qFormat/>
    <w:pPr>
      <w:spacing w:line="240" w:lineRule="auto"/>
      <w:ind w:left="620"/>
    </w:pPr>
    <w:rPr>
      <w:rFonts w:ascii="Arial" w:cs="Arial" w:eastAsia="Arial" w:hAnsi="Arial"/>
      <w:sz w:val="20"/>
      <w:szCs w:val="20"/>
    </w:rPr>
  </w:style>
  <w:style w:styleId="TOC3" w:type="paragraph">
    <w:name w:val="toc 3"/>
    <w:basedOn w:val="Normal"/>
    <w:uiPriority w:val="1"/>
    <w:qFormat/>
    <w:pPr>
      <w:spacing w:line="240" w:lineRule="auto"/>
      <w:ind w:left="620"/>
    </w:pPr>
    <w:rPr>
      <w:rFonts w:ascii="Arial" w:cs="Arial" w:eastAsia="Arial" w:hAnsi="Arial"/>
      <w:sz w:val="16"/>
      <w:szCs w:val="16"/>
    </w:rPr>
  </w:style>
  <w:style w:styleId="TOC4" w:type="paragraph">
    <w:name w:val="toc 4"/>
    <w:basedOn w:val="Normal"/>
    <w:uiPriority w:val="1"/>
    <w:qFormat/>
    <w:pPr>
      <w:spacing w:line="240" w:lineRule="auto"/>
      <w:ind w:left="620"/>
    </w:pPr>
    <w:rPr>
      <w:rFonts w:ascii="Arial" w:cs="Arial" w:eastAsia="Arial" w:hAnsi="Arial"/>
      <w:b/>
      <w:bCs/>
      <w:i/>
    </w:rPr>
  </w:style>
  <w:style w:styleId="TOC5" w:type="paragraph">
    <w:name w:val="toc 5"/>
    <w:basedOn w:val="Normal"/>
    <w:uiPriority w:val="1"/>
    <w:qFormat/>
    <w:pPr>
      <w:spacing w:line="240" w:lineRule="auto"/>
      <w:ind w:left="860"/>
    </w:pPr>
    <w:rPr>
      <w:rFonts w:ascii="Arial" w:cs="Arial" w:eastAsia="Arial" w:hAnsi="Arial"/>
      <w:i/>
      <w:sz w:val="20"/>
      <w:szCs w:val="20"/>
    </w:rPr>
  </w:style>
  <w:style w:styleId="BodyText" w:type="paragraph">
    <w:name w:val="Body Text"/>
    <w:basedOn w:val="Normal"/>
    <w:uiPriority w:val="1"/>
    <w:qFormat/>
    <w:pPr>
      <w:spacing w:line="480" w:lineRule="auto"/>
      <w:ind w:firstLine="72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60" Type="http://schemas.openxmlformats.org/officeDocument/2006/relationships/numbering" Target="numbering.xml"/><Relationship Id="rId59" Type="http://schemas.openxmlformats.org/officeDocument/2006/relationships/styles" Target="styles.xml"/><Relationship Id="rId58" Type="http://schemas.openxmlformats.org/officeDocument/2006/relationships/settings" Target="settings.xml"/><Relationship Id="rId57" Type="http://schemas.openxmlformats.org/officeDocument/2006/relationships/webSettings" Target="webSettings.xml"/><Relationship Id="rId56" Type="http://schemas.openxmlformats.org/officeDocument/2006/relationships/fontTable" Target="fontTable.xml"/><Relationship Id="rId55" Type="http://schemas.openxmlformats.org/officeDocument/2006/relationships/theme" Target="theme/theme1.xml"/><Relationship Id="rId54" Type="http://schemas.openxmlformats.org/officeDocument/2006/relationships/footnotes" Target="footnotes.xml"/><Relationship Id="rId53" Type="http://schemas.openxmlformats.org/officeDocument/2006/relationships/comments" Target="comment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image" Target="media/image13.png"/><Relationship Id="rId50" Type="http://schemas.openxmlformats.org/officeDocument/2006/relationships/image" Target="media/image23.png"/><Relationship Id="rId7" Type="http://schemas.openxmlformats.org/officeDocument/2006/relationships/footer" Target="footer1.xml"/><Relationship Id="rId16" Type="http://schemas.openxmlformats.org/officeDocument/2006/relationships/image" Target="media/image8.jpe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19" Type="http://schemas.openxmlformats.org/officeDocument/2006/relationships/image" Target="media/image11.png"/><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er" Target="footer2.xml"/><Relationship Id="rId51" Type="http://schemas.openxmlformats.org/officeDocument/2006/relationships/image" Target="media/image24.jpeg"/><Relationship Id="rId12" Type="http://schemas.openxmlformats.org/officeDocument/2006/relationships/image" Target="media/image4.png"/><Relationship Id="rId17" Type="http://schemas.openxmlformats.org/officeDocument/2006/relationships/image" Target="media/image9.png"/><Relationship Id="rId20" Type="http://schemas.openxmlformats.org/officeDocument/2006/relationships/image" Target="media/image12.png"/><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2.jpeg"/><Relationship Id="rId31" Type="http://schemas.openxmlformats.org/officeDocument/2006/relationships/image" Target="media/image22.png"/><Relationship Id="rId52" Type="http://schemas.openxmlformats.org/officeDocument/2006/relationships/image" Target="media/image25.jpeg"/><Relationship Id="rId256" Type="http://schemas.openxmlformats.org/officeDocument/2006/relationships/image" Target="media/rId256.png"/><Relationship Id="rId264" Type="http://schemas.openxmlformats.org/officeDocument/2006/relationships/image" Target="media/rId264.png"/><Relationship Id="rId272" Type="http://schemas.openxmlformats.org/officeDocument/2006/relationships/image" Target="media/rId272.png"/><Relationship Id="rId280" Type="http://schemas.openxmlformats.org/officeDocument/2006/relationships/image" Target="media/rId280.png"/><Relationship Id="rId288" Type="http://schemas.openxmlformats.org/officeDocument/2006/relationships/image" Target="media/rId288.png"/><Relationship Id="rId250" Type="http://schemas.openxmlformats.org/officeDocument/2006/relationships/hyperlink" Target="https://doi.org/10.1016/j.actaastro.2016.04.013" TargetMode="External"/><Relationship Id="rId246" Type="http://schemas.openxmlformats.org/officeDocument/2006/relationships/hyperlink" Target="https://doi.org/10.1016/j.actaastro.2018.07.003" TargetMode="External"/><Relationship Id="rId248" Type="http://schemas.openxmlformats.org/officeDocument/2006/relationships/hyperlink" Target="https://doi.org/10.1016/j.actaastro.2022.01.022" TargetMode="External"/><Relationship Id="rId240" Type="http://schemas.openxmlformats.org/officeDocument/2006/relationships/hyperlink" Target="https://doi.org/10.1016/j.actaastro.2025.04.039" TargetMode="External"/><Relationship Id="rId242" Type="http://schemas.openxmlformats.org/officeDocument/2006/relationships/hyperlink" Target="https://doi.org/10.1016/j.actaastro.2025.06.067" TargetMode="External"/><Relationship Id="rId252" Type="http://schemas.openxmlformats.org/officeDocument/2006/relationships/hyperlink" Target="https://doi.org/10.1016/j.actaastro.2026.01.045" TargetMode="External"/><Relationship Id="rId244" Type="http://schemas.openxmlformats.org/officeDocument/2006/relationships/hyperlink" Target="https://doi.org/10.1016/j.actaastro.2026.05.016" TargetMode="External"/><Relationship Id="rId238" Type="http://schemas.openxmlformats.org/officeDocument/2006/relationships/hyperlink" Target="https://doi.org/10.1016/j.actaastro.2026.05.039" TargetMode="External"/><Relationship Id="rId165" Type="http://schemas.openxmlformats.org/officeDocument/2006/relationships/hyperlink" Target="https://doi.org/10.1038/s41550-023-02173-9" TargetMode="External"/><Relationship Id="rId169" Type="http://schemas.openxmlformats.org/officeDocument/2006/relationships/hyperlink" Target="https://doi.org/10.1080/00396330701564752" TargetMode="External"/><Relationship Id="rId163" Type="http://schemas.openxmlformats.org/officeDocument/2006/relationships/hyperlink" Target="https://doi.org/10.1080/01402399908437759" TargetMode="External"/><Relationship Id="rId216" Type="http://schemas.openxmlformats.org/officeDocument/2006/relationships/hyperlink" Target="https://doi.org/10.1162/isec_a_00463" TargetMode="External"/><Relationship Id="rId176" Type="http://schemas.openxmlformats.org/officeDocument/2006/relationships/hyperlink" Target="https://doi.org/10.21105/joss.01317" TargetMode="External"/><Relationship Id="rId167" Type="http://schemas.openxmlformats.org/officeDocument/2006/relationships/hyperlink" Target="https://doi.org/10.21236/ada577439" TargetMode="External"/><Relationship Id="rId171" Type="http://schemas.openxmlformats.org/officeDocument/2006/relationships/hyperlink" Target="https://doi.org/10.3366/edinburgh/9781474450485.001.0001" TargetMode="External"/><Relationship Id="rId236" Type="http://schemas.openxmlformats.org/officeDocument/2006/relationships/hyperlink" Target="https://doi.org/10.64861/GBKE2290" TargetMode="External"/><Relationship Id="rId229" Type="http://schemas.openxmlformats.org/officeDocument/2006/relationships/hyperlink" Target="https://doi.org/10.64861/JJYC1058" TargetMode="External"/><Relationship Id="rId227" Type="http://schemas.openxmlformats.org/officeDocument/2006/relationships/hyperlink" Target="https://doi.org/10.64861/LPFK9568" TargetMode="External"/><Relationship Id="rId234" Type="http://schemas.openxmlformats.org/officeDocument/2006/relationships/hyperlink" Target="https://doi.org/10.64861/ODHM8354" TargetMode="External"/><Relationship Id="rId224" Type="http://schemas.openxmlformats.org/officeDocument/2006/relationships/hyperlink" Target="https://doi.org/10.64861/QARN5518" TargetMode="External"/><Relationship Id="rId232" Type="http://schemas.openxmlformats.org/officeDocument/2006/relationships/hyperlink" Target="https://doi.org/10.64861/WVJD1391" TargetMode="External"/></Relationships>
</file>

<file path=word/_rels/footnotes.xml.rels><?xml version='1.0' encoding='UTF-8' standalone='yes'?>
<Relationships xmlns="http://schemas.openxmlformats.org/package/2006/relationships"><Relationship Id="rId250" Type="http://schemas.openxmlformats.org/officeDocument/2006/relationships/hyperlink" Target="https://doi.org/10.1016/j.actaastro.2016.04.013" TargetMode="External"/><Relationship Id="rId246" Type="http://schemas.openxmlformats.org/officeDocument/2006/relationships/hyperlink" Target="https://doi.org/10.1016/j.actaastro.2018.07.003" TargetMode="External"/><Relationship Id="rId248" Type="http://schemas.openxmlformats.org/officeDocument/2006/relationships/hyperlink" Target="https://doi.org/10.1016/j.actaastro.2022.01.022" TargetMode="External"/><Relationship Id="rId240" Type="http://schemas.openxmlformats.org/officeDocument/2006/relationships/hyperlink" Target="https://doi.org/10.1016/j.actaastro.2025.04.039" TargetMode="External"/><Relationship Id="rId242" Type="http://schemas.openxmlformats.org/officeDocument/2006/relationships/hyperlink" Target="https://doi.org/10.1016/j.actaastro.2025.06.067" TargetMode="External"/><Relationship Id="rId252" Type="http://schemas.openxmlformats.org/officeDocument/2006/relationships/hyperlink" Target="https://doi.org/10.1016/j.actaastro.2026.01.045" TargetMode="External"/><Relationship Id="rId244" Type="http://schemas.openxmlformats.org/officeDocument/2006/relationships/hyperlink" Target="https://doi.org/10.1016/j.actaastro.2026.05.016" TargetMode="External"/><Relationship Id="rId238" Type="http://schemas.openxmlformats.org/officeDocument/2006/relationships/hyperlink" Target="https://doi.org/10.1016/j.actaastro.2026.05.039" TargetMode="External"/><Relationship Id="rId165" Type="http://schemas.openxmlformats.org/officeDocument/2006/relationships/hyperlink" Target="https://doi.org/10.1038/s41550-023-02173-9" TargetMode="External"/><Relationship Id="rId169" Type="http://schemas.openxmlformats.org/officeDocument/2006/relationships/hyperlink" Target="https://doi.org/10.1080/00396330701564752" TargetMode="External"/><Relationship Id="rId163" Type="http://schemas.openxmlformats.org/officeDocument/2006/relationships/hyperlink" Target="https://doi.org/10.1080/01402399908437759" TargetMode="External"/><Relationship Id="rId216" Type="http://schemas.openxmlformats.org/officeDocument/2006/relationships/hyperlink" Target="https://doi.org/10.1162/isec_a_00463" TargetMode="External"/><Relationship Id="rId176" Type="http://schemas.openxmlformats.org/officeDocument/2006/relationships/hyperlink" Target="https://doi.org/10.21105/joss.01317" TargetMode="External"/><Relationship Id="rId167" Type="http://schemas.openxmlformats.org/officeDocument/2006/relationships/hyperlink" Target="https://doi.org/10.21236/ada577439" TargetMode="External"/><Relationship Id="rId171" Type="http://schemas.openxmlformats.org/officeDocument/2006/relationships/hyperlink" Target="https://doi.org/10.3366/edinburgh/9781474450485.001.0001" TargetMode="External"/><Relationship Id="rId236" Type="http://schemas.openxmlformats.org/officeDocument/2006/relationships/hyperlink" Target="https://doi.org/10.64861/GBKE2290" TargetMode="External"/><Relationship Id="rId229" Type="http://schemas.openxmlformats.org/officeDocument/2006/relationships/hyperlink" Target="https://doi.org/10.64861/JJYC1058" TargetMode="External"/><Relationship Id="rId227" Type="http://schemas.openxmlformats.org/officeDocument/2006/relationships/hyperlink" Target="https://doi.org/10.64861/LPFK9568" TargetMode="External"/><Relationship Id="rId234" Type="http://schemas.openxmlformats.org/officeDocument/2006/relationships/hyperlink" Target="https://doi.org/10.64861/ODHM8354" TargetMode="External"/><Relationship Id="rId224" Type="http://schemas.openxmlformats.org/officeDocument/2006/relationships/hyperlink" Target="https://doi.org/10.64861/QARN5518" TargetMode="External"/><Relationship Id="rId232" Type="http://schemas.openxmlformats.org/officeDocument/2006/relationships/hyperlink" Target="https://doi.org/10.64861/WVJD1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Canon in Orbit: A Fifty-Thinker Matrix Mapping Historical Grand Strategy onto the Extended DIME, Legal, and Law-Enforcement Paradigm for Space Power</dc:title>
  <dc:creator>Mateo Mercer (1B-GST-233)</dc:creator>
  <cp:keywords/>
  <dcterms:created xsi:type="dcterms:W3CDTF">2026-07-29T15:17:50Z</dcterms:created>
  <dcterms:modified xsi:type="dcterms:W3CDTF">2026-07-29T15:17:50Z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2025-12-31</vt:lpwstr>
  </property>
  <property fmtid="{D5CDD505-2E9C-101B-9397-08002B2CF9AE}" pid="6" name="engines">
    <vt:lpwstr/>
  </property>
  <property fmtid="{D5CDD505-2E9C-101B-9397-08002B2CF9AE}" pid="7" name="execute">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toc-title">
    <vt:lpwstr>Table of contents</vt:lpwstr>
  </property>
</Properties>
</file>