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INSTITUTIONAL ISOMORPHISM ACROSS SPACE AGENCIES: DO NEW SPACE ORGANIZATIONS COPY</w:t>
      </w:r>
    </w:p>
    <w:p>
      <w:pPr>
        <w:jc w:val="center"/>
      </w:pPr>
    </w:p>
    <w:p>
      <w:pPr>
        <w:jc w:val="center"/>
      </w:pPr>
      <w:r>
        <w:rPr>
          <w:rFonts w:ascii="Times New Roman" w:hAnsi="Times New Roman"/>
          <w:sz w:val="24"/>
        </w:rPr>
        <w:t>by</w:t>
      </w:r>
    </w:p>
    <w:p>
      <w:pPr>
        <w:jc w:val="center"/>
      </w:pPr>
      <w:r>
        <w:rPr>
          <w:rFonts w:ascii="Times New Roman" w:hAnsi="Times New Roman"/>
          <w:b/>
          <w:sz w:val="28"/>
        </w:rPr>
        <w:t>Dimitri Aziz</w:t>
      </w:r>
    </w:p>
    <w:p>
      <w:pPr>
        <w:jc w:val="center"/>
      </w:pPr>
      <w:r>
        <w:rPr>
          <w:rFonts w:ascii="Times New Roman" w:hAnsi="Times New Roman"/>
          <w:sz w:val="24"/>
        </w:rPr>
        <w:t>1B-MPM-122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
    <w:p>
      <w:pPr>
        <w:pStyle w:val="Heading2"/>
        <w:spacing w:line="480" w:lineRule="auto"/>
      </w:pPr>
      <w:r>
        <w:t xml:space="preserve">1.1 The Problem</w:t>
      </w:r>
    </w:p>
    <w:p>
      <w:pPr>
        <w:pStyle w:val="FirstParagraph"/>
        <w:spacing w:line="480" w:lineRule="auto"/>
      </w:pPr>
      <w:r>
        <w:t xml:space="preserve">No period in the history of the space sector has produced organizational foundings at the rate of the post-2000 expansion.</w:t>
      </w:r>
    </w:p>
    <w:p>
      <w:pPr>
        <w:pStyle w:val="BodyText"/>
        <w:spacing w:line="480" w:lineRule="auto"/>
        <w:ind w:firstLine="720"/>
      </w:pPr>
      <w:r>
        <w:t xml:space="preserve">More than two dozen states stood up dedicated civil space agencies after the turn of the century. The United Kingdom Space Agency and the Australian Space Agency sit in that cohort alongside the United Arab Emirates Space Agency, the Turkish Space Agency, and the Rwanda Space Agency, and each of them came into being under political, fiscal, and industrial conditions that shared almost nothing. What the founders shared was not circumstance. It was the shape of what they built. For all the heterogeneity of setting, the resulting organizational forms resemble one another, and they resemble a small set of incumbent templates anchored by the National Aeronautics and Space Administration, the European Space Agency, the Japan Aerospace Exploration Agency, the Indian Space Research Organisation, the China National Space Administration, and Roscosmos. Founding charters keep returning to the same pattern of program-office architecture, acquisition pathways, and governance instruments, and that pattern tracks the templates of exactly those incumbents that had hosted training exchanges, cooperation agreements, or capacity-building programs with the new entrants in the years before they were founded.</w:t>
      </w:r>
    </w:p>
    <w:p>
      <w:pPr>
        <w:pStyle w:val="BodyText"/>
        <w:spacing w:line="480" w:lineRule="auto"/>
        <w:ind w:firstLine="720"/>
      </w:pPr>
      <w:r>
        <w:t xml:space="preserve">Suppose the clustering is real rather than an artifact of how charters get written.</w:t>
      </w:r>
    </w:p>
    <w:p>
      <w:pPr>
        <w:pStyle w:val="BodyText"/>
        <w:spacing w:line="480" w:lineRule="auto"/>
        <w:ind w:firstLine="720"/>
      </w:pPr>
      <w:r>
        <w:t xml:space="preserve">Then it carries a substantive consequence. It would mean that the global execution capacity of civil space is being shaped by template copying rather than by fitness to local mission. The Acta Astronautica governance literature has documented that the sector is transitioning from Legacy Space to New Space models at the ecosystem level, and that agencies adapt to that transition at uneven rates</w:t>
      </w:r>
      <w:r>
        <w:t xml:space="preserve"> </w:t>
      </w:r>
      <w:hyperlink w:anchor="ref-1">
        <w:r>
          <w:rPr>
            <w:rStyle w:val="Hyperlink"/>
          </w:rPr>
          <w:t xml:space="preserve">[1]</w:t>
        </w:r>
      </w:hyperlink>
      <w:r>
        <w:t xml:space="preserve"> </w:t>
      </w:r>
      <w:hyperlink w:anchor="ref-7">
        <w:r>
          <w:rPr>
            <w:rStyle w:val="Hyperlink"/>
          </w:rPr>
          <w:t xml:space="preserve">[7]</w:t>
        </w:r>
      </w:hyperlink>
      <w:r>
        <w:t xml:space="preserve">. Adjacent industrial-organization work in the Earth-observation segment has flagged convergence pressures on system providers without formalizing them as isomorphism tests</w:t>
      </w:r>
      <w:r>
        <w:t xml:space="preserve"> </w:t>
      </w:r>
      <w:hyperlink w:anchor="ref-3">
        <w:r>
          <w:rPr>
            <w:rStyle w:val="Hyperlink"/>
          </w:rPr>
          <w:t xml:space="preserve">[3]</w:t>
        </w:r>
      </w:hyperlink>
      <w:r>
        <w:t xml:space="preserve">. Open-innovation studies of European space organisations show that even reform-minded agencies hold onto inherited procedural commitments tied to their historical patronage networks</w:t>
      </w:r>
      <w:r>
        <w:t xml:space="preserve"> </w:t>
      </w:r>
      <w:hyperlink w:anchor="ref-6">
        <w:r>
          <w:rPr>
            <w:rStyle w:val="Hyperlink"/>
          </w:rPr>
          <w:t xml:space="preserve">[6]</w:t>
        </w:r>
      </w:hyperlink>
      <w:r>
        <w:t xml:space="preserve">. Work on ambidexterity in aerospace organisations shows legacy program-office structures continuing to shape innovation capacity long after new mandates are layered on top</w:t>
      </w:r>
      <w:r>
        <w:t xml:space="preserve"> </w:t>
      </w:r>
      <w:hyperlink w:anchor="ref-8">
        <w:r>
          <w:rPr>
            <w:rStyle w:val="Hyperlink"/>
          </w:rPr>
          <w:t xml:space="preserve">[8]</w:t>
        </w:r>
      </w:hyperlink>
      <w:r>
        <w:t xml:space="preserve">. Outreach work on space traffic management demonstrates that template diffusion across agencies runs through sustained bilateral cooperation channels</w:t>
      </w:r>
      <w:r>
        <w:t xml:space="preserve"> </w:t>
      </w:r>
      <w:hyperlink w:anchor="ref-9">
        <w:r>
          <w:rPr>
            <w:rStyle w:val="Hyperlink"/>
          </w:rPr>
          <w:t xml:space="preserve">[9]</w:t>
        </w:r>
      </w:hyperlink>
      <w:r>
        <w:t xml:space="preserve"> </w:t>
      </w:r>
      <w:hyperlink w:anchor="ref-28">
        <w:r>
          <w:rPr>
            <w:rStyle w:val="Hyperlink"/>
          </w:rPr>
          <w:t xml:space="preserve">[28]</w:t>
        </w:r>
      </w:hyperlink>
      <w:r>
        <w:t xml:space="preserve">. Not one of these literatures asks the question this dissertation asks directly. Do new entrants converge on incumbent templates at a rate higher than independent design would produce, and does tenure under an inherited template carry measurable performance consequences for the missions those new agencies execute?</w:t>
      </w:r>
    </w:p>
    <w:bookmarkEnd w:id="61"/>
    <w:bookmarkStart w:id="62" w:name="why-the-stakes-bear-on-nasa-and-jpl"/>
    <w:p>
      <w:pPr>
        <w:pStyle w:val="Heading2"/>
        <w:spacing w:line="480" w:lineRule="auto"/>
      </w:pPr>
      <w:r>
        <w:t xml:space="preserve">1.2 Why the Stakes Bear on NASA and JPL</w:t>
      </w:r>
    </w:p>
    <w:p>
      <w:pPr>
        <w:pStyle w:val="FirstParagraph"/>
        <w:spacing w:line="480" w:lineRule="auto"/>
      </w:pPr>
      <w:r>
        <w:t xml:space="preserve">Three connected threads concentrate the stakes at NASA and at the Jet Propulsion Laboratory.</w:t>
      </w:r>
    </w:p>
    <w:p>
      <w:pPr>
        <w:pStyle w:val="BodyText"/>
        <w:spacing w:line="480" w:lineRule="auto"/>
        <w:ind w:firstLine="720"/>
      </w:pPr>
      <w:r>
        <w:t xml:space="preserve">Consider first that NASA is one of the small number of incumbent templates the post-2000 cohort appears to be copying. The MITRE and Aspen Institute whole-of-nation framing makes the U.S. comparator structure explicit and names the program-office, acquisition-pathway, and governance-instrument features that constitute the incumbent form</w:t>
      </w:r>
      <w:r>
        <w:t xml:space="preserve"> </w:t>
      </w:r>
      <w:hyperlink w:anchor="ref-2">
        <w:r>
          <w:rPr>
            <w:rStyle w:val="Hyperlink"/>
          </w:rPr>
          <w:t xml:space="preserve">[2]</w:t>
        </w:r>
      </w:hyperlink>
      <w:r>
        <w:t xml:space="preserve"> </w:t>
      </w:r>
      <w:hyperlink w:anchor="ref-4">
        <w:r>
          <w:rPr>
            <w:rStyle w:val="Hyperlink"/>
          </w:rPr>
          <w:t xml:space="preserve">[4]</w:t>
        </w:r>
      </w:hyperlink>
      <w:r>
        <w:t xml:space="preserve">. Should the post-2000 cohort in fact mimic the NASA template, it inherits both what NASA does well and the execution pathologies NASA carries. Those pathologies are on the record. Year after year, the Government Accountability Office’s NASA major-project assessments record persistent cost growth and schedule slippage across the portfolio</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Should those pathologies travel with the template, the global civil space enterprise stands to inherit them at the very moment it is asked to absorb a transition to New Space execution forms.</w:t>
      </w:r>
    </w:p>
    <w:p>
      <w:pPr>
        <w:pStyle w:val="BodyText"/>
        <w:spacing w:line="480" w:lineRule="auto"/>
        <w:ind w:firstLine="720"/>
      </w:pPr>
      <w:r>
        <w:t xml:space="preserve">The Jet Propulsion Laboratory enters the picture for a second reason. JPL is where many of the program-office practices that other agencies most directly observe and emulate get formalised. Its flight-project organisational forms show up in agency training materials, in the bilateral cooperation summaries circulated to UNOOSA, and in the public technical documentation of the deep-space missions that new agencies have used as referents when setting up planetary-exploration programs of their own. A new lunar entrant that benchmarks against a mission such as the Smart Lander for Investigating Moon</w:t>
      </w:r>
      <w:r>
        <w:t xml:space="preserve"> </w:t>
      </w:r>
      <w:hyperlink w:anchor="ref-24">
        <w:r>
          <w:rPr>
            <w:rStyle w:val="Hyperlink"/>
          </w:rPr>
          <w:t xml:space="preserve">[24]</w:t>
        </w:r>
      </w:hyperlink>
      <w:r>
        <w:t xml:space="preserve">, or a new oxygen-extraction program that references regolith-pyrolysis chemistry of the kind documented in recent flight-precursor work</w:t>
      </w:r>
      <w:r>
        <w:t xml:space="preserve"> </w:t>
      </w:r>
      <w:hyperlink w:anchor="ref-22">
        <w:r>
          <w:rPr>
            <w:rStyle w:val="Hyperlink"/>
          </w:rPr>
          <w:t xml:space="preserve">[22]</w:t>
        </w:r>
      </w:hyperlink>
      <w:r>
        <w:t xml:space="preserve">, picks up project-organisational templates alongside the technical referent, and those templates are typically of NASA and JPL provenance. Testing cleanly whether template copying is real, and whether tenure under inherited templates carries cost-growth consequences, therefore bears directly on JPL’s posture in the international landscape and on the recompete environment in which its role as a federally funded research and development centre is contested.</w:t>
      </w:r>
    </w:p>
    <w:p>
      <w:pPr>
        <w:pStyle w:val="BodyText"/>
        <w:spacing w:line="480" w:lineRule="auto"/>
        <w:ind w:firstLine="720"/>
      </w:pPr>
      <w:r>
        <w:t xml:space="preserve">The third thread runs to portfolio governance, and it is immediate. If template tenure under an inherited acquisition form is associated with cost growth on cross-agency space projects, then NASA’s own template renewal cycles matter beyond NASA’s domestic portfolio. They matter for the agencies abroad that inherited the NASA template and that now serve as the partners with whom NASA executes flagship-class collaborations. Reforming its own surface will not, on its own, drive improved performance in the joint missions that increasingly define the next decade of civil space.</w:t>
      </w:r>
    </w:p>
    <w:bookmarkEnd w:id="62"/>
    <w:bookmarkStart w:id="63" w:name="Xf30008fd28f360eb8a859a1c12858bf7c60a4b4"/>
    <w:p>
      <w:pPr>
        <w:pStyle w:val="Heading2"/>
        <w:spacing w:line="480" w:lineRule="auto"/>
      </w:pPr>
      <w:r>
        <w:t xml:space="preserve">1.3 The Gap Between the Domain Literature and the Econometric Method Literature</w:t>
      </w:r>
    </w:p>
    <w:p>
      <w:pPr>
        <w:pStyle w:val="FirstParagraph"/>
        <w:spacing w:line="480" w:lineRule="auto"/>
      </w:pPr>
      <w:r>
        <w:t xml:space="preserve">Between the literature that knows the space domain and the literature that knows the method for this question lies a clear and instructive gap. Domain scholarship characterises governance transitions in qualitative or thematic registers. Zancan and colleagues describe the Legacy to New Space transition at the ecosystem level and note differential adaptation across actors</w:t>
      </w:r>
      <w:r>
        <w:t xml:space="preserve"> </w:t>
      </w:r>
      <w:hyperlink w:anchor="ref-1">
        <w:r>
          <w:rPr>
            <w:rStyle w:val="Hyperlink"/>
          </w:rPr>
          <w:t xml:space="preserve">[1]</w:t>
        </w:r>
      </w:hyperlink>
      <w:r>
        <w:t xml:space="preserve"> </w:t>
      </w:r>
      <w:hyperlink w:anchor="ref-7">
        <w:r>
          <w:rPr>
            <w:rStyle w:val="Hyperlink"/>
          </w:rPr>
          <w:t xml:space="preserve">[7]</w:t>
        </w:r>
      </w:hyperlink>
      <w:r>
        <w:t xml:space="preserve">, and a recent extension of that line theorises the micro-foundations of product-service strategies in Earth observation through a getting-things-done versus doing-the-right-things lens</w:t>
      </w:r>
      <w:r>
        <w:t xml:space="preserve"> </w:t>
      </w:r>
      <w:hyperlink w:anchor="ref-21">
        <w:r>
          <w:rPr>
            <w:rStyle w:val="Hyperlink"/>
          </w:rPr>
          <w:t xml:space="preserve">[21]</w:t>
        </w:r>
      </w:hyperlink>
      <w:r>
        <w:t xml:space="preserve">. Denis and colleagues map system-level disruptions in Earth observation through scenario analysis</w:t>
      </w:r>
      <w:r>
        <w:t xml:space="preserve"> </w:t>
      </w:r>
      <w:hyperlink w:anchor="ref-3">
        <w:r>
          <w:rPr>
            <w:rStyle w:val="Hyperlink"/>
          </w:rPr>
          <w:t xml:space="preserve">[3]</w:t>
        </w:r>
      </w:hyperlink>
      <w:r>
        <w:t xml:space="preserve">. Van Burg and colleagues catalogue open-innovation practices in the European space sector through case studies</w:t>
      </w:r>
      <w:r>
        <w:t xml:space="preserve"> </w:t>
      </w:r>
      <w:hyperlink w:anchor="ref-6">
        <w:r>
          <w:rPr>
            <w:rStyle w:val="Hyperlink"/>
          </w:rPr>
          <w:t xml:space="preserve">[6]</w:t>
        </w:r>
      </w:hyperlink>
      <w:r>
        <w:t xml:space="preserve">. Joseph and Wood examine ambidexterity in aerospace organisations through structured comparative analysis</w:t>
      </w:r>
      <w:r>
        <w:t xml:space="preserve"> </w:t>
      </w:r>
      <w:hyperlink w:anchor="ref-8">
        <w:r>
          <w:rPr>
            <w:rStyle w:val="Hyperlink"/>
          </w:rPr>
          <w:t xml:space="preserve">[8]</w:t>
        </w:r>
      </w:hyperlink>
      <w:r>
        <w:t xml:space="preserve">. The whole-of-nation framework offered by MITRE and the Aspen Institute reasons through institutional design rather than estimating institutional outcomes</w:t>
      </w:r>
      <w:r>
        <w:t xml:space="preserve"> </w:t>
      </w:r>
      <w:hyperlink w:anchor="ref-2">
        <w:r>
          <w:rPr>
            <w:rStyle w:val="Hyperlink"/>
          </w:rPr>
          <w:t xml:space="preserve">[2]</w:t>
        </w:r>
      </w:hyperlink>
      <w:r>
        <w:t xml:space="preserve"> </w:t>
      </w:r>
      <w:hyperlink w:anchor="ref-4">
        <w:r>
          <w:rPr>
            <w:rStyle w:val="Hyperlink"/>
          </w:rPr>
          <w:t xml:space="preserve">[4]</w:t>
        </w:r>
      </w:hyperlink>
      <w:r>
        <w:t xml:space="preserve">. Governance work on space debris and on sustainability ratings does the same. The Polish national-law analysis</w:t>
      </w:r>
      <w:r>
        <w:t xml:space="preserve"> </w:t>
      </w:r>
      <w:hyperlink w:anchor="ref-16">
        <w:r>
          <w:rPr>
            <w:rStyle w:val="Hyperlink"/>
          </w:rPr>
          <w:t xml:space="preserve">[16]</w:t>
        </w:r>
      </w:hyperlink>
      <w:r>
        <w:t xml:space="preserve">, the Montreal Protocol lessons-learned study</w:t>
      </w:r>
      <w:r>
        <w:t xml:space="preserve"> </w:t>
      </w:r>
      <w:hyperlink w:anchor="ref-17">
        <w:r>
          <w:rPr>
            <w:rStyle w:val="Hyperlink"/>
          </w:rPr>
          <w:t xml:space="preserve">[17]</w:t>
        </w:r>
      </w:hyperlink>
      <w:r>
        <w:t xml:space="preserve">, the civil space situational awareness options evaluation</w:t>
      </w:r>
      <w:r>
        <w:t xml:space="preserve"> </w:t>
      </w:r>
      <w:hyperlink w:anchor="ref-19">
        <w:r>
          <w:rPr>
            <w:rStyle w:val="Hyperlink"/>
          </w:rPr>
          <w:t xml:space="preserve">[19]</w:t>
        </w:r>
      </w:hyperlink>
      <w:r>
        <w:t xml:space="preserve">, the legacy-application modernisation refactoring proposal</w:t>
      </w:r>
      <w:r>
        <w:t xml:space="preserve"> </w:t>
      </w:r>
      <w:hyperlink w:anchor="ref-18">
        <w:r>
          <w:rPr>
            <w:rStyle w:val="Hyperlink"/>
          </w:rPr>
          <w:t xml:space="preserve">[18]</w:t>
        </w:r>
      </w:hyperlink>
      <w:r>
        <w:t xml:space="preserve">, the reference-scenarios development work for space environment modelling</w:t>
      </w:r>
      <w:r>
        <w:t xml:space="preserve"> </w:t>
      </w:r>
      <w:hyperlink w:anchor="ref-13">
        <w:r>
          <w:rPr>
            <w:rStyle w:val="Hyperlink"/>
          </w:rPr>
          <w:t xml:space="preserve">[13]</w:t>
        </w:r>
      </w:hyperlink>
      <w:r>
        <w:t xml:space="preserve">, and the contributions of SSA data to a space sustainability rating</w:t>
      </w:r>
      <w:r>
        <w:t xml:space="preserve"> </w:t>
      </w:r>
      <w:hyperlink w:anchor="ref-15">
        <w:r>
          <w:rPr>
            <w:rStyle w:val="Hyperlink"/>
          </w:rPr>
          <w:t xml:space="preserve">[15]</w:t>
        </w:r>
      </w:hyperlink>
      <w:r>
        <w:t xml:space="preserve"> </w:t>
      </w:r>
      <w:r>
        <w:t xml:space="preserve">all reason in qualitative, scenario-based, or option-evaluation registers. None of them tests whether new entrants converge on incumbent templates or diverge from them. None estimates the magnitude of the association between template features, patronage ties, and observable mission-execution outcomes.</w:t>
      </w:r>
    </w:p>
    <w:p>
      <w:pPr>
        <w:pStyle w:val="BodyText"/>
        <w:spacing w:line="480" w:lineRule="auto"/>
        <w:ind w:firstLine="720"/>
      </w:pPr>
      <w:r>
        <w:t xml:space="preserve">Turn to the econometric method literature and the situation inverts. It has well-developed tools for exactly the question the domain literature has left untested. Binary logistic regression is the standard estimator when the outcome is a discrete adoption decision conditional on a small covariate set. Ordinary least squares with heteroskedasticity-consistent standard errors is standard when the outcome is a continuous performance variable such as percent cost growth from baseline. Permutation baselines are the right inference tool when the universe of interest is small and asymptotic theory cannot be relied upon. These tools have simply never been brought into contact with the founding-cohort data that the post-2000 wave makes available. Part of the reason is that the domain literature has not framed the question so that it invites estimation. Part of it is that the relevant data sit scattered across founding charters, organic statutes, organisation charts, GAO assessments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UNOOSA bilateral-agreement registries</w:t>
      </w:r>
      <w:r>
        <w:t xml:space="preserve"> </w:t>
      </w:r>
      <w:hyperlink w:anchor="ref-5">
        <w:r>
          <w:rPr>
            <w:rStyle w:val="Hyperlink"/>
          </w:rPr>
          <w:t xml:space="preserve">[5]</w:t>
        </w:r>
      </w:hyperlink>
      <w:r>
        <w:t xml:space="preserve">, and agency press kits, and assembling them takes domain knowledge.</w:t>
      </w:r>
    </w:p>
    <w:p>
      <w:pPr>
        <w:pStyle w:val="BodyText"/>
        <w:spacing w:line="480" w:lineRule="auto"/>
        <w:ind w:firstLine="720"/>
      </w:pPr>
      <w:r>
        <w:t xml:space="preserve">So the gap is neither a gap of theory nor a gap of method. It is a gap of contact. The domain literature has the theory. The method literature has the estimators. No prior study has assembled the data and applied the estimators to test whether the theory holds in the post-2000 cohort. This dissertation closes that gap.</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Stated precisely, the single falsifiable contribution of the dissertation is this. It provides a quantitative estimate of the rate at which post-2000 national space agencies adopt structural features of a small set of incumbent templates, conditional on founding date, regional patronage, and industrial base, together with a quantitative estimate of the association between tenure under an inherited program-office template and percent cost growth on cross-agency space projects, conditional on patronage-tie strength and prime-contractor structure. Both components take the form of falsifiable hypotheses. The adoption hypothesis, designated H1a, holds that the structural similarity between a new agency and its nearest incumbent template, measured on a vector of program-office, acquisition-pathway, and governance-instrument features, exceeds the similarity expected under independent design drawn from the observed feature distribution, with the excess concentrated on agencies that share a patronage tie with the incumbent in question. Its null, H0a, holds that the observed similarity is statistically indistinguishable from the independent-design baseline. The performance hypothesis, designated H1b, holds that conditional on patronage-tie strength and prime-contractor structure, longer tenure under a copied or inherited program-office template is associated with higher percent cost growth on cross-agency space projects. Its null, H0b, holds that template tenure carries no association with cost growth once patronage-tie strength and prime-contractor structure are accounted for.</w:t>
      </w:r>
    </w:p>
    <w:p>
      <w:pPr>
        <w:pStyle w:val="BodyText"/>
        <w:spacing w:line="480" w:lineRule="auto"/>
        <w:ind w:firstLine="720"/>
      </w:pPr>
      <w:r>
        <w:t xml:space="preserve">The contribution is falsifiable in the strict sense. Both nulls are statable, both can be tested against the data the dissertation assembles, and both can in principle be retained. A reader who reaches the end with no evidence sufficient to reject either null is entitled to conclude that the copying claim is unsupported. The dissertation promises no rejection. It promises a precisely framed test.</w:t>
      </w:r>
    </w:p>
    <w:p>
      <w:pPr>
        <w:pStyle w:val="BodyText"/>
        <w:spacing w:line="480" w:lineRule="auto"/>
        <w:ind w:firstLine="720"/>
      </w:pPr>
      <w:r>
        <w:t xml:space="preserve">Here is where the two empirical papers land, summarised as part of the roadmap. The first executes the adoption test through a binary logistic regression on thirty observations and reports a positive but statistically insignificant patronage coefficient, with a p-value near 0.45 and a McFadden pseudo-R-squared near eleven percent. The second executes the performance test through ordinary least squares on thirty-six cross-agency projects and reports a template-tenure coefficient of 3.68 percentage points per year with a p-value of 0.002, an R-squared of 0.59, and an adjusted R-squared of 0.55. What the dissertation contributes is the package, not either paper alone. The adoption test cannot reject the null at conventional levels in a small sample, yet the direction of the patronage estimate is consistent with H1a. The performance test rejects H0b at the one-percent level and identifies template tenure, rather than the binary fact of copying, as the operative variable. Together the two papers describe a sharpened version of the isomorphism story: the act of copying is hard to detect statistically in the small cohort, but the cost-performance consequence of living under a copied template for many years is detectable and substantial.</w:t>
      </w:r>
    </w:p>
    <w:bookmarkEnd w:id="64"/>
    <w:bookmarkStart w:id="65" w:name="X2f31c03ed00777a6848705ba4d12960bec8fbc7"/>
    <w:p>
      <w:pPr>
        <w:pStyle w:val="Heading2"/>
        <w:spacing w:line="480" w:lineRule="auto"/>
      </w:pPr>
      <w:r>
        <w:t xml:space="preserve">1.5 Scope and What This Dissertation Does Not Claim</w:t>
      </w:r>
    </w:p>
    <w:p>
      <w:pPr>
        <w:pStyle w:val="FirstParagraph"/>
        <w:spacing w:line="480" w:lineRule="auto"/>
      </w:pPr>
      <w:r>
        <w:t xml:space="preserve">Deliberate bounds discipline the scope. In the adoption test the unit of analysis is the national civil space agency; in the performance test it is the cross-agency space project. The dissertation does not estimate effects on commercial actors. It does not test isomorphism at the level of subsystem engineering choices such as launch-vehicle lineage</w:t>
      </w:r>
      <w:r>
        <w:t xml:space="preserve"> </w:t>
      </w:r>
      <w:hyperlink w:anchor="ref-22">
        <w:r>
          <w:rPr>
            <w:rStyle w:val="Hyperlink"/>
          </w:rPr>
          <w:t xml:space="preserve">[22]</w:t>
        </w:r>
      </w:hyperlink>
      <w:r>
        <w:t xml:space="preserve"> </w:t>
      </w:r>
      <w:hyperlink w:anchor="ref-23">
        <w:r>
          <w:rPr>
            <w:rStyle w:val="Hyperlink"/>
          </w:rPr>
          <w:t xml:space="preserve">[23]</w:t>
        </w:r>
      </w:hyperlink>
      <w:r>
        <w:t xml:space="preserve"> </w:t>
      </w:r>
      <w:hyperlink w:anchor="ref-24">
        <w:r>
          <w:rPr>
            <w:rStyle w:val="Hyperlink"/>
          </w:rPr>
          <w:t xml:space="preserve">[24]</w:t>
        </w:r>
      </w:hyperlink>
      <w:r>
        <w:t xml:space="preserve"> </w:t>
      </w:r>
      <w:hyperlink w:anchor="ref-25">
        <w:r>
          <w:rPr>
            <w:rStyle w:val="Hyperlink"/>
          </w:rPr>
          <w:t xml:space="preserve">[25]</w:t>
        </w:r>
      </w:hyperlink>
      <w:r>
        <w:t xml:space="preserve">, mission-target selection, or reentry-risk management</w:t>
      </w:r>
      <w:r>
        <w:t xml:space="preserve"> </w:t>
      </w:r>
      <w:hyperlink w:anchor="ref-26">
        <w:r>
          <w:rPr>
            <w:rStyle w:val="Hyperlink"/>
          </w:rPr>
          <w:t xml:space="preserve">[26]</w:t>
        </w:r>
      </w:hyperlink>
      <w:r>
        <w:t xml:space="preserve">. It does not estimate effects on the human and wildlife trafficking observation literature</w:t>
      </w:r>
      <w:r>
        <w:t xml:space="preserve"> </w:t>
      </w:r>
      <w:hyperlink w:anchor="ref-27">
        <w:r>
          <w:rPr>
            <w:rStyle w:val="Hyperlink"/>
          </w:rPr>
          <w:t xml:space="preserve">[27]</w:t>
        </w:r>
      </w:hyperlink>
      <w:r>
        <w:t xml:space="preserve"> </w:t>
      </w:r>
      <w:r>
        <w:t xml:space="preserve">or on national space-law evolution beyond the program-office template</w:t>
      </w:r>
      <w:r>
        <w:t xml:space="preserve"> </w:t>
      </w:r>
      <w:hyperlink w:anchor="ref-16">
        <w:r>
          <w:rPr>
            <w:rStyle w:val="Hyperlink"/>
          </w:rPr>
          <w:t xml:space="preserve">[16]</w:t>
        </w:r>
      </w:hyperlink>
      <w:r>
        <w:t xml:space="preserve">. It stays out of the debate on civil and military space integration that animates the international space-weapons literature</w:t>
      </w:r>
      <w:r>
        <w:t xml:space="preserve"> </w:t>
      </w:r>
      <w:hyperlink w:anchor="ref-14">
        <w:r>
          <w:rPr>
            <w:rStyle w:val="Hyperlink"/>
          </w:rPr>
          <w:t xml:space="preserve">[14]</w:t>
        </w:r>
      </w:hyperlink>
      <w:r>
        <w:t xml:space="preserve">, and out of the cybersecurity training policy literature for future space endeavours</w:t>
      </w:r>
      <w:r>
        <w:t xml:space="preserve"> </w:t>
      </w:r>
      <w:hyperlink w:anchor="ref-20">
        <w:r>
          <w:rPr>
            <w:rStyle w:val="Hyperlink"/>
          </w:rPr>
          <w:t xml:space="preserve">[20]</w:t>
        </w:r>
      </w:hyperlink>
      <w:r>
        <w:t xml:space="preserve">. Those adjacencies appear in the references because they bound the conversation about what a national space agency is for, and because they discipline the claim that template choice carries portfolio-wide consequences. Nor does the dissertation claim causal identification of a counterfactual world in which incumbents had refused to host training exchanges or had withheld cooperation agreements. The adoption test leans on the staggered founding dates of new agencies and on observed patronage variation to deliver a directional test. The performance test leans on cross-project variation in template tenure, given the patronage-tie and contractor structure, to deliver a conditional association. Both are read as the strongest inferences the available data support, and no more.</w:t>
      </w:r>
    </w:p>
    <w:bookmarkEnd w:id="65"/>
    <w:bookmarkStart w:id="66" w:name="roadmap"/>
    <w:p>
      <w:pPr>
        <w:pStyle w:val="Heading2"/>
        <w:spacing w:line="480" w:lineRule="auto"/>
      </w:pPr>
      <w:r>
        <w:t xml:space="preserve">1.6 Roadmap</w:t>
      </w:r>
    </w:p>
    <w:p>
      <w:pPr>
        <w:pStyle w:val="FirstParagraph"/>
        <w:spacing w:line="480" w:lineRule="auto"/>
      </w:pPr>
      <w:r>
        <w:t xml:space="preserve">Five further chapters follow. Chapter 2 reviews the institutional-isomorphism literature in the DiMaggio and Powell tradition and integrates the space-governance literature on the Legacy to New Space transition</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21">
        <w:r>
          <w:rPr>
            <w:rStyle w:val="Hyperlink"/>
          </w:rPr>
          <w:t xml:space="preserve">[21]</w:t>
        </w:r>
      </w:hyperlink>
      <w:r>
        <w:t xml:space="preserve">, the open-innovation work in European space</w:t>
      </w:r>
      <w:r>
        <w:t xml:space="preserve"> </w:t>
      </w:r>
      <w:hyperlink w:anchor="ref-6">
        <w:r>
          <w:rPr>
            <w:rStyle w:val="Hyperlink"/>
          </w:rPr>
          <w:t xml:space="preserve">[6]</w:t>
        </w:r>
      </w:hyperlink>
      <w:r>
        <w:t xml:space="preserve">, the ambidexterity work in aerospace organisations</w:t>
      </w:r>
      <w:r>
        <w:t xml:space="preserve"> </w:t>
      </w:r>
      <w:hyperlink w:anchor="ref-8">
        <w:r>
          <w:rPr>
            <w:rStyle w:val="Hyperlink"/>
          </w:rPr>
          <w:t xml:space="preserve">[8]</w:t>
        </w:r>
      </w:hyperlink>
      <w:r>
        <w:t xml:space="preserve">, the whole-of-nation framing of the incumbent comparator</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Earth-observation industrial-organisation literature</w:t>
      </w:r>
      <w:r>
        <w:t xml:space="preserve"> </w:t>
      </w:r>
      <w:hyperlink w:anchor="ref-3">
        <w:r>
          <w:rPr>
            <w:rStyle w:val="Hyperlink"/>
          </w:rPr>
          <w:t xml:space="preserve">[3]</w:t>
        </w:r>
      </w:hyperlink>
      <w:r>
        <w:t xml:space="preserve">, and the UNOOSA bilateral-cooperation record</w:t>
      </w:r>
      <w:r>
        <w:t xml:space="preserve"> </w:t>
      </w:r>
      <w:hyperlink w:anchor="ref-5">
        <w:r>
          <w:rPr>
            <w:rStyle w:val="Hyperlink"/>
          </w:rPr>
          <w:t xml:space="preserve">[5]</w:t>
        </w:r>
      </w:hyperlink>
      <w:r>
        <w:t xml:space="preserve">, building toward the conceptual model that links patronage ties, template adoption, template tenure, and cost-growth pathologies. Chapter 2 also positions the GAO NASA major-project assessment series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w:t>
      </w:r>
      <w:r>
        <w:t xml:space="preserve">as the anchoring measurement instrument for cost growth in the incumbent comparator, and it closes with a formal statement of the conceptual model and an explicit mapping from theoretical constructs to observable variables. Chapter 3 presents the data and method for the adoption test. It documents how the structural-feature vector is built from founding charters, organic statutes, organisation charts, and first-three annual reports across the universe of post-2000 national space agencies and the six incumbent comparators, how patronage ties are coded from the UNOOSA bilateral-agreement registry</w:t>
      </w:r>
      <w:r>
        <w:t xml:space="preserve"> </w:t>
      </w:r>
      <w:hyperlink w:anchor="ref-5">
        <w:r>
          <w:rPr>
            <w:rStyle w:val="Hyperlink"/>
          </w:rPr>
          <w:t xml:space="preserve">[5]</w:t>
        </w:r>
      </w:hyperlink>
      <w:r>
        <w:t xml:space="preserve"> </w:t>
      </w:r>
      <w:r>
        <w:t xml:space="preserve">and agency press releases, and how the estimation proceeds. Chapter 3 reproduces and extends the first empirical paper, and it ends with the adoption-test results, including the patronage coefficient, the McFadden pseudo-R-squared, and a candid discussion of the small-sample power constraint.</w:t>
      </w:r>
    </w:p>
    <w:p>
      <w:pPr>
        <w:pStyle w:val="BodyText"/>
        <w:spacing w:line="480" w:lineRule="auto"/>
        <w:ind w:firstLine="720"/>
      </w:pPr>
      <w:r>
        <w:t xml:space="preserve">Chapter 4 presents the data and method for the performance test. It documents the construction of the cross-agency project sample, the coding of template-tenure years from agency acquisition-policy revision histories, the patronage-tie strength variable from UNOOSA records</w:t>
      </w:r>
      <w:r>
        <w:t xml:space="preserve"> </w:t>
      </w:r>
      <w:hyperlink w:anchor="ref-5">
        <w:r>
          <w:rPr>
            <w:rStyle w:val="Hyperlink"/>
          </w:rPr>
          <w:t xml:space="preserve">[5]</w:t>
        </w:r>
      </w:hyperlink>
      <w:r>
        <w:t xml:space="preserve"> </w:t>
      </w:r>
      <w:r>
        <w:t xml:space="preserve">and bilateral cooperation announcements, the prime-contractor count from project press kits and procurement awards, and the cost-growth dependent variable from the GAO NASA assessments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2">
        <w:r>
          <w:rPr>
            <w:rStyle w:val="Hyperlink"/>
          </w:rPr>
          <w:t xml:space="preserve">[12]</w:t>
        </w:r>
      </w:hyperlink>
      <w:r>
        <w:t xml:space="preserve">, ESA Council rebaselining communications, and the agency-by-agency primary records cited for each row. Chapter 4 reproduces and extends the second empirical paper, and it ends with the performance-test results, the diagnostic checks, the heteroskedasticity-consistent inference, and the robustness exercises. Chapter 5 integrates the two tests. It examines how the null result on adoption coexists with the rejection of the null on performance, and argues that the operative phenomenon is template tenure rather than the binary fact of copying. It then draws out the implications for NASA, for JPL, for the post-2000 cohort, and for the incumbent agencies that operate the template-renewal levers. It takes up the three threats to validity identified in the prospectus, namely the charter-versus-practice gap, the confounding of mimetic with coercive isomorphism under regional hegemons, and the small-sample power constraint, and shows how the two-paper design addresses each.</w:t>
      </w:r>
    </w:p>
    <w:p>
      <w:pPr>
        <w:pStyle w:val="BodyText"/>
        <w:spacing w:line="480" w:lineRule="auto"/>
        <w:ind w:firstLine="720"/>
      </w:pPr>
      <w:r>
        <w:t xml:space="preserve">Chapter 6 concludes. It states the contribution, restates the falsifiable claim and the evidence for and against it, identifies the boundary conditions of the result, and outlines the future research the dissertation makes possible. That agenda includes the finer-grained outcome measures sketched in the first empirical paper, the graded patronage measurement sketched in both papers, the panel design with within-agency variation needed to discipline the patronage-versus-tenure decomposition, and the qualitative document-analysis component identified in the prospectus as essential triangulation. The chapter closes on the implications for NASA and JPL posture in the coming decade of civil space, the decade in which the post-2000 cohort will execute the missions that test whether the templates they inherited carry the pathologies the incumbent comparator already shows.</w:t>
      </w:r>
    </w:p>
    <w:bookmarkEnd w:id="66"/>
    <w:bookmarkEnd w:id="67"/>
    <w:bookmarkStart w:id="74" w:name="chapter-2.-literature-review"/>
    <w:p>
      <w:pPr>
        <w:pStyle w:val="Heading1"/>
        <w:spacing w:line="480" w:lineRule="auto"/>
      </w:pPr>
      <w:r>
        <w:t xml:space="preserve">Chapter 2. Literature Review</w:t>
      </w:r>
    </w:p>
    <w:bookmarkStart w:id="68" w:name="orientation"/>
    <w:p>
      <w:pPr>
        <w:pStyle w:val="Heading2"/>
        <w:spacing w:line="480" w:lineRule="auto"/>
      </w:pPr>
      <w:r>
        <w:t xml:space="preserve">2.1 Orientation</w:t>
      </w:r>
    </w:p>
    <w:p>
      <w:pPr>
        <w:pStyle w:val="FirstParagraph"/>
        <w:spacing w:line="480" w:lineRule="auto"/>
      </w:pPr>
      <w:r>
        <w:t xml:space="preserve">Two bodies of scholarship thread through this chapter that have so far stayed largely apart.</w:t>
      </w:r>
    </w:p>
    <w:p>
      <w:pPr>
        <w:pStyle w:val="BodyText"/>
        <w:spacing w:line="480" w:lineRule="auto"/>
        <w:ind w:firstLine="720"/>
      </w:pPr>
      <w:r>
        <w:t xml:space="preserve">One is the domain technical and governance literature on national space agencies. Its reach covers the legacy to New Space transition, the evolution of acquisition templates, the part played by patronage and cooperation ties, the spread of program office forms, and the adjacent technical literatures on Earth observation, lunar surface operations, planetary exploration, space situational awareness, and space traffic management. The other is the cliometric and quantitative methodology literature on institutional copying and template diffusion, the source of the econometric apparatus through which claims about similarity, tenure, and conditional probability are tested. A shared substantive interest in how organizations come to resemble one another runs through both. In print, though, they seldom address each other. Rich qualitative description of templates and transitions is the domain literature’s habit, and formal estimation of them is rarely its practice. Elaboration of the estimators is the cliometric literature’s habit, and application of them to the population of post 2000 national space agencies is rarely its practice. This chapter renders both with enough density to motivate the synthesis the dissertation pursues and to fix the precise gap the empirical chapters address.</w:t>
      </w:r>
    </w:p>
    <w:p>
      <w:pPr>
        <w:pStyle w:val="BodyText"/>
        <w:spacing w:line="480" w:lineRule="auto"/>
        <w:ind w:firstLine="720"/>
      </w:pPr>
      <w:r>
        <w:t xml:space="preserve">Five sections carry the argument. Section 2.2 takes up the domain governance literature on the legacy to New Space transition and on the structural features that make up the incumbent template. Section 2.3 turns to the adjacent domain literatures, across Earth observation markets, open innovation, ambidexterity, space traffic management, debris and sustainability, and regional policy diffusion, that furnish auxiliary evidence on diffusion mechanisms. Section 2.4 takes up the cliometric and econometric methodology bearing on template adoption and mimetic drag, including binary outcome estimation, tenure based exposure designs, and small sample inference. Section 2.5 draws the two literatures together and states the gap. Section 2.6 closes by setting the dissertation’s empirical chapters against the reviewed corpus.</w:t>
      </w:r>
    </w:p>
    <w:bookmarkEnd w:id="68"/>
    <w:bookmarkStart w:id="69" w:name="Xc7ac92aec011007c773d9403828c6dbdd144ce8"/>
    <w:p>
      <w:pPr>
        <w:pStyle w:val="Heading2"/>
        <w:spacing w:line="480" w:lineRule="auto"/>
      </w:pPr>
      <w:r>
        <w:t xml:space="preserve">2.2 The Domain Governance Literature on Legacy and New Space</w:t>
      </w:r>
    </w:p>
    <w:p>
      <w:pPr>
        <w:pStyle w:val="FirstParagraph"/>
        <w:spacing w:line="480" w:lineRule="auto"/>
      </w:pPr>
      <w:r>
        <w:t xml:space="preserve">Anchoring the domain governance literature in its contemporary form is Zancan and colleagues’ account of the legacy to New Space transition, which reads the sector as passing through a generational shift in governance models that spreads unevenly across actors</w:t>
      </w:r>
      <w:r>
        <w:t xml:space="preserve"> </w:t>
      </w:r>
      <w:hyperlink w:anchor="ref-1">
        <w:r>
          <w:rPr>
            <w:rStyle w:val="Hyperlink"/>
          </w:rPr>
          <w:t xml:space="preserve">[1]</w:t>
        </w:r>
      </w:hyperlink>
      <w:r>
        <w:t xml:space="preserve">.</w:t>
      </w:r>
    </w:p>
    <w:p>
      <w:pPr>
        <w:pStyle w:val="BodyText"/>
        <w:spacing w:line="480" w:lineRule="auto"/>
        <w:ind w:firstLine="720"/>
      </w:pPr>
      <w:r>
        <w:t xml:space="preserve">Three features make it foundational for the present inquiry. It furnishes a coding scheme that tells legacy from New Space organizational forms by observable structural features rather than by rhetoric. It picks out the program office, the acquisition pathway, and the governance instrument as the three architectures through which agencies execute mission programs. And it records that the transition runs unevenly: some agencies rework their structures more readily than others, and the pace of reworking seems to follow the depth of an agency’s prior commitments to incumbent forms. That third record is where the dissertation begins empirically. If reworking runs uneven, then the cross sectional distribution of templates among post 2000 entrants becomes a natural laboratory for testing whether new agencies close on the incumbent form or pull away from it. Running that test the Zancan account does not do. It records the transition qualitatively and names its constitutive features, without estimating the rate of convergence or tying that rate to patronage.</w:t>
      </w:r>
    </w:p>
    <w:p>
      <w:pPr>
        <w:pStyle w:val="BodyText"/>
        <w:spacing w:line="480" w:lineRule="auto"/>
        <w:ind w:firstLine="720"/>
      </w:pPr>
      <w:r>
        <w:t xml:space="preserve">Carrying the legacy to New Space frame downward, from sector level governance to the within firm strategic decisions through which the transition gets enacted, is the companion paper by Zancan, Trucco, and Locatelli on micro foundations of product service strategies in Earth observation</w:t>
      </w:r>
      <w:r>
        <w:t xml:space="preserve"> </w:t>
      </w:r>
      <w:hyperlink w:anchor="ref-21">
        <w:r>
          <w:rPr>
            <w:rStyle w:val="Hyperlink"/>
          </w:rPr>
          <w:t xml:space="preserve">[21]</w:t>
        </w:r>
      </w:hyperlink>
      <w:r>
        <w:t xml:space="preserve">.</w:t>
      </w:r>
    </w:p>
    <w:p>
      <w:pPr>
        <w:pStyle w:val="BodyText"/>
        <w:spacing w:line="480" w:lineRule="auto"/>
        <w:ind w:firstLine="720"/>
      </w:pPr>
      <w:r>
        <w:t xml:space="preserve">What it contributes is the demonstration that the legacy New Space distinction is more than an ecosystem level label; it is a coherent pattern at the level of strategic choice. That bears on the present dissertation because the structural feature vector used to measure template adoption has to cohere at the level of agency choice. The micro foundational evidence backs the assumption that program office, acquisition pathway, and governance instrument features are jointly determined rather than independently selected, which in turn justifies treating them as components of a single template indicator.</w:t>
      </w:r>
    </w:p>
    <w:p>
      <w:pPr>
        <w:pStyle w:val="BodyText"/>
        <w:spacing w:line="480" w:lineRule="auto"/>
        <w:ind w:firstLine="720"/>
      </w:pPr>
      <w:r>
        <w:t xml:space="preserve">One end of the incumbent template space finds its anchor in the MITRE and Aspen Institute whole of nation framework, source of the U.S. comparator structure</w:t>
      </w:r>
      <w:r>
        <w:t xml:space="preserve"> </w:t>
      </w:r>
      <w:hyperlink w:anchor="ref-2">
        <w:r>
          <w:rPr>
            <w:rStyle w:val="Hyperlink"/>
          </w:rPr>
          <w:t xml:space="preserve">[2]</w:t>
        </w:r>
      </w:hyperlink>
      <w:r>
        <w:t xml:space="preserve">.</w:t>
      </w:r>
    </w:p>
    <w:p>
      <w:pPr>
        <w:pStyle w:val="BodyText"/>
        <w:spacing w:line="480" w:lineRule="auto"/>
        <w:ind w:firstLine="720"/>
      </w:pPr>
      <w:r>
        <w:t xml:space="preserve">A unified governance architecture for U.S. civil and national security space activity is what the framework prescribes, and the program office and acquisition pathway features that make it up are what it names. As the public literature’s most explicit account of what a whole of nation incumbent template looks like in concrete organizational terms, it becomes the natural reference template against which post 2000 entrants are set. The comparative question across national agencies it leaves aside as out of scope, yet it hands over the canonical specification of the U.S. template that the dissertation adopts as one of six incumbent reference forms. A second whole of nation paper from the same authors works out the sustainability, security, and resilience dimensions of the architecture and makes clear that the template carries governance instruments addressing space domain awareness and orbital sustainability on top of the program office and acquisition components</w:t>
      </w:r>
      <w:r>
        <w:t xml:space="preserve"> </w:t>
      </w:r>
      <w:hyperlink w:anchor="ref-4">
        <w:r>
          <w:rPr>
            <w:rStyle w:val="Hyperlink"/>
          </w:rPr>
          <w:t xml:space="preserve">[4]</w:t>
        </w:r>
      </w:hyperlink>
      <w:r>
        <w:t xml:space="preserve">. An institutional vacuum is not where the transition happens. Open innovation studies of the European space sector record that even reform minded agencies keep the procedural commitments they inherited through their historical patronage networks</w:t>
      </w:r>
      <w:r>
        <w:t xml:space="preserve"> </w:t>
      </w:r>
      <w:hyperlink w:anchor="ref-6">
        <w:r>
          <w:rPr>
            <w:rStyle w:val="Hyperlink"/>
          </w:rPr>
          <w:t xml:space="preserve">[6]</w:t>
        </w:r>
      </w:hyperlink>
      <w:r>
        <w:t xml:space="preserve">. For the present dissertation this literature pins down the mechanism through which template tenure breeds cost performance pathologies. Once procedural commitments settle onto inherited templates, time under the template, rather than the bare fact of having copied it, becomes the operative regressor. That claim the second empirical paper takes up head on, and it is the substantive footing of the mimetic drag conjecture. Double duty is what the open innovation literature performs. It records the empirical fact of procedural rigidity, and it points to the functional form, tenure as exposure, through which the fact should enter an econometric model.</w:t>
      </w:r>
    </w:p>
    <w:p>
      <w:pPr>
        <w:pStyle w:val="BodyText"/>
        <w:spacing w:line="480" w:lineRule="auto"/>
        <w:ind w:firstLine="720"/>
      </w:pPr>
      <w:r>
        <w:t xml:space="preserve">Rounding this out is a complementary literature on ambidexterity in aerospace organizations, which characterizes the organizational capacity to hold exploitation of inherited capabilities in balance against exploration of new ones</w:t>
      </w:r>
      <w:r>
        <w:t xml:space="preserve"> </w:t>
      </w:r>
      <w:hyperlink w:anchor="ref-8">
        <w:r>
          <w:rPr>
            <w:rStyle w:val="Hyperlink"/>
          </w:rPr>
          <w:t xml:space="preserve">[8]</w:t>
        </w:r>
      </w:hyperlink>
      <w:r>
        <w:t xml:space="preserve">. Its relevance here is that ambidexterity is precisely the property template tenure wears down over time. Joseph and Wood’s account suggests the agencies most exposed to mimetic drag are those that have let inherited templates crowd out exploratory capacity. The empirical implication runs direct: template tenure should forecast cost growth, the very prediction the OLS specification of the second empirical paper tests, which finds tenure significant at the one percent level with a coefficient consistent with a substantively large effect.</w:t>
      </w:r>
    </w:p>
    <w:bookmarkEnd w:id="69"/>
    <w:bookmarkStart w:id="70" w:name="X05fa71d1475948197936439c8aec56b6d4b82be"/>
    <w:p>
      <w:pPr>
        <w:pStyle w:val="Heading2"/>
        <w:spacing w:line="480" w:lineRule="auto"/>
      </w:pPr>
      <w:r>
        <w:t xml:space="preserve">2.3 Adjacent Domain Literatures on Diffusion, Coordination, and Capability</w:t>
      </w:r>
    </w:p>
    <w:p>
      <w:pPr>
        <w:pStyle w:val="FirstParagraph"/>
        <w:spacing w:line="480" w:lineRule="auto"/>
      </w:pPr>
      <w:r>
        <w:t xml:space="preserve">Evidence on how incumbent templates reach new entrants comes from the domain literature on space traffic management and on outreach activities. The Sanchez Ortiz and colleagues outreach study records that template diffusion in the space traffic management area travels along sustained bilateral ties between incumbents and newer national agencies and along structured outreach programs that work as channels of normative isomorphism [9, 28]. Its contribution here runs two ways. It sets the patronage tie down as a real empirical object rather than a theoretical construct, and it shows patronage ties carrying a specific set of governance instruments, chiefly those addressing space domain awareness and orbital coordination, which are just the governance components of the template the MITRE Aspen framework specifies. The dissertation’s first empirical paper codes patronage ties from the UNOOSA bilateral agreement registry</w:t>
      </w:r>
      <w:r>
        <w:t xml:space="preserve"> </w:t>
      </w:r>
      <w:hyperlink w:anchor="ref-5">
        <w:r>
          <w:rPr>
            <w:rStyle w:val="Hyperlink"/>
          </w:rPr>
          <w:t xml:space="preserve">[5]</w:t>
        </w:r>
      </w:hyperlink>
      <w:r>
        <w:t xml:space="preserve"> </w:t>
      </w:r>
      <w:r>
        <w:t xml:space="preserve">partly because the Sanchez Ortiz evidence shows such ties to be the operative diffusion channel for the governance components of the template.</w:t>
      </w:r>
    </w:p>
    <w:p>
      <w:pPr>
        <w:pStyle w:val="BodyText"/>
        <w:spacing w:line="480" w:lineRule="auto"/>
        <w:ind w:firstLine="720"/>
      </w:pPr>
      <w:r>
        <w:t xml:space="preserve">Convergence pressures surface in the Earth observation markets literature as well, put in industrial organization terms without being cast as isomorphism tests. Denis and colleagues map possible scenarios and impacts for new Earth observation systems and markets and note the structural responses of national agencies closing on a small number of recognizable forms even where local conditions vary</w:t>
      </w:r>
      <w:r>
        <w:t xml:space="preserve"> </w:t>
      </w:r>
      <w:hyperlink w:anchor="ref-3">
        <w:r>
          <w:rPr>
            <w:rStyle w:val="Hyperlink"/>
          </w:rPr>
          <w:t xml:space="preserve">[3]</w:t>
        </w:r>
      </w:hyperlink>
      <w:r>
        <w:t xml:space="preserve">. That widens the empirical base for convergence past the program office and acquisition pathway features Zancan documents, out to the industrial organization features around them. Why the Denis evidence matters is that it marks the convergence seen in the present study as no narrow affair of the governance components but as part of a broader sectoral pattern.</w:t>
      </w:r>
    </w:p>
    <w:p>
      <w:pPr>
        <w:pStyle w:val="BodyText"/>
        <w:spacing w:line="480" w:lineRule="auto"/>
        <w:ind w:firstLine="720"/>
      </w:pPr>
      <w:r>
        <w:t xml:space="preserve">Further evidence on the diffusion of governance instruments comes from the space situational awareness and debris literatures. Lal and Carioscia’s evaluation of civil SSA options picks out the institutional arrangements around SSA provision and records new entrants tending to adopt configurations that resemble those of established providers</w:t>
      </w:r>
      <w:r>
        <w:t xml:space="preserve"> </w:t>
      </w:r>
      <w:hyperlink w:anchor="ref-19">
        <w:r>
          <w:rPr>
            <w:rStyle w:val="Hyperlink"/>
          </w:rPr>
          <w:t xml:space="preserve">[19]</w:t>
        </w:r>
      </w:hyperlink>
      <w:r>
        <w:t xml:space="preserve">. Letizia and colleagues’ work on the contribution of SSA data to the Space Sustainability Rating records the rise of a transnational rating instrument that is itself a vehicle of normative isomorphism, pulling participating agencies toward a shared set of practices</w:t>
      </w:r>
      <w:r>
        <w:t xml:space="preserve"> </w:t>
      </w:r>
      <w:hyperlink w:anchor="ref-15">
        <w:r>
          <w:rPr>
            <w:rStyle w:val="Hyperlink"/>
          </w:rPr>
          <w:t xml:space="preserve">[15]</w:t>
        </w:r>
      </w:hyperlink>
      <w:r>
        <w:t xml:space="preserve">. Lifson and colleagues’ development of reference scenarios for space environment modeling consolidates the technical footing on which these governance instruments rest</w:t>
      </w:r>
      <w:r>
        <w:t xml:space="preserve"> </w:t>
      </w:r>
      <w:hyperlink w:anchor="ref-13">
        <w:r>
          <w:rPr>
            <w:rStyle w:val="Hyperlink"/>
          </w:rPr>
          <w:t xml:space="preserve">[13]</w:t>
        </w:r>
      </w:hyperlink>
      <w:r>
        <w:t xml:space="preserve">. Polkowska and Chimicz’s analysis of Poland’s evolving space law in the European context supplies a worked example of a post 2000 national agency taking on debris mitigation and remediation instruments under regional patronage pressure, illustrating the coercive isomorphism channel that complements the mimetic channel at the center of the first empirical paper</w:t>
      </w:r>
      <w:r>
        <w:t xml:space="preserve"> </w:t>
      </w:r>
      <w:hyperlink w:anchor="ref-16">
        <w:r>
          <w:rPr>
            <w:rStyle w:val="Hyperlink"/>
          </w:rPr>
          <w:t xml:space="preserve">[16]</w:t>
        </w:r>
      </w:hyperlink>
      <w:r>
        <w:t xml:space="preserve">. Zhang and Balakrishnan’s comparative analysis of lessons from the Montreal Protocol for orbital debris governance records a normative isomorphism mechanism in which historical regulatory templates from one sector get recoded for use in another, a pattern with direct analogs in the program office and acquisition components of the space template</w:t>
      </w:r>
      <w:r>
        <w:t xml:space="preserve"> </w:t>
      </w:r>
      <w:hyperlink w:anchor="ref-17">
        <w:r>
          <w:rPr>
            <w:rStyle w:val="Hyperlink"/>
          </w:rPr>
          <w:t xml:space="preserve">[17]</w:t>
        </w:r>
      </w:hyperlink>
      <w:r>
        <w:t xml:space="preserve">.</w:t>
      </w:r>
    </w:p>
    <w:p>
      <w:pPr>
        <w:pStyle w:val="BodyText"/>
        <w:spacing w:line="480" w:lineRule="auto"/>
        <w:ind w:firstLine="720"/>
      </w:pPr>
      <w:r>
        <w:t xml:space="preserve">Two further governance studies bear on the dissertation’s framing. Gerhartd and Radeztsky’s refactoring analysis of SSA legacy application modernization records the technical and procedural commitments that settle onto inherited governance instruments and that constitute the mechanism through which mimetic drag works</w:t>
      </w:r>
      <w:r>
        <w:t xml:space="preserve"> </w:t>
      </w:r>
      <w:hyperlink w:anchor="ref-18">
        <w:r>
          <w:rPr>
            <w:rStyle w:val="Hyperlink"/>
          </w:rPr>
          <w:t xml:space="preserve">[18]</w:t>
        </w:r>
      </w:hyperlink>
      <w:r>
        <w:t xml:space="preserve">. Wright’s collaborative cybersecurity training policy proposal records the normative diffusion of training and capacity building templates across national agencies and picks out training exchanges as a specific operational form of the patronage tie coded in the first empirical paper</w:t>
      </w:r>
      <w:r>
        <w:t xml:space="preserve"> </w:t>
      </w:r>
      <w:hyperlink w:anchor="ref-20">
        <w:r>
          <w:rPr>
            <w:rStyle w:val="Hyperlink"/>
          </w:rPr>
          <w:t xml:space="preserve">[20]</w:t>
        </w:r>
      </w:hyperlink>
      <w:r>
        <w:t xml:space="preserve">. Hook and colleagues’ analysis of uncontrolled reentries and aviation safety picks out a governance externality whose handling has closed across national agencies in ways that reflect template borrowing from the incumbent NASA and ESA approaches</w:t>
      </w:r>
      <w:r>
        <w:t xml:space="preserve"> </w:t>
      </w:r>
      <w:hyperlink w:anchor="ref-26">
        <w:r>
          <w:rPr>
            <w:rStyle w:val="Hyperlink"/>
          </w:rPr>
          <w:t xml:space="preserve">[26]</w:t>
        </w:r>
      </w:hyperlink>
      <w:r>
        <w:t xml:space="preserve">. Harrison’s analysis of international perspectives on space weapons records the governance instruments around dual use capabilities and notes cross national convergence on a small number of policy templates</w:t>
      </w:r>
      <w:r>
        <w:t xml:space="preserve"> </w:t>
      </w:r>
      <w:hyperlink w:anchor="ref-14">
        <w:r>
          <w:rPr>
            <w:rStyle w:val="Hyperlink"/>
          </w:rPr>
          <w:t xml:space="preserve">[14]</w:t>
        </w:r>
      </w:hyperlink>
      <w:r>
        <w:t xml:space="preserve">. Yazici’s proposal to use reconnaissance satellites for monitoring international human and wildlife trafficking hotspots shows mission program templates from established remote sensing agencies getting recoded for new policy purposes by entrants, consistent with the mimetic channel</w:t>
      </w:r>
      <w:r>
        <w:t xml:space="preserve"> </w:t>
      </w:r>
      <w:hyperlink w:anchor="ref-27">
        <w:r>
          <w:rPr>
            <w:rStyle w:val="Hyperlink"/>
          </w:rPr>
          <w:t xml:space="preserve">[27]</w:t>
        </w:r>
      </w:hyperlink>
      <w:r>
        <w:t xml:space="preserve">.</w:t>
      </w:r>
    </w:p>
    <w:p>
      <w:pPr>
        <w:pStyle w:val="BodyText"/>
        <w:spacing w:line="480" w:lineRule="auto"/>
        <w:ind w:firstLine="720"/>
      </w:pPr>
      <w:r>
        <w:t xml:space="preserve">The technical engineering literature adjacent to these governance studies enters not as a primary source of theory but as evidence of the technical heterogeneity the governance templates have to accommodate. The Magnetospheric Venus Space Explorers mission proposal of Albers and colleagues records the institutional infrastructure through which a multinational team coordinates a planetary science mission and illustrates the practical demands inter agency mission architectures place on the program office template</w:t>
      </w:r>
      <w:r>
        <w:t xml:space="preserve"> </w:t>
      </w:r>
      <w:hyperlink w:anchor="ref-25">
        <w:r>
          <w:rPr>
            <w:rStyle w:val="Hyperlink"/>
          </w:rPr>
          <w:t xml:space="preserve">[25]</w:t>
        </w:r>
      </w:hyperlink>
      <w:r>
        <w:t xml:space="preserve">. Šeško and colleagues’ work on oxygen production by solar vapor phase pyrolysis of lunar regolith simulant illustrates the technical complexity of lunar surface activities the inherited program office templates were never built for, and that thereby expose the limits of mimetic adoption</w:t>
      </w:r>
      <w:r>
        <w:t xml:space="preserve"> </w:t>
      </w:r>
      <w:hyperlink w:anchor="ref-22">
        <w:r>
          <w:rPr>
            <w:rStyle w:val="Hyperlink"/>
          </w:rPr>
          <w:t xml:space="preserve">[22]</w:t>
        </w:r>
      </w:hyperlink>
      <w:r>
        <w:t xml:space="preserve">. Otsuki and colleagues’ exhaustive evaluation of microgravity landing dynamics for small body exploration records a related demand on the governance instrument component of the template, namely the need to coordinate risk acceptance across partner agencies whose templates may have been calibrated for different risk envelopes</w:t>
      </w:r>
      <w:r>
        <w:t xml:space="preserve"> </w:t>
      </w:r>
      <w:hyperlink w:anchor="ref-23">
        <w:r>
          <w:rPr>
            <w:rStyle w:val="Hyperlink"/>
          </w:rPr>
          <w:t xml:space="preserve">[23]</w:t>
        </w:r>
      </w:hyperlink>
      <w:r>
        <w:t xml:space="preserve">. The SLIM lunar landing flight results reported by Ishida and colleagues record the in flight performance of vision based navigation and obstacle detection under conditions the governance template around the mission has to accommodate</w:t>
      </w:r>
      <w:r>
        <w:t xml:space="preserve"> </w:t>
      </w:r>
      <w:hyperlink w:anchor="ref-24">
        <w:r>
          <w:rPr>
            <w:rStyle w:val="Hyperlink"/>
          </w:rPr>
          <w:t xml:space="preserve">[24]</w:t>
        </w:r>
      </w:hyperlink>
      <w:r>
        <w:t xml:space="preserve">. As theoretical anchors for the isomorphism claims none of these engineering studies serves. They bear on the validity of the structural feature vector by recording the technical heterogeneity the template indicator has to absorb without misclassifying agencies whose published charters mask practice level deviation.</w:t>
      </w:r>
    </w:p>
    <w:p>
      <w:pPr>
        <w:pStyle w:val="BodyText"/>
        <w:spacing w:line="480" w:lineRule="auto"/>
        <w:ind w:firstLine="720"/>
      </w:pPr>
      <w:r>
        <w:t xml:space="preserve">A common pattern runs across these adjacent literatures: descriptive evidence of diffusion, coordination, and template borrowing, put qualitatively or in narrow technical detail, and seldom subjected to formal estimation. That the phenomenon of interest exists the literature establishes, and the mechanisms through which it spreads it names. What it leaves unestablished is the rate at which the phenomenon spreads, the conditional probabilities under which it spreads, and the cost performance consequences of its spread. Those are estimation questions, and the apparatus for answering them lives in the cliometric methodology literature the next section reviews.</w:t>
      </w:r>
    </w:p>
    <w:bookmarkEnd w:id="70"/>
    <w:bookmarkStart w:id="71" w:name="X07fe73e594277fc276c6392b9242153367417e1"/>
    <w:p>
      <w:pPr>
        <w:pStyle w:val="Heading2"/>
        <w:spacing w:line="480" w:lineRule="auto"/>
      </w:pPr>
      <w:r>
        <w:t xml:space="preserve">2.4 The Cliometric and Econometric Methodology Literature</w:t>
      </w:r>
    </w:p>
    <w:p>
      <w:pPr>
        <w:pStyle w:val="FirstParagraph"/>
        <w:spacing w:line="480" w:lineRule="auto"/>
      </w:pPr>
      <w:r>
        <w:t xml:space="preserve">Three blocks structure the review of the cliometric and econometric methodology bearing on the dissertation: binary outcome estimation for template adoption, ordinary least squares estimation for tenure based exposure designs, and small sample inference more generally. No methodological texts sit in the reviewed corpus as separate entries. The methodology is rebuilt from the empirical practice documented in the cited applied work and from the methodological commitments on view in the GAO assessment series that anchors one of the empirical chapters.</w:t>
      </w:r>
    </w:p>
    <w:p>
      <w:pPr>
        <w:pStyle w:val="BodyText"/>
        <w:spacing w:line="480" w:lineRule="auto"/>
        <w:ind w:firstLine="720"/>
      </w:pPr>
      <w:r>
        <w:t xml:space="preserve">First is binary outcome estimation. The first empirical paper models the conditional probability of incumbent template adoption as a binary logistic regression of the binary template indicator on a binary patronage indicator, a cohort time variable, a binary regional development indicator, and a binary prior space program indicator. Its functional form is the standard logit with intercept and four slope parameters, fit by maximum likelihood with the Newton Raphson optimizer. Preferring the logit over the linear probability model is conventional in the institutional isomorphism literature, since the outcome is binary and the quantity of interest is the conditional probability of adoption. The log likelihood and the McFadden pseudo R squared summarize model fit, both reported in the empirical chapter. Wald tests on individual coefficients carry the inference, the patronage coefficient serving as the primary test of the central hypothesis. Well established in the applied institutional literature is the methodology on small sample logit inference, though it goes uncited from a methodological source in the dissertation’s reference pool; the methodological commitments arrive through their use in the substantive isomorphism literature anchored by Zancan and colleagues</w:t>
      </w:r>
      <w:r>
        <w:t xml:space="preserve"> </w:t>
      </w:r>
      <w:hyperlink w:anchor="ref-1">
        <w:r>
          <w:rPr>
            <w:rStyle w:val="Hyperlink"/>
          </w:rPr>
          <w:t xml:space="preserve">[1]</w:t>
        </w:r>
      </w:hyperlink>
      <w:r>
        <w:t xml:space="preserve"> </w:t>
      </w:r>
      <w:r>
        <w:t xml:space="preserve">and through the diffusion mechanism evidence in Sanchez Ortiz and colleagues [9, 28].</w:t>
      </w:r>
    </w:p>
    <w:p>
      <w:pPr>
        <w:pStyle w:val="BodyText"/>
        <w:spacing w:line="480" w:lineRule="auto"/>
        <w:ind w:firstLine="720"/>
      </w:pPr>
      <w:r>
        <w:t xml:space="preserve">Second is ordinary least squares estimation in tenure based exposure designs. The second empirical paper models project level percent cost growth on years of template tenure at authorization, a binary indicator of active patronage ties to NASA or ESA, and the count of prime contractors of record. Heteroskedasticity consistent of the HC1 form are the standard errors. The estimation sample is the full set of 36 cross agency projects authorized between 2010 and 2023. Appropriate the model is because the outcome is continuous, the sample size carries OLS inference with HC1 standard errors, and the quantity of interest is the conditional association between template tenure and cost growth. Grounding this design methodologically is the GAO NASA Major Project Assessment series, which reports cost growth on a consistent baseline definition across fiscal years and thereby hands over the dependent variable’s measurement protocol [10, 11, 12]. Anchoring the design in two senses is the GAO series. It defines cost growth so the measure reproduces across projects and agencies, and it records the population of major NASA projects from which the dissertation’s NASA observations are drawn. Through that anchor, the operational definition of the dependent variable carries across the eight agencies in the sample.</w:t>
      </w:r>
    </w:p>
    <w:p>
      <w:pPr>
        <w:pStyle w:val="BodyText"/>
        <w:spacing w:line="480" w:lineRule="auto"/>
        <w:ind w:firstLine="720"/>
      </w:pPr>
      <w:r>
        <w:t xml:space="preserve">Third is small sample inference. The first empirical paper fits a logit on thirty observations. Clear in the methodology literature is that Wald inference in such samples runs conservative and that null results read as failures to reject rather than as positive evidence for independence. That interpretation the first empirical paper adopts explicitly. Its patronage coefficient is positive and largest in magnitude among the slope parameters, estimated just above one on the log odds scale, yet its Wald p value of roughly 0.45 falls well short of conventional significance thresholds and reads as a failure to reject under power constraint rather than as evidence that patronage is irrelevant. Similarly positive and small is the cohort time coefficient, with a p value near 0.50; small are the regional development and prior space program coefficients, with p values above 0.8. Consistent with a real but modest signal the design cannot resolve is the pseudo R squared of about eleven percent. Taking the small sample literature seriously in interpreting the null, the dissertation argues from it that finer grained outcome measures, graded patronage measures, and qualitative triangulation are needed in subsequent work.</w:t>
      </w:r>
    </w:p>
    <w:p>
      <w:pPr>
        <w:pStyle w:val="BodyText"/>
        <w:spacing w:line="480" w:lineRule="auto"/>
        <w:ind w:firstLine="720"/>
      </w:pPr>
      <w:r>
        <w:t xml:space="preserve">The second empirical paper, at 36 observations and a continuous outcome, escapes the worst of the small sample concern. It produces an R squared of 0.59, an adjusted R squared of 0.55, and a joint F statistic of 3.38 with p value 0.030, and its central tenure coefficient of 3.68 with p value 0.002 clears the one percent threshold even under HC1 standard errors. Methodologically instructive is the contrast between the two papers. Both test variants of the isomorphism hypothesis, at different functional forms and different sample sizes, and the binary template adoption outcome proves harder to resolve at present sample sizes than the continuous cost growth outcome, which suggests future work on isomorphism should privilege continuous outcomes that break the template into separable features.</w:t>
      </w:r>
    </w:p>
    <w:p>
      <w:pPr>
        <w:pStyle w:val="BodyText"/>
        <w:spacing w:line="480" w:lineRule="auto"/>
        <w:ind w:firstLine="720"/>
      </w:pPr>
      <w:r>
        <w:t xml:space="preserve">Further commitments in the cliometric literature bear on the dissertation. Using staggered founding dates as an identification device is a standard cliometric move: agencies founded earlier could not have copied agencies founded later, which permits a directional test of the diffusion claim. That directional structure the prospectus names as the central identification leverage, and the second empirical paper works a related logic by treating template tenure at authorization as an exposure variable that moves cross sectionally with founding year. The cliometric commitment to fixed effects for region, as a way of splitting coercive isomorphism under regional hegemons from mimetic isomorphism under bilateral patronage, the prospectus acknowledges as a design feature the small sample of the first empirical paper could not fully support but future work should adopt. Permutation inference, which the prospectus names as the appropriate small sample test for the structural similarity hypothesis, comes in here as the natural next step past the binary logit specification. Permutation tests hold their validity in small samples and break the binary template indicator into a vector of feature similarities, which is precisely the finer grained outcome measure the discussion of the first empirical paper names as the priority direction for future work.</w:t>
      </w:r>
    </w:p>
    <w:bookmarkEnd w:id="71"/>
    <w:bookmarkStart w:id="72" w:name="synthesis-and-gap"/>
    <w:p>
      <w:pPr>
        <w:pStyle w:val="Heading2"/>
        <w:spacing w:line="480" w:lineRule="auto"/>
      </w:pPr>
      <w:r>
        <w:t xml:space="preserve">2.5 Synthesis and Gap</w:t>
      </w:r>
    </w:p>
    <w:p>
      <w:pPr>
        <w:pStyle w:val="FirstParagraph"/>
        <w:spacing w:line="480" w:lineRule="auto"/>
      </w:pPr>
      <w:r>
        <w:t xml:space="preserve">A shared substantive interest in how organizations come to resemble one another runs through both literatures reviewed in this chapter, and neither has been brought into productive contact with the other in the empirical study of post 2000 national space agencies. The domain governance literature, anchored by Zancan and colleagues’ legacy to New Space account</w:t>
      </w:r>
      <w:r>
        <w:t xml:space="preserve"> </w:t>
      </w:r>
      <w:hyperlink w:anchor="ref-1">
        <w:r>
          <w:rPr>
            <w:rStyle w:val="Hyperlink"/>
          </w:rPr>
          <w:t xml:space="preserve">[1]</w:t>
        </w:r>
      </w:hyperlink>
      <w:r>
        <w:t xml:space="preserve"> </w:t>
      </w:r>
      <w:r>
        <w:t xml:space="preserve">and extended by the companion micro foundations work</w:t>
      </w:r>
      <w:r>
        <w:t xml:space="preserve"> </w:t>
      </w:r>
      <w:hyperlink w:anchor="ref-21">
        <w:r>
          <w:rPr>
            <w:rStyle w:val="Hyperlink"/>
          </w:rPr>
          <w:t xml:space="preserve">[21]</w:t>
        </w:r>
      </w:hyperlink>
      <w:r>
        <w:t xml:space="preserve">, by the MITRE Aspen framework [2, 4], by the open innovation evidence</w:t>
      </w:r>
      <w:r>
        <w:t xml:space="preserve"> </w:t>
      </w:r>
      <w:hyperlink w:anchor="ref-6">
        <w:r>
          <w:rPr>
            <w:rStyle w:val="Hyperlink"/>
          </w:rPr>
          <w:t xml:space="preserve">[6]</w:t>
        </w:r>
      </w:hyperlink>
      <w:r>
        <w:t xml:space="preserve">, and by the ambidexterity literature</w:t>
      </w:r>
      <w:r>
        <w:t xml:space="preserve"> </w:t>
      </w:r>
      <w:hyperlink w:anchor="ref-8">
        <w:r>
          <w:rPr>
            <w:rStyle w:val="Hyperlink"/>
          </w:rPr>
          <w:t xml:space="preserve">[8]</w:t>
        </w:r>
      </w:hyperlink>
      <w:r>
        <w:t xml:space="preserve">, sets down the substantive phenomenon. Post 2000 entrants meet a generational shift in templates, keep inherited procedural commitments under patronage pressure, and show cost performance pathologies under prolonged tenure on inherited forms. The adjacent literature on diffusion mechanisms, across space traffic management outreach [9, 28], Earth observation industrial organization</w:t>
      </w:r>
      <w:r>
        <w:t xml:space="preserve"> </w:t>
      </w:r>
      <w:hyperlink w:anchor="ref-3">
        <w:r>
          <w:rPr>
            <w:rStyle w:val="Hyperlink"/>
          </w:rPr>
          <w:t xml:space="preserve">[3]</w:t>
        </w:r>
      </w:hyperlink>
      <w:r>
        <w:t xml:space="preserve">, SSA institutional arrangements [15, 18, 19], legal and regulatory templates [16, 17], training and cybersecurity</w:t>
      </w:r>
      <w:r>
        <w:t xml:space="preserve"> </w:t>
      </w:r>
      <w:hyperlink w:anchor="ref-20">
        <w:r>
          <w:rPr>
            <w:rStyle w:val="Hyperlink"/>
          </w:rPr>
          <w:t xml:space="preserve">[20]</w:t>
        </w:r>
      </w:hyperlink>
      <w:r>
        <w:t xml:space="preserve">, dual use and reentry governance [14, 26], mission programmatic recoding</w:t>
      </w:r>
      <w:r>
        <w:t xml:space="preserve"> </w:t>
      </w:r>
      <w:hyperlink w:anchor="ref-27">
        <w:r>
          <w:rPr>
            <w:rStyle w:val="Hyperlink"/>
          </w:rPr>
          <w:t xml:space="preserve">[27]</w:t>
        </w:r>
      </w:hyperlink>
      <w:r>
        <w:t xml:space="preserve">, and the technical heterogeneity adjacent to lunar surface, planetary, and inter agency mission architectures [13, 22, 23, 24, 25], furnishes converging evidence that the diffusion is real, that it works through specific channels, and that it produces observable structural and procedural patterns. The UNOOSA bilateral registry</w:t>
      </w:r>
      <w:r>
        <w:t xml:space="preserve"> </w:t>
      </w:r>
      <w:hyperlink w:anchor="ref-5">
        <w:r>
          <w:rPr>
            <w:rStyle w:val="Hyperlink"/>
          </w:rPr>
          <w:t xml:space="preserve">[5]</w:t>
        </w:r>
      </w:hyperlink>
      <w:r>
        <w:t xml:space="preserve"> </w:t>
      </w:r>
      <w:r>
        <w:t xml:space="preserve">hands over the empirical record of patronage ties.</w:t>
      </w:r>
    </w:p>
    <w:p>
      <w:pPr>
        <w:pStyle w:val="BodyText"/>
        <w:spacing w:line="480" w:lineRule="auto"/>
        <w:ind w:firstLine="720"/>
      </w:pPr>
      <w:r>
        <w:t xml:space="preserve">The cliometric and econometric methodology literature hands over the apparatus through which these qualitative claims can be tested as conditional probability and tenure exposure claims. The binary logit specification of the first empirical paper, the OLS with HC1 standard errors of the second, and the GAO methodological anchor for the dependent variable in the cost performance analysis [10, 11, 12] are no novel methodological contributions. They are conventional applied econometric choices borrowed from the broader cliometric literature. Novel is their application to the population of post 2000 national space agencies, conditional on patronage ties documented in the UNOOSA registry and on incumbent templates documented in the MITRE Aspen framework.</w:t>
      </w:r>
    </w:p>
    <w:p>
      <w:pPr>
        <w:pStyle w:val="BodyText"/>
        <w:spacing w:line="480" w:lineRule="auto"/>
        <w:ind w:firstLine="720"/>
      </w:pPr>
      <w:r>
        <w:t xml:space="preserve">Precise, then, is the gap. The domain governance literature records the phenomenon and names the mechanisms qualitatively while estimating neither the rate of convergence nor the conditional probability of adoption. The cliometric methodology literature hands over the estimators while having applied them to the post 2000 national space agency population in no systematic way. No prior study has, to the best of the candidate’s reading of the reviewed corpus, jointly estimated a logit model of incumbent template adoption conditional on patronage ties and an OLS model of cost growth on template tenure for the same population of agencies. That gap the dissertation closes by running both estimations on the same underlying corpus of agencies, charters, projects, and bilateral agreements, and by triangulating the quantitative results against the qualitative document and elite interview evidence the prospectus prescribes. The contribution is to bring the two literatures into productive contact at the level of empirical estimation rather than at the level of theoretical assertion.</w:t>
      </w:r>
    </w:p>
    <w:p>
      <w:pPr>
        <w:pStyle w:val="BodyText"/>
        <w:spacing w:line="480" w:lineRule="auto"/>
        <w:ind w:firstLine="720"/>
      </w:pPr>
      <w:r>
        <w:t xml:space="preserve">Substantively consequential the gap is too. Say the rate of structural convergence on incumbent templates runs high and the cost growth penalty for prolonged tenure on those templates runs large. Then the post 2000 founding wave is reproducing legacy execution pathologies at the global scale rather than building execution forms fit to the New Space transition Zancan and colleagues document. Consistent with that reading are the empirical results in the two papers. The patronage coefficient in the first paper is positive and large in magnitude though not significant at conventional thresholds under the binding power constraint of thirty observations, and the tenure coefficient in the second paper is significant at the one percent level with a substantively large point estimate. Caution in interpreting the first paper’s null the methodological literature counsels, and caution in reading the second paper’s positive finding as causal the substantive literature counsels, but the joint pattern is consistent with the mimetic drag conjecture and drives the qualitative chapters that follow.</w:t>
      </w:r>
    </w:p>
    <w:bookmarkEnd w:id="72"/>
    <w:bookmarkStart w:id="73" w:name="positioning-of-the-empirical-chapters"/>
    <w:p>
      <w:pPr>
        <w:pStyle w:val="Heading2"/>
        <w:spacing w:line="480" w:lineRule="auto"/>
      </w:pPr>
      <w:r>
        <w:t xml:space="preserve">2.6 Positioning of the Empirical Chapters</w:t>
      </w:r>
    </w:p>
    <w:p>
      <w:pPr>
        <w:pStyle w:val="FirstParagraph"/>
        <w:spacing w:line="480" w:lineRule="auto"/>
      </w:pPr>
      <w:r>
        <w:t xml:space="preserve">Against the reviewed literature the two empirical chapters take their positions as follows. The first takes the institutional isomorphism frame anchored by Zancan and colleagues</w:t>
      </w:r>
      <w:r>
        <w:t xml:space="preserve"> </w:t>
      </w:r>
      <w:hyperlink w:anchor="ref-1">
        <w:r>
          <w:rPr>
            <w:rStyle w:val="Hyperlink"/>
          </w:rPr>
          <w:t xml:space="preserve">[1]</w:t>
        </w:r>
      </w:hyperlink>
      <w:r>
        <w:t xml:space="preserve"> </w:t>
      </w:r>
      <w:r>
        <w:t xml:space="preserve">and the patronage diffusion mechanism documented by Sanchez Ortiz and colleagues [9, 28] as substantive priors, codes patronage ties from the UNOOSA registry</w:t>
      </w:r>
      <w:r>
        <w:t xml:space="preserve"> </w:t>
      </w:r>
      <w:hyperlink w:anchor="ref-5">
        <w:r>
          <w:rPr>
            <w:rStyle w:val="Hyperlink"/>
          </w:rPr>
          <w:t xml:space="preserve">[5]</w:t>
        </w:r>
      </w:hyperlink>
      <w:r>
        <w:t xml:space="preserve">, specifies an incumbent template from the MITRE Aspen framework [2, 4], and estimates a binary logit of template adoption on patronage, cohort time, regional development, and prior space program. Following the small sample inference literature, its null result on the patronage coefficient reads as a failure to reject under a binding power constraint rather than as evidence for independence. Consistent with the qualitative isomorphism literature is the substantive direction of the estimate, and the methodological discussion names finer grained outcome measures and graded patronage measures as the priorities for future work. The second empirical chapter takes the open innovation evidence of procedural rigidity</w:t>
      </w:r>
      <w:r>
        <w:t xml:space="preserve"> </w:t>
      </w:r>
      <w:hyperlink w:anchor="ref-6">
        <w:r>
          <w:rPr>
            <w:rStyle w:val="Hyperlink"/>
          </w:rPr>
          <w:t xml:space="preserve">[6]</w:t>
        </w:r>
      </w:hyperlink>
      <w:r>
        <w:t xml:space="preserve">, the ambidexterity literature on the erosion of exploratory capacity</w:t>
      </w:r>
      <w:r>
        <w:t xml:space="preserve"> </w:t>
      </w:r>
      <w:hyperlink w:anchor="ref-8">
        <w:r>
          <w:rPr>
            <w:rStyle w:val="Hyperlink"/>
          </w:rPr>
          <w:t xml:space="preserve">[8]</w:t>
        </w:r>
      </w:hyperlink>
      <w:r>
        <w:t xml:space="preserve">, the legacy to New Space transition evidence</w:t>
      </w:r>
      <w:r>
        <w:t xml:space="preserve"> </w:t>
      </w:r>
      <w:hyperlink w:anchor="ref-1">
        <w:r>
          <w:rPr>
            <w:rStyle w:val="Hyperlink"/>
          </w:rPr>
          <w:t xml:space="preserve">[1]</w:t>
        </w:r>
      </w:hyperlink>
      <w:r>
        <w:t xml:space="preserve">, and the patronage mediated diffusion of governance instruments [9, 28] as substantive priors. It codes template tenure from agency founding statutes and acquisition policy revision histories, anchors the cost growth measure in the GAO Major Project Assessment series [10, 11, 12], and estimates an OLS with HC1 standard errors of project level percent cost growth on years of template tenure, patronage tie strength, and prime contractor count. Its positive and significant tenure coefficient reads as a conditional association consistent with the sharpened mimetic drag conjecture, with the explicit caveat that the cross section cannot rule out unobserved project complexity factors.</w:t>
      </w:r>
    </w:p>
    <w:p>
      <w:pPr>
        <w:pStyle w:val="BodyText"/>
        <w:spacing w:line="480" w:lineRule="auto"/>
        <w:ind w:firstLine="720"/>
      </w:pPr>
      <w:r>
        <w:t xml:space="preserve">Jointly the two chapters operationalize the dissertation’s central claim that post 2000 national space agencies inherit incumbent templates through patronage channels and pay cost performance penalties for prolonged tenure on those templates. The remaining chapters carry this contribution along the directions the methodological discussion names: finer grained outcome decompositions, graded patronage measures, qualitative triangulation through document analysis and elite interviews, and the regional fixed effects identification refinement the prospectus prescribes. In doing so the dissertation closes the gap between the substantive isomorphism literature anchored by the domain governance studies reviewed in Section 2.2 and the cliometric and econometric methodology literature reviewed in Section 2.4, while drawing systematically on the adjacent diffusion mechanism and technical heterogeneity literatures reviewed in Section 2.3.</w:t>
      </w:r>
    </w:p>
    <w:bookmarkEnd w:id="73"/>
    <w:bookmarkEnd w:id="74"/>
    <w:bookmarkStart w:id="81" w:name="Xcfcc00a3ded59aed0c781c16bfc121f2a509603"/>
    <w:p>
      <w:pPr>
        <w:pStyle w:val="Heading1"/>
        <w:spacing w:line="480" w:lineRule="auto"/>
      </w:pPr>
      <w:r>
        <w:t xml:space="preserve">Chapter 3. Theoretical Framework and Hypotheses</w:t>
      </w:r>
    </w:p>
    <w:bookmarkStart w:id="75" w:name="orientation-1"/>
    <w:p>
      <w:pPr>
        <w:pStyle w:val="Heading2"/>
        <w:spacing w:line="480" w:lineRule="auto"/>
      </w:pPr>
      <w:r>
        <w:t xml:space="preserve">3.1 Orientation</w:t>
      </w:r>
    </w:p>
    <w:p>
      <w:pPr>
        <w:pStyle w:val="FirstParagraph"/>
        <w:spacing w:line="480" w:lineRule="auto"/>
      </w:pPr>
      <w:r>
        <w:t xml:space="preserve">Whether post 2000 national space agencies copy the organizational templates of incumbent agencies is a question the empirical chapters approach through two complementary tests.</w:t>
      </w:r>
    </w:p>
    <w:p>
      <w:pPr>
        <w:pStyle w:val="BodyText"/>
        <w:spacing w:line="480" w:lineRule="auto"/>
        <w:ind w:firstLine="720"/>
      </w:pPr>
      <w:r>
        <w:t xml:space="preserve">A binary logit is fit to incumbent template adoption, with patronage ties, cohort timing, regional development, and prior space activity on the right hand side. An ordinary least squares regression is fit to project level cost growth, with years of tenure under a copied or inherited program office template as the regressor of interest, conditioning on patronage tie strength and prime contractor count. On its own, each test amounts to a piece of evidence about the post 2000 founding wave. On its own, neither amounts to a theoretical claim. What this chapter supplies is the theoretical apparatus binding the two tests together; it derives the causal logic they are meant to interrogate and casts the formal null and alternative hypotheses in a shape that later chapters can reject or retain. Call it the analytical seam of the dissertation. The institutional argument meets the operational measurements here, and the conditions for falsification are settled here.</w:t>
      </w:r>
    </w:p>
    <w:p>
      <w:pPr>
        <w:pStyle w:val="BodyText"/>
        <w:spacing w:line="480" w:lineRule="auto"/>
        <w:ind w:firstLine="720"/>
      </w:pPr>
      <w:r>
        <w:t xml:space="preserve">Five steps carry the chapter. Section 3.2 rebuilds the institutional isomorphism frame in the version that carries into the empirical work, with particular weight on the mimetic channel that the qualitative space governance scholarship treats as the leading copying pressure on new entrants. Section 3.3 lays out the causal mechanism linking patronage ties, template adoption, template tenure, and execution performance, and marks it off from the rival logics the design has to neutralize. Section 3.4 fixes the formal null hypothesis H0 and the alternative hypothesis H1 in the shape they take across both empirical chapters, and reads off the auxiliary predictions the two tests hold in common. Section 3.5 sets out the falsification conditions, the priors under which the null would endure, and the priors under which the alternative would be borne out. Section 3.6 closes by carrying the framework forward into the operational variables of Chapters 4 and 5.</w:t>
      </w:r>
    </w:p>
    <w:bookmarkEnd w:id="75"/>
    <w:bookmarkStart w:id="76" w:name="Xa074efc0542bdddca01e76456323141ce51d077"/>
    <w:p>
      <w:pPr>
        <w:pStyle w:val="Heading2"/>
        <w:spacing w:line="480" w:lineRule="auto"/>
      </w:pPr>
      <w:r>
        <w:t xml:space="preserve">3.2 Institutional Isomorphism in the Space Sector</w:t>
      </w:r>
    </w:p>
    <w:p>
      <w:pPr>
        <w:pStyle w:val="FirstParagraph"/>
        <w:spacing w:line="480" w:lineRule="auto"/>
      </w:pPr>
      <w:r>
        <w:t xml:space="preserve">Where the framework begins is DiMaggio and Powell’s typology of coercive, mimetic, and normative isomorphism, read against the empirical record of the contemporary space sector.</w:t>
      </w:r>
    </w:p>
    <w:p>
      <w:pPr>
        <w:pStyle w:val="BodyText"/>
        <w:spacing w:line="480" w:lineRule="auto"/>
        <w:ind w:firstLine="720"/>
      </w:pPr>
      <w:r>
        <w:t xml:space="preserve">Three findings recur in the qualitative governance scholarship: the sector is shifting from Legacy Space to New Space models at the ecosystem level, the shift moves unevenly across organizations, and certain incumbents overhaul their internal templates faster than their peers</w:t>
      </w:r>
      <w:r>
        <w:t xml:space="preserve"> </w:t>
      </w:r>
      <w:hyperlink w:anchor="ref-1">
        <w:r>
          <w:rPr>
            <w:rStyle w:val="Hyperlink"/>
          </w:rPr>
          <w:t xml:space="preserve">[1]</w:t>
        </w:r>
      </w:hyperlink>
      <w:r>
        <w:t xml:space="preserve">. That same scholarship notes that newer national entrants often present themselves as reformed while the substance of their charters keeps the legacy template’s procedural commitments intact</w:t>
      </w:r>
      <w:r>
        <w:t xml:space="preserve"> </w:t>
      </w:r>
      <w:hyperlink w:anchor="ref-7">
        <w:r>
          <w:rPr>
            <w:rStyle w:val="Hyperlink"/>
          </w:rPr>
          <w:t xml:space="preserve">[7]</w:t>
        </w:r>
      </w:hyperlink>
      <w:r>
        <w:t xml:space="preserve">. Reinforcement comes from the micro foundations work on product service strategies in Earth observation, which shows that the split between getting things done and doing the right things hinges on the procedural architecture an agency inherits rather than on its stated mission posture</w:t>
      </w:r>
      <w:r>
        <w:t xml:space="preserve"> </w:t>
      </w:r>
      <w:hyperlink w:anchor="ref-21">
        <w:r>
          <w:rPr>
            <w:rStyle w:val="Hyperlink"/>
          </w:rPr>
          <w:t xml:space="preserve">[21]</w:t>
        </w:r>
      </w:hyperlink>
      <w:r>
        <w:t xml:space="preserve">. Read as a set, the three findings point to the same conclusion: the unit of analysis for an isomorphism test is the procedural architecture of the program office, not the agency’s account of itself. Among the three channels, the empirical record favors the mimetic. Were coercive pressures at work, in the shape of donor conditionality, they would surface in the founding charters, and the public record of the post 2000 cohort shows no such trace. Normative pressures, carried by a shared professional ideology of program management, do operate, but on the slower clock of cadre formation rather than on the founding decision itself. Mimetic pressures bear down at the very moment an agency is founded, when the founders confront the sharpest uncertainty about the right organizational form and hold the strongest reason to borrow a template already blessed as legitimate. Under exactly that acute uncertainty about program office design, acquisition pathway selection, and governance instrument choice, the post 2000 cohort founded its agencies, and that is the textbook setting in which theory expects mimetic copying to prevail.</w:t>
      </w:r>
    </w:p>
    <w:p>
      <w:pPr>
        <w:pStyle w:val="BodyText"/>
        <w:spacing w:line="480" w:lineRule="auto"/>
        <w:ind w:firstLine="720"/>
      </w:pPr>
      <w:r>
        <w:t xml:space="preserve">Two more empirical regularities tighten the mimetic prediction. Open innovation research on the European space sector finds that even reform minded agencies keep the procedural commitments they inherited through their historical patronage networks, which marks template inheritance as sticky rather than freshly reconsidered each cycle</w:t>
      </w:r>
      <w:r>
        <w:t xml:space="preserve"> </w:t>
      </w:r>
      <w:hyperlink w:anchor="ref-6">
        <w:r>
          <w:rPr>
            <w:rStyle w:val="Hyperlink"/>
          </w:rPr>
          <w:t xml:space="preserve">[6]</w:t>
        </w:r>
      </w:hyperlink>
      <w:r>
        <w:t xml:space="preserve">. Outreach research on space traffic management, meanwhile, finds template diffusion running along sustained bilateral ties between incumbents and newer national agencies, which marks patronage as the working conduit through which mimetic copying happens</w:t>
      </w:r>
      <w:r>
        <w:t xml:space="preserve"> </w:t>
      </w:r>
      <w:hyperlink w:anchor="ref-9">
        <w:r>
          <w:rPr>
            <w:rStyle w:val="Hyperlink"/>
          </w:rPr>
          <w:t xml:space="preserve">[9]</w:t>
        </w:r>
      </w:hyperlink>
      <w:r>
        <w:t xml:space="preserve">,</w:t>
      </w:r>
      <w:r>
        <w:t xml:space="preserve"> </w:t>
      </w:r>
      <w:hyperlink w:anchor="ref-28">
        <w:r>
          <w:rPr>
            <w:rStyle w:val="Hyperlink"/>
          </w:rPr>
          <w:t xml:space="preserve">[28]</w:t>
        </w:r>
      </w:hyperlink>
      <w:r>
        <w:t xml:space="preserve">. Patronage in this reading is no generic alliance variable. It is a particular organizational tie, one that exposes a new agency’s founders to a given incumbent’s procedural architecture by way of training exchanges, cooperation agreements, and capacity building programs. Supplying the U.S. comparator template, and naming the program office, acquisition pathway, and governance instrument features that make up the incumbent form, is the MITRE and Aspen Institute whole of nation framework</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Supplying the documentary record of the ties is the United Nations Office for Outer Space Affairs bilateral registry</w:t>
      </w:r>
      <w:r>
        <w:t xml:space="preserve"> </w:t>
      </w:r>
      <w:hyperlink w:anchor="ref-5">
        <w:r>
          <w:rPr>
            <w:rStyle w:val="Hyperlink"/>
          </w:rPr>
          <w:t xml:space="preserve">[5]</w:t>
        </w:r>
      </w:hyperlink>
      <w:r>
        <w:t xml:space="preserve">.</w:t>
      </w:r>
    </w:p>
    <w:p>
      <w:pPr>
        <w:pStyle w:val="BodyText"/>
        <w:spacing w:line="480" w:lineRule="auto"/>
        <w:ind w:firstLine="720"/>
      </w:pPr>
      <w:r>
        <w:t xml:space="preserve">Narrow is the frame that these readings yield. It stops short of predicting that every new agency copies an incumbent template. Its prediction is conditional: given a patronage tie to a specific incumbent, the odds of adopting that incumbent’s program office template run higher than a baseline of independent design would generate. Its further prediction is that, once adoption has happened, the procedural rigidities of the inherited template pile up over time, so that tenure under the template travels with the execution pathologies typical of the incumbent. Two stages of prediction follow. One stage is the moment of adoption. The other is the fallout of adoption over time. Chapters 4 and 5 are where those two stages are put to empirical work.</w:t>
      </w:r>
    </w:p>
    <w:bookmarkEnd w:id="76"/>
    <w:bookmarkStart w:id="77" w:name="the-causal-logic"/>
    <w:p>
      <w:pPr>
        <w:pStyle w:val="Heading2"/>
        <w:spacing w:line="480" w:lineRule="auto"/>
      </w:pPr>
      <w:r>
        <w:t xml:space="preserve">3.3 The Causal Logic</w:t>
      </w:r>
    </w:p>
    <w:p>
      <w:pPr>
        <w:pStyle w:val="FirstParagraph"/>
        <w:spacing w:line="480" w:lineRule="auto"/>
      </w:pPr>
      <w:r>
        <w:t xml:space="preserve">Four moving parts assemble the causal claim under test. First comes the patronage tie, handled as an exogenous or weakly exogenous antecedent that exposes a new agency’s founders to a given incumbent’s template. Second comes template adoption, handled as the proximate outcome of stage one and the proximate cause of stage two. Third comes template tenure, defined as the years elapsed between adoption and the project authorization date, the term that registers the pile up of procedural commitments. Fourth comes execution performance, operationalized as project level cost growth from baseline, the observable trace of the inherited procedural rigidities. Sequential is the mechanism joining the four. At founding, patronage exposes the founders to the incumbent’s template. Once adopted, the template breeds a procedural inertia that mounts with tenure. And tenure under the template forecasts cost growth on the projects the agency goes on to execute. Stage one’s link is the mimetic prediction itself. Three sub mechanisms, on the qualitative reading, raise adoption probability through exposure. Founders dispatched to the incumbent for training pick up a vocabulary and a stock of templates that they later carry into their home agency’s enabling instruments. Cooperation agreements lock the new agency into interface artifacts, project review gates and milestone definitions among them, that cannot be prised loose from the incumbent’s program office form. And capacity building programs hand over standard operating procedures whose uptake rides on continued access to incumbent expertise. Each sub mechanism arrives at the same endpoint: a patronage tie lifts the conditional probability of incumbent template adoption.</w:t>
      </w:r>
    </w:p>
    <w:p>
      <w:pPr>
        <w:pStyle w:val="BodyText"/>
        <w:spacing w:line="480" w:lineRule="auto"/>
        <w:ind w:firstLine="720"/>
      </w:pPr>
      <w:r>
        <w:t xml:space="preserve">Stage two’s link is the drag prediction. On adopting a template, an agency takes on its procedural commitments, project review structures, acquisition pathway specifications, and governance instrument inventories included. Static those commitments are not. They gather further layers of review, audit, and reporting as the agency matures and as oversight bodies push for accountability. The cost growth that incumbents display, laid out in the public record of major project assessments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is the empirical face of that accumulation. An agency that has copied the incumbent’s template runs the accumulation process too. The longer it has run under the inherited template by the time a project is authorized, the more procedural rigidity that project takes on and the steeper the expected cost growth.</w:t>
      </w:r>
    </w:p>
    <w:p>
      <w:pPr>
        <w:pStyle w:val="BodyText"/>
        <w:spacing w:line="480" w:lineRule="auto"/>
        <w:ind w:firstLine="720"/>
      </w:pPr>
      <w:r>
        <w:t xml:space="preserve">Three rival logics have to be pinned down. Project complexity is one: cost growth answers to the technical difficulty of a project as much as to the procedural setting around it, and were complex projects landing disproportionately in agencies with long tenure under incumbent templates, the cost growth coefficient on tenure might be spurious. Contractor structure is another: a project run by a single prime contractor draws a different cost growth distribution than one run by a consortium of primes, and contractor structure moves with both template choice and patronage. Regional development is the third: new agencies raised in regions with mature industrial bases pick different templates and run different projects than those raised without such bases. Into the empirical design each rival enters as an explicit control. Chapter 4 meets the regional development rival with the OECD high income indicator. Chapter 5 meets the contractor structure rival with the prime contractor count. Project complexity is the residual rival the cross sectional designs cannot fully purge, and its handling waits for the limitations discussion in Chapter 6.</w:t>
      </w:r>
    </w:p>
    <w:p>
      <w:pPr>
        <w:pStyle w:val="BodyText"/>
        <w:spacing w:line="480" w:lineRule="auto"/>
        <w:ind w:firstLine="720"/>
      </w:pPr>
      <w:r>
        <w:t xml:space="preserve">A fourth matter concerns the direction of the patronage to template link.</w:t>
      </w:r>
    </w:p>
    <w:p>
      <w:pPr>
        <w:pStyle w:val="BodyText"/>
        <w:spacing w:line="480" w:lineRule="auto"/>
        <w:ind w:firstLine="720"/>
      </w:pPr>
      <w:r>
        <w:t xml:space="preserve">The causal claim runs from patronage to a higher probability of adoption. Its reverse, that an agency having already picked a template then courts the patronage of the incumbent attached to it, cannot be told apart in cross section. Two moves address the reverse direction. Chapter 4’s timing rule codes patronage as the existence of a bilateral tie at or before the founding date, which shuts out the most flagrant reverse causation. And the qualitative document analysis in the prospectus design will read founding charters for explicit references to incumbent templates as design referents, which lends corroborating evidence on the direction of the link. So the framework claims no full identification of the causal arrow, yet it does claim that the empirical design shrinks the space of admissible counterexplanations.</w:t>
      </w:r>
    </w:p>
    <w:bookmarkEnd w:id="77"/>
    <w:bookmarkStart w:id="78" w:name="formal-hypotheses"/>
    <w:p>
      <w:pPr>
        <w:pStyle w:val="Heading2"/>
        <w:spacing w:line="480" w:lineRule="auto"/>
      </w:pPr>
      <w:r>
        <w:t xml:space="preserve">3.4 Formal Hypotheses</w:t>
      </w:r>
    </w:p>
    <w:p>
      <w:pPr>
        <w:pStyle w:val="FirstParagraph"/>
        <w:spacing w:line="480" w:lineRule="auto"/>
      </w:pPr>
      <w:r>
        <w:t xml:space="preserve">One pair of formal hypotheses issues from the framework, cast at the level of the causal mechanism and then specialized to the operational variables of the two empirical chapters. H0. The structural similarity between a new national space agency and its nearest incumbent template, measured on a vector of program office, acquisition pathway, and governance instrument features, is statistically indistinguishable from the similarity expected under independent design drawn from the observed feature distribution. Equivalently, neither patronage ties nor tenure under an inherited template is associated with the proximate or distal outcomes that the mimetic and drag mechanisms predict. H1. New national space agencies exhibit similarity to incumbent templates that exceeds the independent design baseline, and the excess is concentrated on agencies that share a patronage tie with the incumbent in question. Conditional on adoption, longer tenure under the inherited template is associated with higher cost growth on cross agency space projects authorized by the agency, controlling for patronage tie strength and prime contractor structure.</w:t>
      </w:r>
    </w:p>
    <w:p>
      <w:pPr>
        <w:pStyle w:val="BodyText"/>
        <w:spacing w:line="480" w:lineRule="auto"/>
        <w:ind w:firstLine="720"/>
      </w:pPr>
      <w:r>
        <w:t xml:space="preserve">Specialization to the two empirical chapters runs as follows. At the adoption stage Chapter 4 instantiates H1 by predicting a positive logit coefficient on the patronage indicator, statistically distinguishable from zero, conditional on cohort timing, OECD high income status, and prior space activity, against the null that the coefficient is zero. At the drag stage Chapter 5 instantiates H1 by predicting a positive OLS coefficient on years of template tenure, statistically distinguishable from zero, conditional on patronage tie strength and prime contractor count, against the null that the coefficient is zero. Meaning flows to the specialized pair from the unified H1 above. Were Chapter 4 to return a positive patronage coefficient and Chapter 5 a null tenure coefficient, only the second link of the mechanism would fall. Were the adoption stage logit to return a null patronage coefficient and Chapter 5 a positive tenure coefficient, only the first would fall.</w:t>
      </w:r>
    </w:p>
    <w:p>
      <w:pPr>
        <w:pStyle w:val="BodyText"/>
        <w:spacing w:line="480" w:lineRule="auto"/>
        <w:ind w:firstLine="720"/>
      </w:pPr>
      <w:r>
        <w:t xml:space="preserve">Three auxiliary predictions issue from the framework and act as internal coherence checks across the two chapters.</w:t>
      </w:r>
    </w:p>
    <w:p>
      <w:pPr>
        <w:pStyle w:val="BodyText"/>
        <w:spacing w:line="480" w:lineRule="auto"/>
        <w:ind w:firstLine="720"/>
      </w:pPr>
      <w:r>
        <w:t xml:space="preserve">Chapter 4’s patronage coefficient should carry a positive sign even where it sits statistically indistinguishable from zero, since a flat or negative point estimate would clash with the qualitative record. Chapter 5’s tenure coefficient should outweigh the patronage tie coefficient in the same model, since the framework locates drag in tenure rather than in the bare fact of a tie. And Chapter 5’s OLS residuals should show no systematic pattern by region or by incumbent template identity, since the framework treats the mechanism as scope independent across the post 2000 cohort. A partial falsification target is what each auxiliary prediction amounts to. Decisive none of them is.</w:t>
      </w:r>
    </w:p>
    <w:bookmarkEnd w:id="78"/>
    <w:bookmarkStart w:id="79" w:name="falsification-conditions"/>
    <w:p>
      <w:pPr>
        <w:pStyle w:val="Heading2"/>
        <w:spacing w:line="480" w:lineRule="auto"/>
      </w:pPr>
      <w:r>
        <w:t xml:space="preserve">3.5 Falsification Conditions</w:t>
      </w:r>
    </w:p>
    <w:p>
      <w:pPr>
        <w:pStyle w:val="FirstParagraph"/>
        <w:spacing w:line="480" w:lineRule="auto"/>
      </w:pPr>
      <w:r>
        <w:t xml:space="preserve">Falsifiable where the qualitative isomorphism literature is not is what the framework here means to be. Its conditions are declared up front. Laying them out before the empirical chapters lets the reader weigh the evidence on its own terms. The principal falsification condition is the joint failure of both empirical chapters to yield evidence consistent with H1. Say the Chapter 4 logit returns a patronage coefficient indistinguishable from zero, and the Chapter 5 OLS returns a template tenure coefficient indistinguishable from zero. The joint reading then is that the data back the mimetic mechanism in neither of its stages. Under that joint reading, H0 endures and the dissertation reports it accordingly. A partial failure, one chapter clearing the threshold while the other does not, brings down only the matching link of the chain. The framework does not demand that both links succeed to keep its explanatory value, though the dissertation’s central claim does demand that at least one of them clear.</w:t>
      </w:r>
    </w:p>
    <w:p>
      <w:pPr>
        <w:pStyle w:val="BodyText"/>
        <w:spacing w:line="480" w:lineRule="auto"/>
        <w:ind w:firstLine="720"/>
      </w:pPr>
      <w:r>
        <w:t xml:space="preserve">A secondary falsification condition turns on the direction of the coefficients. A positive patronage coefficient in Chapter 4 and a positive tenure coefficient in Chapter 5 are necessary conditions for vindicating H1. Negative coefficients in either chapter, even where statistically indistinguishable from zero, would amount to soft evidence against the framework, since the qualitative record predicts a directional alignment that the cross sectional designs ought at least partly to recover. A third falsification condition turns on the auxiliary predictions of section 3.4. Were Chapter 5’s residuals to show a systematic regional pattern, or the patronage tie coefficient in Chapter 5 to outweigh the tenure coefficient, the framework would call for respecification to take on a richer mechanism, even where the headline tests hold. Two priors deserve explicit statement. Small as the post 2000 cohort is, it caps statistical power, above all for the Chapter 4 logit; a positive patronage coefficient carrying a non significant Wald test reads as consistent with H1 rather than as decisive evidence for it, and the chapter reports effect sizes beside p values in support of that reading. And the documentary record of patronage ties runs incomplete; the UNOOSA bilateral registry</w:t>
      </w:r>
      <w:r>
        <w:t xml:space="preserve"> </w:t>
      </w:r>
      <w:hyperlink w:anchor="ref-5">
        <w:r>
          <w:rPr>
            <w:rStyle w:val="Hyperlink"/>
          </w:rPr>
          <w:t xml:space="preserve">[5]</w:t>
        </w:r>
      </w:hyperlink>
      <w:r>
        <w:t xml:space="preserve"> </w:t>
      </w:r>
      <w:r>
        <w:t xml:space="preserve">catches formal agreements while missing the informal exchanges that frequently make up a tie’s substance, so that measurement error in the patronage indicator pulls the Chapter 4 coefficient toward zero, tilting the test toward H0.</w:t>
      </w:r>
    </w:p>
    <w:bookmarkEnd w:id="79"/>
    <w:bookmarkStart w:id="80" w:name="mapping-forward"/>
    <w:p>
      <w:pPr>
        <w:pStyle w:val="Heading2"/>
        <w:spacing w:line="480" w:lineRule="auto"/>
      </w:pPr>
      <w:r>
        <w:t xml:space="preserve">3.6 Mapping Forward</w:t>
      </w:r>
    </w:p>
    <w:p>
      <w:pPr>
        <w:pStyle w:val="FirstParagraph"/>
        <w:spacing w:line="480" w:lineRule="auto"/>
      </w:pPr>
      <w:r>
        <w:t xml:space="preserve">One to one is how the framework specified here carries forward into the operational variables of Chapters 4 and 5. Chapter 4 codes the patronage tie as a binary indicator drawn from the UNOOSA registry and from agency cooperation announcements, under the timing rule that the tie be documented at or before the agency’s founding date. Chapter 5 codes years of template tenure as the years between the agency’s adoption of its current acquisition template and the authorization year of the project under analysis, with the template adoption date read from the founding statute or from a later reform act where one exists. Public sources feed both chapters’ outcome variables: in Chapter 4 the program office template indicator comes from the agency’s published organization chart and from the MITRE and Aspen Institute feature catalog</w:t>
      </w:r>
      <w:r>
        <w:t xml:space="preserve"> </w:t>
      </w:r>
      <w:hyperlink w:anchor="ref-2">
        <w:r>
          <w:rPr>
            <w:rStyle w:val="Hyperlink"/>
          </w:rPr>
          <w:t xml:space="preserve">[2]</w:t>
        </w:r>
      </w:hyperlink>
      <w:r>
        <w:t xml:space="preserve">,</w:t>
      </w:r>
      <w:r>
        <w:t xml:space="preserve"> </w:t>
      </w:r>
      <w:hyperlink w:anchor="ref-4">
        <w:r>
          <w:rPr>
            <w:rStyle w:val="Hyperlink"/>
          </w:rPr>
          <w:t xml:space="preserve">[4]</w:t>
        </w:r>
      </w:hyperlink>
      <w:r>
        <w:t xml:space="preserve">, and in Chapter 5 the cost growth measure comes from the GAO NASA major project assessment series</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w:t>
      </w:r>
      <w:r>
        <w:t xml:space="preserve">and from analogous documents at non U.S. agencies. Carrying the two chapters through the framework specified here is what permits the dissertation to claim a single, falsifiable contribution instead of two unrelated regressions.</w:t>
      </w:r>
    </w:p>
    <w:p>
      <w:pPr>
        <w:pStyle w:val="BodyText"/>
        <w:spacing w:line="480" w:lineRule="auto"/>
        <w:ind w:firstLine="720"/>
      </w:pPr>
      <w:r>
        <w:t xml:space="preserve">What the dissertation does not claim the framework also marks out. It does not claim that mimetic isomorphism is the sole mechanism working on the post 2000 cohort; coercive and normative pressures are present and may dominate in particular cases. It does not claim that the patronage indicator captures the whole content of mimetic exposure; the indicator stands as a documentary proxy for a process running on several registers. It does not claim that cost growth is the only execution outcome worth measuring; schedule slip, scope reduction, and capability degradation are alternative outcomes future work should take up. What the framework does claim is that the patronage to template to tenure to cost growth chain is the most tractable empirical instantiation of the mimetic mechanism now available, and that the two cross sectional tests reported in Chapters 4 and 5 are jointly informative about the chain even where neither is decisive on its own.</w:t>
      </w:r>
    </w:p>
    <w:p>
      <w:pPr>
        <w:pStyle w:val="BodyText"/>
        <w:spacing w:line="480" w:lineRule="auto"/>
        <w:ind w:firstLine="720"/>
      </w:pPr>
      <w:r>
        <w:t xml:space="preserve">Now settled are the conditions under which the dissertation’s evidence will be read. The empirical chapters follow.</w:t>
      </w:r>
    </w:p>
    <w:bookmarkEnd w:id="80"/>
    <w:bookmarkEnd w:id="81"/>
    <w:bookmarkStart w:id="98" w:name="chapter-4.-data-and-measurement"/>
    <w:p>
      <w:pPr>
        <w:pStyle w:val="Heading1"/>
        <w:spacing w:line="480" w:lineRule="auto"/>
      </w:pPr>
      <w:r>
        <w:t xml:space="preserve">Chapter 4. Data and Measurement</w:t>
      </w:r>
    </w:p>
    <w:bookmarkStart w:id="82" w:name="purpose-and-scope-of-the-chapter"/>
    <w:p>
      <w:pPr>
        <w:pStyle w:val="Heading2"/>
        <w:spacing w:line="480" w:lineRule="auto"/>
      </w:pPr>
      <w:r>
        <w:t xml:space="preserve">4.1 Purpose and Scope of the Chapter</w:t>
      </w:r>
    </w:p>
    <w:p>
      <w:pPr>
        <w:pStyle w:val="FirstParagraph"/>
        <w:spacing w:line="480" w:lineRule="auto"/>
      </w:pPr>
      <w:r>
        <w:t xml:space="preserve">Documented in this chapter are the two empirical datasets that anchor the dissertation.</w:t>
      </w:r>
    </w:p>
    <w:p>
      <w:pPr>
        <w:pStyle w:val="BodyText"/>
        <w:spacing w:line="480" w:lineRule="auto"/>
        <w:ind w:firstLine="720"/>
      </w:pPr>
      <w:r>
        <w:t xml:space="preserve">It names the authoritative public sources feeding each variable, the unit of analysis each estimator assumes, and the operational rules turning primary records into the numeric quantities entered into the logistic and ordinary least squares regressions reported in the two preceding research papers. Granular by design is the exposition, since the falsifiable contribution the prospectus states rests on a claim about obtainability: that the structural and performance features of national space agencies can be coded from publicly available charters, organic statutes, organization charts, acquisition policy revision histories, GAO project assessments, and the United Nations Office for Outer Space Affairs bilateral agreement registry, with no recourse to proprietary access</w:t>
      </w:r>
      <w:r>
        <w:t xml:space="preserve"> </w:t>
      </w:r>
      <w:hyperlink w:anchor="ref-5">
        <w:r>
          <w:rPr>
            <w:rStyle w:val="Hyperlink"/>
          </w:rPr>
          <w:t xml:space="preserve">[5]</w:t>
        </w:r>
      </w:hyperlink>
      <w:r>
        <w:t xml:space="preserve">. A reader unable to rebuild the coded values from the documentary record is a reader for whom the contribution is not falsifiable. Organized to hand that reader what replication, contest, or extension of each variable takes, in turn, is how the chapter runs.</w:t>
      </w:r>
    </w:p>
    <w:p>
      <w:pPr>
        <w:pStyle w:val="BodyText"/>
        <w:spacing w:line="480" w:lineRule="auto"/>
        <w:ind w:firstLine="720"/>
      </w:pPr>
      <w:r>
        <w:t xml:space="preserve">Two datasets get described. Dataset A backs the binary logistic regression of incumbent template adoption on patronage, cohort timing, regional development, and prior national space activity reported in the first paper; its unit of analysis is the national space agency. Dataset B backs the ordinary least squares regression of project level cost growth on years of template tenure, patronage tie strength, and prime contractor count reported in the second paper; its unit of analysis is the individual cross agency space project authorized between 2010 and 2023. A common documentary backbone threads through both: agency founding charters and organic statutes, the UNOOSA bilateral agreement registry</w:t>
      </w:r>
      <w:r>
        <w:t xml:space="preserve"> </w:t>
      </w:r>
      <w:hyperlink w:anchor="ref-5">
        <w:r>
          <w:rPr>
            <w:rStyle w:val="Hyperlink"/>
          </w:rPr>
          <w:t xml:space="preserve">[5]</w:t>
        </w:r>
      </w:hyperlink>
      <w:r>
        <w:t xml:space="preserve">, and the Acta Astronautica Legacy to New Space coding scheme</w:t>
      </w:r>
      <w:r>
        <w:t xml:space="preserve"> </w:t>
      </w:r>
      <w:hyperlink w:anchor="ref-1">
        <w:r>
          <w:rPr>
            <w:rStyle w:val="Hyperlink"/>
          </w:rPr>
          <w:t xml:space="preserve">[1]</w:t>
        </w:r>
      </w:hyperlink>
      <w:r>
        <w:t xml:space="preserve">. Where they part is outcome measurement. Structural form at the agency level is what Dataset A measures; cost performance outcomes at the project level is what Dataset B measures. Presenting two datasets rather than one panel follows the prospectus design, which splits the static question of template adoption off from the dynamic question of cost performance under templates over time.</w:t>
      </w:r>
    </w:p>
    <w:bookmarkEnd w:id="82"/>
    <w:bookmarkStart w:id="83" w:name="documentary-backbone"/>
    <w:p>
      <w:pPr>
        <w:pStyle w:val="Heading2"/>
        <w:spacing w:line="480" w:lineRule="auto"/>
      </w:pPr>
      <w:r>
        <w:t xml:space="preserve">4.2 Documentary Backbone</w:t>
      </w:r>
    </w:p>
    <w:p>
      <w:pPr>
        <w:pStyle w:val="FirstParagraph"/>
        <w:spacing w:line="480" w:lineRule="auto"/>
      </w:pPr>
      <w:r>
        <w:t xml:space="preserve">A fully public backbone underlies both datasets, drawn from three classes of source material.</w:t>
      </w:r>
    </w:p>
    <w:p>
      <w:pPr>
        <w:pStyle w:val="BodyText"/>
        <w:spacing w:line="480" w:lineRule="auto"/>
        <w:ind w:firstLine="720"/>
      </w:pPr>
      <w:r>
        <w:t xml:space="preserve">National space agency primary documents make up the first class. Founding charters, organic statutes, presidential or cabinet decrees, parliamentary acts, organization charts, and the first three annual reports published after the founding date compose them. Each agency in scope publishes these on its official website or in its host government gazette. Where an agency’s founding act consolidated pre existing activities, the consolidating decree serves as the documentary anchor, and the prior activities get coded under the prior space program indicator rather than as a separate founding. For the six incumbent comparators the prospectus identifies, namely NASA, ESA, JAXA, CNSA, ISRO, and Roscosmos, the equivalent corpus is gathered to anchor the template feature vector. Where a charter or statute appears only in a national language other than English, the official translation is preferred when one exists, and the candidate’s working translation gets annotated in the source field of the row when it does not.</w:t>
      </w:r>
    </w:p>
    <w:p>
      <w:pPr>
        <w:pStyle w:val="BodyText"/>
        <w:spacing w:line="480" w:lineRule="auto"/>
        <w:ind w:firstLine="720"/>
      </w:pPr>
      <w:r>
        <w:t xml:space="preserve">The UNOOSA registry of national space agencies and bilateral cooperation agreements makes up the second class</w:t>
      </w:r>
      <w:r>
        <w:t xml:space="preserve"> </w:t>
      </w:r>
      <w:hyperlink w:anchor="ref-5">
        <w:r>
          <w:rPr>
            <w:rStyle w:val="Hyperlink"/>
          </w:rPr>
          <w:t xml:space="preserve">[5]</w:t>
        </w:r>
      </w:hyperlink>
      <w:r>
        <w:t xml:space="preserve">.</w:t>
      </w:r>
    </w:p>
    <w:p>
      <w:pPr>
        <w:pStyle w:val="BodyText"/>
        <w:spacing w:line="480" w:lineRule="auto"/>
        <w:ind w:firstLine="720"/>
      </w:pPr>
      <w:r>
        <w:t xml:space="preserve">Two purposes it serves. It supplies an independent enumeration of national space agencies against which the documentary corpus is verified, and it supplies the canonical record of bilateral cooperation, training, and capacity building agreements that anchor the patronage variables in both datasets. Continuously does UNOOSA update the registry; the version of record for this dissertation is the snapshot accessed in 2026, held in the candidate’s working archive with the access date in the row level provenance. The U.S. Government Accountability Office NASA Major Project Assessment series makes up the third class, specifically the fiscal year 2022, 2023, and 2024 reports</w:t>
      </w:r>
      <w:r>
        <w:t xml:space="preserve"> </w:t>
      </w:r>
      <w:hyperlink w:anchor="ref-10">
        <w:r>
          <w:rPr>
            <w:rStyle w:val="Hyperlink"/>
          </w:rPr>
          <w:t xml:space="preserve">[10]</w:t>
        </w:r>
      </w:hyperlink>
      <w:r>
        <w:t xml:space="preserve">[11][12]. Canonical for percent cost growth on NASA major projects, these are. Their use is confined to Dataset B and to NASA observations within it. For non NASA observations in Dataset B, percent cost growth gets coded from ESA Council rebaselining communications, agency press kits, and parliamentary or cabinet releases, with the source recorded per row.</w:t>
      </w:r>
    </w:p>
    <w:p>
      <w:pPr>
        <w:pStyle w:val="BodyText"/>
        <w:spacing w:line="480" w:lineRule="auto"/>
        <w:ind w:firstLine="720"/>
      </w:pPr>
      <w:r>
        <w:t xml:space="preserve">Two further sources back the conceptual frame within which variables are built.</w:t>
      </w:r>
    </w:p>
    <w:p>
      <w:pPr>
        <w:pStyle w:val="BodyText"/>
        <w:spacing w:line="480" w:lineRule="auto"/>
        <w:ind w:firstLine="720"/>
      </w:pPr>
      <w:r>
        <w:t xml:space="preserve">The Zancan and colleagues Acta Astronautica article on the Legacy to New Space transition supplies the validated coding scheme that anchors the template feature vector in both datasets</w:t>
      </w:r>
      <w:r>
        <w:t xml:space="preserve"> </w:t>
      </w:r>
      <w:hyperlink w:anchor="ref-1">
        <w:r>
          <w:rPr>
            <w:rStyle w:val="Hyperlink"/>
          </w:rPr>
          <w:t xml:space="preserve">[1]</w:t>
        </w:r>
      </w:hyperlink>
      <w:r>
        <w:t xml:space="preserve">[7]. The MITRE and Aspen Institute whole of nation framework supplies the U.S. comparator structure against which the program office, acquisition pathway, and governance instrument features of the template feature vector are steadied</w:t>
      </w:r>
      <w:r>
        <w:t xml:space="preserve"> </w:t>
      </w:r>
      <w:hyperlink w:anchor="ref-2">
        <w:r>
          <w:rPr>
            <w:rStyle w:val="Hyperlink"/>
          </w:rPr>
          <w:t xml:space="preserve">[2]</w:t>
        </w:r>
      </w:hyperlink>
      <w:r>
        <w:t xml:space="preserve">[4]. Observations neither contributes directly. Operational definitions used to code observations from the primary documentary corpus are what both contribute.</w:t>
      </w:r>
    </w:p>
    <w:bookmarkEnd w:id="83"/>
    <w:bookmarkStart w:id="89" w:name="Xf15329ab3ce2e02511e5fec802b94ac660d396f"/>
    <w:p>
      <w:pPr>
        <w:pStyle w:val="Heading2"/>
        <w:spacing w:line="480" w:lineRule="auto"/>
      </w:pPr>
      <w:r>
        <w:t xml:space="preserve">4.3 Dataset A: Template Adoption at the Agency Level</w:t>
      </w:r>
    </w:p>
    <w:bookmarkStart w:id="84" w:name="unit-of-analysis-and-sampling-frame"/>
    <w:p>
      <w:pPr>
        <w:pStyle w:val="Heading3"/>
        <w:spacing w:line="480" w:lineRule="auto"/>
      </w:pPr>
      <w:r>
        <w:t xml:space="preserve">4.3.1 Unit of Analysis and Sampling Frame</w:t>
      </w:r>
    </w:p>
    <w:p>
      <w:pPr>
        <w:pStyle w:val="FirstParagraph"/>
        <w:spacing w:line="480" w:lineRule="auto"/>
      </w:pPr>
      <w:r>
        <w:t xml:space="preserve">In Dataset A the unit of analysis is the national space agency.</w:t>
      </w:r>
    </w:p>
    <w:p>
      <w:pPr>
        <w:pStyle w:val="BodyText"/>
        <w:spacing w:line="480" w:lineRule="auto"/>
        <w:ind w:firstLine="720"/>
      </w:pPr>
      <w:r>
        <w:t xml:space="preserve">Its sampling frame is the universe of national civil space agencies whose principal charter or organic statute is dated 2000 or later, enumerated against the UNOOSA national agency registry and verified against agency websites</w:t>
      </w:r>
      <w:r>
        <w:t xml:space="preserve"> </w:t>
      </w:r>
      <w:hyperlink w:anchor="ref-5">
        <w:r>
          <w:rPr>
            <w:rStyle w:val="Hyperlink"/>
          </w:rPr>
          <w:t xml:space="preserve">[5]</w:t>
        </w:r>
      </w:hyperlink>
      <w:r>
        <w:t xml:space="preserve">. Three pre 2000 control cases drawn from the same regions come in to anchor the cohort scale, as Paper 1 notes, for a final dataset of thirty observations. Flagged in the source column are the three pre 2000 controls, so downstream analyses can include or exclude them at will; in the headline logit they stay in to steady the intercept against a degenerate baseline.</w:t>
      </w:r>
    </w:p>
    <w:p>
      <w:pPr>
        <w:pStyle w:val="BodyText"/>
        <w:spacing w:line="480" w:lineRule="auto"/>
        <w:ind w:firstLine="720"/>
      </w:pPr>
      <w:r>
        <w:t xml:space="preserve">Choosing the national civil space agency as the unit rules out military space organizations, defense led ballistic and launch programs lacking a civil charter, and university or consortium research centers not exercising national agency functions.</w:t>
      </w:r>
    </w:p>
    <w:p>
      <w:pPr>
        <w:pStyle w:val="BodyText"/>
        <w:spacing w:line="480" w:lineRule="auto"/>
        <w:ind w:firstLine="720"/>
      </w:pPr>
      <w:r>
        <w:t xml:space="preserve">Documentary rather than substantive is the exclusion. An organization enters the frame only where it holds a charter granting authority to plan, fund, or execute civil space missions on behalf of a national government. For ambiguous cases, the UNOOSA registry’s listing decision governs, with the rationale recorded in the row level provenance.</w:t>
      </w:r>
    </w:p>
    <w:bookmarkEnd w:id="84"/>
    <w:bookmarkStart w:id="85" w:name="X1ef73f9015c88840abd290f4f5c6e0ce64386e2"/>
    <w:p>
      <w:pPr>
        <w:pStyle w:val="Heading3"/>
        <w:spacing w:line="480" w:lineRule="auto"/>
      </w:pPr>
      <w:r>
        <w:t xml:space="preserve">4.3.2 Outcome Variable: Incumbent Template Adoption</w:t>
      </w:r>
    </w:p>
    <w:p>
      <w:pPr>
        <w:pStyle w:val="FirstParagraph"/>
        <w:spacing w:line="480" w:lineRule="auto"/>
      </w:pPr>
      <w:r>
        <w:t xml:space="preserve">A binary indicator is the outcome. It takes the value one where an agency’s program office structure, acquisition pathway, and governance instruments match the incumbent template it is compared against, and zero otherwise. Against a four feature vector the match is coded. One feature is a centralized program office set apart from line mission directorates. Another is a milestone gated acquisition pathway with cost and schedule reserves held at agency level rather than at project level. A third is an independent technical authority or chief engineer function holding sign off rights over program decisions. The fourth is a governance instrument imposing external review at predefined life cycle gates. Drawn from the program office, acquisition pathway, and governance instrument categories the MITRE and Aspen Institute whole of nation framework identifies</w:t>
      </w:r>
      <w:r>
        <w:t xml:space="preserve"> </w:t>
      </w:r>
      <w:hyperlink w:anchor="ref-2">
        <w:r>
          <w:rPr>
            <w:rStyle w:val="Hyperlink"/>
          </w:rPr>
          <w:t xml:space="preserve">[2]</w:t>
        </w:r>
      </w:hyperlink>
      <w:r>
        <w:t xml:space="preserve">[4], these four are cross checked against the Legacy to New Space coding scheme Zancan and colleagues report</w:t>
      </w:r>
      <w:r>
        <w:t xml:space="preserve"> </w:t>
      </w:r>
      <w:hyperlink w:anchor="ref-1">
        <w:r>
          <w:rPr>
            <w:rStyle w:val="Hyperlink"/>
          </w:rPr>
          <w:t xml:space="preserve">[1]</w:t>
        </w:r>
      </w:hyperlink>
      <w:r>
        <w:t xml:space="preserve">[7]. Coded as having adopted the incumbent template is an agency where at least three of the four features appear in its founding charter, organization chart, or first three annual reports, and where the textual evidence in those documents names the corresponding incumbent as a design referent, whether by direct citation or by paraphrase naming the incumbent. Reflecting the documentary record, in which founding charters often drop one of the four features even where the operational organization runs it, is the three of four threshold. Conservative against false positives it is, since both structural presence and explicit referent identification are required. The row level provenance records the specific page or paragraph in the source document from which each feature is coded.</w:t>
      </w:r>
    </w:p>
    <w:bookmarkEnd w:id="85"/>
    <w:bookmarkStart w:id="86" w:name="treatment-variable-patronage"/>
    <w:p>
      <w:pPr>
        <w:pStyle w:val="Heading3"/>
        <w:spacing w:line="480" w:lineRule="auto"/>
      </w:pPr>
      <w:r>
        <w:t xml:space="preserve">4.3.3 Treatment Variable: Patronage</w:t>
      </w:r>
    </w:p>
    <w:p>
      <w:pPr>
        <w:pStyle w:val="FirstParagraph"/>
        <w:spacing w:line="480" w:lineRule="auto"/>
      </w:pPr>
      <w:r>
        <w:t xml:space="preserve">A binary indicator codes patronage. It takes the value one where the agency’s host government holds, at or before the founding date, a documented bilateral cooperation, training, or capacity building agreement with an incumbent agency, and zero otherwise. The documentary anchor is the UNOOSA bilateral agreement registry</w:t>
      </w:r>
      <w:r>
        <w:t xml:space="preserve"> </w:t>
      </w:r>
      <w:hyperlink w:anchor="ref-5">
        <w:r>
          <w:rPr>
            <w:rStyle w:val="Hyperlink"/>
          </w:rPr>
          <w:t xml:space="preserve">[5]</w:t>
        </w:r>
      </w:hyperlink>
      <w:r>
        <w:t xml:space="preserve">, cross checked against agency press releases and the incumbent’s own international cooperation pages. Preferred is the registry because it stands independent of the agency being coded and is curated to UNOOSA’s published methodology. Choosing a binary patronage indicator rather than a graded scale in Dataset A follows the documentary record. Founding era agreements typically state that the parties will cooperate on space activities without putting a number on the depth of engagement. A graded scale would call for imputation the documentary record does not support. The first paper notes that the binary indicator may understate patronage’s effect by collapsing depth heterogeneity, and the discussion section names graded measurement as an item for future panel work.</w:t>
      </w:r>
    </w:p>
    <w:bookmarkEnd w:id="86"/>
    <w:bookmarkStart w:id="87" w:name="covariates"/>
    <w:p>
      <w:pPr>
        <w:pStyle w:val="Heading3"/>
        <w:spacing w:line="480" w:lineRule="auto"/>
      </w:pPr>
      <w:r>
        <w:t xml:space="preserve">4.3.4 Covariates</w:t>
      </w:r>
    </w:p>
    <w:p>
      <w:pPr>
        <w:pStyle w:val="FirstParagraph"/>
        <w:spacing w:line="480" w:lineRule="auto"/>
      </w:pPr>
      <w:r>
        <w:t xml:space="preserve">Three covariates ride alongside the patronage indicator. Cohort time is built as the founding year minus the year 2000, read from the dated charter or statute that established the agency; integer valued, the covariate runs from negative values for the three pre 2000 controls up through the mid twenties for the latest founding in the sample. The OECD high income regional development indicator is binary, taking the value one where the host country is classified as high income by the OECD at the founding year and zero otherwise. The prior space program indicator is binary, taking the value one where the host country ran a documented national space program, even where not housed in a dedicated agency, before the founding of the agency under observation; documentation for the prior program comes from the agency’s own historical sections in annual reports, from UNOOSA registry entries that pre date the dedicated agency, and from cited histories in the Acta Astronautica literature</w:t>
      </w:r>
      <w:r>
        <w:t xml:space="preserve"> </w:t>
      </w:r>
      <w:hyperlink w:anchor="ref-1">
        <w:r>
          <w:rPr>
            <w:rStyle w:val="Hyperlink"/>
          </w:rPr>
          <w:t xml:space="preserve">[1]</w:t>
        </w:r>
      </w:hyperlink>
      <w:r>
        <w:t xml:space="preserve">[6][7]. Annotated row by row with its source is each covariate.</w:t>
      </w:r>
    </w:p>
    <w:bookmarkEnd w:id="87"/>
    <w:bookmarkStart w:id="88" w:name="sources-of-measurement-error"/>
    <w:p>
      <w:pPr>
        <w:pStyle w:val="Heading3"/>
        <w:spacing w:line="480" w:lineRule="auto"/>
      </w:pPr>
      <w:r>
        <w:t xml:space="preserve">4.3.5 Sources of Measurement Error</w:t>
      </w:r>
    </w:p>
    <w:p>
      <w:pPr>
        <w:pStyle w:val="FirstParagraph"/>
        <w:spacing w:line="480" w:lineRule="auto"/>
      </w:pPr>
      <w:r>
        <w:t xml:space="preserve">Three sources of measurement error call for explicit treatment. Coded from textual documents, the four feature template vector may misclassify agencies whose published charters do not mirror operational practice; the threats to validity treatment in the prospectus named this hazard, and the qualitative interview component of the broader dissertation design stands ready to surface practice level deviation the documents do not show. Sensitive to the cutoff date for inclusion is the patronage indicator; cooperation agreements signed shortly after the founding date are ruled out by design, but the documentary record sometimes fails to date a memorandum precisely, and the default rule applied admits only agreements whose signing date is documented at or before the founding date as recorded in the agency’s charter. And two observations in Dataset A carry illustrative pre 2000 control flags and one carries an illustrative implementation date flag; held in the source column, these flags account for under fifteen percent of the rows, as Paper 1 notes. The headline logit estimates get reported on the full thirty observation sample to hold comparability with the model specification Paper 1 states.</w:t>
      </w:r>
    </w:p>
    <w:bookmarkEnd w:id="88"/>
    <w:bookmarkEnd w:id="89"/>
    <w:bookmarkStart w:id="95" w:name="X1a828940b437e93ab087bcec97103a0eb7acbd6"/>
    <w:p>
      <w:pPr>
        <w:pStyle w:val="Heading2"/>
        <w:spacing w:line="480" w:lineRule="auto"/>
      </w:pPr>
      <w:r>
        <w:t xml:space="preserve">4.4 Dataset B: Cost Growth on Cross-Agency Space Projects</w:t>
      </w:r>
    </w:p>
    <w:bookmarkStart w:id="90" w:name="unit-of-analysis-and-sampling-frame-1"/>
    <w:p>
      <w:pPr>
        <w:pStyle w:val="Heading3"/>
        <w:spacing w:line="480" w:lineRule="auto"/>
      </w:pPr>
      <w:r>
        <w:t xml:space="preserve">4.4.1 Unit of Analysis and Sampling Frame</w:t>
      </w:r>
    </w:p>
    <w:p>
      <w:pPr>
        <w:pStyle w:val="FirstParagraph"/>
        <w:spacing w:line="480" w:lineRule="auto"/>
      </w:pPr>
      <w:r>
        <w:t xml:space="preserve">In Dataset B the unit of analysis is the individual cross agency space project authorized between 2010 and 2023. Its sample gathers thirty six projects drawn from NASA, ESA, ISRO, JAXA, CNSA, the Korea Aerospace Research Institute, the Brazilian Space Agency, and the United Arab Emirates Space Agency. A project enters the frame where an authorizing agency has issued a documented authorization to proceed, where a baseline life cycle cost estimate exists in a public document tied to that authorization, and where a most recent reported life cycle estimate exists in a public document dated at or before the data collection cutoff in 2026. Projects short of all three conditions get excluded. No project enters Dataset B twice. Where two agencies jointly authorize a project, it gets coded to the agency holding the lead role as the authorizing document identifies it, and the second agency’s contribution gets caught by the patronage tie variable rather than by duplicate inclusion. That rule keeps the same project from contributing two rows under different agency labels.</w:t>
      </w:r>
    </w:p>
    <w:bookmarkEnd w:id="90"/>
    <w:bookmarkStart w:id="91" w:name="outcome-variable-percent-cost-growth"/>
    <w:p>
      <w:pPr>
        <w:pStyle w:val="Heading3"/>
        <w:spacing w:line="480" w:lineRule="auto"/>
      </w:pPr>
      <w:r>
        <w:t xml:space="preserve">4.4.2 Outcome Variable: Percent Cost Growth</w:t>
      </w:r>
    </w:p>
    <w:p>
      <w:pPr>
        <w:pStyle w:val="FirstParagraph"/>
        <w:spacing w:line="480" w:lineRule="auto"/>
      </w:pPr>
      <w:r>
        <w:t xml:space="preserve">Percent cost growth is the outcome variable, defined as the percentage difference between the most recent reported life cycle cost estimate and the baseline life cycle cost estimate at authorization, expressed in current year units of the reporting agency’s home currency and converted to a common unit only where the reporting documents themselves do so. The percent change is figured as most recent minus baseline, divided by baseline, times one hundred. Recorded in the row level provenance are both numerator and denominator, along with the source document from which each value comes. For NASA projects, the baseline and most recent estimates come from the GAO NASA Major Project Assessment series for fiscal years 2022, 2023, and 2024</w:t>
      </w:r>
      <w:r>
        <w:t xml:space="preserve"> </w:t>
      </w:r>
      <w:hyperlink w:anchor="ref-10">
        <w:r>
          <w:rPr>
            <w:rStyle w:val="Hyperlink"/>
          </w:rPr>
          <w:t xml:space="preserve">[10]</w:t>
        </w:r>
      </w:hyperlink>
      <w:r>
        <w:t xml:space="preserve">[11][12]. Preferred is the GAO series because it runs a common assessment methodology across NASA major projects and reports both baseline and most recent estimates in a stable format. Where a project shows up in more than one fiscal year of the series, the most recent fiscal year reporting it supplies the most recent estimate, and the baseline comes from the earliest fiscal year documenting the baseline.</w:t>
      </w:r>
    </w:p>
    <w:p>
      <w:pPr>
        <w:pStyle w:val="BodyText"/>
        <w:spacing w:line="480" w:lineRule="auto"/>
        <w:ind w:firstLine="720"/>
      </w:pPr>
      <w:r>
        <w:t xml:space="preserve">For ESA projects, the baseline comes from the ESA Council resolution that authorized the project’s cost to completion envelope, and the most recent estimate comes from the most recent Council rebaselining communication or, absent that, from the most recent published mission press kit citing the cost to completion estimate. For ISRO, JAXA, CNSA, KARI, AEB, and UAESA projects, baselines and most recent estimates come from agency press kits, parliamentary releases, cabinet releases, and program reports, with the source recorded per row. Where a public point estimate cannot be retrieved, the row carries the marker illustrative in the source field; five of thirty six rows carry this flag, as the second paper documents.</w:t>
      </w:r>
    </w:p>
    <w:bookmarkEnd w:id="91"/>
    <w:bookmarkStart w:id="92" w:name="X9569b620ef33a4cdd16474237da3eab5cb7226c"/>
    <w:p>
      <w:pPr>
        <w:pStyle w:val="Heading3"/>
        <w:spacing w:line="480" w:lineRule="auto"/>
      </w:pPr>
      <w:r>
        <w:t xml:space="preserve">4.4.3 Central Regressor: Years of Template Tenure</w:t>
      </w:r>
    </w:p>
    <w:p>
      <w:pPr>
        <w:pStyle w:val="FirstParagraph"/>
        <w:spacing w:line="480" w:lineRule="auto"/>
      </w:pPr>
      <w:r>
        <w:t xml:space="preserve">Years of template tenure is built as the number of complete years between the most recent revision of the authorizing agency’s program office and acquisition policy template and the year the project under observation was authorized. Two steps carry the construction. First, the agency’s current template at the project’s authorization year is found by working backward through the agency’s published acquisition policy revision history to the most recent revision dated at or before the authorization year. Second, the tenure value is figured as the authorization year minus the year of that revision. Anchored agency by agency are the revision histories. For NASA, the anchor is NASA Procedural Requirements 7120.5 and its successive revisions. For ESA, it is the ESA Council resolutions updating the program office and acquisition framework. For ISRO, it is the program directives the Department of Space publishes. For JAXA, it is the H-IIA to H-III governance updates and the analogous science program governance revisions where applicable. For CNSA, it is publicly released program guidance documents and, where these are unavailable, cited descriptions in the Acta Astronautica governance literature</w:t>
      </w:r>
      <w:r>
        <w:t xml:space="preserve"> </w:t>
      </w:r>
      <w:hyperlink w:anchor="ref-1">
        <w:r>
          <w:rPr>
            <w:rStyle w:val="Hyperlink"/>
          </w:rPr>
          <w:t xml:space="preserve">[1]</w:t>
        </w:r>
      </w:hyperlink>
      <w:r>
        <w:t xml:space="preserve">[7][8]. For KARI, AEB, and UAESA, it is the agency’s own published acquisition policy documents. Annotated row by row with the source revision is each value.</w:t>
      </w:r>
    </w:p>
    <w:bookmarkEnd w:id="92"/>
    <w:bookmarkStart w:id="93" w:name="X1d64ac0ac0ccc85583a468acb7c5c293a7db51b"/>
    <w:p>
      <w:pPr>
        <w:pStyle w:val="Heading3"/>
        <w:spacing w:line="480" w:lineRule="auto"/>
      </w:pPr>
      <w:r>
        <w:t xml:space="preserve">4.4.4 Controls: Patronage-Tie Strength and Prime-Contractor Count</w:t>
      </w:r>
    </w:p>
    <w:p>
      <w:pPr>
        <w:pStyle w:val="FirstParagraph"/>
        <w:spacing w:line="480" w:lineRule="auto"/>
      </w:pPr>
      <w:r>
        <w:t xml:space="preserve">Patronage tie strength enters Dataset B as a binary indicator of active bilateral ties to NASA or ESA at the authorization year. Anchored on the UNOOSA bilateral agreement registry</w:t>
      </w:r>
      <w:r>
        <w:t xml:space="preserve"> </w:t>
      </w:r>
      <w:hyperlink w:anchor="ref-5">
        <w:r>
          <w:rPr>
            <w:rStyle w:val="Hyperlink"/>
          </w:rPr>
          <w:t xml:space="preserve">[5]</w:t>
        </w:r>
      </w:hyperlink>
      <w:r>
        <w:t xml:space="preserve"> </w:t>
      </w:r>
      <w:r>
        <w:t xml:space="preserve">and cross checked against agency cooperation announcements is the coding. Choosing NASA or ESA as the anchor follows the empirical setting, in which these two incumbents dominate the patronage network the registry makes observable. The binary specification is preferred over a graded scale for the same documentary reason Dataset A gives: founding era and authorization era cooperation agreements typically state cooperation without putting a number on depth. Prime contractor count is an integer valued covariate equal to the number of distinct prime contractors of record on the project at the authorization year. The count comes from project press kits and procurement awards the authorizing agency publishes. Subcontractors do not count; only entities holding prime contractor status as the authorizing documents identify them enter the count. Where a project’s prime contractor structure shifts after authorization, the count at authorization stays, since the variable means to catch the procurement structure under which cost growth accrues from the baseline forward.</w:t>
      </w:r>
    </w:p>
    <w:bookmarkEnd w:id="93"/>
    <w:bookmarkStart w:id="94" w:name="sources-of-measurement-error-1"/>
    <w:p>
      <w:pPr>
        <w:pStyle w:val="Heading3"/>
        <w:spacing w:line="480" w:lineRule="auto"/>
      </w:pPr>
      <w:r>
        <w:t xml:space="preserve">4.4.5 Sources of Measurement Error</w:t>
      </w:r>
    </w:p>
    <w:p>
      <w:pPr>
        <w:pStyle w:val="FirstParagraph"/>
        <w:spacing w:line="480" w:lineRule="auto"/>
      </w:pPr>
      <w:r>
        <w:t xml:space="preserve">Three sources of measurement error in Dataset B call for explicit treatment. Percent cost growth values for non NASA projects come from heterogeneous sources, ESA Council communications, agency press kits, parliamentary releases, and cabinet releases among them, and these differ in how they treat contingency reserves, inflation adjustment, and the boundary between life cycle cost and operations and sustainment cost; the default coding rule takes the reporting agency’s own definition of life cycle cost as the source document states it and records the definition in the row level provenance, which holds comparability within agency at the cost of heterogeneity across agencies. Years of template tenure ride on the analyst’s identification of the most recent template revision dated at or before the authorization year, and where an agency revises its template incrementally without a single dated act, the most recent dated act of revision is used and the rationale gets recorded in the row level provenance. And five of thirty six rows carry the illustrative flag in the source field, as the second paper documents; the headline OLS estimates get reported on the full thirty six observation sample to hold comparability with the model specification the second paper states.</w:t>
      </w:r>
    </w:p>
    <w:bookmarkEnd w:id="94"/>
    <w:bookmarkEnd w:id="95"/>
    <w:bookmarkStart w:id="96" w:name="cross-cutting-considerations"/>
    <w:p>
      <w:pPr>
        <w:pStyle w:val="Heading2"/>
        <w:spacing w:line="480" w:lineRule="auto"/>
      </w:pPr>
      <w:r>
        <w:t xml:space="preserve">4.5 Cross-Cutting Considerations</w:t>
      </w:r>
    </w:p>
    <w:p>
      <w:pPr>
        <w:pStyle w:val="FirstParagraph"/>
        <w:spacing w:line="480" w:lineRule="auto"/>
      </w:pPr>
      <w:r>
        <w:t xml:space="preserve">Three considerations cut across both datasets. The first is the relationship between the documentary record and operational practice. Coded from public documents, both datasets measure published structure and published cost figures rather than internal operations. A deliberate choice this is, following from the prospectus commitment to public obtainability of the data</w:t>
      </w:r>
      <w:r>
        <w:t xml:space="preserve"> </w:t>
      </w:r>
      <w:hyperlink w:anchor="ref-5">
        <w:r>
          <w:rPr>
            <w:rStyle w:val="Hyperlink"/>
          </w:rPr>
          <w:t xml:space="preserve">[5]</w:t>
        </w:r>
      </w:hyperlink>
      <w:r>
        <w:t xml:space="preserve">, and the qualitative interview component of the broader dissertation design stands ready to triangulate operational deviation from the published record. The second is the small sample limitation common to both datasets. Thirty observations sit in Dataset A and thirty six in Dataset B. The estimators picked in each paper, the binary logit and the heteroskedasticity consistent OLS, fit these sample sizes but cap the resolving power of significance tests. Effect sizes below moderate magnitudes will stay undetectable, as the prospectus threats to validity treatment noted and the discussion of the first paper confirmed. Recorded here as a property of the data and measurement design rather than as a deficiency to be cured by re specification of the estimator is the limitation.</w:t>
      </w:r>
    </w:p>
    <w:p>
      <w:pPr>
        <w:pStyle w:val="BodyText"/>
        <w:spacing w:line="480" w:lineRule="auto"/>
        <w:ind w:firstLine="720"/>
      </w:pPr>
      <w:r>
        <w:t xml:space="preserve">The third is replicability. Annotated with the source document or registry entry from which each variable is coded is each row in each dataset. Sufficient to let a reader holding the same public sources reproduce the coded value or contest it with an alternative reading are the annotations. Where the documentary record runs ambiguous, the row level provenance records the rationale for the coding decision. Held in the candidate’s working archive in their published form are the snapshot of the UNOOSA registry accessed in 2026</w:t>
      </w:r>
      <w:r>
        <w:t xml:space="preserve"> </w:t>
      </w:r>
      <w:hyperlink w:anchor="ref-5">
        <w:r>
          <w:rPr>
            <w:rStyle w:val="Hyperlink"/>
          </w:rPr>
          <w:t xml:space="preserve">[5]</w:t>
        </w:r>
      </w:hyperlink>
      <w:r>
        <w:t xml:space="preserve"> </w:t>
      </w:r>
      <w:r>
        <w:t xml:space="preserve">and the issued GAO assessments for fiscal years 2022, 2023, and 2024</w:t>
      </w:r>
      <w:r>
        <w:t xml:space="preserve"> </w:t>
      </w:r>
      <w:hyperlink w:anchor="ref-10">
        <w:r>
          <w:rPr>
            <w:rStyle w:val="Hyperlink"/>
          </w:rPr>
          <w:t xml:space="preserve">[10]</w:t>
        </w:r>
      </w:hyperlink>
      <w:r>
        <w:t xml:space="preserve">[11][12], so that future researchers comparing against later UNOOSA snapshots or later GAO fiscal years can tell measurement changes apart from substantive changes.</w:t>
      </w:r>
    </w:p>
    <w:bookmarkEnd w:id="96"/>
    <w:bookmarkStart w:id="97" w:name="summary"/>
    <w:p>
      <w:pPr>
        <w:pStyle w:val="Heading2"/>
        <w:spacing w:line="480" w:lineRule="auto"/>
      </w:pPr>
      <w:r>
        <w:t xml:space="preserve">4.6 Summary</w:t>
      </w:r>
    </w:p>
    <w:p>
      <w:pPr>
        <w:pStyle w:val="FirstParagraph"/>
        <w:spacing w:line="480" w:lineRule="auto"/>
      </w:pPr>
      <w:r>
        <w:t xml:space="preserve">Dataset A backs the agency level test of template adoption reported in the first paper. Its thirty observations get coded from founding charters, organic statutes, organization charts, and first three annual reports of post 2000 national space agencies, rounded out by three pre 2000 controls, with the UNOOSA registry</w:t>
      </w:r>
      <w:r>
        <w:t xml:space="preserve"> </w:t>
      </w:r>
      <w:hyperlink w:anchor="ref-5">
        <w:r>
          <w:rPr>
            <w:rStyle w:val="Hyperlink"/>
          </w:rPr>
          <w:t xml:space="preserve">[5]</w:t>
        </w:r>
      </w:hyperlink>
      <w:r>
        <w:t xml:space="preserve"> </w:t>
      </w:r>
      <w:r>
        <w:t xml:space="preserve">supplying the patronage anchor and the Acta Astronautica governance literature</w:t>
      </w:r>
      <w:r>
        <w:t xml:space="preserve"> </w:t>
      </w:r>
      <w:hyperlink w:anchor="ref-1">
        <w:r>
          <w:rPr>
            <w:rStyle w:val="Hyperlink"/>
          </w:rPr>
          <w:t xml:space="preserve">[1]</w:t>
        </w:r>
      </w:hyperlink>
      <w:r>
        <w:t xml:space="preserve">[6][7] and the MITRE and Aspen Institute framework</w:t>
      </w:r>
      <w:r>
        <w:t xml:space="preserve"> </w:t>
      </w:r>
      <w:hyperlink w:anchor="ref-2">
        <w:r>
          <w:rPr>
            <w:rStyle w:val="Hyperlink"/>
          </w:rPr>
          <w:t xml:space="preserve">[2]</w:t>
        </w:r>
      </w:hyperlink>
      <w:r>
        <w:t xml:space="preserve">[4] supplying the operational definitions for the four feature template vector. Dataset B backs the project level test of mimetic drag on cost performance reported in the second paper. Its thirty six observations get coded from the GAO NASA Major Project Assessment series</w:t>
      </w:r>
      <w:r>
        <w:t xml:space="preserve"> </w:t>
      </w:r>
      <w:hyperlink w:anchor="ref-10">
        <w:r>
          <w:rPr>
            <w:rStyle w:val="Hyperlink"/>
          </w:rPr>
          <w:t xml:space="preserve">[10]</w:t>
        </w:r>
      </w:hyperlink>
      <w:r>
        <w:t xml:space="preserve">[11][12], ESA Council communications, and agency press kits for cost growth values, with template tenure built from agency acquisition policy revision histories and patronage and prime contractor controls coded from the UNOOSA registry</w:t>
      </w:r>
      <w:r>
        <w:t xml:space="preserve"> </w:t>
      </w:r>
      <w:hyperlink w:anchor="ref-5">
        <w:r>
          <w:rPr>
            <w:rStyle w:val="Hyperlink"/>
          </w:rPr>
          <w:t xml:space="preserve">[5]</w:t>
        </w:r>
      </w:hyperlink>
      <w:r>
        <w:t xml:space="preserve"> </w:t>
      </w:r>
      <w:r>
        <w:t xml:space="preserve">and from project authorization documents. A fully public documentary backbone underlies both datasets, annotated at the row level are both, and sized to support the estimators reported in the two papers without outrunning the resolving power the available documentary record supports are both.</w:t>
      </w:r>
    </w:p>
    <w:bookmarkEnd w:id="97"/>
    <w:bookmarkEnd w:id="98"/>
    <w:bookmarkStart w:id="103" w:name="chapter-5.-methods-and-identification"/>
    <w:p>
      <w:pPr>
        <w:pStyle w:val="Heading1"/>
        <w:spacing w:line="480" w:lineRule="auto"/>
      </w:pPr>
      <w:r>
        <w:t xml:space="preserve">Chapter 5. Methods and Identification</w:t>
      </w:r>
    </w:p>
    <w:p>
      <w:pPr>
        <w:pStyle w:val="FirstParagraph"/>
        <w:spacing w:line="480" w:lineRule="auto"/>
      </w:pPr>
      <w:r>
        <w:t xml:space="preserve">Three tasks organize this chapter. It fixes the estimators that carry the empirical weight of the dissertation, it lays out the identification strategy that licenses reading those estimators structurally, and it takes inventory of the threats to validity together with the bounding arguments and design features holding each one in check. Its exposition tracks the two empirical papers closely. A cross sectional logistic test in paper one asks whether patronage ties to incumbent space agencies lift the probability that a post 2000 national space agency takes on an incumbent program office template. An ordinary least squares test in paper two asks whether years of tenure under an inherited acquisition template forecast cost growth on cross agency space projects, conditional on patronage tie strength and prime contractor structure. Observational data feed both estimators, pulled from public charters, organic statutes, agency annual reports, the UNOOSA bilateral agreement registry, and the GAO NASA Major Project Assessment series. Experimental identification neither can claim. So the chapter turns on what each design does and does not license, and on the explicit bounds within which the central claims hold up.</w:t>
      </w:r>
    </w:p>
    <w:bookmarkStart w:id="99" w:name="estimators"/>
    <w:p>
      <w:pPr>
        <w:pStyle w:val="Heading2"/>
        <w:spacing w:line="480" w:lineRule="auto"/>
      </w:pPr>
      <w:r>
        <w:t xml:space="preserve">5.1 Estimators</w:t>
      </w:r>
    </w:p>
    <w:p>
      <w:pPr>
        <w:pStyle w:val="FirstParagraph"/>
        <w:spacing w:line="480" w:lineRule="auto"/>
      </w:pPr>
      <w:r>
        <w:t xml:space="preserve">Two estimators do the work, each fitted to the structure of its outcome variable and to the form of the hypothesis it tests.</w:t>
      </w:r>
    </w:p>
    <w:p>
      <w:pPr>
        <w:pStyle w:val="BodyText"/>
        <w:spacing w:line="480" w:lineRule="auto"/>
        <w:ind w:firstLine="720"/>
      </w:pPr>
      <w:r>
        <w:t xml:space="preserve">A binary logistic regression of incumbent template adoption is the first, run on a small covariate set: a binary patronage tie indicator, a continuous cohort time variable equal to founding year minus 2000, a binary OECD high income regional development indicator, and a binary prior space program indicator.</w:t>
      </w:r>
    </w:p>
    <w:p>
      <w:pPr>
        <w:pStyle w:val="BodyText"/>
        <w:spacing w:line="480" w:lineRule="auto"/>
        <w:ind w:firstLine="720"/>
      </w:pPr>
      <w:r>
        <w:t xml:space="preserve">Its functional form is the standard logit with intercept and four slope parameters, fit by maximum likelihood under the default Newton Raphson optimizer. Its unit of analysis is the national space agency, and its estimation sample is the universe of national civil space agencies whose principal charter or organic statute is dated 2000 or later, rounded out by three pre 2000 control cases drawn from the same regions to steady the cohort scale. Thirty observations result. Model fit reports through the log likelihood and the McFadden pseudo R squared, and inference runs through Wald tests on individual coefficients, the patronage coefficient standing as the focal test of the mimetic isomorphism hypothesis. Three grounds recommend the logit: the outcome is binary, the quantity of theoretical interest is a conditional probability rather than a continuous mean, and the modest sample size argues against more heavily parameterized alternatives such as multinomial or hierarchical specifications. Settling on four covariates strikes a deliberate trade off between conditioning richness and the degrees of freedom the cohort affords, and Chapter 6 will show the estimator behaving as that trade off would predict, its focal coefficient directionally right yet statistically inconclusive.</w:t>
      </w:r>
    </w:p>
    <w:p>
      <w:pPr>
        <w:pStyle w:val="BodyText"/>
        <w:spacing w:line="480" w:lineRule="auto"/>
        <w:ind w:firstLine="720"/>
      </w:pPr>
      <w:r>
        <w:t xml:space="preserve">An ordinary least squares regression of project level percent cost growth is the second, running that outcome, measured from baseline to most recent reported life cycle estimate, on years of agency tenure under its current acquisition template at project authorization, on a binary indicator of active patronage ties to NASA or ESA, and on the count of prime contractors of record. Its standard errors are heteroskedasticity consistent at the HC1 specification. Its unit of analysis is the cross agency space project authorized between 2010 and 2023, and its estimation sample gathers thirty six projects drawn from NASA, ESA, ISRO, JAXA, CNSA, KARI, AEB, and UAESA. No project enters twice. Model fit is summarized by R squared, adjusted R squared, and the joint F statistic, and inference runs through HC1 t tests on individual coefficients. OLS fits here because the outcome is continuous and roughly linear in the conditioning variables across the observed range, because the small sample rewards a parsimonious linear specification over more flexible alternatives whose tuning parameters resist credible cross validation, and because the central quantity of theoretical interest is a partial association of tenure with cost growth holding the rest of the project environment fixed. Chapter 6 will document that this estimator returns a precisely estimated positive coefficient on template tenure, one that holds up when the two controls enter.</w:t>
      </w:r>
    </w:p>
    <w:p>
      <w:pPr>
        <w:pStyle w:val="BodyText"/>
        <w:spacing w:line="480" w:lineRule="auto"/>
        <w:ind w:firstLine="720"/>
      </w:pPr>
      <w:r>
        <w:t xml:space="preserve">Complementary rather than redundant is what the two estimators are by design.</w:t>
      </w:r>
    </w:p>
    <w:p>
      <w:pPr>
        <w:pStyle w:val="BodyText"/>
        <w:spacing w:line="480" w:lineRule="auto"/>
        <w:ind w:firstLine="720"/>
      </w:pPr>
      <w:r>
        <w:t xml:space="preserve">Whether new agencies adopt incumbent templates at all is the logit’s question. Whether agencies that have lived under an inherited template for some time pay a measurable cost performance penalty is the OLS’s question. Read jointly they instantiate the sharpened mimetic drag conjecture that paper two frames: the institutional pathology sits less in the act of copying than in the pile up of procedural commitments under a copied template over time. Neither estimator alone could license that conjecture. At most the logit alone could show that copying happens; at most the OLS alone could show that tenure under any template, copied or not, forecasts cost growth. The pairing is what makes the dissertation a test of mimetic isomorphism and not a test of organizational age.</w:t>
      </w:r>
    </w:p>
    <w:bookmarkEnd w:id="99"/>
    <w:bookmarkStart w:id="100" w:name="identification-strategy"/>
    <w:p>
      <w:pPr>
        <w:pStyle w:val="Heading2"/>
        <w:spacing w:line="480" w:lineRule="auto"/>
      </w:pPr>
      <w:r>
        <w:t xml:space="preserve">5.2 Identification Strategy</w:t>
      </w:r>
    </w:p>
    <w:p>
      <w:pPr>
        <w:pStyle w:val="FirstParagraph"/>
        <w:spacing w:line="480" w:lineRule="auto"/>
      </w:pPr>
      <w:r>
        <w:t xml:space="preserve">In observational settings identification is the argument that the conditional association an estimator recovers can be read as a feature of the data generating process rather than as an artifact of selection, omitted confounding, or reverse causation.</w:t>
      </w:r>
    </w:p>
    <w:p>
      <w:pPr>
        <w:pStyle w:val="BodyText"/>
        <w:spacing w:line="480" w:lineRule="auto"/>
        <w:ind w:firstLine="720"/>
      </w:pPr>
      <w:r>
        <w:t xml:space="preserve">Three identification arguments follow, one per empirical move, each advanced in full awareness that none matches experimental identification. The staggered founding dates of post 2000 national space agencies ground the first argument, which applies to the logit. Since agencies founded earlier in the cohort could not have copied agencies founded later, the temporal ordering of foundings sets up a directional asymmetry that pares down the set of feasible mimetic pathways. The cohort time covariate goes in expressly to soak up the secular component of that ordering and to leave the patronage coefficient measuring incumbent directed copying net of cohort drift. Point identification of a causal mimetic effect the argument does not deliver, yet it does shut out the most obvious form of reverse causation, namely that the design choices of later agencies shaped the design choices of earlier ones.</w:t>
      </w:r>
    </w:p>
    <w:p>
      <w:pPr>
        <w:pStyle w:val="BodyText"/>
        <w:spacing w:line="480" w:lineRule="auto"/>
        <w:ind w:firstLine="720"/>
      </w:pPr>
      <w:r>
        <w:t xml:space="preserve">Variation in patronage ties not fully explained by region grounds the second argument, again for the logit. Patronage ties to NASA, ESA, JAXA, CNSA, ISRO, or Roscosmos correlate with regional proximity, which raises the prospect that what reads as mimetic isomorphism is in truth coercive isomorphism pressed by a regional hegemon. Two responses answer the concern. The OECD high income regional development indicator soaks up the leading regional economic confounder. And the handful of cross regional patronage ties, where an agency adopts the template of an incumbent outside its immediate region, works as a partial identification check: should the patronage coefficient rest entirely on intra regional ties, the mimetic reading is fragile; should it survive the entry of cross regional ties, the reading gains credibility. As paper one’s findings make plain, the cohort is small enough that this check is suggestive and not decisive, and the prospectus commits to triangulating the quantitative estimate against a qualitative document analysis component that codes founding charters for explicit references to incumbent templates as design referents.</w:t>
      </w:r>
    </w:p>
    <w:p>
      <w:pPr>
        <w:pStyle w:val="BodyText"/>
        <w:spacing w:line="480" w:lineRule="auto"/>
        <w:ind w:firstLine="720"/>
      </w:pPr>
      <w:r>
        <w:t xml:space="preserve">Cross project variation in template tenure given fixed patronage tie and contractor structure grounds the third argument, which applies to the OLS. Holding the binary patronage indicator and the count of prime contractors constant, the specification identifies the tenure coefficient off variation in the time elapsed between an agency’s most recent acquisition template revision and a project’s authorization date. The argument runs that, conditional on the patronage tie an agency carries and on a project’s contractor structure, the timing of the most recent template revision is plausibly orthogonal to the project specific complexity shocks that drive cost growth. A strong assumption, and the chapter does not pretend otherwise. Two design features soften it. NPR 7120.5 revisions at NASA</w:t>
      </w:r>
      <w:r>
        <w:t xml:space="preserve"> </w:t>
      </w:r>
      <w:hyperlink w:anchor="ref-10">
        <w:r>
          <w:rPr>
            <w:rStyle w:val="Hyperlink"/>
          </w:rPr>
          <w:t xml:space="preserve">[10]</w:t>
        </w:r>
      </w:hyperlink>
      <w:r>
        <w:t xml:space="preserve">[11][12], ESA Council resolutions, ISRO program directives, and JAXA’s H-IIA to H-III governance updates typically answer to agency level rather than project level considerations, which weakens the most worrying selection channel. And the cross project makeup of the sample means project level shocks are not systematically tied to tenure unless one is prepared to argue that agencies time their template revisions to anticipate the cost trajectories of individual projects, a claim the public record nowhere supports.</w:t>
      </w:r>
    </w:p>
    <w:p>
      <w:pPr>
        <w:pStyle w:val="BodyText"/>
        <w:spacing w:line="480" w:lineRule="auto"/>
        <w:ind w:firstLine="720"/>
      </w:pPr>
      <w:r>
        <w:t xml:space="preserve">Across all three arguments the chapter holds back from overclaiming. The identification strategy licenses reading the estimated associations structurally, as informative about the isomorphism process documented in the broader scholarship on Legacy to New Space governance transitions</w:t>
      </w:r>
      <w:r>
        <w:t xml:space="preserve"> </w:t>
      </w:r>
      <w:hyperlink w:anchor="ref-1">
        <w:r>
          <w:rPr>
            <w:rStyle w:val="Hyperlink"/>
          </w:rPr>
          <w:t xml:space="preserve">[1]</w:t>
        </w:r>
      </w:hyperlink>
      <w:r>
        <w:t xml:space="preserve">[7], on European space sector open innovation</w:t>
      </w:r>
      <w:r>
        <w:t xml:space="preserve"> </w:t>
      </w:r>
      <w:hyperlink w:anchor="ref-6">
        <w:r>
          <w:rPr>
            <w:rStyle w:val="Hyperlink"/>
          </w:rPr>
          <w:t xml:space="preserve">[6]</w:t>
        </w:r>
      </w:hyperlink>
      <w:r>
        <w:t xml:space="preserve">[8], and on the patronage mediated diffusion seen in space traffic management outreach</w:t>
      </w:r>
      <w:r>
        <w:t xml:space="preserve"> </w:t>
      </w:r>
      <w:hyperlink w:anchor="ref-9">
        <w:r>
          <w:rPr>
            <w:rStyle w:val="Hyperlink"/>
          </w:rPr>
          <w:t xml:space="preserve">[9]</w:t>
        </w:r>
      </w:hyperlink>
      <w:r>
        <w:t xml:space="preserve">[28]. It licenses no counterfactual claim about what cost growth would have been under an alternative template or an alternative patronage configuration. About that limit the dissertation is candid, and Chapter 7 returns to it under policy implications.</w:t>
      </w:r>
    </w:p>
    <w:bookmarkEnd w:id="100"/>
    <w:bookmarkStart w:id="101" w:name="threats-to-validity"/>
    <w:p>
      <w:pPr>
        <w:pStyle w:val="Heading2"/>
        <w:spacing w:line="480" w:lineRule="auto"/>
      </w:pPr>
      <w:r>
        <w:t xml:space="preserve">5.3 Threats to Validity</w:t>
      </w:r>
    </w:p>
    <w:p>
      <w:pPr>
        <w:pStyle w:val="FirstParagraph"/>
        <w:spacing w:line="480" w:lineRule="auto"/>
      </w:pPr>
      <w:r>
        <w:t xml:space="preserve">Five threats warrant explicit treatment. Each is named, the bounding argument or design feature containing it is described, and the residual exposure is owned. Measurement error in the template adoption outcome heads the list. Public charters and organization charts, from which the binary template indicator is coded, may not mirror actual practice inside an agency. An agency might publish a charter resembling the NASA program office template while running in practice along quite different lines, or publish a charter diverging from incumbent templates while executing missions through quietly inherited routines. Either misclassification biases the logit’s patronage coefficient, and the bias direction rides on whether misclassification correlates with patronage ties. The design bounds this threat through the prospectus’s qualitative interview component, which surfaces practice level deviation from charter language, and through the row by row coding of source documents in paper one. Non trivial the residual exposure remains, and the chapter grants that a fully audited practice level measure would demand fieldwork beyond a dissertation’s reach.</w:t>
      </w:r>
    </w:p>
    <w:p>
      <w:pPr>
        <w:pStyle w:val="BodyText"/>
        <w:spacing w:line="480" w:lineRule="auto"/>
        <w:ind w:firstLine="720"/>
      </w:pPr>
      <w:r>
        <w:t xml:space="preserve">Second is the small sample cap on statistical power in the logit. At thirty observations and a moderate positive effect size on the log odds scale, the Wald test on the patronage coefficient will routinely fail to reject the null even where the underlying association is genuine. Paper one’s reported pseudo R squared of about eleven percent and patronage coefficient just above one on the log odds scale, set against a Wald p value of roughly 0.45, put exactly that exposure on display. The bounding argument is that the universe of post 2000 national space agencies is truly small and no design choice can enlarge it. Two responses follow. The dissertation reads the null on patronage as inconclusive rather than as evidence of independence, in line with paper one’s discussion. And it triangulates the logit’s directional signal against the qualitative document analysis component and against the OLS result in paper two, which does reach conventional significance on the tenure coefficient. The residual exposure is that a moderate true effect on the patronage channel stays undetectable in any cross section of this size, and Chapter 6 will report the implied minimum detectable effect.</w:t>
      </w:r>
    </w:p>
    <w:p>
      <w:pPr>
        <w:pStyle w:val="BodyText"/>
        <w:spacing w:line="480" w:lineRule="auto"/>
        <w:ind w:firstLine="720"/>
      </w:pPr>
      <w:r>
        <w:t xml:space="preserve">Confounding between mimetic and coercive isomorphism is the third threat. As section 5.2 discussed, patronage ties correlate with regional proximity and with the sway of regional hegemons. The OECD high income indicator and the cross regional patronage subset together bound this confounder, though neither device fully splits the two isomorphism channels in a sample of thirty. Resolving the mimetic versus coercive question the dissertation does not claim to have done. Its claim is more modest: that the conditional association between patronage and template adoption is consistent with mimetic isomorphism and that the design rules out the strongest form of pure regional hegemon explanation. Decisive here is the qualitative component, since explicit references to incumbent templates as design referents in founding charters are evidence of mimetic rather than coercive copying. Fourth is unobserved project complexity in the OLS. Years of template tenure may move with project ambition, technological maturity, or international partnership complexity in ways the binary patronage indicator and the prime contractor count leave uncaptured. Should older templates be applied systematically to more ambitious projects, the positive tenure coefficient in paper two would in part register complexity rather than procedural drag. Twofold is the bounding argument. The project sample carries a heterogeneous mix of agency missions and partnership configurations</w:t>
      </w:r>
      <w:r>
        <w:t xml:space="preserve"> </w:t>
      </w:r>
      <w:hyperlink w:anchor="ref-10">
        <w:r>
          <w:rPr>
            <w:rStyle w:val="Hyperlink"/>
          </w:rPr>
          <w:t xml:space="preserve">[10]</w:t>
        </w:r>
      </w:hyperlink>
      <w:r>
        <w:t xml:space="preserve">[11][12], which dilutes systematic correlation between tenure and any single complexity dimension. And the cross section cannot rule the threat out, a point paper two makes plainly, framing the result as a conditional association rather than a causal effect. The residual exposure is the standard limit of cross sectional OLS in policy settings, and Chapter 7 flags within agency panel extensions as the natural next step.</w:t>
      </w:r>
    </w:p>
    <w:p>
      <w:pPr>
        <w:pStyle w:val="BodyText"/>
        <w:spacing w:line="480" w:lineRule="auto"/>
        <w:ind w:firstLine="720"/>
      </w:pPr>
      <w:r>
        <w:t xml:space="preserve">Selection on the dependent variable in the OLS sample is the fifth threat. Cost growth values come from the GAO NASA Major Project Assessment series</w:t>
      </w:r>
      <w:r>
        <w:t xml:space="preserve"> </w:t>
      </w:r>
      <w:hyperlink w:anchor="ref-10">
        <w:r>
          <w:rPr>
            <w:rStyle w:val="Hyperlink"/>
          </w:rPr>
          <w:t xml:space="preserve">[10]</w:t>
        </w:r>
      </w:hyperlink>
      <w:r>
        <w:t xml:space="preserve">[11][12], from ESA Council rebaselining communications, and from agency press kits and parliamentary releases for the non NASA non ESA projects. Projects whose cost trajectories are politically embarrassing may go under reported in the public record, and the under reporting may correlate with both template tenure and agency identity. Paper two flags five of thirty six rows as illustrative where a public point estimate could not be retrieved, and the chapter grants that the broader population of cross agency projects almost surely holds further cases no agency has chosen to disclose. The bounding argument is that the under reporting is likelier to compress the high cost growth tail than the low, which biases the tenure coefficient toward zero rather than away from it. Read as a lower bound on the true association, then, is how the estimated coefficient of 3.68 percentage points per year of tenure should be taken, conditional on the selection on reporting argument holding.</w:t>
      </w:r>
    </w:p>
    <w:p>
      <w:pPr>
        <w:pStyle w:val="BodyText"/>
        <w:spacing w:line="480" w:lineRule="auto"/>
        <w:ind w:firstLine="720"/>
      </w:pPr>
      <w:r>
        <w:t xml:space="preserve">A sixth and broader threat cuts across both papers: the construct validity of the template indicator itself. The MITRE and Aspen Institute whole of nation framework</w:t>
      </w:r>
      <w:r>
        <w:t xml:space="preserve"> </w:t>
      </w:r>
      <w:hyperlink w:anchor="ref-2">
        <w:r>
          <w:rPr>
            <w:rStyle w:val="Hyperlink"/>
          </w:rPr>
          <w:t xml:space="preserve">[2]</w:t>
        </w:r>
      </w:hyperlink>
      <w:r>
        <w:t xml:space="preserve">[4] anchors the U.S. comparator template, and the Zancan and colleagues Legacy to New Space coding scheme</w:t>
      </w:r>
      <w:r>
        <w:t xml:space="preserve"> </w:t>
      </w:r>
      <w:hyperlink w:anchor="ref-1">
        <w:r>
          <w:rPr>
            <w:rStyle w:val="Hyperlink"/>
          </w:rPr>
          <w:t xml:space="preserve">[1]</w:t>
        </w:r>
      </w:hyperlink>
      <w:r>
        <w:t xml:space="preserve">[7] anchors the broader feature vector, yet the construct of an incumbent template inevitably aggregates over heterogeneous program office, acquisition pathway, and governance instrument features. Both papers run on the aggregate construct, and both discussions flag the need for finer grained outcome measures that break the template into separable features and exploit within agency variation across them. The bounding argument is that the aggregate construct is the right level of analysis for a first test of isomorphism in this cohort, and that disaggregation is the natural next step once the aggregate signal is established. The residual exposure is that a critic could argue, with some force, that the aggregate construct hides as much as it shows. Chapter 8 returns to this under an agenda for follow on work.</w:t>
      </w:r>
    </w:p>
    <w:bookmarkEnd w:id="101"/>
    <w:bookmarkStart w:id="102" w:name="summary-1"/>
    <w:p>
      <w:pPr>
        <w:pStyle w:val="Heading2"/>
        <w:spacing w:line="480" w:lineRule="auto"/>
      </w:pPr>
      <w:r>
        <w:t xml:space="preserve">5.4 Summary</w:t>
      </w:r>
    </w:p>
    <w:p>
      <w:pPr>
        <w:pStyle w:val="FirstParagraph"/>
        <w:spacing w:line="480" w:lineRule="auto"/>
      </w:pPr>
      <w:r>
        <w:t xml:space="preserve">A deliberately small set of estimators, a deliberately conservative identification strategy, and a deliberately explicit inventory of threats to validity are what the dissertation rests on. The logit and the OLS carry the central empirical claims between them, the staggered cohort and the within agency tenure variation supply the identification leverage, and the bounding arguments for measurement error, small sample power, mimetic coercive confounding, project complexity confounding, selection on reporting, and construct aggregation set the bounds of the residual exposure. The next chapter reports the estimation results in detail and probes the robustness of the central coefficients across plausible specification variations.</w:t>
      </w:r>
    </w:p>
    <w:bookmarkEnd w:id="102"/>
    <w:bookmarkEnd w:id="103"/>
    <w:bookmarkStart w:id="116" w:name="chapter-6.-results"/>
    <w:p>
      <w:pPr>
        <w:pStyle w:val="Heading1"/>
        <w:spacing w:line="480" w:lineRule="auto"/>
      </w:pPr>
      <w:r>
        <w:t xml:space="preserve">Chapter 6. Results</w:t>
      </w:r>
    </w:p>
    <w:p>
      <w:pPr>
        <w:pStyle w:val="FirstParagraph"/>
        <w:spacing w:line="480" w:lineRule="auto"/>
      </w:pPr>
      <w:r>
        <w:t xml:space="preserve">Reported here are the empirical results of the two estimators that jointly carry the falsifiable burden of the dissertation.</w:t>
      </w:r>
    </w:p>
    <w:p>
      <w:pPr>
        <w:pStyle w:val="BodyText"/>
        <w:spacing w:line="480" w:lineRule="auto"/>
        <w:ind w:firstLine="720"/>
      </w:pPr>
      <w:r>
        <w:t xml:space="preserve">Through binary logistic regression on thirty national space agencies, paper one asks whether documented patronage ties to incumbent agencies raise the conditional probability that a post 2000 founder takes on the incumbent program office template. Through ordinary least squares regression with heteroskedasticity consistent standard errors on thirty six cross agency space projects, paper two asks whether tenure under a copied or inherited program office template forecasts cost growth from baseline once patronage tie strength and prime contractor structure are conditioned on. Complementary is the relationship between them. Paper one isolates the antecedent of template adoption; paper two isolates the downstream cost performance consequence of having lived under an adopted template across an extended span. Taken in sequence, the two sharpen the standard isomorphism conjecture inherited from the institutional literature</w:t>
      </w:r>
      <w:r>
        <w:t xml:space="preserve"> </w:t>
      </w:r>
      <w:hyperlink w:anchor="ref-1">
        <w:r>
          <w:rPr>
            <w:rStyle w:val="Hyperlink"/>
          </w:rPr>
          <w:t xml:space="preserve">[1]</w:t>
        </w:r>
      </w:hyperlink>
      <w:r>
        <w:t xml:space="preserve"> </w:t>
      </w:r>
      <w:r>
        <w:t xml:space="preserve">and from the legacy to new space governance evidence in the contemporary Acta Astronautica literature</w:t>
      </w:r>
      <w:r>
        <w:t xml:space="preserve"> </w:t>
      </w:r>
      <w:hyperlink w:anchor="ref-7">
        <w:r>
          <w:rPr>
            <w:rStyle w:val="Hyperlink"/>
          </w:rPr>
          <w:t xml:space="preserve">[7]</w:t>
        </w:r>
      </w:hyperlink>
      <w:r>
        <w:t xml:space="preserve"> </w:t>
      </w:r>
      <w:r>
        <w:t xml:space="preserve">into a position the data can actually bear. Each set of estimates comes in turn, the coefficient magnitudes are read against the theoretical priors laid down in chapters two and three, and the paired results are weighed for what they mean for the central isomorphism claim. Tables, formulas, scatter plots, and the underlying observation level data belong to Appendix A and are not reproduced here.</w:t>
      </w:r>
    </w:p>
    <w:bookmarkStart w:id="108" w:name="Xc60623534a0d817c952056d0425ab04cbfb250b"/>
    <w:p>
      <w:pPr>
        <w:pStyle w:val="Heading2"/>
        <w:spacing w:line="480" w:lineRule="auto"/>
      </w:pPr>
      <w:r>
        <w:t xml:space="preserve">6.1 Paper One: Patronage Ties and Template Adoption</w:t>
      </w:r>
    </w:p>
    <w:p>
      <w:pPr>
        <w:pStyle w:val="FirstParagraph"/>
        <w:spacing w:line="480" w:lineRule="auto"/>
      </w:pPr>
      <w:r>
        <w:t xml:space="preserve">A binary logistic regression of incumbent template adoption on four covariates is the first estimator: a binary patronage tie indicator, a cohort time variable equal to founding year minus 2000, a binary regional development indicator, and a binary prior space program indicator.</w:t>
      </w:r>
    </w:p>
    <w:p>
      <w:pPr>
        <w:pStyle w:val="BodyText"/>
        <w:spacing w:line="480" w:lineRule="auto"/>
        <w:ind w:firstLine="720"/>
      </w:pPr>
      <w:r>
        <w:t xml:space="preserve">Its estimation sample is thirty national space agencies, mostly post 2000 founders rounded out by three pre 2000 control cases drawn from the same regions. Maximum likelihood estimation converged without incident.</w:t>
      </w:r>
    </w:p>
    <w:bookmarkStart w:id="104" w:name="overall-fit"/>
    <w:p>
      <w:pPr>
        <w:pStyle w:val="Heading3"/>
        <w:spacing w:line="480" w:lineRule="auto"/>
      </w:pPr>
      <w:r>
        <w:t xml:space="preserve">6.1.1 Overall Fit</w:t>
      </w:r>
    </w:p>
    <w:p>
      <w:pPr>
        <w:pStyle w:val="FirstParagraph"/>
        <w:spacing w:line="480" w:lineRule="auto"/>
      </w:pPr>
      <w:r>
        <w:t xml:space="preserve">At the converged parameter vector the fitted model returns a log likelihood of negative 12.073 units.</w:t>
      </w:r>
    </w:p>
    <w:p>
      <w:pPr>
        <w:pStyle w:val="BodyText"/>
        <w:spacing w:line="480" w:lineRule="auto"/>
        <w:ind w:firstLine="720"/>
      </w:pPr>
      <w:r>
        <w:t xml:space="preserve">McFadden’s pseudo R squared is 0.107. Estimated at 0.0913, the intercept carries a standard error of 1.1771 and a Wald p value of 0.9382, which squares with the descriptive fact that the unconditional adoption rate in the sample sits near one half: set every covariate to zero and the model predicts essentially even odds of adoption. Modest by the standards usual in cross sectional behavioral studies, the pseudo R squared is nonetheless not negligible. McFadden’s measure tops out well below the analogue R squared in linear models, and values between 0.10 and 0.20 conventionally read as a non trivial improvement on the constant only baseline. A pseudo R squared of 0.107 here means the four covariates together account for about eleven percent of the deviance reduction against the null model. Some work the covariates are doing. Whether any one of them, the patronage indicator that bears the theoretical weight above all, does enough to underwrite inference at conventional levels stays the open question.</w:t>
      </w:r>
    </w:p>
    <w:bookmarkEnd w:id="104"/>
    <w:bookmarkStart w:id="105" w:name="the-patronage-coefficient"/>
    <w:p>
      <w:pPr>
        <w:pStyle w:val="Heading3"/>
        <w:spacing w:line="480" w:lineRule="auto"/>
      </w:pPr>
      <w:r>
        <w:t xml:space="preserve">6.1.2 The Patronage Coefficient</w:t>
      </w:r>
    </w:p>
    <w:p>
      <w:pPr>
        <w:pStyle w:val="FirstParagraph"/>
        <w:spacing w:line="480" w:lineRule="auto"/>
      </w:pPr>
      <w:r>
        <w:t xml:space="preserve">On the patronage tie coefficient the central isomorphism prediction turns. Its estimate is 1.053 on the log odds scale, with a standard error of 1.3877 and a Wald p value of 0.448. Positive as H1 requires, its sign holds, and its magnitude is far and away the largest of the four slope estimates. Off the log odds scale, a coefficient of 1.053 works out to an odds ratio of approximately 2.87, so that an agency carrying a coded patronage tie to an incumbent is estimated at nearly three times the odds of adopting the incumbent template as an otherwise comparable agency without such a tie. Substantively large, that effect. Yet on the standard reading of a Wald test it is also an effect the data cannot tell apart from zero. The standard error of 1.39 runs larger in absolute value than the point estimate, the test statistic falls well short of conventional thresholds, and the p value of 0.45 sits well inside the region where the null of no effect survives.</w:t>
      </w:r>
    </w:p>
    <w:p>
      <w:pPr>
        <w:pStyle w:val="BodyText"/>
        <w:spacing w:line="480" w:lineRule="auto"/>
        <w:ind w:firstLine="720"/>
      </w:pPr>
      <w:r>
        <w:t xml:space="preserve">That combination, a substantively large point estimate alongside a large standard error and a non significant p value, is the diagnostic signature of a small sample carrying an effect of moderate true magnitude. Two readings are open. On the conservative reading, the data simply will not support rejecting independence, and the point estimate, however large, is a fixture of sampling noise that later evidence may clear away. On the cautious affirmative reading, the sign and magnitude line up with the patronage mechanism that mimetic isomorphism predicts, and the binding constraint is statistical power rather than absence of effect. A thirty observation sample, its binary outcome departing little from the unconditional rate of one half, has limited capacity to separate odds ratios of three from odds ratios of one at the customary five percent level. Run a back of the envelope power calculation for a binary covariate of moderate prevalence and an odds ratio near three in a sample of thirty, and it would expect power well below the 0.80 threshold conventionally treated as adequate. Falsifying H1 therefore takes more than a single non significant test in this sample. It takes either a larger sample or a finer outcome decomposition, and here neither is on hand.</w:t>
      </w:r>
    </w:p>
    <w:bookmarkEnd w:id="105"/>
    <w:bookmarkStart w:id="106" w:name="the-three-other-covariates"/>
    <w:p>
      <w:pPr>
        <w:pStyle w:val="Heading3"/>
        <w:spacing w:line="480" w:lineRule="auto"/>
      </w:pPr>
      <w:r>
        <w:t xml:space="preserve">6.1.3 The Three Other Covariates</w:t>
      </w:r>
    </w:p>
    <w:p>
      <w:pPr>
        <w:pStyle w:val="FirstParagraph"/>
        <w:spacing w:line="480" w:lineRule="auto"/>
      </w:pPr>
      <w:r>
        <w:t xml:space="preserve">Little issues from the remaining three covariates. A coefficient of 0.0592 attaches to the cohort time variable, with a standard error of 0.0873 and a p value of 0.4977. Positive its sign, consistent with a weak secular trend toward template adoption among later founders, but small its magnitude on the log odds scale and unremarkable its test statistic. A coefficient of 0.0592 means each additional year past 2000 lifts the log odds of adoption by about six one hundredths, an annual odds ratio of approximately 1.061. Across a twenty three year window from 2000 to 2023, the point estimate implies a cumulative odds shift of roughly a factor of four, again substantively non trivial, yet the standard error runs large enough that the test does not approach significance. Consistent with mimetic diffusion gathering pace over the post 2000 period is the cohort time channel, without separating such diffusion from the null at conventional levels.</w:t>
      </w:r>
    </w:p>
    <w:p>
      <w:pPr>
        <w:pStyle w:val="BodyText"/>
        <w:spacing w:line="480" w:lineRule="auto"/>
        <w:ind w:firstLine="720"/>
      </w:pPr>
      <w:r>
        <w:t xml:space="preserve">A coefficient of 0.3616 attaches to the regional development indicator, with a standard error of 1.5064 and a p value of 0.8103. More than four times the magnitude of the point estimate is the standard error, and far from significance is the p value. The estimate squares with no detectable difference in template adoption probability between OECD high income and other region agencies in this sample. A coefficient of 0.2169 attaches to the prior space program indicator, with a standard error of 1.4189 and a p value of 0.8785. Again the standard error dwarfs the point estimate, and again the inference holds: prior space activity heritage does not, in this sample, mark adopters off from non adopters at conventional levels. Neither control takes the disconfirming role the prospectus flagged as a concern. The hazard of regional development confounding with patronage, raised in chapter four as a validity threat, does not materialize as an empirical problem here; the regional indicator washes out, leaving the patronage estimate to soak up whatever signal the data hold.</w:t>
      </w:r>
    </w:p>
    <w:bookmarkEnd w:id="106"/>
    <w:bookmarkStart w:id="107" w:name="reading-the-logit"/>
    <w:p>
      <w:pPr>
        <w:pStyle w:val="Heading3"/>
        <w:spacing w:line="480" w:lineRule="auto"/>
      </w:pPr>
      <w:r>
        <w:t xml:space="preserve">6.1.4 Reading the Logit</w:t>
      </w:r>
    </w:p>
    <w:p>
      <w:pPr>
        <w:pStyle w:val="FirstParagraph"/>
        <w:spacing w:line="480" w:lineRule="auto"/>
      </w:pPr>
      <w:r>
        <w:t xml:space="preserve">Paper one’s aggregate picture is that none of the four covariates clears the conventional significance threshold, while the patronage indicator stands apart from the other three on both substantive magnitude and theoretical priority. The pseudo R squared of 0.107 shows the four covariates jointly improving modestly on the null model. The patronage coefficient sign meets H1, the magnitude runs large in odds ratio terms, and the failure to reject the null is consistent both with a true absence of effect and with a moderate true effect the design cannot resolve in thirty observations. The honest interpretation, given the design constraints laid out in chapter five, is that the logit warrants no rejection of the null of independent template adoption, and warrants no strong claim that patronage is irrelevant to template choice either. Right in its direction is the signal, in the range the qualitative literature would predict is its magnitude</w:t>
      </w:r>
      <w:r>
        <w:t xml:space="preserve"> </w:t>
      </w:r>
      <w:hyperlink w:anchor="ref-7">
        <w:r>
          <w:rPr>
            <w:rStyle w:val="Hyperlink"/>
          </w:rPr>
          <w:t xml:space="preserve">[7]</w:t>
        </w:r>
      </w:hyperlink>
      <w:r>
        <w:t xml:space="preserve">, and underpowered to resolve it is the statistical apparatus. This is exactly the situation in which a single paper test cannot bear the full evidentiary weight of the isomorphism claim, and in which the downstream consequences test reported in paper two turns essential to the dissertation’s central argument.</w:t>
      </w:r>
    </w:p>
    <w:bookmarkEnd w:id="107"/>
    <w:bookmarkEnd w:id="108"/>
    <w:bookmarkStart w:id="114" w:name="Xb56f06ccc669b953a9f081f0598058daea6ead5"/>
    <w:p>
      <w:pPr>
        <w:pStyle w:val="Heading2"/>
        <w:spacing w:line="480" w:lineRule="auto"/>
      </w:pPr>
      <w:r>
        <w:t xml:space="preserve">6.2 Paper Two: Template Tenure and Cost Growth</w:t>
      </w:r>
    </w:p>
    <w:p>
      <w:pPr>
        <w:pStyle w:val="FirstParagraph"/>
        <w:spacing w:line="480" w:lineRule="auto"/>
      </w:pPr>
      <w:r>
        <w:t xml:space="preserve">An ordinary least squares regression of project level percent cost growth on three covariates is the second estimator: years of agency tenure under its current acquisition template at the project’s authorization year, the strength of patronage ties to incumbent agencies coded as an active tie binary, and the count of prime contractors of record on the project. Heteroskedasticity consistent of the HC1 variety are the standard errors. Its estimation sample is thirty six cross agency space projects authorized between 2010 and 2023, drawn from eight national or supranational agencies including NASA, ESA, ISRO, JAXA, CNSA, KARI, AEB, and UAESA. The NASA cost growth values sit anchored in the GAO NASA Major Project Assessment series across recent fiscal years</w:t>
      </w:r>
      <w:r>
        <w:t xml:space="preserve"> </w:t>
      </w:r>
      <w:hyperlink w:anchor="ref-10">
        <w:r>
          <w:rPr>
            <w:rStyle w:val="Hyperlink"/>
          </w:rPr>
          <w:t xml:space="preserve">[10]</w:t>
        </w:r>
      </w:hyperlink>
      <w:r>
        <w:t xml:space="preserve">[11][12], with ESA and other agency values pulled from agency press kits and rebaselining communications.</w:t>
      </w:r>
    </w:p>
    <w:bookmarkStart w:id="109" w:name="overall-fit-1"/>
    <w:p>
      <w:pPr>
        <w:pStyle w:val="Heading3"/>
        <w:spacing w:line="480" w:lineRule="auto"/>
      </w:pPr>
      <w:r>
        <w:t xml:space="preserve">6.2.1 Overall Fit</w:t>
      </w:r>
    </w:p>
    <w:p>
      <w:pPr>
        <w:pStyle w:val="FirstParagraph"/>
        <w:spacing w:line="480" w:lineRule="auto"/>
      </w:pPr>
      <w:r>
        <w:t xml:space="preserve">The OLS model returns an R squared of 0.5909 and an adjusted R squared of 0.5526. Its joint F statistic is 3.378 on the three slope parameters, with an associated p value of 0.0301. Clearing the conventional joint significance threshold at the five percent level is therefore what the model does. Substantively strong for a behavioral cross section is the fit: the three covariates together account for approximately fifty nine percent of the variance in project level cost growth across the thirty six projects. Modest is the drop from R squared to adjusted R squared, a sign that the explanatory power is no artifact of over parameterization in a small sample. Estimated at negative 8.9142, the intercept carries a standard error of 6.8869 and a p value of 0.1955, which squares with the descriptive fact that the typical project reports cost growth in low double digits and that, absent template tenure, patronage tie, or contractor structure, the unconditional baseline is mild negative cost performance, that is, modest under runs. The parameter of interest the intercept is not. The headline parameter is the template tenure coefficient, and it does very different work.</w:t>
      </w:r>
    </w:p>
    <w:bookmarkEnd w:id="109"/>
    <w:bookmarkStart w:id="110" w:name="the-template-tenure-coefficient"/>
    <w:p>
      <w:pPr>
        <w:pStyle w:val="Heading3"/>
        <w:spacing w:line="480" w:lineRule="auto"/>
      </w:pPr>
      <w:r>
        <w:t xml:space="preserve">6.2.2 The Template-Tenure Coefficient</w:t>
      </w:r>
    </w:p>
    <w:p>
      <w:pPr>
        <w:pStyle w:val="FirstParagraph"/>
        <w:spacing w:line="480" w:lineRule="auto"/>
      </w:pPr>
      <w:r>
        <w:t xml:space="preserve">A coefficient of 3.6795 attaches to years of template tenure at project authorization, with a heteroskedasticity consistent standard error of 1.1871 and a Wald p value of 0.0019. Positive, large, and tightly identified is the point estimate. Each additional year of agency tenure under its current acquisition template at the moment of project authorization goes with approximately 3.68 percentage points of additional cost growth from baseline, holding patronage tie strength and prime contractor count constant. The standard error of 1.19 yields a test statistic in the neighborhood of three, well above the conventional two point zero threshold tied to five percent significance, and the two sided p value of just under 0.002 places the estimate at the one percent level. Robust to the heteroskedasticity correction built into the HC1 specification is the result, which means the inference leans on no homoskedasticity assumption of the kind small cross sections so often break.</w:t>
      </w:r>
    </w:p>
    <w:p>
      <w:pPr>
        <w:pStyle w:val="BodyText"/>
        <w:spacing w:line="480" w:lineRule="auto"/>
        <w:ind w:firstLine="720"/>
      </w:pPr>
      <w:r>
        <w:t xml:space="preserve">Further interpretation the magnitude warrants. Set projects authorized within a few years of a template’s promulgation against projects authorized a decade or more into the template’s life cycle, and across the observed range of template tenure in the sample the implied cost growth differential runs on the order of thirty to forty percentage points. Substantial by any standard of cross agency program performance research is that behavioral effect. It sits, too, at the same order of magnitude as the cost growth differentials the GAO Major Project Assessment series has repeatedly laid at the door of acquisition policy aging in the NASA portfolio</w:t>
      </w:r>
      <w:r>
        <w:t xml:space="preserve"> </w:t>
      </w:r>
      <w:hyperlink w:anchor="ref-10">
        <w:r>
          <w:rPr>
            <w:rStyle w:val="Hyperlink"/>
          </w:rPr>
          <w:t xml:space="preserve">[10]</w:t>
        </w:r>
      </w:hyperlink>
      <w:r>
        <w:t xml:space="preserve">[11][12], which is encouraging external validation. The mimetic drag conjecture that paper two framed as H1 is exactly this prediction: copying a template is not the cost performance hazard the standard isomorphism story stresses; tenure under a copied template is the hazard, since templates gather procedural commitments over time and the commitments turn into cost growth pathologies through their effects on review cadence, change control discipline, and contractor interface practice. The point estimate of 3.68 percentage points per year, tightly identified at the one percent level, is the empirical foundation the dissertation’s central argument stands on.</w:t>
      </w:r>
    </w:p>
    <w:bookmarkEnd w:id="110"/>
    <w:bookmarkStart w:id="111" w:name="the-patronage-tie-coefficient"/>
    <w:p>
      <w:pPr>
        <w:pStyle w:val="Heading3"/>
        <w:spacing w:line="480" w:lineRule="auto"/>
      </w:pPr>
      <w:r>
        <w:t xml:space="preserve">6.2.3 The Patronage-Tie Coefficient</w:t>
      </w:r>
    </w:p>
    <w:p>
      <w:pPr>
        <w:pStyle w:val="FirstParagraph"/>
        <w:spacing w:line="480" w:lineRule="auto"/>
      </w:pPr>
      <w:r>
        <w:t xml:space="preserve">A coefficient of negative 0.8413 attaches to patronage tie strength, with a standard error of 3.2380 and a Wald p value of 0.795. Negative its sign, small its magnitude, and dwarfing the point estimate its standard error. Distinguishable from zero at any conventional level the estimate is not. Read in isolation, it might look to contradict the isomorphism literature, which would predict positive patronage effects on cost performance pathologies through the same mimetic channel that drives template adoption to begin with. Read in the model’s joint context, though, the null is the expected pattern. Built into the mimetic drag specification is the premise that patronage ties sit upstream of template adoption rather than being independently consequential at the project level. Patronage drives the choice of template; template tenure, once accumulated, drives cost growth. With template tenure conditioned on, no independent residual patronage channel remains for the cross section to identify. Consistent with that mechanism is the coefficient of negative 0.84 at a p value of 0.795 on the Wald test. Consistent too with the qualitative observation in the open innovation literature</w:t>
      </w:r>
      <w:r>
        <w:t xml:space="preserve"> </w:t>
      </w:r>
      <w:hyperlink w:anchor="ref-6">
        <w:r>
          <w:rPr>
            <w:rStyle w:val="Hyperlink"/>
          </w:rPr>
          <w:t xml:space="preserve">[6]</w:t>
        </w:r>
      </w:hyperlink>
      <w:r>
        <w:t xml:space="preserve"> </w:t>
      </w:r>
      <w:r>
        <w:t xml:space="preserve">that even reform minded agencies keep inherited procedural commitments tied to their historical patronage networks; once those commitments fall to template tenure, the residual patronage signal washes out.</w:t>
      </w:r>
    </w:p>
    <w:bookmarkEnd w:id="111"/>
    <w:bookmarkStart w:id="112" w:name="the-prime-contractor-count-coefficient"/>
    <w:p>
      <w:pPr>
        <w:pStyle w:val="Heading3"/>
        <w:spacing w:line="480" w:lineRule="auto"/>
      </w:pPr>
      <w:r>
        <w:t xml:space="preserve">6.2.4 The Prime-Contractor-Count Coefficient</w:t>
      </w:r>
    </w:p>
    <w:p>
      <w:pPr>
        <w:pStyle w:val="FirstParagraph"/>
        <w:spacing w:line="480" w:lineRule="auto"/>
      </w:pPr>
      <w:r>
        <w:t xml:space="preserve">A coefficient of negative 6.0300 attaches to prime contractor count, with a standard error of 4.1180 and a Wald p value of 0.1431. Negative its sign, substantively notable its magnitude, and in the inconclusive interval between the conventional ten percent and twenty percent levels its p value. The point estimate suggests that each additional prime contractor of record goes with approximately six percentage points of reduced cost growth, holding template tenure and patronage tie strength constant. Two readings are open. On the first, multiple primes spread risk and dilute the rigidity of single source procedural commitments, trimming aggregate cost growth at the project level. On the second, projects handed to multiple primes tend to carry higher initial baselines, against which proportional cost growth accumulates less readily. Between these mechanisms the cross section cannot adjudicate. Significant at conventional levels the coefficient is not, and inferential weight it should not carry, yet its sign and magnitude do at least square with the open innovation story documented by the European space sector literature</w:t>
      </w:r>
      <w:r>
        <w:t xml:space="preserve"> </w:t>
      </w:r>
      <w:hyperlink w:anchor="ref-6">
        <w:r>
          <w:rPr>
            <w:rStyle w:val="Hyperlink"/>
          </w:rPr>
          <w:t xml:space="preserve">[6]</w:t>
        </w:r>
      </w:hyperlink>
      <w:r>
        <w:t xml:space="preserve"> </w:t>
      </w:r>
      <w:r>
        <w:t xml:space="preserve">and with the patronage mediated diffusion patterns reported in space traffic management outreach work</w:t>
      </w:r>
      <w:r>
        <w:t xml:space="preserve"> </w:t>
      </w:r>
      <w:hyperlink w:anchor="ref-9">
        <w:r>
          <w:rPr>
            <w:rStyle w:val="Hyperlink"/>
          </w:rPr>
          <w:t xml:space="preserve">[9]</w:t>
        </w:r>
      </w:hyperlink>
      <w:r>
        <w:t xml:space="preserve">. Best read as a directional control, then, rather than as a test of any hypothesis advanced in chapter three.</w:t>
      </w:r>
    </w:p>
    <w:bookmarkEnd w:id="112"/>
    <w:bookmarkStart w:id="113" w:name="reading-the-ols"/>
    <w:p>
      <w:pPr>
        <w:pStyle w:val="Heading3"/>
        <w:spacing w:line="480" w:lineRule="auto"/>
      </w:pPr>
      <w:r>
        <w:t xml:space="preserve">6.2.5 Reading the OLS</w:t>
      </w:r>
    </w:p>
    <w:p>
      <w:pPr>
        <w:pStyle w:val="FirstParagraph"/>
        <w:spacing w:line="480" w:lineRule="auto"/>
      </w:pPr>
      <w:r>
        <w:t xml:space="preserve">Paper two’s aggregate picture stands in sharp contrast to paper one’s. Where the logit returned four non significant coefficients on a modest pseudo R squared, the OLS returns a model that explains nearly sixty percent of the variance in project level cost growth, clears joint significance at the three percent level, and identifies the theoretically privileged template tenure coefficient at the one percent level. Non significant the two control coefficients are, yet their non significance squares with the mimetic drag specification: patronage washes out once tenure is conditioned on, and contractor count works as a directional control rather than a test. So the dissertation’s central isomorphism claim draws its strongest support from paper two, not from paper one. The mechanism is not that copying a template is itself the cost performance hazard but that tenure under the copied template is, and the data back that sharper formulation at conventional levels.</w:t>
      </w:r>
    </w:p>
    <w:bookmarkEnd w:id="113"/>
    <w:bookmarkEnd w:id="114"/>
    <w:bookmarkStart w:id="115" w:name="Xd9f998fa615ffcd80da4b7bf2a2001111264e40"/>
    <w:p>
      <w:pPr>
        <w:pStyle w:val="Heading2"/>
        <w:spacing w:line="480" w:lineRule="auto"/>
      </w:pPr>
      <w:r>
        <w:t xml:space="preserve">6.3 Joint Interpretation Across the Two Papers</w:t>
      </w:r>
    </w:p>
    <w:p>
      <w:pPr>
        <w:pStyle w:val="FirstParagraph"/>
        <w:spacing w:line="480" w:lineRule="auto"/>
      </w:pPr>
      <w:r>
        <w:t xml:space="preserve">An internally consistent interpretation that neither paper alone could support is what the paired results admit. Paper one finds the patronage indicator carrying the expected sign and a large odds ratio while unable to reject the null of independent template adoption in thirty observations. Paper two finds template tenure, conditional on patronage tie and contractor structure, tightly identified as a positive predictor of cost growth at the one percent level on thirty six observations. Consistent with a mimetic isomorphism mechanism running primarily through the duration of life under a copied template rather than through the initial fact of copying is that combination. Upstream sits the patronage channel; it nudges template choice without being individually decisive in the antecedent logit, and once choice is made it is the accumulated tenure under the chosen template that yields the measurable downstream consequence. This is the sharpened version of the standard story documented in the broader institutional literature</w:t>
      </w:r>
      <w:r>
        <w:t xml:space="preserve"> </w:t>
      </w:r>
      <w:hyperlink w:anchor="ref-1">
        <w:r>
          <w:rPr>
            <w:rStyle w:val="Hyperlink"/>
          </w:rPr>
          <w:t xml:space="preserve">[1]</w:t>
        </w:r>
      </w:hyperlink>
      <w:r>
        <w:t xml:space="preserve"> </w:t>
      </w:r>
      <w:r>
        <w:t xml:space="preserve">and in the legacy to new space transition evidence</w:t>
      </w:r>
      <w:r>
        <w:t xml:space="preserve"> </w:t>
      </w:r>
      <w:hyperlink w:anchor="ref-7">
        <w:r>
          <w:rPr>
            <w:rStyle w:val="Hyperlink"/>
          </w:rPr>
          <w:t xml:space="preserve">[7]</w:t>
        </w:r>
      </w:hyperlink>
      <w:r>
        <w:t xml:space="preserve">, and it is the version the dissertation can defend on its own data.</w:t>
      </w:r>
    </w:p>
    <w:p>
      <w:pPr>
        <w:pStyle w:val="BodyText"/>
        <w:spacing w:line="480" w:lineRule="auto"/>
        <w:ind w:firstLine="720"/>
      </w:pPr>
      <w:r>
        <w:t xml:space="preserve">Two design properties lend this joint reading credibility. Observation level at the agency is the paper one sample, while observation level at the project is the paper two sample, so the two estimators speak to different units and combine without simultaneity. And the paper two specification conditions on the same patronage signal that the paper one specification estimates, so the absence of an independent patronage effect at the project level is exactly what the paper one estimate would predict were patronage operating upstream of template choice. Mutually corroborating, then, are the two papers, and not redundant. Three caveats apply. The paper one sample of thirty observations cannot resolve odds ratios in the range of two to three at conventional levels, so the patronage null carries no positive evidence that patronage is irrelevant. The paper two cross section, for all its tight identification on template tenure, cannot rule out unobserved project complexity factors that move with both tenure and cost growth; identified is the conditional association, while a causal claim would take either a panel design or an instrument. And neither paper catches variation in the depth or quality of patronage ties; both treat patronage as binary, and the qualitative record gathered for chapter seven points to substantial heterogeneity in tie depth that a graded scale could exploit. These caveats drive the qualitative triangulation pursued in chapter seven and the panel data extension flagged in chapter eight.</w:t>
      </w:r>
    </w:p>
    <w:p>
      <w:pPr>
        <w:pStyle w:val="BodyText"/>
        <w:spacing w:line="480" w:lineRule="auto"/>
        <w:ind w:firstLine="720"/>
      </w:pPr>
      <w:r>
        <w:t xml:space="preserve">Within those caveats, the central empirical finding of the dissertation is the one paper two returns. Years of agency tenure under a copied or inherited program office template at project authorization goes with approximately 3.68 additional percentage points of cost growth per year, with a heteroskedasticity consistent standard error of 1.19, significant at the one percent level, in a model that explains roughly fifty nine percent of the variance in project level cost growth across thirty six cross agency space projects. That finding, conditioned on the patronage and contractor controls, is what the data warrant. It is the finding chapter seven triangulates qualitatively and that chapter eight develops into the policy implication that template renewal cycles matter at least as much as initial template choice for the cost performance trajectory of new and reforming national space agencies in the post 2000 cohort.</w:t>
      </w:r>
    </w:p>
    <w:bookmarkEnd w:id="115"/>
    <w:bookmarkEnd w:id="116"/>
    <w:bookmarkStart w:id="124" w:name="X21322cb5e29cbf4eb576afddcad42f86ace4e0d"/>
    <w:p>
      <w:pPr>
        <w:pStyle w:val="Heading1"/>
        <w:spacing w:line="480" w:lineRule="auto"/>
      </w:pPr>
      <w:r>
        <w:t xml:space="preserve">Chapter 7. Discussion and Governance Implications</w:t>
      </w:r>
    </w:p>
    <w:bookmarkStart w:id="117" w:name="overview"/>
    <w:p>
      <w:pPr>
        <w:pStyle w:val="Heading2"/>
        <w:spacing w:line="480" w:lineRule="auto"/>
      </w:pPr>
      <w:r>
        <w:t xml:space="preserve">7.1 Overview</w:t>
      </w:r>
    </w:p>
    <w:p>
      <w:pPr>
        <w:pStyle w:val="FirstParagraph"/>
        <w:spacing w:line="480" w:lineRule="auto"/>
      </w:pPr>
      <w:r>
        <w:t xml:space="preserve">Two findings issued from the empirical core of this dissertation that, taken together, refine rather than confirm the standard institutional isomorphism story as applied to post-2000 national space agencies.</w:t>
      </w:r>
    </w:p>
    <w:p>
      <w:pPr>
        <w:pStyle w:val="BodyText"/>
        <w:spacing w:line="480" w:lineRule="auto"/>
        <w:ind w:firstLine="720"/>
      </w:pPr>
      <w:r>
        <w:t xml:space="preserve">Paper 1 fit a binary logit of incumbent template adoption on patronage ties, cohort timing, regional development, and prior space activity across thirty national civil space agencies. Reject the null of independence at conventional thresholds it could not, for all a directionally positive patronage coefficient and a pseudo-R-squared near eleven percent. Paper 2 fit an ordinary least squares model of project-level cost growth on years of tenure under an inherited program-office template, patronage-tie strength, and prime-contractor count across thirty-six cross-agency projects authorized between 2010 and 2023, and found each additional year of tenure under the copied template going with roughly 3.7 percentage points of additional cost growth, significant at the one-percent level, while patronage-tie strength ran non-significant once tenure was conditioned on. Consequential is the juxtaposition. Copying a template, as measured at founding, is not by itself a reliable predictor of structural outcomes in the post-2000 cohort, while tenure under a copied template is a robust predictor of cost-performance pathology in the cross-section of executed projects. This chapter works out the governance implications of that juxtaposition, weighted toward NASA program management and toward the decision environment facing the Jet Propulsion Laboratory, and then states the limitations and the future-research agenda the findings imply.</w:t>
      </w:r>
    </w:p>
    <w:p>
      <w:pPr>
        <w:pStyle w:val="BodyText"/>
        <w:spacing w:line="480" w:lineRule="auto"/>
        <w:ind w:firstLine="720"/>
      </w:pPr>
      <w:r>
        <w:t xml:space="preserve">Five movements compose the chapter. Section 7.2 synthesises the two empirical contributions and reconciles the apparent tension between the null on patronage in Paper 1 and the strong tenure result in Paper 2. Section 7.3 develops the implications for NASA enterprise program management, weighted toward template renewal cycles, acquisition-policy revision cadence, and the place of the whole-of-nation framing MITRE and the Aspen Institute articulate</w:t>
      </w:r>
      <w:r>
        <w:t xml:space="preserve"> </w:t>
      </w:r>
      <w:hyperlink w:anchor="ref-2">
        <w:r>
          <w:rPr>
            <w:rStyle w:val="Hyperlink"/>
          </w:rPr>
          <w:t xml:space="preserve">[2]</w:t>
        </w:r>
      </w:hyperlink>
      <w:r>
        <w:t xml:space="preserve">[4]. Section 7.4 turns to JPL decision-making in the recompete environment and to the broader question of how a federally funded research and development center should position itself when the tenure of an inherited template is the operative cost-performance variable. Section 7.5 catalogues the design’s limitations, statistical power, the binary outcome in Paper 1, the cross-sectional structure of Paper 2, and the documentary character of the data among them. Section 7.6 lays out a future-research agenda covering finer-grained outcome measures, panel structure, qualitative triangulation, and decomposition of the template into separable features. The chapter closes on a short statement of the dissertation’s contribution to the institutional isomorphism literature on the New Space transition Zancan and colleagues document</w:t>
      </w:r>
      <w:r>
        <w:t xml:space="preserve"> </w:t>
      </w:r>
      <w:hyperlink w:anchor="ref-1">
        <w:r>
          <w:rPr>
            <w:rStyle w:val="Hyperlink"/>
          </w:rPr>
          <w:t xml:space="preserve">[1]</w:t>
        </w:r>
      </w:hyperlink>
      <w:r>
        <w:t xml:space="preserve">[7].</w:t>
      </w:r>
    </w:p>
    <w:bookmarkEnd w:id="117"/>
    <w:bookmarkStart w:id="118" w:name="reconciling-the-two-empirical-findings"/>
    <w:p>
      <w:pPr>
        <w:pStyle w:val="Heading2"/>
        <w:spacing w:line="480" w:lineRule="auto"/>
      </w:pPr>
      <w:r>
        <w:t xml:space="preserve">7.2 Reconciling the Two Empirical Findings</w:t>
      </w:r>
    </w:p>
    <w:p>
      <w:pPr>
        <w:pStyle w:val="FirstParagraph"/>
        <w:spacing w:line="480" w:lineRule="auto"/>
      </w:pPr>
      <w:r>
        <w:t xml:space="preserve">In tension the two findings are not. Complementary readings of a single underlying institutional process are what they amount to. Paper 1 gauged template adoption at founding, a moment at which a new agency’s structural feature vector reflects the pooled effect of patronage ties, regional context, and prior national space activity, but at which the procedural commitments lodged in the template have had no time to settle. So the null in Paper 1 reads as a statement about the founding-moment cross-section: in this sample, at thirty observations and a binary outcome, the predicted patronage effect is directionally present while falling short of the Wald threshold. Paper 2, by contrast, gauged cost growth on executed projects across eight agencies and located the operative variable in the template’s temporal dimension, namely tenure. The tenure coefficient of roughly 3.7 percentage points per year, at a p-value below one percent, catches the accretion mechanism the static cross-section in Paper 1 could not see.</w:t>
      </w:r>
    </w:p>
    <w:p>
      <w:pPr>
        <w:pStyle w:val="BodyText"/>
        <w:spacing w:line="480" w:lineRule="auto"/>
        <w:ind w:firstLine="720"/>
      </w:pPr>
      <w:r>
        <w:t xml:space="preserve">A non-trivial implication for the theoretical literature rides on this reconciliation. The DiMaggio and Powell typology of coercive, mimetic, and normative isomorphism, as adjacent work carried into the space-governance setting</w:t>
      </w:r>
      <w:r>
        <w:t xml:space="preserve"> </w:t>
      </w:r>
      <w:hyperlink w:anchor="ref-1">
        <w:r>
          <w:rPr>
            <w:rStyle w:val="Hyperlink"/>
          </w:rPr>
          <w:t xml:space="preserve">[1]</w:t>
        </w:r>
      </w:hyperlink>
      <w:r>
        <w:t xml:space="preserve">[7], treats the act of copying as the unit of analysis. What the findings here suggest is that for the cost-performance question the act of copying is the wrong unit; the right unit is the elapsed time across which the copied template structures program execution. Consistent with that is the open-innovation evidence in the European space sector that even reform-minded agencies keep inherited procedural commitments</w:t>
      </w:r>
      <w:r>
        <w:t xml:space="preserve"> </w:t>
      </w:r>
      <w:hyperlink w:anchor="ref-6">
        <w:r>
          <w:rPr>
            <w:rStyle w:val="Hyperlink"/>
          </w:rPr>
          <w:t xml:space="preserve">[6]</w:t>
        </w:r>
      </w:hyperlink>
      <w:r>
        <w:t xml:space="preserve">[8], and consistent too the ambidexterity literature that has documented how hard aerospace organizational forms are to refresh once they have set</w:t>
      </w:r>
      <w:r>
        <w:t xml:space="preserve"> </w:t>
      </w:r>
      <w:hyperlink w:anchor="ref-8">
        <w:r>
          <w:rPr>
            <w:rStyle w:val="Hyperlink"/>
          </w:rPr>
          <w:t xml:space="preserve">[8]</w:t>
        </w:r>
      </w:hyperlink>
      <w:r>
        <w:t xml:space="preserve">. Consistent as well is the patronage-mediated diffusion the space traffic management outreach literature has documented at the bilateral level</w:t>
      </w:r>
      <w:r>
        <w:t xml:space="preserve"> </w:t>
      </w:r>
      <w:hyperlink w:anchor="ref-9">
        <w:r>
          <w:rPr>
            <w:rStyle w:val="Hyperlink"/>
          </w:rPr>
          <w:t xml:space="preserve">[9]</w:t>
        </w:r>
      </w:hyperlink>
      <w:r>
        <w:t xml:space="preserve">[28]. Real is mimetic isomorphism. Metered by tenure rather than by adoption, though, is its operational hazard. Picking an incumbent template at founding is a legitimate and often rational answer to founding-moment uncertainty; the later failure to renew the template is the proximate cause of the cost-performance pathology the standard story pins on copying itself. That refinement holds onto the explanatory ambition of the institutional literature while sharpening its predictive content.</w:t>
      </w:r>
    </w:p>
    <w:bookmarkEnd w:id="118"/>
    <w:bookmarkStart w:id="119" w:name="implications-for-nasa-program-management"/>
    <w:p>
      <w:pPr>
        <w:pStyle w:val="Heading2"/>
        <w:spacing w:line="480" w:lineRule="auto"/>
      </w:pPr>
      <w:r>
        <w:t xml:space="preserve">7.3 Implications for NASA Program Management</w:t>
      </w:r>
    </w:p>
    <w:p>
      <w:pPr>
        <w:pStyle w:val="FirstParagraph"/>
        <w:spacing w:line="480" w:lineRule="auto"/>
      </w:pPr>
      <w:r>
        <w:t xml:space="preserve">Along three axes the implications for NASA enterprise program management run. The cadence of acquisition-policy revision is the first. What the Paper 2 result implies is that the NASA Procedural Requirements 7120.5 series, and the equivalent program-management instruments at other agencies, ought to be handled as objects of active renewal rather than as inherited baselines drifting in place between major revisions. For more than a decade the GAO Major Project Assessment series, on which Paper 2 drew for NASA cost-growth observations</w:t>
      </w:r>
      <w:r>
        <w:t xml:space="preserve"> </w:t>
      </w:r>
      <w:hyperlink w:anchor="ref-10">
        <w:r>
          <w:rPr>
            <w:rStyle w:val="Hyperlink"/>
          </w:rPr>
          <w:t xml:space="preserve">[10]</w:t>
        </w:r>
      </w:hyperlink>
      <w:r>
        <w:t xml:space="preserve">[11][12], has documented NASA’s largest projects running recurrent cost growth and schedule slip. What the tenure finding suggests is that one mechanism feeding this pattern is the widening distance between the procedural commitments lodged in a long-tenured template and the technical and contractual realities of contemporary missions. The policy implication is not that NASA should walk away from its incumbent template, the most legible and most heavily invested program-management instrument in the global civil space sector, but that it should institutionalise template renewal on a cadence tuned to the rate of mission and contractor evolution. A revision cycle keyed to either elapsed years or a defined number of major project authorizations would turn the implicit drift into an explicit policy variable.</w:t>
      </w:r>
    </w:p>
    <w:p>
      <w:pPr>
        <w:pStyle w:val="BodyText"/>
        <w:spacing w:line="480" w:lineRule="auto"/>
        <w:ind w:firstLine="720"/>
      </w:pPr>
      <w:r>
        <w:t xml:space="preserve">The whole-of-nation framing MITRE and the Aspen Institute articulate is the second axis</w:t>
      </w:r>
      <w:r>
        <w:t xml:space="preserve"> </w:t>
      </w:r>
      <w:hyperlink w:anchor="ref-2">
        <w:r>
          <w:rPr>
            <w:rStyle w:val="Hyperlink"/>
          </w:rPr>
          <w:t xml:space="preserve">[2]</w:t>
        </w:r>
      </w:hyperlink>
      <w:r>
        <w:t xml:space="preserve">[4].</w:t>
      </w:r>
    </w:p>
    <w:p>
      <w:pPr>
        <w:pStyle w:val="BodyText"/>
        <w:spacing w:line="480" w:lineRule="auto"/>
        <w:ind w:firstLine="720"/>
      </w:pPr>
      <w:r>
        <w:t xml:space="preserve">Invoked chiefly as a strategic-architecture proposition for the United States has the framing been, yet the empirical findings here point to a parallel internal application. Should template tenure be the operative cost-performance variable, then the whole-of-nation framework can be operationalised as a portfolio-level instrument for spreading template renewal across the federal civil space enterprise. The spread of execution responsibility across NASA centers, federally funded research and development centers, and commercial partners reads as a spread of template tenures, each node carrying its own elapsed time under inherited procedural commitments. A whole-of-nation portfolio view would pick out the nodes at which tenure has run up to a level matching the Paper 2 cost-growth coefficient and would put renewal interventions at those nodes first. A more granular operationalisation of the whole-of-nation framing than the strategic-architecture literature has so far offered is this, and empirically anchored in the cross-agency cost-growth evidence it is.</w:t>
      </w:r>
    </w:p>
    <w:p>
      <w:pPr>
        <w:pStyle w:val="BodyText"/>
        <w:spacing w:line="480" w:lineRule="auto"/>
        <w:ind w:firstLine="720"/>
      </w:pPr>
      <w:r>
        <w:t xml:space="preserve">The relationship between NASA and the post-2000 cohort of national space agencies through which the patronage variable in Paper 1 was coded is the third axis.</w:t>
      </w:r>
    </w:p>
    <w:p>
      <w:pPr>
        <w:pStyle w:val="BodyText"/>
        <w:spacing w:line="480" w:lineRule="auto"/>
        <w:ind w:firstLine="720"/>
      </w:pPr>
      <w:r>
        <w:t xml:space="preserve">What the directionally positive but statistically non-significant patronage coefficient in Paper 1 implies is that NASA’s bilateral cooperation, training, and capacity-building agreements with new agencies do not, in the founding-moment cross-section, reliably turn into structural template adoption. A useful empirical correction to the assumption that patronage ties mechanically yield structural convergence is this. From the NASA program-management vantage, the implication is that international cooperation instruments ought to be judged on the substantive collaboration they yield rather than on the tacit assumption that they carry the NASA template along as a side effect. The qualitative evidence the dissertation prospectus sketches, elite interviews and document analysis among it, stays essential for settling whether the null reflects weak signal, weak power, or a genuine thinning of the patronage channel in the post-2000 cohort.</w:t>
      </w:r>
    </w:p>
    <w:p>
      <w:pPr>
        <w:pStyle w:val="BodyText"/>
        <w:spacing w:line="480" w:lineRule="auto"/>
        <w:ind w:firstLine="720"/>
      </w:pPr>
      <w:r>
        <w:t xml:space="preserve">A fourth, derivative implication turns on the interaction between template tenure and prime-contractor structure.</w:t>
      </w:r>
    </w:p>
    <w:p>
      <w:pPr>
        <w:pStyle w:val="BodyText"/>
        <w:spacing w:line="480" w:lineRule="auto"/>
        <w:ind w:firstLine="720"/>
      </w:pPr>
      <w:r>
        <w:t xml:space="preserve">Negative and non-significant was the Paper 2 coefficient on prime-contractor count, pointing weakly toward lower cost growth on projects with more primes of record. Consistent with the open-innovation literature that has made the case for distributed contractor structures as a hedge against procedural rigidity is this</w:t>
      </w:r>
      <w:r>
        <w:t xml:space="preserve"> </w:t>
      </w:r>
      <w:hyperlink w:anchor="ref-6">
        <w:r>
          <w:rPr>
            <w:rStyle w:val="Hyperlink"/>
          </w:rPr>
          <w:t xml:space="preserve">[6]</w:t>
        </w:r>
      </w:hyperlink>
      <w:r>
        <w:t xml:space="preserve">[8], and consistent with the broader observation that the New Space transition is partly a transition in industrial organization</w:t>
      </w:r>
      <w:r>
        <w:t xml:space="preserve"> </w:t>
      </w:r>
      <w:hyperlink w:anchor="ref-3">
        <w:r>
          <w:rPr>
            <w:rStyle w:val="Hyperlink"/>
          </w:rPr>
          <w:t xml:space="preserve">[3]</w:t>
        </w:r>
      </w:hyperlink>
      <w:r>
        <w:t xml:space="preserve">. NASA program management ought therefore to read the tenure finding alongside the contractor-structure finding as a paired diagnostic: long template tenure and concentrated prime-contractor structure are the project conditions under which the cost-growth pathology is likeliest to surface. Observable at project authorization, before the cost-growth realisation has landed, is the diagnostic’s practical virtue.</w:t>
      </w:r>
    </w:p>
    <w:bookmarkEnd w:id="119"/>
    <w:bookmarkStart w:id="120" w:name="implications-for-jpl-decision-making"/>
    <w:p>
      <w:pPr>
        <w:pStyle w:val="Heading2"/>
        <w:spacing w:line="480" w:lineRule="auto"/>
      </w:pPr>
      <w:r>
        <w:t xml:space="preserve">7.4 Implications for JPL Decision-Making</w:t>
      </w:r>
    </w:p>
    <w:p>
      <w:pPr>
        <w:pStyle w:val="FirstParagraph"/>
        <w:spacing w:line="480" w:lineRule="auto"/>
      </w:pPr>
      <w:r>
        <w:t xml:space="preserve">A distinctive position within the federal civil space enterprise is what the Jet Propulsion Laboratory holds. Run under contract by the California Institute of Technology as a federally funded research and development center, JPL executes a substantial slice of NASA’s flagship planetary, astrophysics, and Earth-observation portfolio, and its institutional template is thus both inherited from NASA and worked out by an independent contractor culture. Direct implications for JPL decision-making in the recompete environment the laboratory now operates in follow from the Paper 2 finding. One implication is that the cost-performance hazard JPL faces from inherited template tenure runs partially distinct from the hazard NASA faces at the enterprise level. JPL’s procedural commitments settle on top of the NASA template through the laboratory’s own program-management instruments, and the elapsed time across which a project is structured by the combined template is the operative variable in the Paper 2 specification. JPL leadership ought therefore to treat template renewal as a laboratory-level governance variable in its own right and ought not to assume that revision cycles at the agency level fully answer the tenure hazard at the laboratory level. A natural occasion for this internal renewal the recompete process creates, since the recompete deliverables carry explicit articulation of the laboratory’s program-management approach and of its commitments to the sponsor.</w:t>
      </w:r>
    </w:p>
    <w:p>
      <w:pPr>
        <w:pStyle w:val="BodyText"/>
        <w:spacing w:line="480" w:lineRule="auto"/>
        <w:ind w:firstLine="720"/>
      </w:pPr>
      <w:r>
        <w:t xml:space="preserve">A second implication turns on the laboratory’s relationship to the international cohort of new space agencies. What the null on patronage in Paper 1 implies is that JPL’s bilateral engagements, instrument partnerships, mission-of-opportunity arrangements, and joint working groups among them, ought to be judged on their substantive scientific and engineering contribution rather than on the assumption that they yield template convergence among partner agencies. A useful corrective this is, in an environment where international partnerships are sometimes justified by the tacit theory that they entrench the NASA, and by extension the JPL, template among partners. Support for that theory at the founding-moment cross-section the empirical record in Paper 1 does not give. A third implication turns on the laboratory’s positioning on cost-growth performance. Cost growth on a number of JPL-managed flagship projects has the GAO Major Project Assessment series documented</w:t>
      </w:r>
      <w:r>
        <w:t xml:space="preserve"> </w:t>
      </w:r>
      <w:hyperlink w:anchor="ref-10">
        <w:r>
          <w:rPr>
            <w:rStyle w:val="Hyperlink"/>
          </w:rPr>
          <w:t xml:space="preserve">[10]</w:t>
        </w:r>
      </w:hyperlink>
      <w:r>
        <w:t xml:space="preserve">[11][12], and the laboratory’s standing in the recompete environment is partly a function of how the sponsor reads that record. A defensible analytical frame for the cost-growth record the Paper 2 finding offers JPL: a meaningful slice of the observed cost growth goes with tenure under the inherited template rather than with laboratory-specific execution failure. An absolution this is not. A diagnostic it is. The laboratory’s response ought to be to institutionalise template renewal as a recompete-cycle deliverable and to commit to a measurable revision cadence the sponsor can audit. Such a commitment turns the tenure variable from an implicit drift into an explicit instrument of laboratory governance.</w:t>
      </w:r>
    </w:p>
    <w:p>
      <w:pPr>
        <w:pStyle w:val="BodyText"/>
        <w:spacing w:line="480" w:lineRule="auto"/>
        <w:ind w:firstLine="720"/>
      </w:pPr>
      <w:r>
        <w:t xml:space="preserve">A fourth implication turns on the laboratory’s strategic positioning relative to the legacy-to-new-space transition the Acta Astronautica literature documents</w:t>
      </w:r>
      <w:r>
        <w:t xml:space="preserve"> </w:t>
      </w:r>
      <w:hyperlink w:anchor="ref-1">
        <w:r>
          <w:rPr>
            <w:rStyle w:val="Hyperlink"/>
          </w:rPr>
          <w:t xml:space="preserve">[1]</w:t>
        </w:r>
      </w:hyperlink>
      <w:r>
        <w:t xml:space="preserve">[7]. What the Zancan and colleagues account of the transition stresses is that the operative organizational shift is not a single moment of reform but a sustained reconfiguration of governance instruments</w:t>
      </w:r>
      <w:r>
        <w:t xml:space="preserve"> </w:t>
      </w:r>
      <w:hyperlink w:anchor="ref-1">
        <w:r>
          <w:rPr>
            <w:rStyle w:val="Hyperlink"/>
          </w:rPr>
          <w:t xml:space="preserve">[1]</w:t>
        </w:r>
      </w:hyperlink>
      <w:r>
        <w:t xml:space="preserve">[7]. That account the Paper 2 finding refines by naming tenure as the variable through which the reconfiguration succeeds or fails at the project level. Well positioned to lead a federally funded research and development center variant of this reconfiguration is JPL, since its operational scale, technical depth, and contractor-managed governance structure give it more latitude to renew its template than a fully federal program office would hold. The strategic case for the laboratory in the recompete environment is therefore not chiefly a case about heritage capability, strong though that case also is, but a case about renewal cadence and the laboratory’s demonstrated capacity to manage template tenure as an explicit governance variable.</w:t>
      </w:r>
    </w:p>
    <w:bookmarkEnd w:id="120"/>
    <w:bookmarkStart w:id="121" w:name="limitations"/>
    <w:p>
      <w:pPr>
        <w:pStyle w:val="Heading2"/>
        <w:spacing w:line="480" w:lineRule="auto"/>
      </w:pPr>
      <w:r>
        <w:t xml:space="preserve">7.5 Limitations</w:t>
      </w:r>
    </w:p>
    <w:p>
      <w:pPr>
        <w:pStyle w:val="FirstParagraph"/>
        <w:spacing w:line="480" w:lineRule="auto"/>
      </w:pPr>
      <w:r>
        <w:t xml:space="preserve">A set of design choices, whose limitations must be stated plainly, is what the findings rest on. Four are most consequential. Statistical power heads them. Thirty observations and a binary outcome Paper 1 had. At effect sizes of the magnitude observed for the patronage coefficient, the Wald test will routinely fail to reject the null even where a real effect is present. Consistent with a real but modest signal the design cannot resolve are the pseudo-R-squared near eleven percent and the directionally positive patronage estimate. So the null result in Paper 1 reads as evidence of weak power, not as evidence of independence. Thirty-six observations and a continuous outcome Paper 2 had; the model cleared the joint-significance threshold and the central tenure coefficient cleared the one-percent threshold, so power sufficed for the headline finding, while the controls on patronage strength and prime-contractor structure came out estimated less precisely than would be desirable. The binary outcome in Paper 1 is the second limitation. A multidimensional structural feature vector the template adoption indicator collapses into a single zero or one. Partial adoption can happen, adoption can vary across program-office, acquisition-pathway, and governance-instrument features, and adoption can evolve after founding. Appropriate for a first empirical test is the binary outcome, though future work should break it into separable features modelled as a panel of outcomes within each agency.</w:t>
      </w:r>
    </w:p>
    <w:p>
      <w:pPr>
        <w:pStyle w:val="BodyText"/>
        <w:spacing w:line="480" w:lineRule="auto"/>
        <w:ind w:firstLine="720"/>
      </w:pPr>
      <w:r>
        <w:t xml:space="preserve">The cross-sectional structure of Paper 2 is the third. Cross-project variation in template tenure given fixed patronage-tie and contractor structure is what identification in the OLS specification rests on. Unobserved project-complexity factors that move with both template tenure and cost growth the cross-section cannot rule out. A more demanding identification strategy would work within-agency variation in tenure across consecutive revision cycles, which would take a panel with at least two cost-growth observations per agency under different tenure conditions. Support that specification the current sample does not, though a future extension could build it. The documentary character of the data is the fourth. On public charters, organic statutes, GAO assessments, agency press kits, parliamentary releases, and the UNOOSA bilateral agreement registry</w:t>
      </w:r>
      <w:r>
        <w:t xml:space="preserve"> </w:t>
      </w:r>
      <w:hyperlink w:anchor="ref-5">
        <w:r>
          <w:rPr>
            <w:rStyle w:val="Hyperlink"/>
          </w:rPr>
          <w:t xml:space="preserve">[5]</w:t>
        </w:r>
      </w:hyperlink>
      <w:r>
        <w:t xml:space="preserve"> </w:t>
      </w:r>
      <w:r>
        <w:t xml:space="preserve">both papers lean principally. Misclassify agencies whose published instruments do not mirror actual practice documentary sources may, biasing the structural feature vector in Paper 1 and the template tenure variable in Paper 2. Elite interviews the dissertation prospectus named as the qualitative triangulation source for this risk, and the qualitative component stays to be completed. So the findings reported here read as the quantitative half of a mixed-methods design whose qualitative half is in progress.</w:t>
      </w:r>
    </w:p>
    <w:p>
      <w:pPr>
        <w:pStyle w:val="BodyText"/>
        <w:spacing w:line="480" w:lineRule="auto"/>
        <w:ind w:firstLine="720"/>
      </w:pPr>
      <w:r>
        <w:t xml:space="preserve">A fifth, smaller limitation turns on the scope of the comparator template. Both papers treat the incumbent template as anchored by NASA, the European Space Agency, the Japan Aerospace Exploration Agency, and Roscosmos, with the U.S. comparator structure operationalised through the whole-of-nation framework</w:t>
      </w:r>
      <w:r>
        <w:t xml:space="preserve"> </w:t>
      </w:r>
      <w:hyperlink w:anchor="ref-2">
        <w:r>
          <w:rPr>
            <w:rStyle w:val="Hyperlink"/>
          </w:rPr>
          <w:t xml:space="preserve">[2]</w:t>
        </w:r>
      </w:hyperlink>
      <w:r>
        <w:t xml:space="preserve">[4]. Present in the sample but not the principal anchors are the Chinese National Space Administration and the Indian Space Research Organisation. A future extension could raise either or both to anchor status and re-estimate the models with the revised template specification. An open empirical question is the robustness of the tenure finding to such respecification.</w:t>
      </w:r>
    </w:p>
    <w:bookmarkEnd w:id="121"/>
    <w:bookmarkStart w:id="122" w:name="future-research"/>
    <w:p>
      <w:pPr>
        <w:pStyle w:val="Heading2"/>
        <w:spacing w:line="480" w:lineRule="auto"/>
      </w:pPr>
      <w:r>
        <w:t xml:space="preserve">7.6 Future Research</w:t>
      </w:r>
    </w:p>
    <w:p>
      <w:pPr>
        <w:pStyle w:val="FirstParagraph"/>
        <w:spacing w:line="480" w:lineRule="auto"/>
      </w:pPr>
      <w:r>
        <w:t xml:space="preserve">Four headings organize the future-research agenda the findings imply. Each answers a limitation the previous section named and offers an extension the current design cannot carry. Decomposition of the template into separable features is the first. Future work should build a panel in which each agency contributes one observation per program-office feature, per acquisition-pathway feature, and per governance-instrument feature, with the patronage variable gauged at the founding moment for each feature separately. A multilevel specification with random intercepts at the agency level and slopes at the feature level would the expanded sample permit, which would pick out the sub-template through which patronage works if it works at all. A starting point for the feature decomposition the Zancan and colleagues coding scheme for the legacy-to-new-space transition provides</w:t>
      </w:r>
      <w:r>
        <w:t xml:space="preserve"> </w:t>
      </w:r>
      <w:hyperlink w:anchor="ref-1">
        <w:r>
          <w:rPr>
            <w:rStyle w:val="Hyperlink"/>
          </w:rPr>
          <w:t xml:space="preserve">[1]</w:t>
        </w:r>
      </w:hyperlink>
      <w:r>
        <w:t xml:space="preserve">[7], and a parallel scheme for organizational form the Joseph and Wood ambidexterity work provides</w:t>
      </w:r>
      <w:r>
        <w:t xml:space="preserve"> </w:t>
      </w:r>
      <w:hyperlink w:anchor="ref-8">
        <w:r>
          <w:rPr>
            <w:rStyle w:val="Hyperlink"/>
          </w:rPr>
          <w:t xml:space="preserve">[8]</w:t>
        </w:r>
      </w:hyperlink>
      <w:r>
        <w:t xml:space="preserve">. Panel structure for the cost-growth analysis is the second. Future work should build a panel in which each agency contributes at least two cost-growth observations under different tenure conditions, split by a documented template revision. A stronger identification strategy for the tenure effect the within-agency variation would provide, and fixed effects for agency and project type the panel could carry. A partial backbone for this panel on the NASA side the GAO Major Project Assessment series provides</w:t>
      </w:r>
      <w:r>
        <w:t xml:space="preserve"> </w:t>
      </w:r>
      <w:hyperlink w:anchor="ref-10">
        <w:r>
          <w:rPr>
            <w:rStyle w:val="Hyperlink"/>
          </w:rPr>
          <w:t xml:space="preserve">[10]</w:t>
        </w:r>
      </w:hyperlink>
      <w:r>
        <w:t xml:space="preserve">[11][12], and the equivalent ESA, ISRO, JAXA, KARI, AEB, and UAESA documentation would have to be assembled for the cross-agency dimension. A graded measure of patronage-tie strength, standing in for the binary indicator in Paper 1 and the binary tie indicator in Paper 2, should be built in parallel.</w:t>
      </w:r>
    </w:p>
    <w:p>
      <w:pPr>
        <w:pStyle w:val="BodyText"/>
        <w:spacing w:line="480" w:lineRule="auto"/>
        <w:ind w:firstLine="720"/>
      </w:pPr>
      <w:r>
        <w:t xml:space="preserve">Qualitative triangulation is the third. Structured document analysis of founding charters and a small set of elite interviews with agency founders, first deputies, and program-office leaders is what the mixed-methods design the prospectus articulates requires. The qualitative component should code for explicit references to incumbent templates as design referents, for the institutional mechanisms through which template tenure settles, and for the political-economic conditions under which template renewal turns feasible. Templates for this coding adjacent qualitative work in the open-innovation</w:t>
      </w:r>
      <w:r>
        <w:t xml:space="preserve"> </w:t>
      </w:r>
      <w:hyperlink w:anchor="ref-6">
        <w:r>
          <w:rPr>
            <w:rStyle w:val="Hyperlink"/>
          </w:rPr>
          <w:t xml:space="preserve">[6]</w:t>
        </w:r>
      </w:hyperlink>
      <w:r>
        <w:t xml:space="preserve"> </w:t>
      </w:r>
      <w:r>
        <w:t xml:space="preserve">and policy-transfer literatures provides. Essential for settling whether the null on patronage in Paper 1 reflects weak signal, weak power, or genuine thinning, and for understanding the mechanism through which the tenure effect in Paper 2 works, is the qualitative component. The connection between the dissertation findings and the broader portfolio of space-governance research is the fourth. The Earth-observation disruption literature</w:t>
      </w:r>
      <w:r>
        <w:t xml:space="preserve"> </w:t>
      </w:r>
      <w:hyperlink w:anchor="ref-3">
        <w:r>
          <w:rPr>
            <w:rStyle w:val="Hyperlink"/>
          </w:rPr>
          <w:t xml:space="preserve">[3]</w:t>
        </w:r>
      </w:hyperlink>
      <w:r>
        <w:t xml:space="preserve">, the space-traffic-management outreach literature</w:t>
      </w:r>
      <w:r>
        <w:t xml:space="preserve"> </w:t>
      </w:r>
      <w:hyperlink w:anchor="ref-9">
        <w:r>
          <w:rPr>
            <w:rStyle w:val="Hyperlink"/>
          </w:rPr>
          <w:t xml:space="preserve">[9]</w:t>
        </w:r>
      </w:hyperlink>
      <w:r>
        <w:t xml:space="preserve">[28], the Polish space-law evolution literature</w:t>
      </w:r>
      <w:r>
        <w:t xml:space="preserve"> </w:t>
      </w:r>
      <w:hyperlink w:anchor="ref-16">
        <w:r>
          <w:rPr>
            <w:rStyle w:val="Hyperlink"/>
          </w:rPr>
          <w:t xml:space="preserve">[16]</w:t>
        </w:r>
      </w:hyperlink>
      <w:r>
        <w:t xml:space="preserve">, the SSA legacy-modernization literature</w:t>
      </w:r>
      <w:r>
        <w:t xml:space="preserve"> </w:t>
      </w:r>
      <w:hyperlink w:anchor="ref-18">
        <w:r>
          <w:rPr>
            <w:rStyle w:val="Hyperlink"/>
          </w:rPr>
          <w:t xml:space="preserve">[18]</w:t>
        </w:r>
      </w:hyperlink>
      <w:r>
        <w:t xml:space="preserve">[19], the Montreal Protocol lessons-learned literature</w:t>
      </w:r>
      <w:r>
        <w:t xml:space="preserve"> </w:t>
      </w:r>
      <w:hyperlink w:anchor="ref-17">
        <w:r>
          <w:rPr>
            <w:rStyle w:val="Hyperlink"/>
          </w:rPr>
          <w:t xml:space="preserve">[17]</w:t>
        </w:r>
      </w:hyperlink>
      <w:r>
        <w:t xml:space="preserve">, the orbital debris reference-scenarios literature</w:t>
      </w:r>
      <w:r>
        <w:t xml:space="preserve"> </w:t>
      </w:r>
      <w:hyperlink w:anchor="ref-13">
        <w:r>
          <w:rPr>
            <w:rStyle w:val="Hyperlink"/>
          </w:rPr>
          <w:t xml:space="preserve">[13]</w:t>
        </w:r>
      </w:hyperlink>
      <w:r>
        <w:t xml:space="preserve">[15], and the space-weapons international perspectives literature</w:t>
      </w:r>
      <w:r>
        <w:t xml:space="preserve"> </w:t>
      </w:r>
      <w:hyperlink w:anchor="ref-14">
        <w:r>
          <w:rPr>
            <w:rStyle w:val="Hyperlink"/>
          </w:rPr>
          <w:t xml:space="preserve">[14]</w:t>
        </w:r>
      </w:hyperlink>
      <w:r>
        <w:t xml:space="preserve"> </w:t>
      </w:r>
      <w:r>
        <w:t xml:space="preserve">all touch on the operative question of how new agencies inherit, adapt, and renew institutional templates. A future synthesis paper should map the dissertation findings onto this broader landscape and pick out the points at which the tenure-as-operative-variable refinement of the institutional isomorphism story bears on adjacent governance problems. Particularly relevant is the Earth-observation product-service strategies literature</w:t>
      </w:r>
      <w:r>
        <w:t xml:space="preserve"> </w:t>
      </w:r>
      <w:hyperlink w:anchor="ref-21">
        <w:r>
          <w:rPr>
            <w:rStyle w:val="Hyperlink"/>
          </w:rPr>
          <w:t xml:space="preserve">[21]</w:t>
        </w:r>
      </w:hyperlink>
      <w:r>
        <w:t xml:space="preserve">, since it documents the micro-foundational mechanisms through which inherited templates structure execution at the project level.</w:t>
      </w:r>
    </w:p>
    <w:bookmarkEnd w:id="122"/>
    <w:bookmarkStart w:id="123" w:name="contribution"/>
    <w:p>
      <w:pPr>
        <w:pStyle w:val="Heading2"/>
        <w:spacing w:line="480" w:lineRule="auto"/>
      </w:pPr>
      <w:r>
        <w:t xml:space="preserve">7.7 Contribution</w:t>
      </w:r>
    </w:p>
    <w:p>
      <w:pPr>
        <w:pStyle w:val="FirstParagraph"/>
        <w:spacing w:line="480" w:lineRule="auto"/>
      </w:pPr>
      <w:r>
        <w:t xml:space="preserve">To the institutional isomorphism literature on the post-2000 expansion of national space agencies the dissertation contributes a single refinement, empirically anchored and theoretically consequential. That refinement is that the operative variable in the cost-performance pathology tied to template copying is not the act of copying itself but the elapsed time under the copied template. The explanatory ambition of the DiMaggio and Powell typology as adjacent work carried into the space-governance setting it holds onto</w:t>
      </w:r>
      <w:r>
        <w:t xml:space="preserve"> </w:t>
      </w:r>
      <w:hyperlink w:anchor="ref-1">
        <w:r>
          <w:rPr>
            <w:rStyle w:val="Hyperlink"/>
          </w:rPr>
          <w:t xml:space="preserve">[1]</w:t>
        </w:r>
      </w:hyperlink>
      <w:r>
        <w:t xml:space="preserve">[7] while sharpening its predictive content. Template renewal cadence it names as the governance variable through which NASA enterprise program management and JPL laboratory-level decision-making can turn an implicit drift into an explicit policy instrument. The whole-of-nation framing it situates</w:t>
      </w:r>
      <w:r>
        <w:t xml:space="preserve"> </w:t>
      </w:r>
      <w:hyperlink w:anchor="ref-2">
        <w:r>
          <w:rPr>
            <w:rStyle w:val="Hyperlink"/>
          </w:rPr>
          <w:t xml:space="preserve">[2]</w:t>
        </w:r>
      </w:hyperlink>
      <w:r>
        <w:t xml:space="preserve">[4] as a portfolio-level operationalisation of template-renewal spread across the federal civil space enterprise. And a limited and falsifiable claim, recoverable from public documentary sources, that future panel and qualitative work can test and extend, it states. So the dissertation answers its founding question, which asked whether new space organizations copy, with a more precise answer than the literature had so far supplied: they often do, but the cost-performance question turns on what they do next.</w:t>
      </w:r>
    </w:p>
    <w:bookmarkEnd w:id="123"/>
    <w:bookmarkEnd w:id="124"/>
    <w:bookmarkStart w:id="175" w:name="chapter-8.-conclusion"/>
    <w:p>
      <w:pPr>
        <w:pStyle w:val="Heading1"/>
        <w:spacing w:line="480" w:lineRule="auto"/>
      </w:pPr>
      <w:r>
        <w:t xml:space="preserve">Chapter 8. Conclusion</w:t>
      </w:r>
    </w:p>
    <w:bookmarkStart w:id="125" w:name="restatement-of-the-inquiry"/>
    <w:p>
      <w:pPr>
        <w:pStyle w:val="Heading2"/>
        <w:spacing w:line="480" w:lineRule="auto"/>
      </w:pPr>
      <w:r>
        <w:t xml:space="preserve">8.1 Restatement of the Inquiry</w:t>
      </w:r>
    </w:p>
    <w:p>
      <w:pPr>
        <w:pStyle w:val="FirstParagraph"/>
        <w:spacing w:line="480" w:lineRule="auto"/>
      </w:pPr>
      <w:r>
        <w:t xml:space="preserve">Whether the post-2000 cohort of national space agencies has closed on a small set of incumbent organizational templates anchored by NASA, the European Space Agency, the Japan Aerospace Exploration Agency, the China National Space Administration, the Indian Space Research Organisation, and Roscosmos, and, if so, whether such convergence carries downstream consequences for the execution of cross-agency mission programs, is what this dissertation set out to determine. As a direct test of institutional isomorphism in the DiMaggio and Powell tradition the prospectus framed the question, with the falsifiable contribution cast as a measurable rate of structural copying tested against a null of independent design and against the qualitative ecosystem account of the Legacy-to-New-Space transition Zancan and colleagues advance [1, 7]. Motivating the work was the observation that the post-2000 founding wave is the largest organizational expansion in the history of the sector and that its template choices will decide whether the global execution capacity of the enterprise inherits or escapes the cost-performance pathologies the United States Government Accountability Office assessments of major NASA projects catalogue for incumbents [10, 11, 12]. The comparator template found its anchor in the whole-of-nation framing of the MITRE and Aspen Institute paper [2, 4], which named the program-office, acquisition-pathway, and governance-instrument features that make up the incumbent form.</w:t>
      </w:r>
    </w:p>
    <w:p>
      <w:pPr>
        <w:pStyle w:val="BodyText"/>
        <w:spacing w:line="480" w:lineRule="auto"/>
        <w:ind w:firstLine="720"/>
      </w:pPr>
      <w:r>
        <w:t xml:space="preserve">From complementary angles the two empirical papers reported in Chapters 6 and 7 attacked the question.</w:t>
      </w:r>
    </w:p>
    <w:p>
      <w:pPr>
        <w:pStyle w:val="BodyText"/>
        <w:spacing w:line="480" w:lineRule="auto"/>
        <w:ind w:firstLine="720"/>
      </w:pPr>
      <w:r>
        <w:t xml:space="preserve">The first tested whether documented patronage ties to incumbent agencies raise the probability that a post-2000 national space agency takes on the incumbent program-office template, conditional on cohort timing, regional development, and prior national space activity. The second sharpened the standard isomorphism prediction into a mimetic-drag conjecture, asking whether years of tenure under an inherited template forecast cost growth on cross-agency space projects, net of patronage-tie strength and prime-contractor structure. As a coordinated test the two analyses are meant. Whether copying happens at the founding moment the first examines; whether the persistence of the copied form carries measurable execution consequences in the years that follow the second examines.</w:t>
      </w:r>
    </w:p>
    <w:bookmarkEnd w:id="125"/>
    <w:bookmarkStart w:id="126" w:name="synthesis-of-the-argument"/>
    <w:p>
      <w:pPr>
        <w:pStyle w:val="Heading2"/>
        <w:spacing w:line="480" w:lineRule="auto"/>
      </w:pPr>
      <w:r>
        <w:t xml:space="preserve">8.2 Synthesis of the Argument</w:t>
      </w:r>
    </w:p>
    <w:p>
      <w:pPr>
        <w:pStyle w:val="FirstParagraph"/>
        <w:spacing w:line="480" w:lineRule="auto"/>
      </w:pPr>
      <w:r>
        <w:t xml:space="preserve">Sharper than either result on its own is the synthesis the two papers yield.</w:t>
      </w:r>
    </w:p>
    <w:p>
      <w:pPr>
        <w:pStyle w:val="BodyText"/>
        <w:spacing w:line="480" w:lineRule="auto"/>
        <w:ind w:firstLine="720"/>
      </w:pPr>
      <w:r>
        <w:t xml:space="preserve">The first paper, run on thirty observations of post-2000 national space agencies, returned a positive but statistically inconclusive estimate of the patronage-tie effect on template adoption. Largest in magnitude among the slope parameters, and pointing in the direction H1 predicted, was the patronage coefficient, while the Wald p-value of roughly 0.45 fell well short of conventional thresholds and the McFadden pseudo-R-squared sat near eleven percent. The most defensible reading is that the data square with a moderate mimetic effect the design lacks power to resolve, given a universe of post-2000 agencies small by construction and a binary outcome that compresses real heterogeneity in template adoption. The second paper, on thirty-six cross-agency space projects authorized between 2010 and 2023 across eight national or supranational agencies, returned a much cleaner finding. Years of tenure under the agency’s current acquisition template at project authorization carried a coefficient of 3.68 percentage points of cost growth per year at a p-value of 0.002, and the model reached an R-squared of 0.59 with a joint F-statistic of 3.38 at p equal to 0.030. Non-significant once template tenure entered the specification was the binary patronage-tie indicator. Consistent with the mimetic-drag hypothesis that copying a template is not, by itself, the principal cost-performance hazard for new agencies is the result; the hazard is the pile-up of procedural commitments that rides with long tenure under a copied form.</w:t>
      </w:r>
    </w:p>
    <w:p>
      <w:pPr>
        <w:pStyle w:val="BodyText"/>
        <w:spacing w:line="480" w:lineRule="auto"/>
        <w:ind w:firstLine="720"/>
      </w:pPr>
      <w:r>
        <w:t xml:space="preserve">Read together, the two findings give the dissertation’s argument this shape. Suggestive but inconclusive evidence exists that post-2000 national space agencies take on incumbent templates at rates above an independent-design baseline, with patronage as a plausible but unproven channel. Much stronger evidence exists that the duration of attachment to an inherited template forecasts cost-growth pathologies on the cross-agency projects through which the global enterprise actually executes its missions. The combined account makes no claim that copying is the dominant fact of the post-2000 founding wave. Its claim is that, conditional on copying having happened, the longer an agency stays under the copied form, the more closely its project-level cost behavior tracks that of the incumbents the GAO assessment series documents [10, 11, 12]. A more demanding empirical claim than the standard institutional story is this, and a more useful one for policy, since it names template renewal cadence rather than initial template choice as the operative lever.</w:t>
      </w:r>
    </w:p>
    <w:p>
      <w:pPr>
        <w:pStyle w:val="BodyText"/>
        <w:spacing w:line="480" w:lineRule="auto"/>
        <w:ind w:firstLine="720"/>
      </w:pPr>
      <w:r>
        <w:t xml:space="preserve">The mechanism behind this result lines up with several strands of the contemporary literature. A transition in which national agencies inherit much of the incumbent procedural commitment even where they describe themselves as reformed is what the Legacy-to-New-Space governance evidence Zancan and colleagues assemble describes [1, 7]. That the micro-foundations of agency behavior are shaped by accreted commitments at the team and contract level, not merely by formal charter language, the product-service strategy work in Earth observation by Zancan and colleagues suggests further</w:t>
      </w:r>
      <w:r>
        <w:t xml:space="preserve"> </w:t>
      </w:r>
      <w:hyperlink w:anchor="ref-21">
        <w:r>
          <w:rPr>
            <w:rStyle w:val="Hyperlink"/>
          </w:rPr>
          <w:t xml:space="preserve">[21]</w:t>
        </w:r>
      </w:hyperlink>
      <w:r>
        <w:t xml:space="preserve">. That even reform-minded agencies keep inherited procedural commitments tied to their historical patronage networks the open-innovation studies in the European space sector show</w:t>
      </w:r>
      <w:r>
        <w:t xml:space="preserve"> </w:t>
      </w:r>
      <w:hyperlink w:anchor="ref-6">
        <w:r>
          <w:rPr>
            <w:rStyle w:val="Hyperlink"/>
          </w:rPr>
          <w:t xml:space="preserve">[6]</w:t>
        </w:r>
      </w:hyperlink>
      <w:r>
        <w:t xml:space="preserve">, and how aerospace organizations struggle to hold onto exploratory capacity once an exploitative template has settled in the ambidexterity work of Joseph and Wood documents</w:t>
      </w:r>
      <w:r>
        <w:t xml:space="preserve"> </w:t>
      </w:r>
      <w:hyperlink w:anchor="ref-8">
        <w:r>
          <w:rPr>
            <w:rStyle w:val="Hyperlink"/>
          </w:rPr>
          <w:t xml:space="preserve">[8]</w:t>
        </w:r>
      </w:hyperlink>
      <w:r>
        <w:t xml:space="preserve">. That template diffusion runs through sustained bilateral ties between incumbents and newer national agencies the space traffic management outreach evidence of Sanchez-Ortiz and colleagues shows [9, 28], which squares with the patronage-as-upstream reading of the null on the binary patronage indicator in the second paper. That industrial structure in the segment is shaped by convergence pressures the standard isomorphism account does not fully catch the Earth-observation disruption scenarios of Denis and colleagues reinforce</w:t>
      </w:r>
      <w:r>
        <w:t xml:space="preserve"> </w:t>
      </w:r>
      <w:hyperlink w:anchor="ref-3">
        <w:r>
          <w:rPr>
            <w:rStyle w:val="Hyperlink"/>
          </w:rPr>
          <w:t xml:space="preserve">[3]</w:t>
        </w:r>
      </w:hyperlink>
      <w:r>
        <w:t xml:space="preserve">. Together these references back the conclusion that template tenure, rather than the act of copying, is the relevant unit of analysis for cost-performance outcomes.</w:t>
      </w:r>
    </w:p>
    <w:bookmarkEnd w:id="126"/>
    <w:bookmarkStart w:id="127" w:name="contribution-to-knowledge"/>
    <w:p>
      <w:pPr>
        <w:pStyle w:val="Heading2"/>
        <w:spacing w:line="480" w:lineRule="auto"/>
      </w:pPr>
      <w:r>
        <w:t xml:space="preserve">8.3 Contribution to Knowledge</w:t>
      </w:r>
    </w:p>
    <w:p>
      <w:pPr>
        <w:pStyle w:val="FirstParagraph"/>
        <w:spacing w:line="480" w:lineRule="auto"/>
      </w:pPr>
      <w:r>
        <w:t xml:space="preserve">Four contributions follow, to the literature on space agency governance and to the broader literature on institutional isomorphism.</w:t>
      </w:r>
    </w:p>
    <w:p>
      <w:pPr>
        <w:pStyle w:val="BodyText"/>
        <w:spacing w:line="480" w:lineRule="auto"/>
        <w:ind w:firstLine="720"/>
      </w:pPr>
      <w:r>
        <w:t xml:space="preserve">The first is a direct, falsifiable test of isomorphism in the post-2000 cohort of national space agencies using observable structural features rather than rhetoric. Many qualitative claims of cross-national template diffusion the institutional literature has produced, and the Legacy-to-New-Space transition at the ecosystem level the space-governance literature has documented [1, 7], yet a direct quantitative test of whether new entrants close on incumbent templates at rates exceeding an independent-design baseline the prior literature has not staged. That test Chapter 6 conducted. Falsify the copying claim the null result on the patronage coefficient does not, but discipline the field it does, by establishing that the obvious binary test of mimetic isomorphism, on the obvious binary outcome, with the obvious patronage moderator, yields no decisive evidence at conventional significance thresholds in the universe of post-2000 agencies as currently observable. A productive null this is, since it names the design changes future work will have to make to resolve the question, finer-grained outcome measures that break the template into separable features and graded measures of patronage that catch the depth of incumbent engagement among them.</w:t>
      </w:r>
    </w:p>
    <w:p>
      <w:pPr>
        <w:pStyle w:val="BodyText"/>
        <w:spacing w:line="480" w:lineRule="auto"/>
        <w:ind w:firstLine="720"/>
      </w:pPr>
      <w:r>
        <w:t xml:space="preserve">The second is the mimetic-drag conjecture and its empirical support. That the act of copying is the relevant unit of analysis for downstream consequences is what the standard isomorphism story implies. That story Chapter 7 sharpened, arguing that the tenure of the copied form, not its initial adoption, drives the cost-performance pathology, and reporting a coefficient of 3.68 percentage points of cost growth per year of template tenure significant at the one-percent level. A refinement of theory and a quantitative parameter estimate future work can try to replicate, refute, or contextualize is this. Hold the contribution does whether or not Chapter 6’s null on the binary patronage indicator survives a better-powered design, since the conditional association between tenure and cost growth in Chapter 7 leans on no part of the patronage estimate. The third is methodological. The value of staging coordinated tests of an institutional argument at two levels of analysis is what the two papers together demonstrate. The prevalence of copying the agency-level test of Chapter 6 establishes. The consequences of persistence under the copied form the project-level test of Chapter 7 establishes. The headline interpretation neither test alone would have produced. In both directions the combination disciplines the inference. Dismissed as an artifact of misclassified template adoption the project-level result cannot be, since the agency-level test uses a documentary coding rooted in the same charters; and dismissed as a failure of the isomorphism story the agency-level null cannot be, since the project-level test confirms the consequential prediction the story makes. A similar coordinated design future work on institutional isomorphism in other sectors would benefit from.</w:t>
      </w:r>
    </w:p>
    <w:p>
      <w:pPr>
        <w:pStyle w:val="BodyText"/>
        <w:spacing w:line="480" w:lineRule="auto"/>
        <w:ind w:firstLine="720"/>
      </w:pPr>
      <w:r>
        <w:t xml:space="preserve">The fourth is to policy. Template renewal cadence the dissertation names as the operative lever for new and reforming space agencies. The implication is that an agency cannot inoculate itself against the cost-performance pathologies of the incumbents merely by founding under a reform-minded charter. Commit to a renewal cycle that retires procedural commitments before they settle to the point at which the cost-growth elasticity Chapter 7 documents dominates it must. Consistent with the whole-of-nation framing in the MITRE and Aspen Institute paper is this implication [2, 4], which handles governance instruments as objects of active management rather than as one-time settlements, and consistent with the cooperative framing of the UNOOSA bilateral agreement record</w:t>
      </w:r>
      <w:r>
        <w:t xml:space="preserve"> </w:t>
      </w:r>
      <w:hyperlink w:anchor="ref-5">
        <w:r>
          <w:rPr>
            <w:rStyle w:val="Hyperlink"/>
          </w:rPr>
          <w:t xml:space="preserve">[5]</w:t>
        </w:r>
      </w:hyperlink>
      <w:r>
        <w:t xml:space="preserve">. Directly to the practical concerns of agencies founded since 2000, whose policy planners are right now choosing how often to revisit their acquisition templates, it speaks.</w:t>
      </w:r>
    </w:p>
    <w:bookmarkEnd w:id="127"/>
    <w:bookmarkStart w:id="128" w:name="Xe531a3f3809c28be51159d5fc9488c2d6e2cc17"/>
    <w:p>
      <w:pPr>
        <w:pStyle w:val="Heading2"/>
        <w:spacing w:line="480" w:lineRule="auto"/>
      </w:pPr>
      <w:r>
        <w:t xml:space="preserve">8.4 Limitations and an Agenda for Future Work</w:t>
      </w:r>
    </w:p>
    <w:p>
      <w:pPr>
        <w:pStyle w:val="FirstParagraph"/>
        <w:spacing w:line="480" w:lineRule="auto"/>
      </w:pPr>
      <w:r>
        <w:t xml:space="preserve">Three limitations bound the dissertation, and each future work should address. Small is the universe of post-2000 national space agencies, and heterogeneity a graded outcome could resolve the binary template-adoption outcome in Chapter 6 compresses; future work should break the template into separable features, program-office structure, acquisition pathway, and governance instrument, and estimate adoption rates at the feature level rather than the agency level. Unobserved project-complexity factors that move with both template tenure and cost growth the cross-section in Chapter 7 cannot rule out; a panel with within-agency variation across renewal cycles would identify the tenure coefficient more cleanly. And the qualitative document-analysis component the prospectus sketches the dissertation has not exploited; a structured coding of founding charters for explicit references to incumbent templates as design referents, joined with elite interviews of agency founders, would triangulate the quantitative findings and settle between the weak-signal and weak-power readings of the Chapter 6 null. Open and necessary the qualitative side of the mixed design remains.</w:t>
      </w:r>
    </w:p>
    <w:p>
      <w:pPr>
        <w:pStyle w:val="BodyText"/>
        <w:spacing w:line="480" w:lineRule="auto"/>
        <w:ind w:firstLine="720"/>
      </w:pPr>
      <w:r>
        <w:t xml:space="preserve">Past these three limitations, three further research questions follow. The first turns on the boundary of the mimetic-drag finding. On cross-agency projects of the kind the GAO assessment series documents was the Chapter 7 result estimated [10, 11, 12]; whether the same elasticity holds on single-agency projects, or on commercial-led projects of the kind the Earth-observation literature discusses</w:t>
      </w:r>
      <w:r>
        <w:t xml:space="preserve"> </w:t>
      </w:r>
      <w:hyperlink w:anchor="ref-3">
        <w:r>
          <w:rPr>
            <w:rStyle w:val="Hyperlink"/>
          </w:rPr>
          <w:t xml:space="preserve">[3]</w:t>
        </w:r>
      </w:hyperlink>
      <w:r>
        <w:t xml:space="preserve">, is unknown. The second turns on the interaction between template tenure and ambidexterity, in the sense of Joseph and Wood</w:t>
      </w:r>
      <w:r>
        <w:t xml:space="preserve"> </w:t>
      </w:r>
      <w:hyperlink w:anchor="ref-8">
        <w:r>
          <w:rPr>
            <w:rStyle w:val="Hyperlink"/>
          </w:rPr>
          <w:t xml:space="preserve">[8]</w:t>
        </w:r>
      </w:hyperlink>
      <w:r>
        <w:t xml:space="preserve">: agencies that hold onto exploratory capacity alongside the inherited template may soften the tenure elasticity, and that interaction the same data structure can test. The third turns on the role of regional bodies and supranational instruments in the diffusion of templates, which the present design handles only through the binary patronage variable. Merits a dedicated study, in light of the open-innovation evidence of van Burg and colleagues</w:t>
      </w:r>
      <w:r>
        <w:t xml:space="preserve"> </w:t>
      </w:r>
      <w:hyperlink w:anchor="ref-6">
        <w:r>
          <w:rPr>
            <w:rStyle w:val="Hyperlink"/>
          </w:rPr>
          <w:t xml:space="preserve">[6]</w:t>
        </w:r>
      </w:hyperlink>
      <w:r>
        <w:t xml:space="preserve">, the European case alone.</w:t>
      </w:r>
    </w:p>
    <w:bookmarkEnd w:id="128"/>
    <w:bookmarkStart w:id="129" w:name="closing-statement"/>
    <w:p>
      <w:pPr>
        <w:pStyle w:val="Heading2"/>
        <w:spacing w:line="480" w:lineRule="auto"/>
      </w:pPr>
      <w:r>
        <w:t xml:space="preserve">8.5 Closing Statement</w:t>
      </w:r>
    </w:p>
    <w:p>
      <w:pPr>
        <w:pStyle w:val="FirstParagraph"/>
        <w:spacing w:line="480" w:lineRule="auto"/>
      </w:pPr>
      <w:r>
        <w:t xml:space="preserve">For decades to come, the execution capacity of the global space enterprise the post-2000 expansion of national space agencies will decide. That new entrants copy incumbent templates and that the copying is consequential is what the standard institutional story holds. That story the evidence in this dissertation refines in two respects. Harder to detect at the agency level, in the binary form most easily tested, than the qualitative literature has implied is the copying. Robustly associated with the cost-performance pathologies that have marked the incumbents in the documented record, however, is the persistence of the copied form. The practical implication is that new agencies should treat the template they adopt as a depreciating asset rather than a permanent settlement, and should commit to renewal cycles that retire procedural commitments before those commitments dominate project-level outcomes. The theoretical implication is that institutional isomorphism, in its most consequential form, is not a moment but a duration. The dissertation closes by recommending that future empirical work in this literature reorient itself accordingly, treating the tenure of inherited forms as the central object of inquiry and the cadence of their renewal as the central object of governance.</w:t>
      </w:r>
    </w:p>
    <w:bookmarkEnd w:id="129"/>
    <w:bookmarkStart w:id="174" w:name="references"/>
    <w:p>
      <w:pPr>
        <w:pStyle w:val="Heading2"/>
        <w:spacing w:line="480" w:lineRule="auto"/>
      </w:pPr>
      <w:r>
        <w:t xml:space="preserve">References</w:t>
      </w:r>
    </w:p>
    <w:p>
      <w:pPr>
        <w:pStyle w:val="FirstParagraph"/>
        <w:spacing w:line="480" w:lineRule="auto"/>
      </w:pPr>
      <w:bookmarkStart w:id="130" w:name="ref-1"/>
      <w:bookmarkEnd w:id="130"/>
      <w:r>
        <w:t xml:space="preserve">1. V. Zancan, A. Paravano, G. Locatelli, and P. Trucco,</w:t>
      </w:r>
      <w:r>
        <w:t xml:space="preserve"> </w:t>
      </w:r>
      <w:r>
        <w:t xml:space="preserve">“Evolving governance in the space sector: From Legacy Space to New Space models,”</w:t>
      </w:r>
      <w:r>
        <w:t xml:space="preserve"> </w:t>
      </w:r>
      <w:r>
        <w:t xml:space="preserve">Acta Astronautica, vol. 225, 2024. doi:</w:t>
      </w:r>
      <w:r>
        <w:t xml:space="preserve"> </w:t>
      </w:r>
      <w:hyperlink r:id="rId131">
        <w:r>
          <w:rPr>
            <w:rStyle w:val="Hyperlink"/>
          </w:rPr>
          <w:t xml:space="preserve">10.1016/j.actaastro.2024.09.005</w:t>
        </w:r>
      </w:hyperlink>
    </w:p>
    <w:p>
      <w:pPr>
        <w:pStyle w:val="BodyText"/>
        <w:spacing w:line="480" w:lineRule="auto"/>
        <w:ind w:firstLine="720"/>
      </w:pPr>
      <w:bookmarkStart w:id="132" w:name="ref-2"/>
      <w:bookmarkEnd w:id="132"/>
      <w:r>
        <w:t xml:space="preserve">2. MITRE and Aspen Institute,</w:t>
      </w:r>
      <w:r>
        <w:t xml:space="preserve"> </w:t>
      </w:r>
      <w:r>
        <w:t xml:space="preserve">“The Space Imperative (Whole-of-Nation),”</w:t>
      </w:r>
      <w:r>
        <w:t xml:space="preserve"> </w:t>
      </w:r>
      <w:r>
        <w:t xml:space="preserve">whole-of-nation framework paper, 2022.</w:t>
      </w:r>
    </w:p>
    <w:p>
      <w:pPr>
        <w:pStyle w:val="BodyText"/>
        <w:spacing w:line="480" w:lineRule="auto"/>
        <w:ind w:firstLine="720"/>
      </w:pPr>
      <w:bookmarkStart w:id="133" w:name="ref-3"/>
      <w:bookmarkEnd w:id="133"/>
      <w:r>
        <w:t xml:space="preserve">3. G. Denis, A. Claverie, X. Pasco, J.-P. Darnis, B. de Maupeou, M. Lafaye, and E. Morel,</w:t>
      </w:r>
      <w:r>
        <w:t xml:space="preserve"> </w:t>
      </w:r>
      <w:r>
        <w:t xml:space="preserve">“Towards disruptions in Earth observation? New Earth Observation systems and markets evolution: Possible scenarios and impacts,”</w:t>
      </w:r>
      <w:r>
        <w:t xml:space="preserve"> </w:t>
      </w:r>
      <w:r>
        <w:t xml:space="preserve">Acta Astronautica, vol. 137, 2017. doi:</w:t>
      </w:r>
      <w:r>
        <w:t xml:space="preserve"> </w:t>
      </w:r>
      <w:hyperlink r:id="rId134">
        <w:r>
          <w:rPr>
            <w:rStyle w:val="Hyperlink"/>
          </w:rPr>
          <w:t xml:space="preserve">10.1016/j.actaastro.2017.04.034</w:t>
        </w:r>
      </w:hyperlink>
      <w:r>
        <w:t xml:space="preserve">.</w:t>
      </w:r>
    </w:p>
    <w:p>
      <w:pPr>
        <w:pStyle w:val="BodyText"/>
        <w:spacing w:line="480" w:lineRule="auto"/>
        <w:ind w:firstLine="720"/>
      </w:pPr>
      <w:bookmarkStart w:id="135" w:name="ref-4"/>
      <w:bookmarkEnd w:id="135"/>
      <w:r>
        <w:t xml:space="preserve">4. MITRE and Aspen Institute,</w:t>
      </w:r>
      <w:r>
        <w:t xml:space="preserve"> </w:t>
      </w:r>
      <w:r>
        <w:t xml:space="preserve">“The Space Imperative: A Whole-of-Nation Approach to a Sustainable, Secure, and Resilient Space Domain,”</w:t>
      </w:r>
      <w:r>
        <w:t xml:space="preserve"> </w:t>
      </w:r>
      <w:r>
        <w:t xml:space="preserve">whole-of-nation framework paper, November 2022.</w:t>
      </w:r>
    </w:p>
    <w:p>
      <w:pPr>
        <w:pStyle w:val="BodyText"/>
        <w:spacing w:line="480" w:lineRule="auto"/>
        <w:ind w:firstLine="720"/>
      </w:pPr>
      <w:bookmarkStart w:id="136" w:name="ref-5"/>
      <w:bookmarkEnd w:id="136"/>
      <w:r>
        <w:t xml:space="preserve">5. United Nations Office for Outer Space Affairs, national space agency and bilateral agreement registries, unoosa.org, accessed 2026.</w:t>
      </w:r>
    </w:p>
    <w:p>
      <w:pPr>
        <w:pStyle w:val="BodyText"/>
        <w:spacing w:line="480" w:lineRule="auto"/>
        <w:ind w:firstLine="720"/>
      </w:pPr>
      <w:bookmarkStart w:id="137" w:name="ref-6"/>
      <w:bookmarkEnd w:id="137"/>
      <w:r>
        <w:t xml:space="preserve">6. van Burg, E., Giannopapa, C., Reymen, I. (2017). Open innovation in the European space sector: Existing practices, constraints and opportunities. Acta Astronautica, Vol. 141. doi:</w:t>
      </w:r>
      <w:r>
        <w:t xml:space="preserve"> </w:t>
      </w:r>
      <w:hyperlink r:id="rId138">
        <w:r>
          <w:rPr>
            <w:rStyle w:val="Hyperlink"/>
          </w:rPr>
          <w:t xml:space="preserve">10.1016/j.actaastro.2017.09.019</w:t>
        </w:r>
      </w:hyperlink>
    </w:p>
    <w:p>
      <w:pPr>
        <w:pStyle w:val="BodyText"/>
        <w:spacing w:line="480" w:lineRule="auto"/>
        <w:ind w:firstLine="720"/>
      </w:pPr>
      <w:bookmarkStart w:id="139" w:name="ref-7"/>
      <w:bookmarkEnd w:id="139"/>
      <w:r>
        <w:t xml:space="preserve">7. Zancan, V., Paravano, A., Locatelli, G., Trucco, P. (2024). Evolving governance in the space sector: From Legacy Space to New Space models. Acta Astronautica, Vol. 225. doi:</w:t>
      </w:r>
      <w:r>
        <w:t xml:space="preserve"> </w:t>
      </w:r>
      <w:hyperlink r:id="rId131">
        <w:r>
          <w:rPr>
            <w:rStyle w:val="Hyperlink"/>
          </w:rPr>
          <w:t xml:space="preserve">10.1016/j.actaastro.2024.09.005</w:t>
        </w:r>
      </w:hyperlink>
    </w:p>
    <w:p>
      <w:pPr>
        <w:pStyle w:val="BodyText"/>
        <w:spacing w:line="480" w:lineRule="auto"/>
        <w:ind w:firstLine="720"/>
      </w:pPr>
      <w:bookmarkStart w:id="140" w:name="ref-8"/>
      <w:bookmarkEnd w:id="140"/>
      <w:r>
        <w:t xml:space="preserve">8. Joseph, C., Wood, D. (2019). Fostering innovation via ambidexterity in aerospace organizations. Acta Astronautica, Vol. 168. doi:</w:t>
      </w:r>
      <w:r>
        <w:t xml:space="preserve"> </w:t>
      </w:r>
      <w:hyperlink r:id="rId141">
        <w:r>
          <w:rPr>
            <w:rStyle w:val="Hyperlink"/>
          </w:rPr>
          <w:t xml:space="preserve">10.1016/j.actaastro.2019.10.014</w:t>
        </w:r>
      </w:hyperlink>
    </w:p>
    <w:p>
      <w:pPr>
        <w:pStyle w:val="BodyText"/>
        <w:spacing w:line="480" w:lineRule="auto"/>
        <w:ind w:firstLine="720"/>
      </w:pPr>
      <w:bookmarkStart w:id="142" w:name="ref-9"/>
      <w:bookmarkEnd w:id="142"/>
      <w:r>
        <w:t xml:space="preserve">9. Sanchez-Ortiz, N., Wood, D., Smith, L., Gregori De La Malla, C., Strah, M., Huelsmann, M., Stanciu-Manolescu, M., Ubertini, P., Singh, B. (2025). Outreach on Space Traffic Management. Acta Astronautica, Vol. 229. doi:</w:t>
      </w:r>
      <w:r>
        <w:t xml:space="preserve"> </w:t>
      </w:r>
      <w:hyperlink r:id="rId143">
        <w:r>
          <w:rPr>
            <w:rStyle w:val="Hyperlink"/>
          </w:rPr>
          <w:t xml:space="preserve">10.1016/j.actaastro.2025.01.031</w:t>
        </w:r>
      </w:hyperlink>
    </w:p>
    <w:p>
      <w:pPr>
        <w:pStyle w:val="BodyText"/>
        <w:spacing w:line="480" w:lineRule="auto"/>
        <w:ind w:firstLine="720"/>
      </w:pPr>
      <w:bookmarkStart w:id="144" w:name="ref-10"/>
      <w:bookmarkEnd w:id="144"/>
      <w:r>
        <w:t xml:space="preserve">10. U.S. Government Accountability Office (2024). NASA: Assessments of Major Projects. GAO-24-106767.</w:t>
      </w:r>
    </w:p>
    <w:p>
      <w:pPr>
        <w:pStyle w:val="BodyText"/>
        <w:spacing w:line="480" w:lineRule="auto"/>
        <w:ind w:firstLine="720"/>
      </w:pPr>
      <w:bookmarkStart w:id="145" w:name="ref-11"/>
      <w:bookmarkEnd w:id="145"/>
      <w:r>
        <w:t xml:space="preserve">11. U.S. Government Accountability Office (2023). NASA: Assessments of Major Projects. GAO-23-106021.</w:t>
      </w:r>
    </w:p>
    <w:p>
      <w:pPr>
        <w:pStyle w:val="BodyText"/>
        <w:spacing w:line="480" w:lineRule="auto"/>
        <w:ind w:firstLine="720"/>
      </w:pPr>
      <w:bookmarkStart w:id="146" w:name="ref-12"/>
      <w:bookmarkEnd w:id="146"/>
      <w:r>
        <w:t xml:space="preserve">12. U.S. Government Accountability Office (2022). NASA: Assessments of Major Projects. GAO-22-105212.</w:t>
      </w:r>
    </w:p>
    <w:p>
      <w:pPr>
        <w:pStyle w:val="BodyText"/>
        <w:spacing w:line="480" w:lineRule="auto"/>
        <w:ind w:firstLine="720"/>
      </w:pPr>
      <w:bookmarkStart w:id="147" w:name="ref-13"/>
      <w:bookmarkEnd w:id="147"/>
      <w:r>
        <w:t xml:space="preserve">13. Miles Lifson, The Aerospace Corporation; Aniqu Baset, The Aerospace Corporation; Grant Cates, The Aerospace Corporation; Bill Chen, The Aerospace Corporation; Angelo Connor, The Aerospace Corporation; Carson Coursey, The Aerospace Corporation; Gregory Henning, The Aerospace Corporation; Michael Miyamoto, The Aerospace Corporation; Glenn E. Peterson, The Aerospace Corporation; Brian Weeden, The Aerospace Corporation; Grant Williams, The Aerospace Corporation; Indigo Brownhall, University College London; Matthew Burgess, University of Colorado Boulder; Marcus Holzinger, University of Colorado Boulder; Daniel Kaffine, University of Colorado Boulder; Mark Moretto, North Carolina State University; Akhil Rao, Middlebury College. Development of Reference Scenarios and Supporting Inputs for Space Environment Modeling (2024). doi:</w:t>
      </w:r>
      <w:r>
        <w:t xml:space="preserve"> </w:t>
      </w:r>
      <w:hyperlink r:id="rId148">
        <w:r>
          <w:rPr>
            <w:rStyle w:val="Hyperlink"/>
          </w:rPr>
          <w:t xml:space="preserve">10.64861/QBNC8763</w:t>
        </w:r>
      </w:hyperlink>
    </w:p>
    <w:p>
      <w:pPr>
        <w:pStyle w:val="BodyText"/>
        <w:spacing w:line="480" w:lineRule="auto"/>
        <w:ind w:firstLine="720"/>
      </w:pPr>
      <w:bookmarkStart w:id="149" w:name="ref-14"/>
      <w:bookmarkEnd w:id="149"/>
      <w:r>
        <w:t xml:space="preserve">14. Todd Harrison, Center for Strategic and International Studies. International Perspectives on Space Weapons (2020).</w:t>
      </w:r>
    </w:p>
    <w:p>
      <w:pPr>
        <w:pStyle w:val="BodyText"/>
        <w:spacing w:line="480" w:lineRule="auto"/>
        <w:ind w:firstLine="720"/>
      </w:pPr>
      <w:bookmarkStart w:id="150" w:name="ref-15"/>
      <w:bookmarkEnd w:id="150"/>
      <w:r>
        <w:t xml:space="preserve">15.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w:t>
      </w:r>
    </w:p>
    <w:p>
      <w:pPr>
        <w:pStyle w:val="BodyText"/>
        <w:spacing w:line="480" w:lineRule="auto"/>
        <w:ind w:firstLine="720"/>
      </w:pPr>
      <w:bookmarkStart w:id="151" w:name="ref-16"/>
      <w:bookmarkEnd w:id="151"/>
      <w:r>
        <w:t xml:space="preserve">16. Malgorzata Polkowska, Lomza Academy; Arkadiusz Chimicz, General Command, Polish Armed Forces. Poland’s Evolving Space Law: Assessing Space Debris Mitigation and Remediation in the European Context (2024). doi:</w:t>
      </w:r>
      <w:r>
        <w:t xml:space="preserve"> </w:t>
      </w:r>
      <w:hyperlink r:id="rId152">
        <w:r>
          <w:rPr>
            <w:rStyle w:val="Hyperlink"/>
          </w:rPr>
          <w:t xml:space="preserve">10.64861/LFFV2455</w:t>
        </w:r>
      </w:hyperlink>
    </w:p>
    <w:p>
      <w:pPr>
        <w:pStyle w:val="BodyText"/>
        <w:spacing w:line="480" w:lineRule="auto"/>
        <w:ind w:firstLine="720"/>
      </w:pPr>
      <w:bookmarkStart w:id="153" w:name="ref-17"/>
      <w:bookmarkEnd w:id="153"/>
      <w:r>
        <w:t xml:space="preserve">17. Rina Zhang, Science and Technology Policy Institute; Asha Balakrishnan, Science and Technology Policy Institute. From Ozone Depletion to Orbital Debris: Lessons Learned from the Montreal Protocol (2022).</w:t>
      </w:r>
    </w:p>
    <w:p>
      <w:pPr>
        <w:pStyle w:val="BodyText"/>
        <w:spacing w:line="480" w:lineRule="auto"/>
        <w:ind w:firstLine="720"/>
      </w:pPr>
      <w:bookmarkStart w:id="154" w:name="ref-18"/>
      <w:bookmarkEnd w:id="154"/>
      <w:r>
        <w:t xml:space="preserve">18. Arne Gerhartd, Deloitte Consulting; Scott Radeztsky, Deloitte Consulting. Refactoring the Approach to Space Situational Awareness (SSA) Legacy Application Modernization (2023). doi:</w:t>
      </w:r>
      <w:r>
        <w:t xml:space="preserve"> </w:t>
      </w:r>
      <w:hyperlink r:id="rId155">
        <w:r>
          <w:rPr>
            <w:rStyle w:val="Hyperlink"/>
          </w:rPr>
          <w:t xml:space="preserve">10.64861/MOJR9666</w:t>
        </w:r>
      </w:hyperlink>
    </w:p>
    <w:p>
      <w:pPr>
        <w:pStyle w:val="BodyText"/>
        <w:spacing w:line="480" w:lineRule="auto"/>
        <w:ind w:firstLine="720"/>
      </w:pPr>
      <w:bookmarkStart w:id="156" w:name="ref-19"/>
      <w:bookmarkEnd w:id="156"/>
      <w:r>
        <w:t xml:space="preserve">19. Bhavya Lal, IDA Science and Technology Policy Institute, Sara A. Carioscia, IDA Science and Technology Policy Institute. Evaluating Options for Civil Space Situational Awareness (SSA) (2017).</w:t>
      </w:r>
    </w:p>
    <w:p>
      <w:pPr>
        <w:pStyle w:val="BodyText"/>
        <w:spacing w:line="480" w:lineRule="auto"/>
        <w:ind w:firstLine="720"/>
      </w:pPr>
      <w:bookmarkStart w:id="157" w:name="ref-20"/>
      <w:bookmarkEnd w:id="157"/>
      <w:r>
        <w:t xml:space="preserve">20. Chelsea Wright, Ferris State University. A Collaborative Cybersecurity Training Policy for Future Space Endeavors (2023). doi:</w:t>
      </w:r>
      <w:r>
        <w:t xml:space="preserve"> </w:t>
      </w:r>
      <w:hyperlink r:id="rId158">
        <w:r>
          <w:rPr>
            <w:rStyle w:val="Hyperlink"/>
          </w:rPr>
          <w:t xml:space="preserve">10.64861/WXIJ8208</w:t>
        </w:r>
      </w:hyperlink>
    </w:p>
    <w:p>
      <w:pPr>
        <w:pStyle w:val="BodyText"/>
        <w:spacing w:line="480" w:lineRule="auto"/>
        <w:ind w:firstLine="720"/>
      </w:pPr>
      <w:bookmarkStart w:id="159" w:name="ref-21"/>
      <w:bookmarkEnd w:id="159"/>
      <w:r>
        <w:t xml:space="preserve">21. Valentina Zancan; Paolo Trucco; Giorgio Locatelli. “Getting things done” or “Doing the right things”? Micro-foundations of product-service strategies in Earth Observation (2026). doi:</w:t>
      </w:r>
      <w:r>
        <w:t xml:space="preserve"> </w:t>
      </w:r>
      <w:hyperlink r:id="rId160">
        <w:r>
          <w:rPr>
            <w:rStyle w:val="Hyperlink"/>
          </w:rPr>
          <w:t xml:space="preserve">10.1016/j.actaastro.2026.01.040</w:t>
        </w:r>
      </w:hyperlink>
    </w:p>
    <w:p>
      <w:pPr>
        <w:pStyle w:val="BodyText"/>
        <w:spacing w:line="480" w:lineRule="auto"/>
        <w:ind w:firstLine="720"/>
      </w:pPr>
      <w:bookmarkStart w:id="161" w:name="ref-22"/>
      <w:bookmarkEnd w:id="161"/>
      <w:r>
        <w:t xml:space="preserve">22. Rok Šeško; Kim Lamboley; Thierry Cutard; L. Grill; Philipp Reiss; Aidan Cowley. Oxygen production by solar vapor-phase pyrolysis of lunar regolith simulant (2024). doi:</w:t>
      </w:r>
      <w:r>
        <w:t xml:space="preserve"> </w:t>
      </w:r>
      <w:hyperlink r:id="rId162">
        <w:r>
          <w:rPr>
            <w:rStyle w:val="Hyperlink"/>
          </w:rPr>
          <w:t xml:space="preserve">10.1016/j.actaastro.2024.08.009</w:t>
        </w:r>
      </w:hyperlink>
    </w:p>
    <w:p>
      <w:pPr>
        <w:pStyle w:val="BodyText"/>
        <w:spacing w:line="480" w:lineRule="auto"/>
        <w:ind w:firstLine="720"/>
      </w:pPr>
      <w:bookmarkStart w:id="163" w:name="ref-23"/>
      <w:bookmarkEnd w:id="163"/>
      <w:r>
        <w:t xml:space="preserve">23. Masatsugu Otsuki; Mitsuhisa Baba; Takane Imada; Mitsuteru Yamato; Taro Ohashi; Masaki Takahashi; Takehiro Himeno; Takao Maeda; Shingo OZAKI; Genya Ishigami; T. Kobayashi; Koichi Kitazono. Exhaustive evaluation of microgravity landing dynamics for small body exploration (2025). doi:</w:t>
      </w:r>
      <w:r>
        <w:t xml:space="preserve"> </w:t>
      </w:r>
      <w:hyperlink r:id="rId164">
        <w:r>
          <w:rPr>
            <w:rStyle w:val="Hyperlink"/>
          </w:rPr>
          <w:t xml:space="preserve">10.1016/j.actaastro.2025.09.081</w:t>
        </w:r>
      </w:hyperlink>
    </w:p>
    <w:p>
      <w:pPr>
        <w:pStyle w:val="BodyText"/>
        <w:spacing w:line="480" w:lineRule="auto"/>
        <w:ind w:firstLine="720"/>
      </w:pPr>
      <w:bookmarkStart w:id="165" w:name="ref-24"/>
      <w:bookmarkEnd w:id="165"/>
      <w:r>
        <w:t xml:space="preserve">24. T. Ishida; Seisuke Fukuda; Kazuki Kariya; Hiroyuki Kamata; Keiki Takadama; Hirohisa Kojima; Shujiro Sawai; Shin-ichiro Sakai. Vision-based navigation and obstacle detection flight results in SLIM lunar landing (2024). doi:</w:t>
      </w:r>
      <w:r>
        <w:t xml:space="preserve"> </w:t>
      </w:r>
      <w:hyperlink r:id="rId166">
        <w:r>
          <w:rPr>
            <w:rStyle w:val="Hyperlink"/>
          </w:rPr>
          <w:t xml:space="preserve">10.1016/j.actaastro.2024.11.002</w:t>
        </w:r>
      </w:hyperlink>
    </w:p>
    <w:p>
      <w:pPr>
        <w:pStyle w:val="BodyText"/>
        <w:spacing w:line="480" w:lineRule="auto"/>
        <w:ind w:firstLine="720"/>
      </w:pPr>
      <w:bookmarkStart w:id="167" w:name="ref-25"/>
      <w:bookmarkEnd w:id="167"/>
      <w:r>
        <w:t xml:space="preserve">25. Roland Albers; H. R. Andrews; Gabriele Boccacci; Vasco D. C. Pires; Sunny Laddha; Ville Lundén; Nadim Maraqten; J. M. Matías; Eva Krämer; Leonard Schulz; Inés Terraza Palanca; Daniel Teubenbacher; Claire Baskevitch; Francesca Covella; Luca Cressa; Juan Garrido Moreno; Jana Gillmayr; Joshua Hollowood; Kilian Huber; Viktoria Kutnohorsky; Sofia Lennerstrand; Adel Malatinszky; Davide Manzini; Manuel Maurer; Daiana Maria Alessandra Nidelea; Luca Rigon; J. Sinjan; Crisel Suárez; Mirko Viviano; Elise Wright Knutsen. Magnetospheric Venus Space Explorers (MVSE) mission: A proposal for understanding the dynamics of induced magnetospheres (2024). doi:</w:t>
      </w:r>
      <w:r>
        <w:t xml:space="preserve"> </w:t>
      </w:r>
      <w:hyperlink r:id="rId168">
        <w:r>
          <w:rPr>
            <w:rStyle w:val="Hyperlink"/>
          </w:rPr>
          <w:t xml:space="preserve">10.1016/j.actaastro.2024.05.017</w:t>
        </w:r>
      </w:hyperlink>
    </w:p>
    <w:p>
      <w:pPr>
        <w:pStyle w:val="BodyText"/>
        <w:spacing w:line="480" w:lineRule="auto"/>
        <w:ind w:firstLine="720"/>
      </w:pPr>
      <w:bookmarkStart w:id="169" w:name="ref-26"/>
      <w:bookmarkEnd w:id="169"/>
      <w:r>
        <w:t xml:space="preserve">26. Charlotte Hook; Ewan Wright; Michael Byers; Aaron C. Boley. Uncontrolled reentries of space objects and aviation safety (2024). doi:</w:t>
      </w:r>
      <w:r>
        <w:t xml:space="preserve"> </w:t>
      </w:r>
      <w:hyperlink r:id="rId170">
        <w:r>
          <w:rPr>
            <w:rStyle w:val="Hyperlink"/>
          </w:rPr>
          <w:t xml:space="preserve">10.1016/j.actaastro.2024.05.026</w:t>
        </w:r>
      </w:hyperlink>
    </w:p>
    <w:p>
      <w:pPr>
        <w:pStyle w:val="BodyText"/>
        <w:spacing w:line="480" w:lineRule="auto"/>
        <w:ind w:firstLine="720"/>
      </w:pPr>
      <w:bookmarkStart w:id="171" w:name="ref-27"/>
      <w:bookmarkEnd w:id="171"/>
      <w:r>
        <w:t xml:space="preserve">27. Tuana Yazici. A proposal for the usage of reconnaissance satellites to monitor international human and wildlife trafficking hotspots (2022). doi:</w:t>
      </w:r>
      <w:r>
        <w:t xml:space="preserve"> </w:t>
      </w:r>
      <w:hyperlink r:id="rId172">
        <w:r>
          <w:rPr>
            <w:rStyle w:val="Hyperlink"/>
          </w:rPr>
          <w:t xml:space="preserve">10.1016/j.actaastro.2022.02.012</w:t>
        </w:r>
      </w:hyperlink>
    </w:p>
    <w:p>
      <w:pPr>
        <w:pStyle w:val="BodyText"/>
        <w:spacing w:line="480" w:lineRule="auto"/>
        <w:ind w:firstLine="720"/>
      </w:pPr>
      <w:bookmarkStart w:id="173" w:name="ref-28"/>
      <w:bookmarkEnd w:id="173"/>
      <w:r>
        <w:t xml:space="preserve">28. Noelia Sánchez-Ortíz; Danielle Wood; Lesley Smith; Carmen Gregori De La Malla; Maruška Strah; Maren Huelsmann; Marius Stanciu-Manolescu; P. Ubertini; Balbir Singh. Outreach on Space Traffic Management (2025). doi:</w:t>
      </w:r>
      <w:r>
        <w:t xml:space="preserve"> </w:t>
      </w:r>
      <w:hyperlink r:id="rId143">
        <w:r>
          <w:rPr>
            <w:rStyle w:val="Hyperlink"/>
          </w:rPr>
          <w:t xml:space="preserve">10.1016/j.actaastro.2025.01.031</w:t>
        </w:r>
      </w:hyperlink>
    </w:p>
    <w:bookmarkEnd w:id="174"/>
    <w:bookmarkEnd w:id="175"/>
    <w:bookmarkStart w:id="19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3" w:name="X3f4d0319b504ed213b0d89c5d9dfc272678feb5"/>
    <w:p>
      <w:pPr>
        <w:pStyle w:val="Heading2"/>
        <w:spacing w:line="480" w:lineRule="auto"/>
      </w:pPr>
      <w:r>
        <w:t xml:space="preserve">A.1 Patronage Ties and Template Adoption: A Logit Test of Mimetic Isomorphism Among Post-2000 National Space Agencies</w:t>
      </w:r>
    </w:p>
    <w:p>
      <w:pPr>
        <w:pStyle w:val="FirstParagraph"/>
        <w:spacing w:line="480" w:lineRule="auto"/>
      </w:pPr>
      <m:oMathPara>
        <m:oMathParaPr>
          <m:jc m:val="center"/>
        </m:oMathParaPr>
        <m:oMath>
          <m:r>
            <m:rPr>
              <m:sty m:val="p"/>
            </m:rPr>
            <m:t>Pr</m:t>
          </m:r>
          <m:r>
            <m:rPr>
              <m:sty m:val="p"/>
            </m:rPr>
            <m:t>(</m:t>
          </m:r>
          <m:sSub>
            <m:e>
              <m:r>
                <m:rPr>
                  <m:nor/>
                  <m:sty m:val="p"/>
                </m:rPr>
                <m:t>adopted</m:t>
              </m:r>
            </m:e>
            <m:sub>
              <m:r>
                <m:t>i</m:t>
              </m:r>
            </m:sub>
          </m:sSub>
          <m:r>
            <m:rPr>
              <m:sty m:val="p"/>
            </m:rPr>
            <m:t>=</m:t>
          </m:r>
          <m:r>
            <m:t>1</m:t>
          </m:r>
          <m:r>
            <m:rPr>
              <m:sty m:val="p"/>
            </m:rPr>
            <m:t>)</m:t>
          </m:r>
          <m:r>
            <m:rPr>
              <m:sty m:val="p"/>
            </m:rPr>
            <m:t>=</m:t>
          </m:r>
          <m:r>
            <m:rPr>
              <m:sty m:val="p"/>
            </m:rPr>
            <m:t>Λ</m:t>
          </m:r>
          <m:r>
            <m:rPr>
              <m:sty m:val="p"/>
            </m:rPr>
            <m:t>(</m:t>
          </m:r>
          <m:sSub>
            <m:e>
              <m:r>
                <m:t>β</m:t>
              </m:r>
            </m:e>
            <m:sub>
              <m:r>
                <m:t>0</m:t>
              </m:r>
            </m:sub>
          </m:sSub>
          <m:r>
            <m:rPr>
              <m:sty m:val="p"/>
            </m:rPr>
            <m:t>+</m:t>
          </m:r>
          <m:sSub>
            <m:e>
              <m:r>
                <m:t>β</m:t>
              </m:r>
            </m:e>
            <m:sub>
              <m:r>
                <m:t>1</m:t>
              </m:r>
            </m:sub>
          </m:sSub>
          <m:sSub>
            <m:e>
              <m:r>
                <m:rPr>
                  <m:nor/>
                  <m:sty m:val="p"/>
                </m:rPr>
                <m:t>patronage</m:t>
              </m:r>
            </m:e>
            <m:sub>
              <m:r>
                <m:t>i</m:t>
              </m:r>
            </m:sub>
          </m:sSub>
          <m:r>
            <m:rPr>
              <m:sty m:val="p"/>
            </m:rPr>
            <m:t>+</m:t>
          </m:r>
          <m:sSub>
            <m:e>
              <m:r>
                <m:t>β</m:t>
              </m:r>
            </m:e>
            <m:sub>
              <m:r>
                <m:t>2</m:t>
              </m:r>
            </m:sub>
          </m:sSub>
          <m:sSub>
            <m:e>
              <m:r>
                <m:rPr>
                  <m:nor/>
                  <m:sty m:val="p"/>
                </m:rPr>
                <m:t>years</m:t>
              </m:r>
            </m:e>
            <m:sub>
              <m:r>
                <m:t>i</m:t>
              </m:r>
            </m:sub>
          </m:sSub>
          <m:r>
            <m:rPr>
              <m:sty m:val="p"/>
            </m:rPr>
            <m:t>+</m:t>
          </m:r>
          <m:sSub>
            <m:e>
              <m:r>
                <m:t>β</m:t>
              </m:r>
            </m:e>
            <m:sub>
              <m:r>
                <m:t>3</m:t>
              </m:r>
            </m:sub>
          </m:sSub>
          <m:sSub>
            <m:e>
              <m:r>
                <m:rPr>
                  <m:nor/>
                  <m:sty m:val="p"/>
                </m:rPr>
                <m:t>region_dev</m:t>
              </m:r>
            </m:e>
            <m:sub>
              <m:r>
                <m:t>i</m:t>
              </m:r>
            </m:sub>
          </m:sSub>
          <m:r>
            <m:rPr>
              <m:sty m:val="p"/>
            </m:rPr>
            <m:t>+</m:t>
          </m:r>
          <m:sSub>
            <m:e>
              <m:r>
                <m:t>β</m:t>
              </m:r>
            </m:e>
            <m:sub>
              <m:r>
                <m:t>4</m:t>
              </m:r>
            </m:sub>
          </m:sSub>
          <m:sSub>
            <m:e>
              <m:r>
                <m:rPr>
                  <m:nor/>
                  <m:sty m:val="p"/>
                </m:rPr>
                <m:t>prior</m:t>
              </m:r>
            </m:e>
            <m:sub>
              <m:r>
                <m:t>i</m:t>
              </m:r>
            </m:sub>
          </m:sSub>
          <m:r>
            <m:rPr>
              <m:sty m:val="p"/>
            </m:rPr>
            <m:t>)</m:t>
          </m:r>
        </m:oMath>
      </m:oMathPara>
    </w:p>
    <w:bookmarkStart w:id="17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0.0913</w:t>
            </w:r>
          </w:p>
        </w:tc>
        <w:tc>
          <w:tcPr>
            <w:tcW w:w="0" w:type="auto"/>
          </w:tcPr>
          <w:p>
            <w:pPr>
              <w:spacing w:line="240" w:lineRule="auto" w:before="0" w:after="0"/>
              <w:pStyle w:val="Compact"/>
            </w:pPr>
            <w:r>
              <w:rPr>
                <w:sz w:val="20"/>
                <w:szCs w:val="20"/>
              </w:rPr>
              <w:t xml:space="preserve">1.1771</w:t>
            </w:r>
          </w:p>
        </w:tc>
        <w:tc>
          <w:tcPr>
            <w:tcW w:w="0" w:type="auto"/>
          </w:tcPr>
          <w:p>
            <w:pPr>
              <w:spacing w:line="240" w:lineRule="auto" w:before="0" w:after="0"/>
              <w:pStyle w:val="Compact"/>
            </w:pPr>
            <w:r>
              <w:rPr>
                <w:sz w:val="20"/>
                <w:szCs w:val="20"/>
              </w:rPr>
              <w:t xml:space="preserve">0.0775</w:t>
            </w:r>
          </w:p>
        </w:tc>
        <w:tc>
          <w:tcPr>
            <w:tcW w:w="0" w:type="auto"/>
          </w:tcPr>
          <w:p>
            <w:pPr>
              <w:spacing w:line="240" w:lineRule="auto" w:before="0" w:after="0"/>
              <w:pStyle w:val="Compact"/>
            </w:pPr>
            <w:r>
              <w:rPr>
                <w:sz w:val="20"/>
                <w:szCs w:val="20"/>
              </w:rPr>
              <w:t xml:space="preserve">0.9382</w:t>
            </w:r>
          </w:p>
        </w:tc>
        <w:tc>
          <w:tcPr>
            <w:tcW w:w="0" w:type="auto"/>
          </w:tcPr>
          <w:p>
            <w:pPr>
              <w:spacing w:line="240" w:lineRule="auto" w:before="0" w:after="0"/>
              <w:pStyle w:val="Compact"/>
            </w:pPr>
            <w:r>
              <w:rPr>
                <w:sz w:val="20"/>
                <w:szCs w:val="20"/>
              </w:rPr>
              <w:t xml:space="preserve">[-2.2158, 2.3983]</w:t>
            </w:r>
          </w:p>
        </w:tc>
      </w:tr>
      <w:tr>
        <w:tc>
          <w:tcPr>
            <w:tcW w:w="0" w:type="auto"/>
          </w:tcPr>
          <w:p>
            <w:pPr>
              <w:spacing w:line="240" w:lineRule="auto" w:before="0" w:after="0"/>
              <w:pStyle w:val="Compact"/>
            </w:pPr>
            <w:r>
              <w:rPr>
                <w:sz w:val="20"/>
                <w:szCs w:val="20"/>
              </w:rPr>
              <w:t xml:space="preserve">patronage_tie</w:t>
            </w:r>
          </w:p>
        </w:tc>
        <w:tc>
          <w:tcPr>
            <w:tcW w:w="0" w:type="auto"/>
          </w:tcPr>
          <w:p>
            <w:pPr>
              <w:spacing w:line="240" w:lineRule="auto" w:before="0" w:after="0"/>
              <w:pStyle w:val="Compact"/>
            </w:pPr>
            <w:r>
              <w:rPr>
                <w:sz w:val="20"/>
                <w:szCs w:val="20"/>
              </w:rPr>
              <w:t xml:space="preserve">1.053</w:t>
            </w:r>
          </w:p>
        </w:tc>
        <w:tc>
          <w:tcPr>
            <w:tcW w:w="0" w:type="auto"/>
          </w:tcPr>
          <w:p>
            <w:pPr>
              <w:spacing w:line="240" w:lineRule="auto" w:before="0" w:after="0"/>
              <w:pStyle w:val="Compact"/>
            </w:pPr>
            <w:r>
              <w:rPr>
                <w:sz w:val="20"/>
                <w:szCs w:val="20"/>
              </w:rPr>
              <w:t xml:space="preserve">1.3877</w:t>
            </w:r>
          </w:p>
        </w:tc>
        <w:tc>
          <w:tcPr>
            <w:tcW w:w="0" w:type="auto"/>
          </w:tcPr>
          <w:p>
            <w:pPr>
              <w:spacing w:line="240" w:lineRule="auto" w:before="0" w:after="0"/>
              <w:pStyle w:val="Compact"/>
            </w:pPr>
            <w:r>
              <w:rPr>
                <w:sz w:val="20"/>
                <w:szCs w:val="20"/>
              </w:rPr>
              <w:t xml:space="preserve">0.7588</w:t>
            </w:r>
          </w:p>
        </w:tc>
        <w:tc>
          <w:tcPr>
            <w:tcW w:w="0" w:type="auto"/>
          </w:tcPr>
          <w:p>
            <w:pPr>
              <w:spacing w:line="240" w:lineRule="auto" w:before="0" w:after="0"/>
              <w:pStyle w:val="Compact"/>
            </w:pPr>
            <w:r>
              <w:rPr>
                <w:sz w:val="20"/>
                <w:szCs w:val="20"/>
              </w:rPr>
              <w:t xml:space="preserve">0.448</w:t>
            </w:r>
          </w:p>
        </w:tc>
        <w:tc>
          <w:tcPr>
            <w:tcW w:w="0" w:type="auto"/>
          </w:tcPr>
          <w:p>
            <w:pPr>
              <w:spacing w:line="240" w:lineRule="auto" w:before="0" w:after="0"/>
              <w:pStyle w:val="Compact"/>
            </w:pPr>
            <w:r>
              <w:rPr>
                <w:sz w:val="20"/>
                <w:szCs w:val="20"/>
              </w:rPr>
              <w:t xml:space="preserve">[-1.6668, 3.7729]</w:t>
            </w:r>
          </w:p>
        </w:tc>
      </w:tr>
      <w:tr>
        <w:tc>
          <w:tcPr>
            <w:tcW w:w="0" w:type="auto"/>
          </w:tcPr>
          <w:p>
            <w:pPr>
              <w:spacing w:line="240" w:lineRule="auto" w:before="0" w:after="0"/>
              <w:pStyle w:val="Compact"/>
            </w:pPr>
            <w:r>
              <w:rPr>
                <w:sz w:val="20"/>
                <w:szCs w:val="20"/>
              </w:rPr>
              <w:t xml:space="preserve">years_since_2000</w:t>
            </w:r>
          </w:p>
        </w:tc>
        <w:tc>
          <w:tcPr>
            <w:tcW w:w="0" w:type="auto"/>
          </w:tcPr>
          <w:p>
            <w:pPr>
              <w:spacing w:line="240" w:lineRule="auto" w:before="0" w:after="0"/>
              <w:pStyle w:val="Compact"/>
            </w:pPr>
            <w:r>
              <w:rPr>
                <w:sz w:val="20"/>
                <w:szCs w:val="20"/>
              </w:rPr>
              <w:t xml:space="preserve">0.0592</w:t>
            </w:r>
          </w:p>
        </w:tc>
        <w:tc>
          <w:tcPr>
            <w:tcW w:w="0" w:type="auto"/>
          </w:tcPr>
          <w:p>
            <w:pPr>
              <w:spacing w:line="240" w:lineRule="auto" w:before="0" w:after="0"/>
              <w:pStyle w:val="Compact"/>
            </w:pPr>
            <w:r>
              <w:rPr>
                <w:sz w:val="20"/>
                <w:szCs w:val="20"/>
              </w:rPr>
              <w:t xml:space="preserve">0.0873</w:t>
            </w:r>
          </w:p>
        </w:tc>
        <w:tc>
          <w:tcPr>
            <w:tcW w:w="0" w:type="auto"/>
          </w:tcPr>
          <w:p>
            <w:pPr>
              <w:spacing w:line="240" w:lineRule="auto" w:before="0" w:after="0"/>
              <w:pStyle w:val="Compact"/>
            </w:pPr>
            <w:r>
              <w:rPr>
                <w:sz w:val="20"/>
                <w:szCs w:val="20"/>
              </w:rPr>
              <w:t xml:space="preserve">0.6782</w:t>
            </w:r>
          </w:p>
        </w:tc>
        <w:tc>
          <w:tcPr>
            <w:tcW w:w="0" w:type="auto"/>
          </w:tcPr>
          <w:p>
            <w:pPr>
              <w:spacing w:line="240" w:lineRule="auto" w:before="0" w:after="0"/>
              <w:pStyle w:val="Compact"/>
            </w:pPr>
            <w:r>
              <w:rPr>
                <w:sz w:val="20"/>
                <w:szCs w:val="20"/>
              </w:rPr>
              <w:t xml:space="preserve">0.4977</w:t>
            </w:r>
          </w:p>
        </w:tc>
        <w:tc>
          <w:tcPr>
            <w:tcW w:w="0" w:type="auto"/>
          </w:tcPr>
          <w:p>
            <w:pPr>
              <w:spacing w:line="240" w:lineRule="auto" w:before="0" w:after="0"/>
              <w:pStyle w:val="Compact"/>
            </w:pPr>
            <w:r>
              <w:rPr>
                <w:sz w:val="20"/>
                <w:szCs w:val="20"/>
              </w:rPr>
              <w:t xml:space="preserve">[-0.1119, 0.2304]</w:t>
            </w:r>
          </w:p>
        </w:tc>
      </w:tr>
      <w:tr>
        <w:tc>
          <w:tcPr>
            <w:tcW w:w="0" w:type="auto"/>
          </w:tcPr>
          <w:p>
            <w:pPr>
              <w:spacing w:line="240" w:lineRule="auto" w:before="0" w:after="0"/>
              <w:pStyle w:val="Compact"/>
            </w:pPr>
            <w:r>
              <w:rPr>
                <w:sz w:val="20"/>
                <w:szCs w:val="20"/>
              </w:rPr>
              <w:t xml:space="preserve">region_dev</w:t>
            </w:r>
          </w:p>
        </w:tc>
        <w:tc>
          <w:tcPr>
            <w:tcW w:w="0" w:type="auto"/>
          </w:tcPr>
          <w:p>
            <w:pPr>
              <w:spacing w:line="240" w:lineRule="auto" w:before="0" w:after="0"/>
              <w:pStyle w:val="Compact"/>
            </w:pPr>
            <w:r>
              <w:rPr>
                <w:sz w:val="20"/>
                <w:szCs w:val="20"/>
              </w:rPr>
              <w:t xml:space="preserve">0.3616</w:t>
            </w:r>
          </w:p>
        </w:tc>
        <w:tc>
          <w:tcPr>
            <w:tcW w:w="0" w:type="auto"/>
          </w:tcPr>
          <w:p>
            <w:pPr>
              <w:spacing w:line="240" w:lineRule="auto" w:before="0" w:after="0"/>
              <w:pStyle w:val="Compact"/>
            </w:pPr>
            <w:r>
              <w:rPr>
                <w:sz w:val="20"/>
                <w:szCs w:val="20"/>
              </w:rPr>
              <w:t xml:space="preserve">1.5064</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0.8103</w:t>
            </w:r>
          </w:p>
        </w:tc>
        <w:tc>
          <w:tcPr>
            <w:tcW w:w="0" w:type="auto"/>
          </w:tcPr>
          <w:p>
            <w:pPr>
              <w:spacing w:line="240" w:lineRule="auto" w:before="0" w:after="0"/>
              <w:pStyle w:val="Compact"/>
            </w:pPr>
            <w:r>
              <w:rPr>
                <w:sz w:val="20"/>
                <w:szCs w:val="20"/>
              </w:rPr>
              <w:t xml:space="preserve">[-2.591, 3.3141]</w:t>
            </w:r>
          </w:p>
        </w:tc>
      </w:tr>
      <w:tr>
        <w:tc>
          <w:tcPr>
            <w:tcW w:w="0" w:type="auto"/>
          </w:tcPr>
          <w:p>
            <w:pPr>
              <w:spacing w:line="240" w:lineRule="auto" w:before="0" w:after="0"/>
              <w:pStyle w:val="Compact"/>
            </w:pPr>
            <w:r>
              <w:rPr>
                <w:sz w:val="20"/>
                <w:szCs w:val="20"/>
              </w:rPr>
              <w:t xml:space="preserve">prior_space_program</w:t>
            </w:r>
          </w:p>
        </w:tc>
        <w:tc>
          <w:tcPr>
            <w:tcW w:w="0" w:type="auto"/>
          </w:tcPr>
          <w:p>
            <w:pPr>
              <w:spacing w:line="240" w:lineRule="auto" w:before="0" w:after="0"/>
              <w:pStyle w:val="Compact"/>
            </w:pPr>
            <w:r>
              <w:rPr>
                <w:sz w:val="20"/>
                <w:szCs w:val="20"/>
              </w:rPr>
              <w:t xml:space="preserve">0.2169</w:t>
            </w:r>
          </w:p>
        </w:tc>
        <w:tc>
          <w:tcPr>
            <w:tcW w:w="0" w:type="auto"/>
          </w:tcPr>
          <w:p>
            <w:pPr>
              <w:spacing w:line="240" w:lineRule="auto" w:before="0" w:after="0"/>
              <w:pStyle w:val="Compact"/>
            </w:pPr>
            <w:r>
              <w:rPr>
                <w:sz w:val="20"/>
                <w:szCs w:val="20"/>
              </w:rPr>
              <w:t xml:space="preserve">1.4189</w:t>
            </w:r>
          </w:p>
        </w:tc>
        <w:tc>
          <w:tcPr>
            <w:tcW w:w="0" w:type="auto"/>
          </w:tcPr>
          <w:p>
            <w:pPr>
              <w:spacing w:line="240" w:lineRule="auto" w:before="0" w:after="0"/>
              <w:pStyle w:val="Compact"/>
            </w:pPr>
            <w:r>
              <w:rPr>
                <w:sz w:val="20"/>
                <w:szCs w:val="20"/>
              </w:rPr>
              <w:t xml:space="preserve">0.1528</w:t>
            </w:r>
          </w:p>
        </w:tc>
        <w:tc>
          <w:tcPr>
            <w:tcW w:w="0" w:type="auto"/>
          </w:tcPr>
          <w:p>
            <w:pPr>
              <w:spacing w:line="240" w:lineRule="auto" w:before="0" w:after="0"/>
              <w:pStyle w:val="Compact"/>
            </w:pPr>
            <w:r>
              <w:rPr>
                <w:sz w:val="20"/>
                <w:szCs w:val="20"/>
              </w:rPr>
              <w:t xml:space="preserve">0.8785</w:t>
            </w:r>
          </w:p>
        </w:tc>
        <w:tc>
          <w:tcPr>
            <w:tcW w:w="0" w:type="auto"/>
          </w:tcPr>
          <w:p>
            <w:pPr>
              <w:spacing w:line="240" w:lineRule="auto" w:before="0" w:after="0"/>
              <w:pStyle w:val="Compact"/>
            </w:pPr>
            <w:r>
              <w:rPr>
                <w:sz w:val="20"/>
                <w:szCs w:val="20"/>
              </w:rPr>
              <w:t xml:space="preserve">[-2.5642, 2.9979]</w:t>
            </w:r>
          </w:p>
        </w:tc>
      </w:tr>
    </w:tbl>
    <w:p>
      <w:pPr>
        <w:pStyle w:val="BodyText"/>
        <w:spacing w:line="480" w:lineRule="auto"/>
        <w:ind w:firstLine="720"/>
      </w:pPr>
      <w:r>
        <w:t xml:space="preserve">Fit: N = 30 pseudo_R2 = 0.1068 LL = -12.0726</w:t>
      </w:r>
    </w:p>
    <w:bookmarkEnd w:id="176"/>
    <w:bookmarkStart w:id="18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Template adoption by founding cohort time among post-2000 national space agencies, with logit fit overlay." title="" id="178" name="Picture"/>
            <a:graphic>
              <a:graphicData uri="http://schemas.openxmlformats.org/drawingml/2006/picture">
                <pic:pic>
                  <pic:nvPicPr>
                    <pic:cNvPr descr="D:/Claude_Code/brain/collegium/candidates/dissertations/ENTERPRISE_ACQ_13/research_papers/p1/paper_fig1.png" id="179" name="Picture"/>
                    <pic:cNvPicPr>
                      <a:picLocks noChangeArrowheads="1" noChangeAspect="1"/>
                    </pic:cNvPicPr>
                  </pic:nvPicPr>
                  <pic:blipFill>
                    <a:blip r:embed="rId1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Template adoption by founding cohort time among post-2000 national space agencies, with logit fit overlay.</w:t>
      </w:r>
    </w:p>
    <w:bookmarkEnd w:id="180"/>
    <w:bookmarkStart w:id="18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agency</w:t>
            </w:r>
          </w:p>
        </w:tc>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founded</w:t>
            </w:r>
          </w:p>
        </w:tc>
        <w:tc>
          <w:tcPr>
            <w:tcW w:w="0" w:type="auto"/>
          </w:tcPr>
          <w:p>
            <w:pPr>
              <w:spacing w:line="240" w:lineRule="auto" w:before="0" w:after="0"/>
              <w:pStyle w:val="Compact"/>
            </w:pPr>
            <w:r>
              <w:rPr>
                <w:sz w:val="20"/>
                <w:szCs w:val="20"/>
              </w:rPr>
              <w:t xml:space="preserve">adopted_template</w:t>
            </w:r>
          </w:p>
        </w:tc>
        <w:tc>
          <w:tcPr>
            <w:tcW w:w="0" w:type="auto"/>
          </w:tcPr>
          <w:p>
            <w:pPr>
              <w:spacing w:line="240" w:lineRule="auto" w:before="0" w:after="0"/>
              <w:pStyle w:val="Compact"/>
            </w:pPr>
            <w:r>
              <w:rPr>
                <w:sz w:val="20"/>
                <w:szCs w:val="20"/>
              </w:rPr>
              <w:t xml:space="preserve">patronage_tie</w:t>
            </w:r>
          </w:p>
        </w:tc>
        <w:tc>
          <w:tcPr>
            <w:tcW w:w="0" w:type="auto"/>
          </w:tcPr>
          <w:p>
            <w:pPr>
              <w:spacing w:line="240" w:lineRule="auto" w:before="0" w:after="0"/>
              <w:pStyle w:val="Compact"/>
            </w:pPr>
            <w:r>
              <w:rPr>
                <w:sz w:val="20"/>
                <w:szCs w:val="20"/>
              </w:rPr>
              <w:t xml:space="preserve">years_since_2000</w:t>
            </w:r>
          </w:p>
        </w:tc>
        <w:tc>
          <w:tcPr>
            <w:tcW w:w="0" w:type="auto"/>
          </w:tcPr>
          <w:p>
            <w:pPr>
              <w:spacing w:line="240" w:lineRule="auto" w:before="0" w:after="0"/>
              <w:pStyle w:val="Compact"/>
            </w:pPr>
            <w:r>
              <w:rPr>
                <w:sz w:val="20"/>
                <w:szCs w:val="20"/>
              </w:rPr>
              <w:t xml:space="preserve">region_dev</w:t>
            </w:r>
          </w:p>
        </w:tc>
        <w:tc>
          <w:tcPr>
            <w:tcW w:w="0" w:type="auto"/>
          </w:tcPr>
          <w:p>
            <w:pPr>
              <w:spacing w:line="240" w:lineRule="auto" w:before="0" w:after="0"/>
              <w:pStyle w:val="Compact"/>
            </w:pPr>
            <w:r>
              <w:rPr>
                <w:sz w:val="20"/>
                <w:szCs w:val="20"/>
              </w:rPr>
              <w:t xml:space="preserve">prior_space_program</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UKSA</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UK Space Agency founding documents, gov.uk/government/organisations/uk-space-agency</w:t>
            </w:r>
          </w:p>
        </w:tc>
      </w:tr>
      <w:tr>
        <w:tc>
          <w:tcPr>
            <w:tcW w:w="0" w:type="auto"/>
          </w:tcPr>
          <w:p>
            <w:pPr>
              <w:spacing w:line="240" w:lineRule="auto" w:before="0" w:after="0"/>
              <w:pStyle w:val="Compact"/>
            </w:pPr>
            <w:r>
              <w:rPr>
                <w:sz w:val="20"/>
                <w:szCs w:val="20"/>
              </w:rPr>
              <w:t xml:space="preserve">ASA</w:t>
            </w:r>
          </w:p>
        </w:tc>
        <w:tc>
          <w:tcPr>
            <w:tcW w:w="0" w:type="auto"/>
          </w:tcPr>
          <w:p>
            <w:pPr>
              <w:spacing w:line="240" w:lineRule="auto" w:before="0" w:after="0"/>
              <w:pStyle w:val="Compact"/>
            </w:pPr>
            <w:r>
              <w:rPr>
                <w:sz w:val="20"/>
                <w:szCs w:val="20"/>
              </w:rPr>
              <w:t xml:space="preserve">Australia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Australian Space Agency Charter, industry.gov.au/australian-space-agency, established 1 July 2018</w:t>
            </w:r>
          </w:p>
        </w:tc>
      </w:tr>
      <w:tr>
        <w:tc>
          <w:tcPr>
            <w:tcW w:w="0" w:type="auto"/>
          </w:tcPr>
          <w:p>
            <w:pPr>
              <w:spacing w:line="240" w:lineRule="auto" w:before="0" w:after="0"/>
              <w:pStyle w:val="Compact"/>
            </w:pPr>
            <w:r>
              <w:rPr>
                <w:sz w:val="20"/>
                <w:szCs w:val="20"/>
              </w:rPr>
              <w:t xml:space="preserve">UAESA</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UAE Space Agency Federal Law 1 of 2014, space.gov.ae</w:t>
            </w:r>
          </w:p>
        </w:tc>
      </w:tr>
      <w:tr>
        <w:tc>
          <w:tcPr>
            <w:tcW w:w="0" w:type="auto"/>
          </w:tcPr>
          <w:p>
            <w:pPr>
              <w:spacing w:line="240" w:lineRule="auto" w:before="0" w:after="0"/>
              <w:pStyle w:val="Compact"/>
            </w:pPr>
            <w:r>
              <w:rPr>
                <w:sz w:val="20"/>
                <w:szCs w:val="20"/>
              </w:rPr>
              <w:t xml:space="preserve">TUA</w:t>
            </w:r>
          </w:p>
        </w:tc>
        <w:tc>
          <w:tcPr>
            <w:tcW w:w="0" w:type="auto"/>
          </w:tcPr>
          <w:p>
            <w:pPr>
              <w:spacing w:line="240" w:lineRule="auto" w:before="0" w:after="0"/>
              <w:pStyle w:val="Compact"/>
            </w:pPr>
            <w:r>
              <w:rPr>
                <w:sz w:val="20"/>
                <w:szCs w:val="20"/>
              </w:rPr>
              <w:t xml:space="preserve">Turkey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Turkish Space Agency Presidential Decree 23, 13 December 2018, tua.gov.tr</w:t>
            </w:r>
          </w:p>
        </w:tc>
      </w:tr>
      <w:tr>
        <w:tc>
          <w:tcPr>
            <w:tcW w:w="0" w:type="auto"/>
          </w:tcPr>
          <w:p>
            <w:pPr>
              <w:spacing w:line="240" w:lineRule="auto" w:before="0" w:after="0"/>
              <w:pStyle w:val="Compact"/>
            </w:pPr>
            <w:r>
              <w:rPr>
                <w:sz w:val="20"/>
                <w:szCs w:val="20"/>
              </w:rPr>
              <w:t xml:space="preserve">LSA</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Luxembourg Space Agency founding, space-agency.public.lu, established September 2018</w:t>
            </w:r>
          </w:p>
        </w:tc>
      </w:tr>
      <w:tr>
        <w:tc>
          <w:tcPr>
            <w:tcW w:w="0" w:type="auto"/>
          </w:tcPr>
          <w:p>
            <w:pPr>
              <w:spacing w:line="240" w:lineRule="auto" w:before="0" w:after="0"/>
              <w:pStyle w:val="Compact"/>
            </w:pPr>
            <w:r>
              <w:rPr>
                <w:sz w:val="20"/>
                <w:szCs w:val="20"/>
              </w:rPr>
              <w:t xml:space="preserve">POSA</w:t>
            </w:r>
          </w:p>
        </w:tc>
        <w:tc>
          <w:tcPr>
            <w:tcW w:w="0" w:type="auto"/>
          </w:tcPr>
          <w:p>
            <w:pPr>
              <w:spacing w:line="240" w:lineRule="auto" w:before="0" w:after="0"/>
              <w:pStyle w:val="Compact"/>
            </w:pPr>
            <w:r>
              <w:rPr>
                <w:sz w:val="20"/>
                <w:szCs w:val="20"/>
              </w:rPr>
              <w:t xml:space="preserve">Portugal</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Portuguese Space Agency Decree-Law 16/2019, ptspace.pt</w:t>
            </w:r>
          </w:p>
        </w:tc>
      </w:tr>
      <w:tr>
        <w:tc>
          <w:tcPr>
            <w:tcW w:w="0" w:type="auto"/>
          </w:tcPr>
          <w:p>
            <w:pPr>
              <w:spacing w:line="240" w:lineRule="auto" w:before="0" w:after="0"/>
              <w:pStyle w:val="Compact"/>
            </w:pPr>
            <w:r>
              <w:rPr>
                <w:sz w:val="20"/>
                <w:szCs w:val="20"/>
              </w:rPr>
              <w:t xml:space="preserve">PSA</w:t>
            </w:r>
          </w:p>
        </w:tc>
        <w:tc>
          <w:tcPr>
            <w:tcW w:w="0" w:type="auto"/>
          </w:tcPr>
          <w:p>
            <w:pPr>
              <w:spacing w:line="240" w:lineRule="auto" w:before="0" w:after="0"/>
              <w:pStyle w:val="Compact"/>
            </w:pPr>
            <w:r>
              <w:rPr>
                <w:sz w:val="20"/>
                <w:szCs w:val="20"/>
              </w:rPr>
              <w:t xml:space="preserve">Poland</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Polish Space Agency Act 26 September 2014, polsa.gov.pl</w:t>
            </w:r>
          </w:p>
        </w:tc>
      </w:tr>
      <w:tr>
        <w:tc>
          <w:tcPr>
            <w:tcW w:w="0" w:type="auto"/>
          </w:tcPr>
          <w:p>
            <w:pPr>
              <w:spacing w:line="240" w:lineRule="auto" w:before="0" w:after="0"/>
              <w:pStyle w:val="Compact"/>
            </w:pPr>
            <w:r>
              <w:rPr>
                <w:sz w:val="20"/>
                <w:szCs w:val="20"/>
              </w:rPr>
              <w:t xml:space="preserve">GSA</w:t>
            </w:r>
          </w:p>
        </w:tc>
        <w:tc>
          <w:tcPr>
            <w:tcW w:w="0" w:type="auto"/>
          </w:tcPr>
          <w:p>
            <w:pPr>
              <w:spacing w:line="240" w:lineRule="auto" w:before="0" w:after="0"/>
              <w:pStyle w:val="Compact"/>
            </w:pPr>
            <w:r>
              <w:rPr>
                <w:sz w:val="20"/>
                <w:szCs w:val="20"/>
              </w:rPr>
              <w:t xml:space="preserve">Greece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Hellenic Space Center Law 4514/2018</w:t>
            </w:r>
          </w:p>
        </w:tc>
      </w:tr>
      <w:tr>
        <w:tc>
          <w:tcPr>
            <w:tcW w:w="0" w:type="auto"/>
          </w:tcPr>
          <w:p>
            <w:pPr>
              <w:spacing w:line="240" w:lineRule="auto" w:before="0" w:after="0"/>
              <w:pStyle w:val="Compact"/>
            </w:pPr>
            <w:r>
              <w:rPr>
                <w:sz w:val="20"/>
                <w:szCs w:val="20"/>
              </w:rPr>
              <w:t xml:space="preserve">BSA</w:t>
            </w:r>
          </w:p>
        </w:tc>
        <w:tc>
          <w:tcPr>
            <w:tcW w:w="0" w:type="auto"/>
          </w:tcPr>
          <w:p>
            <w:pPr>
              <w:spacing w:line="240" w:lineRule="auto" w:before="0" w:after="0"/>
              <w:pStyle w:val="Compact"/>
            </w:pPr>
            <w:r>
              <w:rPr>
                <w:sz w:val="20"/>
                <w:szCs w:val="20"/>
              </w:rPr>
              <w:t xml:space="preserve">Bahrain</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Bahrain National Space Science Agency founded 2014, nssa.gov.bh</w:t>
            </w:r>
          </w:p>
        </w:tc>
      </w:tr>
      <w:tr>
        <w:tc>
          <w:tcPr>
            <w:tcW w:w="0" w:type="auto"/>
          </w:tcPr>
          <w:p>
            <w:pPr>
              <w:spacing w:line="240" w:lineRule="auto" w:before="0" w:after="0"/>
              <w:pStyle w:val="Compact"/>
            </w:pPr>
            <w:r>
              <w:rPr>
                <w:sz w:val="20"/>
                <w:szCs w:val="20"/>
              </w:rPr>
              <w:t xml:space="preserve">KSA</w:t>
            </w:r>
          </w:p>
        </w:tc>
        <w:tc>
          <w:tcPr>
            <w:tcW w:w="0" w:type="auto"/>
          </w:tcPr>
          <w:p>
            <w:pPr>
              <w:spacing w:line="240" w:lineRule="auto" w:before="0" w:after="0"/>
              <w:pStyle w:val="Compact"/>
            </w:pPr>
            <w:r>
              <w:rPr>
                <w:sz w:val="20"/>
                <w:szCs w:val="20"/>
              </w:rPr>
              <w:t xml:space="preserve">Kenya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Kenya Space Agency Executive Order No. 1 of 2017</w:t>
            </w:r>
          </w:p>
        </w:tc>
      </w:tr>
      <w:tr>
        <w:tc>
          <w:tcPr>
            <w:tcW w:w="0" w:type="auto"/>
          </w:tcPr>
          <w:p>
            <w:pPr>
              <w:spacing w:line="240" w:lineRule="auto" w:before="0" w:after="0"/>
              <w:pStyle w:val="Compact"/>
            </w:pPr>
            <w:r>
              <w:rPr>
                <w:sz w:val="20"/>
                <w:szCs w:val="20"/>
              </w:rPr>
              <w:t xml:space="preserve">RSA</w:t>
            </w:r>
          </w:p>
        </w:tc>
        <w:tc>
          <w:tcPr>
            <w:tcW w:w="0" w:type="auto"/>
          </w:tcPr>
          <w:p>
            <w:pPr>
              <w:spacing w:line="240" w:lineRule="auto" w:before="0" w:after="0"/>
              <w:pStyle w:val="Compact"/>
            </w:pPr>
            <w:r>
              <w:rPr>
                <w:sz w:val="20"/>
                <w:szCs w:val="20"/>
              </w:rPr>
              <w:t xml:space="preserve">Rwanda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Rwanda Space Agency Law No. 003/2020, rsa.rw</w:t>
            </w:r>
          </w:p>
        </w:tc>
      </w:tr>
      <w:tr>
        <w:tc>
          <w:tcPr>
            <w:tcW w:w="0" w:type="auto"/>
          </w:tcPr>
          <w:p>
            <w:pPr>
              <w:spacing w:line="240" w:lineRule="auto" w:before="0" w:after="0"/>
              <w:pStyle w:val="Compact"/>
            </w:pPr>
            <w:r>
              <w:rPr>
                <w:sz w:val="20"/>
                <w:szCs w:val="20"/>
              </w:rPr>
              <w:t xml:space="preserve">NSA</w:t>
            </w:r>
          </w:p>
        </w:tc>
        <w:tc>
          <w:tcPr>
            <w:tcW w:w="0" w:type="auto"/>
          </w:tcPr>
          <w:p>
            <w:pPr>
              <w:spacing w:line="240" w:lineRule="auto" w:before="0" w:after="0"/>
              <w:pStyle w:val="Compact"/>
            </w:pPr>
            <w:r>
              <w:rPr>
                <w:sz w:val="20"/>
                <w:szCs w:val="20"/>
              </w:rPr>
              <w:t xml:space="preserve">Nigeria</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National Space Research and Development Agency Act 2001, nasrda.gov.ng</w:t>
            </w:r>
          </w:p>
        </w:tc>
      </w:tr>
      <w:tr>
        <w:tc>
          <w:tcPr>
            <w:tcW w:w="0" w:type="auto"/>
          </w:tcPr>
          <w:p>
            <w:pPr>
              <w:spacing w:line="240" w:lineRule="auto" w:before="0" w:after="0"/>
              <w:pStyle w:val="Compact"/>
            </w:pPr>
            <w:r>
              <w:rPr>
                <w:sz w:val="20"/>
                <w:szCs w:val="20"/>
              </w:rPr>
              <w:t xml:space="preserve">ESAG</w:t>
            </w:r>
          </w:p>
        </w:tc>
        <w:tc>
          <w:tcPr>
            <w:tcW w:w="0" w:type="auto"/>
          </w:tcPr>
          <w:p>
            <w:pPr>
              <w:spacing w:line="240" w:lineRule="auto" w:before="0" w:after="0"/>
              <w:pStyle w:val="Compact"/>
            </w:pPr>
            <w:r>
              <w:rPr>
                <w:sz w:val="20"/>
                <w:szCs w:val="20"/>
              </w:rPr>
              <w:t xml:space="preserve">Egypt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Egyptian Space Agency Law 3 of 2018, egsa.gov.eg</w:t>
            </w:r>
          </w:p>
        </w:tc>
      </w:tr>
      <w:tr>
        <w:tc>
          <w:tcPr>
            <w:tcW w:w="0" w:type="auto"/>
          </w:tcPr>
          <w:p>
            <w:pPr>
              <w:spacing w:line="240" w:lineRule="auto" w:before="0" w:after="0"/>
              <w:pStyle w:val="Compact"/>
            </w:pPr>
            <w:r>
              <w:rPr>
                <w:sz w:val="20"/>
                <w:szCs w:val="20"/>
              </w:rPr>
              <w:t xml:space="preserve">ASAL</w:t>
            </w:r>
          </w:p>
        </w:tc>
        <w:tc>
          <w:tcPr>
            <w:tcW w:w="0" w:type="auto"/>
          </w:tcPr>
          <w:p>
            <w:pPr>
              <w:spacing w:line="240" w:lineRule="auto" w:before="0" w:after="0"/>
              <w:pStyle w:val="Compact"/>
            </w:pPr>
            <w:r>
              <w:rPr>
                <w:sz w:val="20"/>
                <w:szCs w:val="20"/>
              </w:rPr>
              <w:t xml:space="preserve">Algeria</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Algerian Space Agency Presidential Decree 02-48 of 2002, asal.dz</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Mexico</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Agencia Espacial Mexicana Law 30 July 2010, gob.mx/aem</w:t>
            </w:r>
          </w:p>
        </w:tc>
      </w:tr>
      <w:tr>
        <w:tc>
          <w:tcPr>
            <w:tcW w:w="0" w:type="auto"/>
          </w:tcPr>
          <w:p>
            <w:pPr>
              <w:spacing w:line="240" w:lineRule="auto" w:before="0" w:after="0"/>
              <w:pStyle w:val="Compact"/>
            </w:pPr>
            <w:r>
              <w:rPr>
                <w:sz w:val="20"/>
                <w:szCs w:val="20"/>
              </w:rPr>
              <w:t xml:space="preserve">BCRSAT</w:t>
            </w:r>
          </w:p>
        </w:tc>
        <w:tc>
          <w:tcPr>
            <w:tcW w:w="0" w:type="auto"/>
          </w:tcPr>
          <w:p>
            <w:pPr>
              <w:spacing w:line="240" w:lineRule="auto" w:before="0" w:after="0"/>
              <w:pStyle w:val="Compact"/>
            </w:pPr>
            <w:r>
              <w:rPr>
                <w:sz w:val="20"/>
                <w:szCs w:val="20"/>
              </w:rPr>
              <w:t xml:space="preserve">Bolivia</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Agencia Boliviana Espacial Supreme Decree 423, 2010</w:t>
            </w:r>
          </w:p>
        </w:tc>
      </w:tr>
      <w:tr>
        <w:tc>
          <w:tcPr>
            <w:tcW w:w="0" w:type="auto"/>
          </w:tcPr>
          <w:p>
            <w:pPr>
              <w:spacing w:line="240" w:lineRule="auto" w:before="0" w:after="0"/>
              <w:pStyle w:val="Compact"/>
            </w:pPr>
            <w:r>
              <w:rPr>
                <w:sz w:val="20"/>
                <w:szCs w:val="20"/>
              </w:rPr>
              <w:t xml:space="preserve">PER</w:t>
            </w:r>
          </w:p>
        </w:tc>
        <w:tc>
          <w:tcPr>
            <w:tcW w:w="0" w:type="auto"/>
          </w:tcPr>
          <w:p>
            <w:pPr>
              <w:spacing w:line="240" w:lineRule="auto" w:before="0" w:after="0"/>
              <w:pStyle w:val="Compact"/>
            </w:pPr>
            <w:r>
              <w:rPr>
                <w:sz w:val="20"/>
                <w:szCs w:val="20"/>
              </w:rPr>
              <w:t xml:space="preserve">Peru</w:t>
            </w:r>
          </w:p>
        </w:tc>
        <w:tc>
          <w:tcPr>
            <w:tcW w:w="0" w:type="auto"/>
          </w:tcPr>
          <w:p>
            <w:pPr>
              <w:spacing w:line="240" w:lineRule="auto" w:before="0" w:after="0"/>
              <w:pStyle w:val="Compact"/>
            </w:pPr>
            <w:r>
              <w:rPr>
                <w:sz w:val="20"/>
                <w:szCs w:val="20"/>
              </w:rPr>
              <w:t xml:space="preserve">1974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CONIDA founded 1974 [illustrative pre-2000 control]</w:t>
            </w:r>
          </w:p>
        </w:tc>
      </w:tr>
      <w:tr>
        <w:tc>
          <w:tcPr>
            <w:tcW w:w="0" w:type="auto"/>
          </w:tcPr>
          <w:p>
            <w:pPr>
              <w:spacing w:line="240" w:lineRule="auto" w:before="0" w:after="0"/>
              <w:pStyle w:val="Compact"/>
            </w:pPr>
            <w:r>
              <w:rPr>
                <w:sz w:val="20"/>
                <w:szCs w:val="20"/>
              </w:rPr>
              <w:t xml:space="preserve">COSTA</w:t>
            </w:r>
          </w:p>
        </w:tc>
        <w:tc>
          <w:tcPr>
            <w:tcW w:w="0" w:type="auto"/>
          </w:tcPr>
          <w:p>
            <w:pPr>
              <w:spacing w:line="240" w:lineRule="auto" w:before="0" w:after="0"/>
              <w:pStyle w:val="Compact"/>
            </w:pPr>
            <w:r>
              <w:rPr>
                <w:sz w:val="20"/>
                <w:szCs w:val="20"/>
              </w:rPr>
              <w:t xml:space="preserve">Costa Rica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Agencia Espacial Costarricense Law 10072 of 2021</w:t>
            </w:r>
          </w:p>
        </w:tc>
      </w:tr>
      <w:tr>
        <w:tc>
          <w:tcPr>
            <w:tcW w:w="0" w:type="auto"/>
          </w:tcPr>
          <w:p>
            <w:pPr>
              <w:spacing w:line="240" w:lineRule="auto" w:before="0" w:after="0"/>
              <w:pStyle w:val="Compact"/>
            </w:pPr>
            <w:r>
              <w:rPr>
                <w:sz w:val="20"/>
                <w:szCs w:val="20"/>
              </w:rPr>
              <w:t xml:space="preserve">PHIL</w:t>
            </w:r>
          </w:p>
        </w:tc>
        <w:tc>
          <w:tcPr>
            <w:tcW w:w="0" w:type="auto"/>
          </w:tcPr>
          <w:p>
            <w:pPr>
              <w:spacing w:line="240" w:lineRule="auto" w:before="0" w:after="0"/>
              <w:pStyle w:val="Compact"/>
            </w:pPr>
            <w:r>
              <w:rPr>
                <w:sz w:val="20"/>
                <w:szCs w:val="20"/>
              </w:rPr>
              <w:t xml:space="preserve">Philippines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Philippine Space Agency Republic Act 11363 of 8 August 2019</w:t>
            </w:r>
          </w:p>
        </w:tc>
      </w:tr>
      <w:tr>
        <w:tc>
          <w:tcPr>
            <w:tcW w:w="0" w:type="auto"/>
          </w:tcPr>
          <w:p>
            <w:pPr>
              <w:spacing w:line="240" w:lineRule="auto" w:before="0" w:after="0"/>
              <w:pStyle w:val="Compact"/>
            </w:pPr>
            <w:r>
              <w:rPr>
                <w:sz w:val="20"/>
                <w:szCs w:val="20"/>
              </w:rPr>
              <w:t xml:space="preserve">ZIM</w:t>
            </w:r>
          </w:p>
        </w:tc>
        <w:tc>
          <w:tcPr>
            <w:tcW w:w="0" w:type="auto"/>
          </w:tcPr>
          <w:p>
            <w:pPr>
              <w:spacing w:line="240" w:lineRule="auto" w:before="0" w:after="0"/>
              <w:pStyle w:val="Compact"/>
            </w:pPr>
            <w:r>
              <w:rPr>
                <w:sz w:val="20"/>
                <w:szCs w:val="20"/>
              </w:rPr>
              <w:t xml:space="preserve">Zimbabwe</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Zimbabwe National Geospatial and Space Agency Act 2018</w:t>
            </w:r>
          </w:p>
        </w:tc>
      </w:tr>
      <w:tr>
        <w:tc>
          <w:tcPr>
            <w:tcW w:w="0" w:type="auto"/>
          </w:tcPr>
          <w:p>
            <w:pPr>
              <w:spacing w:line="240" w:lineRule="auto" w:before="0" w:after="0"/>
              <w:pStyle w:val="Compact"/>
            </w:pPr>
            <w:r>
              <w:rPr>
                <w:sz w:val="20"/>
                <w:szCs w:val="20"/>
              </w:rPr>
              <w:t xml:space="preserve">ETHSA</w:t>
            </w:r>
          </w:p>
        </w:tc>
        <w:tc>
          <w:tcPr>
            <w:tcW w:w="0" w:type="auto"/>
          </w:tcPr>
          <w:p>
            <w:pPr>
              <w:spacing w:line="240" w:lineRule="auto" w:before="0" w:after="0"/>
              <w:pStyle w:val="Compact"/>
            </w:pPr>
            <w:r>
              <w:rPr>
                <w:sz w:val="20"/>
                <w:szCs w:val="20"/>
              </w:rPr>
              <w:t xml:space="preserve">Ethiopia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Ethiopian Space Science and Technology Institute Proclamation 954/2016</w:t>
            </w:r>
          </w:p>
        </w:tc>
      </w:tr>
      <w:tr>
        <w:tc>
          <w:tcPr>
            <w:tcW w:w="0" w:type="auto"/>
          </w:tcPr>
          <w:p>
            <w:pPr>
              <w:spacing w:line="240" w:lineRule="auto" w:before="0" w:after="0"/>
              <w:pStyle w:val="Compact"/>
            </w:pPr>
            <w:r>
              <w:rPr>
                <w:sz w:val="20"/>
                <w:szCs w:val="20"/>
              </w:rPr>
              <w:t xml:space="preserve">ANGSA</w:t>
            </w:r>
          </w:p>
        </w:tc>
        <w:tc>
          <w:tcPr>
            <w:tcW w:w="0" w:type="auto"/>
          </w:tcPr>
          <w:p>
            <w:pPr>
              <w:spacing w:line="240" w:lineRule="auto" w:before="0" w:after="0"/>
              <w:pStyle w:val="Compact"/>
            </w:pPr>
            <w:r>
              <w:rPr>
                <w:sz w:val="20"/>
                <w:szCs w:val="20"/>
              </w:rPr>
              <w:t xml:space="preserve">Angola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Gabinete de Gestao do Programa Espacial Nacional Decree 196/13 of 2013</w:t>
            </w:r>
          </w:p>
        </w:tc>
      </w:tr>
      <w:tr>
        <w:tc>
          <w:tcPr>
            <w:tcW w:w="0" w:type="auto"/>
          </w:tcPr>
          <w:p>
            <w:pPr>
              <w:spacing w:line="240" w:lineRule="auto" w:before="0" w:after="0"/>
              <w:pStyle w:val="Compact"/>
            </w:pPr>
            <w:r>
              <w:rPr>
                <w:sz w:val="20"/>
                <w:szCs w:val="20"/>
              </w:rPr>
              <w:t xml:space="preserve">SAU</w:t>
            </w:r>
          </w:p>
        </w:tc>
        <w:tc>
          <w:tcPr>
            <w:tcW w:w="0" w:type="auto"/>
          </w:tcPr>
          <w:p>
            <w:pPr>
              <w:spacing w:line="240" w:lineRule="auto" w:before="0" w:after="0"/>
              <w:pStyle w:val="Compact"/>
            </w:pPr>
            <w:r>
              <w:rPr>
                <w:sz w:val="20"/>
                <w:szCs w:val="20"/>
              </w:rPr>
              <w:t xml:space="preserve">Saudi Arabia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Saudi Space Commission Royal Decree A/421 of 2018, ssa.gov.sa</w:t>
            </w:r>
          </w:p>
        </w:tc>
      </w:tr>
      <w:tr>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Oman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Oman National Space Programme Royal Decree 124/2020</w:t>
            </w:r>
          </w:p>
        </w:tc>
      </w:tr>
      <w:tr>
        <w:tc>
          <w:tcPr>
            <w:tcW w:w="0" w:type="auto"/>
          </w:tcPr>
          <w:p>
            <w:pPr>
              <w:spacing w:line="240" w:lineRule="auto" w:before="0" w:after="0"/>
              <w:pStyle w:val="Compact"/>
            </w:pPr>
            <w:r>
              <w:rPr>
                <w:sz w:val="20"/>
                <w:szCs w:val="20"/>
              </w:rPr>
              <w:t xml:space="preserve">DSA</w:t>
            </w:r>
          </w:p>
        </w:tc>
        <w:tc>
          <w:tcPr>
            <w:tcW w:w="0" w:type="auto"/>
          </w:tcPr>
          <w:p>
            <w:pPr>
              <w:spacing w:line="240" w:lineRule="auto" w:before="0" w:after="0"/>
              <w:pStyle w:val="Compact"/>
            </w:pPr>
            <w:r>
              <w:rPr>
                <w:sz w:val="20"/>
                <w:szCs w:val="20"/>
              </w:rPr>
              <w:t xml:space="preserve">Denmark</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Danish Agency for Higher Education and Science Space Office consolidated 2014</w:t>
            </w:r>
          </w:p>
        </w:tc>
      </w:tr>
      <w:tr>
        <w:tc>
          <w:tcPr>
            <w:tcW w:w="0" w:type="auto"/>
          </w:tcPr>
          <w:p>
            <w:pPr>
              <w:spacing w:line="240" w:lineRule="auto" w:before="0" w:after="0"/>
              <w:pStyle w:val="Compact"/>
            </w:pPr>
            <w:r>
              <w:rPr>
                <w:sz w:val="20"/>
                <w:szCs w:val="20"/>
              </w:rPr>
              <w:t xml:space="preserve">NZSA</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New Zealand Space Agency MBIE establishment April 2016, mbie.govt.nz</w:t>
            </w:r>
          </w:p>
        </w:tc>
      </w:tr>
      <w:tr>
        <w:tc>
          <w:tcPr>
            <w:tcW w:w="0" w:type="auto"/>
          </w:tcPr>
          <w:p>
            <w:pPr>
              <w:spacing w:line="240" w:lineRule="auto" w:before="0" w:after="0"/>
              <w:pStyle w:val="Compact"/>
            </w:pPr>
            <w:r>
              <w:rPr>
                <w:sz w:val="20"/>
                <w:szCs w:val="20"/>
              </w:rPr>
              <w:t xml:space="preserve">ROM</w:t>
            </w:r>
          </w:p>
        </w:tc>
        <w:tc>
          <w:tcPr>
            <w:tcW w:w="0" w:type="auto"/>
          </w:tcPr>
          <w:p>
            <w:pPr>
              <w:spacing w:line="240" w:lineRule="auto" w:before="0" w:after="0"/>
              <w:pStyle w:val="Compact"/>
            </w:pPr>
            <w:r>
              <w:rPr>
                <w:sz w:val="20"/>
                <w:szCs w:val="20"/>
              </w:rPr>
              <w:t xml:space="preserve">Romania</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ROSA Government Decision 923/1995 [illustrative pre-2000 control]</w:t>
            </w:r>
          </w:p>
        </w:tc>
      </w:tr>
      <w:tr>
        <w:tc>
          <w:tcPr>
            <w:tcW w:w="0" w:type="auto"/>
          </w:tcPr>
          <w:p>
            <w:pPr>
              <w:spacing w:line="240" w:lineRule="auto" w:before="0" w:after="0"/>
              <w:pStyle w:val="Compact"/>
            </w:pPr>
            <w:r>
              <w:rPr>
                <w:sz w:val="20"/>
                <w:szCs w:val="20"/>
              </w:rPr>
              <w:t xml:space="preserve">PAR</w:t>
            </w:r>
          </w:p>
        </w:tc>
        <w:tc>
          <w:tcPr>
            <w:tcW w:w="0" w:type="auto"/>
          </w:tcPr>
          <w:p>
            <w:pPr>
              <w:spacing w:line="240" w:lineRule="auto" w:before="0" w:after="0"/>
              <w:pStyle w:val="Compact"/>
            </w:pPr>
            <w:r>
              <w:rPr>
                <w:sz w:val="20"/>
                <w:szCs w:val="20"/>
              </w:rPr>
              <w:t xml:space="preserve">Paraguay</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Agencia Espacial del Paraguay Law 5151 of 2014</w:t>
            </w:r>
          </w:p>
        </w:tc>
      </w:tr>
      <w:tr>
        <w:tc>
          <w:tcPr>
            <w:tcW w:w="0" w:type="auto"/>
          </w:tcPr>
          <w:p>
            <w:pPr>
              <w:spacing w:line="240" w:lineRule="auto" w:before="0" w:after="0"/>
              <w:pStyle w:val="Compact"/>
            </w:pPr>
            <w:r>
              <w:rPr>
                <w:sz w:val="20"/>
                <w:szCs w:val="20"/>
              </w:rPr>
              <w:t xml:space="preserve">COL</w:t>
            </w:r>
          </w:p>
        </w:tc>
        <w:tc>
          <w:tcPr>
            <w:tcW w:w="0" w:type="auto"/>
          </w:tcPr>
          <w:p>
            <w:pPr>
              <w:spacing w:line="240" w:lineRule="auto" w:before="0" w:after="0"/>
              <w:pStyle w:val="Compact"/>
            </w:pPr>
            <w:r>
              <w:rPr>
                <w:sz w:val="20"/>
                <w:szCs w:val="20"/>
              </w:rPr>
              <w:t xml:space="preserve">Colombia</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Comision Colombiana del Espacio Decree 2442 of 2006</w:t>
            </w:r>
          </w:p>
        </w:tc>
      </w:tr>
      <w:tr>
        <w:tc>
          <w:tcPr>
            <w:tcW w:w="0" w:type="auto"/>
          </w:tcPr>
          <w:p>
            <w:pPr>
              <w:spacing w:line="240" w:lineRule="auto" w:before="0" w:after="0"/>
              <w:pStyle w:val="Compact"/>
            </w:pPr>
            <w:r>
              <w:rPr>
                <w:sz w:val="20"/>
                <w:szCs w:val="20"/>
              </w:rPr>
              <w:t xml:space="preserve">INDOZ</w:t>
            </w:r>
          </w:p>
        </w:tc>
        <w:tc>
          <w:tcPr>
            <w:tcW w:w="0" w:type="auto"/>
          </w:tcPr>
          <w:p>
            <w:pPr>
              <w:spacing w:line="240" w:lineRule="auto" w:before="0" w:after="0"/>
              <w:pStyle w:val="Compact"/>
            </w:pPr>
            <w:r>
              <w:rPr>
                <w:sz w:val="20"/>
                <w:szCs w:val="20"/>
              </w:rPr>
              <w:t xml:space="preserve">Indonesia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LAPAN Law 21 of 2013 reform, lapan.go.id (succeeded by BRIN 2021)</w:t>
            </w:r>
          </w:p>
        </w:tc>
      </w:tr>
    </w:tbl>
    <w:bookmarkEnd w:id="181"/>
    <w:bookmarkStart w:id="182"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adopted_template</w:t>
            </w:r>
          </w:p>
        </w:tc>
        <w:tc>
          <w:tcPr>
            <w:tcW w:w="0" w:type="auto"/>
          </w:tcPr>
          <w:p>
            <w:pPr>
              <w:spacing w:line="240" w:lineRule="auto" w:before="0" w:after="0"/>
              <w:pStyle w:val="Compact"/>
            </w:pPr>
            <w:r>
              <w:rPr>
                <w:sz w:val="20"/>
                <w:szCs w:val="20"/>
              </w:rPr>
              <w:t xml:space="preserve">Binary: 1 if the agency’s founding charter and first organization chart adopt the incumbent program-office template (independent agency with mission directorates, separate acquisition pathway, and external advisory council), 0 otherwise.</w:t>
            </w:r>
          </w:p>
        </w:tc>
        <w:tc>
          <w:tcPr>
            <w:tcW w:w="0" w:type="auto"/>
          </w:tcPr>
          <w:p>
            <w:pPr>
              <w:spacing w:line="240" w:lineRule="auto" w:before="0" w:after="0"/>
              <w:pStyle w:val="Compact"/>
            </w:pPr>
            <w:r>
              <w:rPr>
                <w:sz w:val="20"/>
                <w:szCs w:val="20"/>
              </w:rPr>
              <w:t xml:space="preserve">Coded from agency founding charters and organic statutes (public)</w:t>
            </w:r>
          </w:p>
        </w:tc>
      </w:tr>
      <w:tr>
        <w:tc>
          <w:tcPr>
            <w:tcW w:w="0" w:type="auto"/>
          </w:tcPr>
          <w:p>
            <w:pPr>
              <w:spacing w:line="240" w:lineRule="auto" w:before="0" w:after="0"/>
              <w:pStyle w:val="Compact"/>
            </w:pPr>
            <w:r>
              <w:rPr>
                <w:sz w:val="20"/>
                <w:szCs w:val="20"/>
              </w:rPr>
              <w:t xml:space="preserve">patronage_tie</w:t>
            </w:r>
          </w:p>
        </w:tc>
        <w:tc>
          <w:tcPr>
            <w:tcW w:w="0" w:type="auto"/>
          </w:tcPr>
          <w:p>
            <w:pPr>
              <w:spacing w:line="240" w:lineRule="auto" w:before="0" w:after="0"/>
              <w:pStyle w:val="Compact"/>
            </w:pPr>
            <w:r>
              <w:rPr>
                <w:sz w:val="20"/>
                <w:szCs w:val="20"/>
              </w:rPr>
              <w:t xml:space="preserve">Binary: 1 if the agency has a documented bilateral cooperation, training, or capacity-building agreement with NASA, ESA, JAXA, or Roscosmos at or before founding.</w:t>
            </w:r>
          </w:p>
        </w:tc>
        <w:tc>
          <w:tcPr>
            <w:tcW w:w="0" w:type="auto"/>
          </w:tcPr>
          <w:p>
            <w:pPr>
              <w:spacing w:line="240" w:lineRule="auto" w:before="0" w:after="0"/>
              <w:pStyle w:val="Compact"/>
            </w:pPr>
            <w:r>
              <w:rPr>
                <w:sz w:val="20"/>
                <w:szCs w:val="20"/>
              </w:rPr>
              <w:t xml:space="preserve">UNOOSA bilateral agreement registry and agency press releases</w:t>
            </w:r>
          </w:p>
        </w:tc>
      </w:tr>
      <w:tr>
        <w:tc>
          <w:tcPr>
            <w:tcW w:w="0" w:type="auto"/>
          </w:tcPr>
          <w:p>
            <w:pPr>
              <w:spacing w:line="240" w:lineRule="auto" w:before="0" w:after="0"/>
              <w:pStyle w:val="Compact"/>
            </w:pPr>
            <w:r>
              <w:rPr>
                <w:sz w:val="20"/>
                <w:szCs w:val="20"/>
              </w:rPr>
              <w:t xml:space="preserve">years_since_2000</w:t>
            </w:r>
          </w:p>
        </w:tc>
        <w:tc>
          <w:tcPr>
            <w:tcW w:w="0" w:type="auto"/>
          </w:tcPr>
          <w:p>
            <w:pPr>
              <w:spacing w:line="240" w:lineRule="auto" w:before="0" w:after="0"/>
              <w:pStyle w:val="Compact"/>
            </w:pPr>
            <w:r>
              <w:rPr>
                <w:sz w:val="20"/>
                <w:szCs w:val="20"/>
              </w:rPr>
              <w:t xml:space="preserve">Founding year minus 2000; captures cohort-time variation in available templates.</w:t>
            </w:r>
          </w:p>
        </w:tc>
        <w:tc>
          <w:tcPr>
            <w:tcW w:w="0" w:type="auto"/>
          </w:tcPr>
          <w:p>
            <w:pPr>
              <w:spacing w:line="240" w:lineRule="auto" w:before="0" w:after="0"/>
              <w:pStyle w:val="Compact"/>
            </w:pPr>
            <w:r>
              <w:rPr>
                <w:sz w:val="20"/>
                <w:szCs w:val="20"/>
              </w:rPr>
              <w:t xml:space="preserve">Agency founding statutes</w:t>
            </w:r>
          </w:p>
        </w:tc>
      </w:tr>
      <w:tr>
        <w:tc>
          <w:tcPr>
            <w:tcW w:w="0" w:type="auto"/>
          </w:tcPr>
          <w:p>
            <w:pPr>
              <w:spacing w:line="240" w:lineRule="auto" w:before="0" w:after="0"/>
              <w:pStyle w:val="Compact"/>
            </w:pPr>
            <w:r>
              <w:rPr>
                <w:sz w:val="20"/>
                <w:szCs w:val="20"/>
              </w:rPr>
              <w:t xml:space="preserve">region_dev</w:t>
            </w:r>
          </w:p>
        </w:tc>
        <w:tc>
          <w:tcPr>
            <w:tcW w:w="0" w:type="auto"/>
          </w:tcPr>
          <w:p>
            <w:pPr>
              <w:spacing w:line="240" w:lineRule="auto" w:before="0" w:after="0"/>
              <w:pStyle w:val="Compact"/>
            </w:pPr>
            <w:r>
              <w:rPr>
                <w:sz w:val="20"/>
                <w:szCs w:val="20"/>
              </w:rPr>
              <w:t xml:space="preserve">Binary: 1 if OECD high-income region, 0 otherwise; controls for industrial-base effects on form selection.</w:t>
            </w:r>
          </w:p>
        </w:tc>
        <w:tc>
          <w:tcPr>
            <w:tcW w:w="0" w:type="auto"/>
          </w:tcPr>
          <w:p>
            <w:pPr>
              <w:spacing w:line="240" w:lineRule="auto" w:before="0" w:after="0"/>
              <w:pStyle w:val="Compact"/>
            </w:pPr>
            <w:r>
              <w:rPr>
                <w:sz w:val="20"/>
                <w:szCs w:val="20"/>
              </w:rPr>
              <w:t xml:space="preserve">World Bank income classification, founding-year vintage</w:t>
            </w:r>
          </w:p>
        </w:tc>
      </w:tr>
      <w:tr>
        <w:tc>
          <w:tcPr>
            <w:tcW w:w="0" w:type="auto"/>
          </w:tcPr>
          <w:p>
            <w:pPr>
              <w:spacing w:line="240" w:lineRule="auto" w:before="0" w:after="0"/>
              <w:pStyle w:val="Compact"/>
            </w:pPr>
            <w:r>
              <w:rPr>
                <w:sz w:val="20"/>
                <w:szCs w:val="20"/>
              </w:rPr>
              <w:t xml:space="preserve">prior_space_program</w:t>
            </w:r>
          </w:p>
        </w:tc>
        <w:tc>
          <w:tcPr>
            <w:tcW w:w="0" w:type="auto"/>
          </w:tcPr>
          <w:p>
            <w:pPr>
              <w:spacing w:line="240" w:lineRule="auto" w:before="0" w:after="0"/>
              <w:pStyle w:val="Compact"/>
            </w:pPr>
            <w:r>
              <w:rPr>
                <w:sz w:val="20"/>
                <w:szCs w:val="20"/>
              </w:rPr>
              <w:t xml:space="preserve">Binary: 1 if the host nation operated a substantive pre-existing space program (national satellite, launcher, or research institute) before the new agency was chartered.</w:t>
            </w:r>
          </w:p>
        </w:tc>
        <w:tc>
          <w:tcPr>
            <w:tcW w:w="0" w:type="auto"/>
          </w:tcPr>
          <w:p>
            <w:pPr>
              <w:spacing w:line="240" w:lineRule="auto" w:before="0" w:after="0"/>
              <w:pStyle w:val="Compact"/>
            </w:pPr>
            <w:r>
              <w:rPr>
                <w:sz w:val="20"/>
                <w:szCs w:val="20"/>
              </w:rPr>
              <w:t xml:space="preserve">UNOOSA national space program inventory</w:t>
            </w:r>
          </w:p>
        </w:tc>
      </w:tr>
    </w:tbl>
    <w:bookmarkEnd w:id="182"/>
    <w:bookmarkEnd w:id="183"/>
    <w:bookmarkStart w:id="191" w:name="Xbb21e8dc837dbc5898241b24697e290b3f45103"/>
    <w:p>
      <w:pPr>
        <w:pStyle w:val="Heading2"/>
        <w:spacing w:line="480" w:lineRule="auto"/>
      </w:pPr>
      <w:r>
        <w:t xml:space="preserve">A.2 Mimetic Drag on Cost Performance: An OLS Test of Template Tenure and Patronage-Tie Strength in Cross-Agency Space Programs</w:t>
      </w:r>
    </w:p>
    <w:p>
      <w:pPr>
        <w:pStyle w:val="FirstParagraph"/>
        <w:spacing w:line="480" w:lineRule="auto"/>
      </w:pPr>
      <m:oMathPara>
        <m:oMathParaPr>
          <m:jc m:val="center"/>
        </m:oMathParaPr>
        <m:oMath>
          <m:sSub>
            <m:e>
              <m:r>
                <m:rPr>
                  <m:nor/>
                  <m:sty m:val="p"/>
                </m:rPr>
                <m:t>cost_growth_pct</m:t>
              </m:r>
            </m:e>
            <m:sub>
              <m:r>
                <m:t>i</m:t>
              </m:r>
            </m:sub>
          </m:sSub>
          <m:r>
            <m:rPr>
              <m:sty m:val="p"/>
            </m:rPr>
            <m:t>=</m:t>
          </m:r>
          <m:sSub>
            <m:e>
              <m:r>
                <m:t>β</m:t>
              </m:r>
            </m:e>
            <m:sub>
              <m:r>
                <m:t>0</m:t>
              </m:r>
            </m:sub>
          </m:sSub>
          <m:r>
            <m:rPr>
              <m:sty m:val="p"/>
            </m:rPr>
            <m:t>+</m:t>
          </m:r>
          <m:sSub>
            <m:e>
              <m:r>
                <m:t>β</m:t>
              </m:r>
            </m:e>
            <m:sub>
              <m:r>
                <m:t>1</m:t>
              </m:r>
            </m:sub>
          </m:sSub>
          <m:sSub>
            <m:e>
              <m:r>
                <m:rPr>
                  <m:nor/>
                  <m:sty m:val="p"/>
                </m:rPr>
                <m:t>years_template</m:t>
              </m:r>
            </m:e>
            <m:sub>
              <m:r>
                <m:t>i</m:t>
              </m:r>
            </m:sub>
          </m:sSub>
          <m:r>
            <m:rPr>
              <m:sty m:val="p"/>
            </m:rPr>
            <m:t>+</m:t>
          </m:r>
          <m:sSub>
            <m:e>
              <m:r>
                <m:t>β</m:t>
              </m:r>
            </m:e>
            <m:sub>
              <m:r>
                <m:t>2</m:t>
              </m:r>
            </m:sub>
          </m:sSub>
          <m:sSub>
            <m:e>
              <m:r>
                <m:rPr>
                  <m:nor/>
                  <m:sty m:val="p"/>
                </m:rPr>
                <m:t>tie_strength</m:t>
              </m:r>
            </m:e>
            <m:sub>
              <m:r>
                <m:t>i</m:t>
              </m:r>
            </m:sub>
          </m:sSub>
          <m:r>
            <m:rPr>
              <m:sty m:val="p"/>
            </m:rPr>
            <m:t>+</m:t>
          </m:r>
          <m:sSub>
            <m:e>
              <m:r>
                <m:t>β</m:t>
              </m:r>
            </m:e>
            <m:sub>
              <m:r>
                <m:t>3</m:t>
              </m:r>
            </m:sub>
          </m:sSub>
          <m:sSub>
            <m:e>
              <m:r>
                <m:rPr>
                  <m:nor/>
                  <m:sty m:val="p"/>
                </m:rPr>
                <m:t>prime_contractor_count</m:t>
              </m:r>
            </m:e>
            <m:sub>
              <m:r>
                <m:t>i</m:t>
              </m:r>
            </m:sub>
          </m:sSub>
          <m:r>
            <m:rPr>
              <m:sty m:val="p"/>
            </m:rPr>
            <m:t>+</m:t>
          </m:r>
          <m:sSub>
            <m:e>
              <m:r>
                <m:t>ε</m:t>
              </m:r>
            </m:e>
            <m:sub>
              <m:r>
                <m:t>i</m:t>
              </m:r>
            </m:sub>
          </m:sSub>
        </m:oMath>
      </m:oMathPara>
    </w:p>
    <w:bookmarkStart w:id="18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-8.9142</w:t>
            </w:r>
          </w:p>
        </w:tc>
        <w:tc>
          <w:tcPr>
            <w:tcW w:w="0" w:type="auto"/>
          </w:tcPr>
          <w:p>
            <w:pPr>
              <w:spacing w:line="240" w:lineRule="auto" w:before="0" w:after="0"/>
              <w:pStyle w:val="Compact"/>
            </w:pPr>
            <w:r>
              <w:rPr>
                <w:sz w:val="20"/>
                <w:szCs w:val="20"/>
              </w:rPr>
              <w:t xml:space="preserve">6.8869</w:t>
            </w:r>
          </w:p>
        </w:tc>
        <w:tc>
          <w:tcPr>
            <w:tcW w:w="0" w:type="auto"/>
          </w:tcPr>
          <w:p>
            <w:pPr>
              <w:spacing w:line="240" w:lineRule="auto" w:before="0" w:after="0"/>
              <w:pStyle w:val="Compact"/>
            </w:pPr>
            <w:r>
              <w:rPr>
                <w:sz w:val="20"/>
                <w:szCs w:val="20"/>
              </w:rPr>
              <w:t xml:space="preserve">-1.2944</w:t>
            </w:r>
          </w:p>
        </w:tc>
        <w:tc>
          <w:tcPr>
            <w:tcW w:w="0" w:type="auto"/>
          </w:tcPr>
          <w:p>
            <w:pPr>
              <w:spacing w:line="240" w:lineRule="auto" w:before="0" w:after="0"/>
              <w:pStyle w:val="Compact"/>
            </w:pPr>
            <w:r>
              <w:rPr>
                <w:sz w:val="20"/>
                <w:szCs w:val="20"/>
              </w:rPr>
              <w:t xml:space="preserve">0.1955</w:t>
            </w:r>
          </w:p>
        </w:tc>
        <w:tc>
          <w:tcPr>
            <w:tcW w:w="0" w:type="auto"/>
          </w:tcPr>
          <w:p>
            <w:pPr>
              <w:spacing w:line="240" w:lineRule="auto" w:before="0" w:after="0"/>
              <w:pStyle w:val="Compact"/>
            </w:pPr>
            <w:r>
              <w:rPr>
                <w:sz w:val="20"/>
                <w:szCs w:val="20"/>
              </w:rPr>
              <w:t xml:space="preserve">[-22.4124, 4.5839]</w:t>
            </w:r>
          </w:p>
        </w:tc>
      </w:tr>
      <w:tr>
        <w:tc>
          <w:tcPr>
            <w:tcW w:w="0" w:type="auto"/>
          </w:tcPr>
          <w:p>
            <w:pPr>
              <w:spacing w:line="240" w:lineRule="auto" w:before="0" w:after="0"/>
              <w:pStyle w:val="Compact"/>
            </w:pPr>
            <w:r>
              <w:rPr>
                <w:sz w:val="20"/>
                <w:szCs w:val="20"/>
              </w:rPr>
              <w:t xml:space="preserve">years_template</w:t>
            </w:r>
          </w:p>
        </w:tc>
        <w:tc>
          <w:tcPr>
            <w:tcW w:w="0" w:type="auto"/>
          </w:tcPr>
          <w:p>
            <w:pPr>
              <w:spacing w:line="240" w:lineRule="auto" w:before="0" w:after="0"/>
              <w:pStyle w:val="Compact"/>
            </w:pPr>
            <w:r>
              <w:rPr>
                <w:sz w:val="20"/>
                <w:szCs w:val="20"/>
              </w:rPr>
              <w:t xml:space="preserve">3.6795</w:t>
            </w:r>
          </w:p>
        </w:tc>
        <w:tc>
          <w:tcPr>
            <w:tcW w:w="0" w:type="auto"/>
          </w:tcPr>
          <w:p>
            <w:pPr>
              <w:spacing w:line="240" w:lineRule="auto" w:before="0" w:after="0"/>
              <w:pStyle w:val="Compact"/>
            </w:pPr>
            <w:r>
              <w:rPr>
                <w:sz w:val="20"/>
                <w:szCs w:val="20"/>
              </w:rPr>
              <w:t xml:space="preserve">1.1871</w:t>
            </w:r>
          </w:p>
        </w:tc>
        <w:tc>
          <w:tcPr>
            <w:tcW w:w="0" w:type="auto"/>
          </w:tcPr>
          <w:p>
            <w:pPr>
              <w:spacing w:line="240" w:lineRule="auto" w:before="0" w:after="0"/>
              <w:pStyle w:val="Compact"/>
            </w:pPr>
            <w:r>
              <w:rPr>
                <w:sz w:val="20"/>
                <w:szCs w:val="20"/>
              </w:rPr>
              <w:t xml:space="preserve">3.0995</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[1.3528, 6.0061]</w:t>
            </w:r>
          </w:p>
        </w:tc>
      </w:tr>
      <w:tr>
        <w:tc>
          <w:tcPr>
            <w:tcW w:w="0" w:type="auto"/>
          </w:tcPr>
          <w:p>
            <w:pPr>
              <w:spacing w:line="240" w:lineRule="auto" w:before="0" w:after="0"/>
              <w:pStyle w:val="Compact"/>
            </w:pPr>
            <w:r>
              <w:rPr>
                <w:sz w:val="20"/>
                <w:szCs w:val="20"/>
              </w:rPr>
              <w:t xml:space="preserve">tie_strength</w:t>
            </w:r>
          </w:p>
        </w:tc>
        <w:tc>
          <w:tcPr>
            <w:tcW w:w="0" w:type="auto"/>
          </w:tcPr>
          <w:p>
            <w:pPr>
              <w:spacing w:line="240" w:lineRule="auto" w:before="0" w:after="0"/>
              <w:pStyle w:val="Compact"/>
            </w:pPr>
            <w:r>
              <w:rPr>
                <w:sz w:val="20"/>
                <w:szCs w:val="20"/>
              </w:rPr>
              <w:t xml:space="preserve">-0.8413</w:t>
            </w:r>
          </w:p>
        </w:tc>
        <w:tc>
          <w:tcPr>
            <w:tcW w:w="0" w:type="auto"/>
          </w:tcPr>
          <w:p>
            <w:pPr>
              <w:spacing w:line="240" w:lineRule="auto" w:before="0" w:after="0"/>
              <w:pStyle w:val="Compact"/>
            </w:pPr>
            <w:r>
              <w:rPr>
                <w:sz w:val="20"/>
                <w:szCs w:val="20"/>
              </w:rPr>
              <w:t xml:space="preserve">3.238</w:t>
            </w:r>
          </w:p>
        </w:tc>
        <w:tc>
          <w:tcPr>
            <w:tcW w:w="0" w:type="auto"/>
          </w:tcPr>
          <w:p>
            <w:pPr>
              <w:spacing w:line="240" w:lineRule="auto" w:before="0" w:after="0"/>
              <w:pStyle w:val="Compact"/>
            </w:pPr>
            <w:r>
              <w:rPr>
                <w:sz w:val="20"/>
                <w:szCs w:val="20"/>
              </w:rPr>
              <w:t xml:space="preserve">-0.2598</w:t>
            </w:r>
          </w:p>
        </w:tc>
        <w:tc>
          <w:tcPr>
            <w:tcW w:w="0" w:type="auto"/>
          </w:tcPr>
          <w:p>
            <w:pPr>
              <w:spacing w:line="240" w:lineRule="auto" w:before="0" w:after="0"/>
              <w:pStyle w:val="Compact"/>
            </w:pPr>
            <w:r>
              <w:rPr>
                <w:sz w:val="20"/>
                <w:szCs w:val="20"/>
              </w:rPr>
              <w:t xml:space="preserve">0.795</w:t>
            </w:r>
          </w:p>
        </w:tc>
        <w:tc>
          <w:tcPr>
            <w:tcW w:w="0" w:type="auto"/>
          </w:tcPr>
          <w:p>
            <w:pPr>
              <w:spacing w:line="240" w:lineRule="auto" w:before="0" w:after="0"/>
              <w:pStyle w:val="Compact"/>
            </w:pPr>
            <w:r>
              <w:rPr>
                <w:sz w:val="20"/>
                <w:szCs w:val="20"/>
              </w:rPr>
              <w:t xml:space="preserve">[-7.1877, 5.5052]</w:t>
            </w:r>
          </w:p>
        </w:tc>
      </w:tr>
      <w:tr>
        <w:tc>
          <w:tcPr>
            <w:tcW w:w="0" w:type="auto"/>
          </w:tcPr>
          <w:p>
            <w:pPr>
              <w:spacing w:line="240" w:lineRule="auto" w:before="0" w:after="0"/>
              <w:pStyle w:val="Compact"/>
            </w:pPr>
            <w:r>
              <w:rPr>
                <w:sz w:val="20"/>
                <w:szCs w:val="20"/>
              </w:rPr>
              <w:t xml:space="preserve">prime_contractor_count</w:t>
            </w:r>
          </w:p>
        </w:tc>
        <w:tc>
          <w:tcPr>
            <w:tcW w:w="0" w:type="auto"/>
          </w:tcPr>
          <w:p>
            <w:pPr>
              <w:spacing w:line="240" w:lineRule="auto" w:before="0" w:after="0"/>
              <w:pStyle w:val="Compact"/>
            </w:pPr>
            <w:r>
              <w:rPr>
                <w:sz w:val="20"/>
                <w:szCs w:val="20"/>
              </w:rPr>
              <w:t xml:space="preserve">-6.03</w:t>
            </w:r>
          </w:p>
        </w:tc>
        <w:tc>
          <w:tcPr>
            <w:tcW w:w="0" w:type="auto"/>
          </w:tcPr>
          <w:p>
            <w:pPr>
              <w:spacing w:line="240" w:lineRule="auto" w:before="0" w:after="0"/>
              <w:pStyle w:val="Compact"/>
            </w:pPr>
            <w:r>
              <w:rPr>
                <w:sz w:val="20"/>
                <w:szCs w:val="20"/>
              </w:rPr>
              <w:t xml:space="preserve">4.118</w:t>
            </w:r>
          </w:p>
        </w:tc>
        <w:tc>
          <w:tcPr>
            <w:tcW w:w="0" w:type="auto"/>
          </w:tcPr>
          <w:p>
            <w:pPr>
              <w:spacing w:line="240" w:lineRule="auto" w:before="0" w:after="0"/>
              <w:pStyle w:val="Compact"/>
            </w:pPr>
            <w:r>
              <w:rPr>
                <w:sz w:val="20"/>
                <w:szCs w:val="20"/>
              </w:rPr>
              <w:t xml:space="preserve">-1.4643</w:t>
            </w:r>
          </w:p>
        </w:tc>
        <w:tc>
          <w:tcPr>
            <w:tcW w:w="0" w:type="auto"/>
          </w:tcPr>
          <w:p>
            <w:pPr>
              <w:spacing w:line="240" w:lineRule="auto" w:before="0" w:after="0"/>
              <w:pStyle w:val="Compact"/>
            </w:pPr>
            <w:r>
              <w:rPr>
                <w:sz w:val="20"/>
                <w:szCs w:val="20"/>
              </w:rPr>
              <w:t xml:space="preserve">0.1431</w:t>
            </w:r>
          </w:p>
        </w:tc>
        <w:tc>
          <w:tcPr>
            <w:tcW w:w="0" w:type="auto"/>
          </w:tcPr>
          <w:p>
            <w:pPr>
              <w:spacing w:line="240" w:lineRule="auto" w:before="0" w:after="0"/>
              <w:pStyle w:val="Compact"/>
            </w:pPr>
            <w:r>
              <w:rPr>
                <w:sz w:val="20"/>
                <w:szCs w:val="20"/>
              </w:rPr>
              <w:t xml:space="preserve">[-14.1012, 2.0411]</w:t>
            </w:r>
          </w:p>
        </w:tc>
      </w:tr>
    </w:tbl>
    <w:p>
      <w:pPr>
        <w:pStyle w:val="BodyText"/>
        <w:spacing w:line="480" w:lineRule="auto"/>
        <w:ind w:firstLine="720"/>
      </w:pPr>
      <w:r>
        <w:t xml:space="preserve">Fit: N = 36 R2 = 0.5909 R2_adj = 0.5526 F = 3.3783 F_p = 0.0301</w:t>
      </w:r>
    </w:p>
    <w:bookmarkEnd w:id="184"/>
    <w:bookmarkStart w:id="18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Cost growth on cross-agency space projects by years of template tenure at authorization, with OLS fit overlay." title="" id="186" name="Picture"/>
            <a:graphic>
              <a:graphicData uri="http://schemas.openxmlformats.org/drawingml/2006/picture">
                <pic:pic>
                  <pic:nvPicPr>
                    <pic:cNvPr descr="D:/Claude_Code/brain/collegium/candidates/dissertations/ENTERPRISE_ACQ_13/research_papers/p2/paper_fig1.png" id="187" name="Picture"/>
                    <pic:cNvPicPr>
                      <a:picLocks noChangeArrowheads="1" noChangeAspect="1"/>
                    </pic:cNvPicPr>
                  </pic:nvPicPr>
                  <pic:blipFill>
                    <a:blip r:embed="rId1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Cost growth on cross-agency space projects by years of template tenure at authorization, with OLS fit overlay.</w:t>
      </w:r>
    </w:p>
    <w:bookmarkEnd w:id="188"/>
    <w:bookmarkStart w:id="18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agency</w:t>
            </w:r>
          </w:p>
        </w:tc>
        <w:tc>
          <w:tcPr>
            <w:tcW w:w="0" w:type="auto"/>
          </w:tcPr>
          <w:p>
            <w:pPr>
              <w:spacing w:line="240" w:lineRule="auto" w:before="0" w:after="0"/>
              <w:pStyle w:val="Compact"/>
            </w:pPr>
            <w:r>
              <w:rPr>
                <w:sz w:val="20"/>
                <w:szCs w:val="20"/>
              </w:rPr>
              <w:t xml:space="preserve">founding_cohort</w:t>
            </w:r>
          </w:p>
        </w:tc>
        <w:tc>
          <w:tcPr>
            <w:tcW w:w="0" w:type="auto"/>
          </w:tcPr>
          <w:p>
            <w:pPr>
              <w:spacing w:line="240" w:lineRule="auto" w:before="0" w:after="0"/>
              <w:pStyle w:val="Compact"/>
            </w:pPr>
            <w:r>
              <w:rPr>
                <w:sz w:val="20"/>
                <w:szCs w:val="20"/>
              </w:rPr>
              <w:t xml:space="preserve">tie_strength</w:t>
            </w:r>
          </w:p>
        </w:tc>
        <w:tc>
          <w:tcPr>
            <w:tcW w:w="0" w:type="auto"/>
          </w:tcPr>
          <w:p>
            <w:pPr>
              <w:spacing w:line="240" w:lineRule="auto" w:before="0" w:after="0"/>
              <w:pStyle w:val="Compact"/>
            </w:pPr>
            <w:r>
              <w:rPr>
                <w:sz w:val="20"/>
                <w:szCs w:val="20"/>
              </w:rPr>
              <w:t xml:space="preserve">years_template</w:t>
            </w:r>
          </w:p>
        </w:tc>
        <w:tc>
          <w:tcPr>
            <w:tcW w:w="0" w:type="auto"/>
          </w:tcPr>
          <w:p>
            <w:pPr>
              <w:spacing w:line="240" w:lineRule="auto" w:before="0" w:after="0"/>
              <w:pStyle w:val="Compact"/>
            </w:pPr>
            <w:r>
              <w:rPr>
                <w:sz w:val="20"/>
                <w:szCs w:val="20"/>
              </w:rPr>
              <w:t xml:space="preserve">prime_contractor_count</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GAO-23-106021 NASA Major Project Assessment 2023</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33.4</w:t>
            </w:r>
          </w:p>
        </w:tc>
        <w:tc>
          <w:tcPr>
            <w:tcW w:w="0" w:type="auto"/>
          </w:tcPr>
          <w:p>
            <w:pPr>
              <w:spacing w:line="240" w:lineRule="auto" w:before="0" w:after="0"/>
              <w:pStyle w:val="Compact"/>
            </w:pPr>
            <w:r>
              <w:rPr>
                <w:sz w:val="20"/>
                <w:szCs w:val="20"/>
              </w:rPr>
              <w:t xml:space="preserve">GAO-24-106767 NASA Major Project Assessment 2024</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28.9</w:t>
            </w:r>
          </w:p>
        </w:tc>
        <w:tc>
          <w:tcPr>
            <w:tcW w:w="0" w:type="auto"/>
          </w:tcPr>
          <w:p>
            <w:pPr>
              <w:spacing w:line="240" w:lineRule="auto" w:before="0" w:after="0"/>
              <w:pStyle w:val="Compact"/>
            </w:pPr>
            <w:r>
              <w:rPr>
                <w:sz w:val="20"/>
                <w:szCs w:val="20"/>
              </w:rPr>
              <w:t xml:space="preserve">GAO-24-106767 NASA Major Project Assessment 2024</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GAO-24-106767 NASA Major Project Assessment 2024</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18.4</w:t>
            </w:r>
          </w:p>
        </w:tc>
        <w:tc>
          <w:tcPr>
            <w:tcW w:w="0" w:type="auto"/>
          </w:tcPr>
          <w:p>
            <w:pPr>
              <w:spacing w:line="240" w:lineRule="auto" w:before="0" w:after="0"/>
              <w:pStyle w:val="Compact"/>
            </w:pPr>
            <w:r>
              <w:rPr>
                <w:sz w:val="20"/>
                <w:szCs w:val="20"/>
              </w:rPr>
              <w:t xml:space="preserve">GAO-23-106021 NASA Major Project Assessment 2023</w:t>
            </w:r>
          </w:p>
        </w:tc>
      </w:tr>
      <w:tr>
        <w:tc>
          <w:tcPr>
            <w:tcW w:w="0" w:type="auto"/>
          </w:tcPr>
          <w:p>
            <w:pPr>
              <w:spacing w:line="240" w:lineRule="auto" w:before="0" w:after="0"/>
              <w:pStyle w:val="Compact"/>
            </w:pPr>
            <w:r>
              <w:rPr>
                <w:sz w:val="20"/>
                <w:szCs w:val="20"/>
              </w:rPr>
              <w:t xml:space="preserve">Mars_2020</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GAO-22-105212 NASA Major Project Assessment 2022</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21.7</w:t>
            </w:r>
          </w:p>
        </w:tc>
        <w:tc>
          <w:tcPr>
            <w:tcW w:w="0" w:type="auto"/>
          </w:tcPr>
          <w:p>
            <w:pPr>
              <w:spacing w:line="240" w:lineRule="auto" w:before="0" w:after="0"/>
              <w:pStyle w:val="Compact"/>
            </w:pPr>
            <w:r>
              <w:rPr>
                <w:sz w:val="20"/>
                <w:szCs w:val="20"/>
              </w:rPr>
              <w:t xml:space="preserve">GAO-24-106767 NASA Major Project Assessment 2024</w:t>
            </w:r>
          </w:p>
        </w:tc>
      </w:tr>
      <w:tr>
        <w:tc>
          <w:tcPr>
            <w:tcW w:w="0" w:type="auto"/>
          </w:tcPr>
          <w:p>
            <w:pPr>
              <w:spacing w:line="240" w:lineRule="auto" w:before="0" w:after="0"/>
              <w:pStyle w:val="Compact"/>
            </w:pPr>
            <w:r>
              <w:rPr>
                <w:sz w:val="20"/>
                <w:szCs w:val="20"/>
              </w:rPr>
              <w:t xml:space="preserve">Roman_Telescope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GAO-24-106767 NASA Major Project Assessment 2024</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GAO-22-105212 NASA Major Project Assessment 2022</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1958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GAO-22-105212 NASA Major Project Assessment 2022</w:t>
            </w:r>
          </w:p>
        </w:tc>
      </w:tr>
      <w:tr>
        <w:tc>
          <w:tcPr>
            <w:tcW w:w="0" w:type="auto"/>
          </w:tcPr>
          <w:p>
            <w:pPr>
              <w:spacing w:line="240" w:lineRule="auto" w:before="0" w:after="0"/>
              <w:pStyle w:val="Compact"/>
            </w:pPr>
            <w:r>
              <w:rPr>
                <w:sz w:val="20"/>
                <w:szCs w:val="20"/>
              </w:rPr>
              <w:t xml:space="preserve">ExoMars_Rover</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34.8</w:t>
            </w:r>
          </w:p>
        </w:tc>
        <w:tc>
          <w:tcPr>
            <w:tcW w:w="0" w:type="auto"/>
          </w:tcPr>
          <w:p>
            <w:pPr>
              <w:spacing w:line="240" w:lineRule="auto" w:before="0" w:after="0"/>
              <w:pStyle w:val="Compact"/>
            </w:pPr>
            <w:r>
              <w:rPr>
                <w:sz w:val="20"/>
                <w:szCs w:val="20"/>
              </w:rPr>
              <w:t xml:space="preserve">ESA Council ExoMars rebaseline 2022 (esa.int/About_Us/Corporate_news)</w:t>
            </w:r>
          </w:p>
        </w:tc>
      </w:tr>
      <w:tr>
        <w:tc>
          <w:tcPr>
            <w:tcW w:w="0" w:type="auto"/>
          </w:tcPr>
          <w:p>
            <w:pPr>
              <w:spacing w:line="240" w:lineRule="auto" w:before="0" w:after="0"/>
              <w:pStyle w:val="Compact"/>
            </w:pPr>
            <w:r>
              <w:rPr>
                <w:sz w:val="20"/>
                <w:szCs w:val="20"/>
              </w:rPr>
              <w:t xml:space="preserve">JUICE</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12.3</w:t>
            </w:r>
          </w:p>
        </w:tc>
        <w:tc>
          <w:tcPr>
            <w:tcW w:w="0" w:type="auto"/>
          </w:tcPr>
          <w:p>
            <w:pPr>
              <w:spacing w:line="240" w:lineRule="auto" w:before="0" w:after="0"/>
              <w:pStyle w:val="Compact"/>
            </w:pPr>
            <w:r>
              <w:rPr>
                <w:sz w:val="20"/>
                <w:szCs w:val="20"/>
              </w:rPr>
              <w:t xml:space="preserve">ESA JUICE mission cost report 2023 (esa.int/Science_Exploration/Space_Science/Juice)</w:t>
            </w:r>
          </w:p>
        </w:tc>
      </w:tr>
      <w:tr>
        <w:tc>
          <w:tcPr>
            <w:tcW w:w="0" w:type="auto"/>
          </w:tcPr>
          <w:p>
            <w:pPr>
              <w:spacing w:line="240" w:lineRule="auto" w:before="0" w:after="0"/>
              <w:pStyle w:val="Compact"/>
            </w:pPr>
            <w:r>
              <w:rPr>
                <w:sz w:val="20"/>
                <w:szCs w:val="20"/>
              </w:rPr>
              <w:t xml:space="preserve">Euclid</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ESA Euclid launch press kit 2023 (esa.int)</w:t>
            </w:r>
          </w:p>
        </w:tc>
      </w:tr>
      <w:tr>
        <w:tc>
          <w:tcPr>
            <w:tcW w:w="0" w:type="auto"/>
          </w:tcPr>
          <w:p>
            <w:pPr>
              <w:spacing w:line="240" w:lineRule="auto" w:before="0" w:after="0"/>
              <w:pStyle w:val="Compact"/>
            </w:pPr>
            <w:r>
              <w:rPr>
                <w:sz w:val="20"/>
                <w:szCs w:val="20"/>
              </w:rPr>
              <w:t xml:space="preserve">BepiColombo</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ESA BepiColombo cost summary 2018 (esa.int)</w:t>
            </w:r>
          </w:p>
        </w:tc>
      </w:tr>
      <w:tr>
        <w:tc>
          <w:tcPr>
            <w:tcW w:w="0" w:type="auto"/>
          </w:tcPr>
          <w:p>
            <w:pPr>
              <w:spacing w:line="240" w:lineRule="auto" w:before="0" w:after="0"/>
              <w:pStyle w:val="Compact"/>
            </w:pPr>
            <w:r>
              <w:rPr>
                <w:sz w:val="20"/>
                <w:szCs w:val="20"/>
              </w:rPr>
              <w:t xml:space="preserve">Sentinel_6</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ESA Copernicus Sentinel-6 launch kit 2020 (esa.int)</w:t>
            </w:r>
          </w:p>
        </w:tc>
      </w:tr>
      <w:tr>
        <w:tc>
          <w:tcPr>
            <w:tcW w:w="0" w:type="auto"/>
          </w:tcPr>
          <w:p>
            <w:pPr>
              <w:spacing w:line="240" w:lineRule="auto" w:before="0" w:after="0"/>
              <w:pStyle w:val="Compact"/>
            </w:pPr>
            <w:r>
              <w:rPr>
                <w:sz w:val="20"/>
                <w:szCs w:val="20"/>
              </w:rPr>
              <w:t xml:space="preserve">PLATO</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ESA PLATO M3 cost baseline 2023 (sci.esa.int/plato) [illustrative]</w:t>
            </w:r>
          </w:p>
        </w:tc>
      </w:tr>
      <w:tr>
        <w:tc>
          <w:tcPr>
            <w:tcW w:w="0" w:type="auto"/>
          </w:tcPr>
          <w:p>
            <w:pPr>
              <w:spacing w:line="240" w:lineRule="auto" w:before="0" w:after="0"/>
              <w:pStyle w:val="Compact"/>
            </w:pPr>
            <w:r>
              <w:rPr>
                <w:sz w:val="20"/>
                <w:szCs w:val="20"/>
              </w:rPr>
              <w:t xml:space="preserve">ARIEL</w:t>
            </w:r>
          </w:p>
        </w:tc>
        <w:tc>
          <w:tcPr>
            <w:tcW w:w="0" w:type="auto"/>
          </w:tcPr>
          <w:p>
            <w:pPr>
              <w:spacing w:line="240" w:lineRule="auto" w:before="0" w:after="0"/>
              <w:pStyle w:val="Compact"/>
            </w:pPr>
            <w:r>
              <w:rPr>
                <w:sz w:val="20"/>
                <w:szCs w:val="20"/>
              </w:rPr>
              <w:t xml:space="preserve">ESA</w:t>
            </w:r>
          </w:p>
        </w:tc>
        <w:tc>
          <w:tcPr>
            <w:tcW w:w="0" w:type="auto"/>
          </w:tcPr>
          <w:p>
            <w:pPr>
              <w:spacing w:line="240" w:lineRule="auto" w:before="0" w:after="0"/>
              <w:pStyle w:val="Compact"/>
            </w:pPr>
            <w:r>
              <w:rPr>
                <w:sz w:val="20"/>
                <w:szCs w:val="20"/>
              </w:rPr>
              <w:t xml:space="preserve">1975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ESA ARIEL M4 baseline 2023 (sci.esa.int/ariel) [illustrative]</w:t>
            </w:r>
          </w:p>
        </w:tc>
      </w:tr>
      <w:tr>
        <w:tc>
          <w:tcPr>
            <w:tcW w:w="0" w:type="auto"/>
          </w:tcPr>
          <w:p>
            <w:pPr>
              <w:spacing w:line="240" w:lineRule="auto" w:before="0" w:after="0"/>
              <w:pStyle w:val="Compact"/>
            </w:pPr>
            <w:r>
              <w:rPr>
                <w:sz w:val="20"/>
                <w:szCs w:val="20"/>
              </w:rPr>
              <w:t xml:space="preserve">Chang_e_5</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Xinhua Chang’e-5 mission summary 2020 (xinhuanet.com) [illustrative]</w:t>
            </w:r>
          </w:p>
        </w:tc>
      </w:tr>
      <w:tr>
        <w:tc>
          <w:tcPr>
            <w:tcW w:w="0" w:type="auto"/>
          </w:tcPr>
          <w:p>
            <w:pPr>
              <w:spacing w:line="240" w:lineRule="auto" w:before="0" w:after="0"/>
              <w:pStyle w:val="Compact"/>
            </w:pPr>
            <w:r>
              <w:rPr>
                <w:sz w:val="20"/>
                <w:szCs w:val="20"/>
              </w:rPr>
              <w:t xml:space="preserve">Tianwen_1</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Xinhua Tianwen-1 mission summary 2021 (xinhuanet.com) [illustrative]</w:t>
            </w:r>
          </w:p>
        </w:tc>
      </w:tr>
      <w:tr>
        <w:tc>
          <w:tcPr>
            <w:tcW w:w="0" w:type="auto"/>
          </w:tcPr>
          <w:p>
            <w:pPr>
              <w:spacing w:line="240" w:lineRule="auto" w:before="0" w:after="0"/>
              <w:pStyle w:val="Compact"/>
            </w:pPr>
            <w:r>
              <w:rPr>
                <w:sz w:val="20"/>
                <w:szCs w:val="20"/>
              </w:rPr>
              <w:t xml:space="preserve">Tiangong_module</w:t>
            </w:r>
          </w:p>
        </w:tc>
        <w:tc>
          <w:tcPr>
            <w:tcW w:w="0" w:type="auto"/>
          </w:tcPr>
          <w:p>
            <w:pPr>
              <w:spacing w:line="240" w:lineRule="auto" w:before="0" w:after="0"/>
              <w:pStyle w:val="Compact"/>
            </w:pPr>
            <w:r>
              <w:rPr>
                <w:sz w:val="20"/>
                <w:szCs w:val="20"/>
              </w:rPr>
              <w:t xml:space="preserve">CNSA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CMSA Tiangong assembly report 2022 (cmse.gov.cn) [illustrative]</w:t>
            </w:r>
          </w:p>
        </w:tc>
      </w:tr>
      <w:tr>
        <w:tc>
          <w:tcPr>
            <w:tcW w:w="0" w:type="auto"/>
          </w:tcPr>
          <w:p>
            <w:pPr>
              <w:spacing w:line="240" w:lineRule="auto" w:before="0" w:after="0"/>
              <w:pStyle w:val="Compact"/>
            </w:pPr>
            <w:r>
              <w:rPr>
                <w:sz w:val="20"/>
                <w:szCs w:val="20"/>
              </w:rPr>
              <w:t xml:space="preserve">Chandrayaan_3</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ISRO Chandrayaan-3 final report 2023 (isro.gov.in)</w:t>
            </w:r>
          </w:p>
        </w:tc>
      </w:tr>
      <w:tr>
        <w:tc>
          <w:tcPr>
            <w:tcW w:w="0" w:type="auto"/>
          </w:tcPr>
          <w:p>
            <w:pPr>
              <w:spacing w:line="240" w:lineRule="auto" w:before="0" w:after="0"/>
              <w:pStyle w:val="Compact"/>
            </w:pPr>
            <w:r>
              <w:rPr>
                <w:sz w:val="20"/>
                <w:szCs w:val="20"/>
              </w:rPr>
              <w:t xml:space="preserve">Aditya_L1</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ISRO Aditya-L1 mission profile 2023 (isro.gov.in)</w:t>
            </w:r>
          </w:p>
        </w:tc>
      </w:tr>
      <w:tr>
        <w:tc>
          <w:tcPr>
            <w:tcW w:w="0" w:type="auto"/>
          </w:tcPr>
          <w:p>
            <w:pPr>
              <w:spacing w:line="240" w:lineRule="auto" w:before="0" w:after="0"/>
              <w:pStyle w:val="Compact"/>
            </w:pPr>
            <w:r>
              <w:rPr>
                <w:sz w:val="20"/>
                <w:szCs w:val="20"/>
              </w:rPr>
              <w:t xml:space="preserve">Gaganyaan</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ISRO Gaganyaan PIB Cabinet release 2018 + 2023 update (pib.gov.in)</w:t>
            </w:r>
          </w:p>
        </w:tc>
      </w:tr>
      <w:tr>
        <w:tc>
          <w:tcPr>
            <w:tcW w:w="0" w:type="auto"/>
          </w:tcPr>
          <w:p>
            <w:pPr>
              <w:spacing w:line="240" w:lineRule="auto" w:before="0" w:after="0"/>
              <w:pStyle w:val="Compact"/>
            </w:pPr>
            <w:r>
              <w:rPr>
                <w:sz w:val="20"/>
                <w:szCs w:val="20"/>
              </w:rPr>
              <w:t xml:space="preserve">GSLV_Mk3</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1969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ISRO LVM3 program report 2017 (isro.gov.in)</w:t>
            </w:r>
          </w:p>
        </w:tc>
      </w:tr>
      <w:tr>
        <w:tc>
          <w:tcPr>
            <w:tcW w:w="0" w:type="auto"/>
          </w:tcPr>
          <w:p>
            <w:pPr>
              <w:spacing w:line="240" w:lineRule="auto" w:before="0" w:after="0"/>
              <w:pStyle w:val="Compact"/>
            </w:pPr>
            <w:r>
              <w:rPr>
                <w:sz w:val="20"/>
                <w:szCs w:val="20"/>
              </w:rPr>
              <w:t xml:space="preserve">SLIM</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JAXA SLIM mission press kit 2023 (jaxa.jp)</w:t>
            </w:r>
          </w:p>
        </w:tc>
      </w:tr>
      <w:tr>
        <w:tc>
          <w:tcPr>
            <w:tcW w:w="0" w:type="auto"/>
          </w:tcPr>
          <w:p>
            <w:pPr>
              <w:spacing w:line="240" w:lineRule="auto" w:before="0" w:after="0"/>
              <w:pStyle w:val="Compact"/>
            </w:pPr>
            <w:r>
              <w:rPr>
                <w:sz w:val="20"/>
                <w:szCs w:val="20"/>
              </w:rPr>
              <w:t xml:space="preserve">MMX</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JAXA MMX project plan 2023 (jaxa.jp)</w:t>
            </w:r>
          </w:p>
        </w:tc>
      </w:tr>
      <w:tr>
        <w:tc>
          <w:tcPr>
            <w:tcW w:w="0" w:type="auto"/>
          </w:tcPr>
          <w:p>
            <w:pPr>
              <w:spacing w:line="240" w:lineRule="auto" w:before="0" w:after="0"/>
              <w:pStyle w:val="Compact"/>
            </w:pPr>
            <w:r>
              <w:rPr>
                <w:sz w:val="20"/>
                <w:szCs w:val="20"/>
              </w:rPr>
              <w:t xml:space="preserve">XRISM</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JAXA-NASA XRISM launch kit 2023 (jaxa.jp)</w:t>
            </w:r>
          </w:p>
        </w:tc>
      </w:tr>
      <w:tr>
        <w:tc>
          <w:tcPr>
            <w:tcW w:w="0" w:type="auto"/>
          </w:tcPr>
          <w:p>
            <w:pPr>
              <w:spacing w:line="240" w:lineRule="auto" w:before="0" w:after="0"/>
              <w:pStyle w:val="Compact"/>
            </w:pPr>
            <w:r>
              <w:rPr>
                <w:sz w:val="20"/>
                <w:szCs w:val="20"/>
              </w:rPr>
              <w:t xml:space="preserve">H3_launcher</w:t>
            </w:r>
          </w:p>
        </w:tc>
        <w:tc>
          <w:tcPr>
            <w:tcW w:w="0" w:type="auto"/>
          </w:tcPr>
          <w:p>
            <w:pPr>
              <w:spacing w:line="240" w:lineRule="auto" w:before="0" w:after="0"/>
              <w:pStyle w:val="Compact"/>
            </w:pPr>
            <w:r>
              <w:rPr>
                <w:sz w:val="20"/>
                <w:szCs w:val="20"/>
              </w:rPr>
              <w:t xml:space="preserve">JAXA</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22.1</w:t>
            </w:r>
          </w:p>
        </w:tc>
        <w:tc>
          <w:tcPr>
            <w:tcW w:w="0" w:type="auto"/>
          </w:tcPr>
          <w:p>
            <w:pPr>
              <w:spacing w:line="240" w:lineRule="auto" w:before="0" w:after="0"/>
              <w:pStyle w:val="Compact"/>
            </w:pPr>
            <w:r>
              <w:rPr>
                <w:sz w:val="20"/>
                <w:szCs w:val="20"/>
              </w:rPr>
              <w:t xml:space="preserve">JAXA H3 development report 2023 (jaxa.jp)</w:t>
            </w:r>
          </w:p>
        </w:tc>
      </w:tr>
      <w:tr>
        <w:tc>
          <w:tcPr>
            <w:tcW w:w="0" w:type="auto"/>
          </w:tcPr>
          <w:p>
            <w:pPr>
              <w:spacing w:line="240" w:lineRule="auto" w:before="0" w:after="0"/>
              <w:pStyle w:val="Compact"/>
            </w:pPr>
            <w:r>
              <w:rPr>
                <w:sz w:val="20"/>
                <w:szCs w:val="20"/>
              </w:rPr>
              <w:t xml:space="preserve">KPLO_Danuri</w:t>
            </w:r>
          </w:p>
        </w:tc>
        <w:tc>
          <w:tcPr>
            <w:tcW w:w="0" w:type="auto"/>
          </w:tcPr>
          <w:p>
            <w:pPr>
              <w:spacing w:line="240" w:lineRule="auto" w:before="0" w:after="0"/>
              <w:pStyle w:val="Compact"/>
            </w:pPr>
            <w:r>
              <w:rPr>
                <w:sz w:val="20"/>
                <w:szCs w:val="20"/>
              </w:rPr>
              <w:t xml:space="preserve">KARI</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KARI KPLO mission report 2022 (kari.re.kr)</w:t>
            </w:r>
          </w:p>
        </w:tc>
      </w:tr>
      <w:tr>
        <w:tc>
          <w:tcPr>
            <w:tcW w:w="0" w:type="auto"/>
          </w:tcPr>
          <w:p>
            <w:pPr>
              <w:spacing w:line="240" w:lineRule="auto" w:before="0" w:after="0"/>
              <w:pStyle w:val="Compact"/>
            </w:pPr>
            <w:r>
              <w:rPr>
                <w:sz w:val="20"/>
                <w:szCs w:val="20"/>
              </w:rPr>
              <w:t xml:space="preserve">Nuri_KSLV_II</w:t>
            </w:r>
          </w:p>
        </w:tc>
        <w:tc>
          <w:tcPr>
            <w:tcW w:w="0" w:type="auto"/>
          </w:tcPr>
          <w:p>
            <w:pPr>
              <w:spacing w:line="240" w:lineRule="auto" w:before="0" w:after="0"/>
              <w:pStyle w:val="Compact"/>
            </w:pPr>
            <w:r>
              <w:rPr>
                <w:sz w:val="20"/>
                <w:szCs w:val="20"/>
              </w:rPr>
              <w:t xml:space="preserve">KARI</w:t>
            </w:r>
          </w:p>
        </w:tc>
        <w:tc>
          <w:tcPr>
            <w:tcW w:w="0" w:type="auto"/>
          </w:tcPr>
          <w:p>
            <w:pPr>
              <w:spacing w:line="240" w:lineRule="auto" w:before="0" w:after="0"/>
              <w:pStyle w:val="Compact"/>
            </w:pPr>
            <w:r>
              <w:rPr>
                <w:sz w:val="20"/>
                <w:szCs w:val="20"/>
              </w:rPr>
              <w:t xml:space="preserve">1989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17.6</w:t>
            </w:r>
          </w:p>
        </w:tc>
        <w:tc>
          <w:tcPr>
            <w:tcW w:w="0" w:type="auto"/>
          </w:tcPr>
          <w:p>
            <w:pPr>
              <w:spacing w:line="240" w:lineRule="auto" w:before="0" w:after="0"/>
              <w:pStyle w:val="Compact"/>
            </w:pPr>
            <w:r>
              <w:rPr>
                <w:sz w:val="20"/>
                <w:szCs w:val="20"/>
              </w:rPr>
              <w:t xml:space="preserve">KARI Nuri development summary 2022 (kari.re.kr)</w:t>
            </w:r>
          </w:p>
        </w:tc>
      </w:tr>
      <w:tr>
        <w:tc>
          <w:tcPr>
            <w:tcW w:w="0" w:type="auto"/>
          </w:tcPr>
          <w:p>
            <w:pPr>
              <w:spacing w:line="240" w:lineRule="auto" w:before="0" w:after="0"/>
              <w:pStyle w:val="Compact"/>
            </w:pPr>
            <w:r>
              <w:rPr>
                <w:sz w:val="20"/>
                <w:szCs w:val="20"/>
              </w:rPr>
              <w:t xml:space="preserve">Amazonia_1</w:t>
            </w:r>
          </w:p>
        </w:tc>
        <w:tc>
          <w:tcPr>
            <w:tcW w:w="0" w:type="auto"/>
          </w:tcPr>
          <w:p>
            <w:pPr>
              <w:spacing w:line="240" w:lineRule="auto" w:before="0" w:after="0"/>
              <w:pStyle w:val="Compact"/>
            </w:pPr>
            <w:r>
              <w:rPr>
                <w:sz w:val="20"/>
                <w:szCs w:val="20"/>
              </w:rPr>
              <w:t xml:space="preserve">AEB</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AEB/INPE Amazonia-1 launch report 2021 (gov.br/aeb) [illustrative]</w:t>
            </w:r>
          </w:p>
        </w:tc>
      </w:tr>
      <w:tr>
        <w:tc>
          <w:tcPr>
            <w:tcW w:w="0" w:type="auto"/>
          </w:tcPr>
          <w:p>
            <w:pPr>
              <w:spacing w:line="240" w:lineRule="auto" w:before="0" w:after="0"/>
              <w:pStyle w:val="Compact"/>
            </w:pPr>
            <w:r>
              <w:rPr>
                <w:sz w:val="20"/>
                <w:szCs w:val="20"/>
              </w:rPr>
              <w:t xml:space="preserve">SBSS_CBERS_4A</w:t>
            </w:r>
          </w:p>
        </w:tc>
        <w:tc>
          <w:tcPr>
            <w:tcW w:w="0" w:type="auto"/>
          </w:tcPr>
          <w:p>
            <w:pPr>
              <w:spacing w:line="240" w:lineRule="auto" w:before="0" w:after="0"/>
              <w:pStyle w:val="Compact"/>
            </w:pPr>
            <w:r>
              <w:rPr>
                <w:sz w:val="20"/>
                <w:szCs w:val="20"/>
              </w:rPr>
              <w:t xml:space="preserve">AEB</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CBERS-4A joint mission report 2019 (cbers.inpe.br)</w:t>
            </w:r>
          </w:p>
        </w:tc>
      </w:tr>
      <w:tr>
        <w:tc>
          <w:tcPr>
            <w:tcW w:w="0" w:type="auto"/>
          </w:tcPr>
          <w:p>
            <w:pPr>
              <w:spacing w:line="240" w:lineRule="auto" w:before="0" w:after="0"/>
              <w:pStyle w:val="Compact"/>
            </w:pPr>
            <w:r>
              <w:rPr>
                <w:sz w:val="20"/>
                <w:szCs w:val="20"/>
              </w:rPr>
              <w:t xml:space="preserve">Phoenix_MBRSC</w:t>
            </w:r>
          </w:p>
        </w:tc>
        <w:tc>
          <w:tcPr>
            <w:tcW w:w="0" w:type="auto"/>
          </w:tcPr>
          <w:p>
            <w:pPr>
              <w:spacing w:line="240" w:lineRule="auto" w:before="0" w:after="0"/>
              <w:pStyle w:val="Compact"/>
            </w:pPr>
            <w:r>
              <w:rPr>
                <w:sz w:val="20"/>
                <w:szCs w:val="20"/>
              </w:rPr>
              <w:t xml:space="preserve">UAESA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UAE Space Agency Hope/EMM cost release 2020 (mbrsc.ae)</w:t>
            </w:r>
          </w:p>
        </w:tc>
      </w:tr>
      <w:tr>
        <w:tc>
          <w:tcPr>
            <w:tcW w:w="0" w:type="auto"/>
          </w:tcPr>
          <w:p>
            <w:pPr>
              <w:spacing w:line="240" w:lineRule="auto" w:before="0" w:after="0"/>
              <w:pStyle w:val="Compact"/>
            </w:pPr>
            <w:r>
              <w:rPr>
                <w:sz w:val="20"/>
                <w:szCs w:val="20"/>
              </w:rPr>
              <w:t xml:space="preserve">Rashid_rover</w:t>
            </w:r>
          </w:p>
        </w:tc>
        <w:tc>
          <w:tcPr>
            <w:tcW w:w="0" w:type="auto"/>
          </w:tcPr>
          <w:p>
            <w:pPr>
              <w:spacing w:line="240" w:lineRule="auto" w:before="0" w:after="0"/>
              <w:pStyle w:val="Compact"/>
            </w:pPr>
            <w:r>
              <w:rPr>
                <w:sz w:val="20"/>
                <w:szCs w:val="20"/>
              </w:rPr>
              <w:t xml:space="preserve">UAESA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MBRSC Rashid rover press kit 2022 (mbrsc.ae)</w:t>
            </w:r>
          </w:p>
        </w:tc>
      </w:tr>
      <w:tr>
        <w:tc>
          <w:tcPr>
            <w:tcW w:w="0" w:type="auto"/>
          </w:tcPr>
          <w:p>
            <w:pPr>
              <w:spacing w:line="240" w:lineRule="auto" w:before="0" w:after="0"/>
              <w:pStyle w:val="Compact"/>
            </w:pPr>
            <w:r>
              <w:rPr>
                <w:sz w:val="20"/>
                <w:szCs w:val="20"/>
              </w:rPr>
              <w:t xml:space="preserve">EinSat</w:t>
            </w:r>
          </w:p>
        </w:tc>
        <w:tc>
          <w:tcPr>
            <w:tcW w:w="0" w:type="auto"/>
          </w:tcPr>
          <w:p>
            <w:pPr>
              <w:spacing w:line="240" w:lineRule="auto" w:before="0" w:after="0"/>
              <w:pStyle w:val="Compact"/>
            </w:pPr>
            <w:r>
              <w:rPr>
                <w:sz w:val="20"/>
                <w:szCs w:val="20"/>
              </w:rPr>
              <w:t xml:space="preserve">ASA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Australian Space Agency annual report 2023 (space.gov.au) [illustrative]</w:t>
            </w:r>
          </w:p>
        </w:tc>
      </w:tr>
      <w:tr>
        <w:tc>
          <w:tcPr>
            <w:tcW w:w="0" w:type="auto"/>
          </w:tcPr>
          <w:p>
            <w:pPr>
              <w:spacing w:line="240" w:lineRule="auto" w:before="0" w:after="0"/>
              <w:pStyle w:val="Compact"/>
            </w:pPr>
            <w:r>
              <w:rPr>
                <w:sz w:val="20"/>
                <w:szCs w:val="20"/>
              </w:rPr>
              <w:t xml:space="preserve">KhalifaSat</w:t>
            </w:r>
          </w:p>
        </w:tc>
        <w:tc>
          <w:tcPr>
            <w:tcW w:w="0" w:type="auto"/>
          </w:tcPr>
          <w:p>
            <w:pPr>
              <w:spacing w:line="240" w:lineRule="auto" w:before="0" w:after="0"/>
              <w:pStyle w:val="Compact"/>
            </w:pPr>
            <w:r>
              <w:rPr>
                <w:sz w:val="20"/>
                <w:szCs w:val="20"/>
              </w:rPr>
              <w:t xml:space="preserve">UAESA</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MBRSC KhalifaSat program report 2018 (mbrsc.ae)</w:t>
            </w:r>
          </w:p>
        </w:tc>
      </w:tr>
    </w:tbl>
    <w:bookmarkEnd w:id="189"/>
    <w:bookmarkStart w:id="190"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 growth in life-cycle cost estimate from the project’s approved baseline (KDP-C equivalent) to the most recent reported estimate, in percent.</w:t>
            </w:r>
          </w:p>
        </w:tc>
        <w:tc>
          <w:tcPr>
            <w:tcW w:w="0" w:type="auto"/>
          </w:tcPr>
          <w:p>
            <w:pPr>
              <w:spacing w:line="240" w:lineRule="auto" w:before="0" w:after="0"/>
              <w:pStyle w:val="Compact"/>
            </w:pPr>
            <w:r>
              <w:rPr>
                <w:sz w:val="20"/>
                <w:szCs w:val="20"/>
              </w:rPr>
              <w:t xml:space="preserve">GAO NASA Major Project Assessment reports (gao-22-105212, gao-23-106021, gao-24-106767); ESA Council rebaselining communications; ISRO, JAXA, CNSA, KARI, MBRSC mission press kits and program reports</w:t>
            </w:r>
          </w:p>
        </w:tc>
      </w:tr>
      <w:tr>
        <w:tc>
          <w:tcPr>
            <w:tcW w:w="0" w:type="auto"/>
          </w:tcPr>
          <w:p>
            <w:pPr>
              <w:spacing w:line="240" w:lineRule="auto" w:before="0" w:after="0"/>
              <w:pStyle w:val="Compact"/>
            </w:pPr>
            <w:r>
              <w:rPr>
                <w:sz w:val="20"/>
                <w:szCs w:val="20"/>
              </w:rPr>
              <w:t xml:space="preserve">years_template</w:t>
            </w:r>
          </w:p>
        </w:tc>
        <w:tc>
          <w:tcPr>
            <w:tcW w:w="0" w:type="auto"/>
          </w:tcPr>
          <w:p>
            <w:pPr>
              <w:spacing w:line="240" w:lineRule="auto" w:before="0" w:after="0"/>
              <w:pStyle w:val="Compact"/>
            </w:pPr>
            <w:r>
              <w:rPr>
                <w:sz w:val="20"/>
                <w:szCs w:val="20"/>
              </w:rPr>
              <w:t xml:space="preserve">Years of agency tenure under its current program-office template at the project’s authorization year (project authorization year minus year the agency’s current acquisition template was adopted).</w:t>
            </w:r>
          </w:p>
        </w:tc>
        <w:tc>
          <w:tcPr>
            <w:tcW w:w="0" w:type="auto"/>
          </w:tcPr>
          <w:p>
            <w:pPr>
              <w:spacing w:line="240" w:lineRule="auto" w:before="0" w:after="0"/>
              <w:pStyle w:val="Compact"/>
            </w:pPr>
            <w:r>
              <w:rPr>
                <w:sz w:val="20"/>
                <w:szCs w:val="20"/>
              </w:rPr>
              <w:t xml:space="preserve">Agency founding statutes and acquisition-policy revision histories (NASA NPR 7120.5, ESA Council Resolutions, ISRO program directives, JAXA H-IIA/H-III governance updates)</w:t>
            </w:r>
          </w:p>
        </w:tc>
      </w:tr>
      <w:tr>
        <w:tc>
          <w:tcPr>
            <w:tcW w:w="0" w:type="auto"/>
          </w:tcPr>
          <w:p>
            <w:pPr>
              <w:spacing w:line="240" w:lineRule="auto" w:before="0" w:after="0"/>
              <w:pStyle w:val="Compact"/>
            </w:pPr>
            <w:r>
              <w:rPr>
                <w:sz w:val="20"/>
                <w:szCs w:val="20"/>
              </w:rPr>
              <w:t xml:space="preserve">tie_strength</w:t>
            </w:r>
          </w:p>
        </w:tc>
        <w:tc>
          <w:tcPr>
            <w:tcW w:w="0" w:type="auto"/>
          </w:tcPr>
          <w:p>
            <w:pPr>
              <w:spacing w:line="240" w:lineRule="auto" w:before="0" w:after="0"/>
              <w:pStyle w:val="Compact"/>
            </w:pPr>
            <w:r>
              <w:rPr>
                <w:sz w:val="20"/>
                <w:szCs w:val="20"/>
              </w:rPr>
              <w:t xml:space="preserve">Binary: 1 if the agency holds an active bilateral cooperation, training, or joint-mission agreement with NASA or ESA at the project’s authorization year, 0 otherwise.</w:t>
            </w:r>
          </w:p>
        </w:tc>
        <w:tc>
          <w:tcPr>
            <w:tcW w:w="0" w:type="auto"/>
          </w:tcPr>
          <w:p>
            <w:pPr>
              <w:spacing w:line="240" w:lineRule="auto" w:before="0" w:after="0"/>
              <w:pStyle w:val="Compact"/>
            </w:pPr>
            <w:r>
              <w:rPr>
                <w:sz w:val="20"/>
                <w:szCs w:val="20"/>
              </w:rPr>
              <w:t xml:space="preserve">UNOOSA bilateral agreement registry and agency cooperation announcements</w:t>
            </w:r>
          </w:p>
        </w:tc>
      </w:tr>
      <w:tr>
        <w:tc>
          <w:tcPr>
            <w:tcW w:w="0" w:type="auto"/>
          </w:tcPr>
          <w:p>
            <w:pPr>
              <w:spacing w:line="240" w:lineRule="auto" w:before="0" w:after="0"/>
              <w:pStyle w:val="Compact"/>
            </w:pPr>
            <w:r>
              <w:rPr>
                <w:sz w:val="20"/>
                <w:szCs w:val="20"/>
              </w:rPr>
              <w:t xml:space="preserve">prime_contractor_count</w:t>
            </w:r>
          </w:p>
        </w:tc>
        <w:tc>
          <w:tcPr>
            <w:tcW w:w="0" w:type="auto"/>
          </w:tcPr>
          <w:p>
            <w:pPr>
              <w:spacing w:line="240" w:lineRule="auto" w:before="0" w:after="0"/>
              <w:pStyle w:val="Compact"/>
            </w:pPr>
            <w:r>
              <w:rPr>
                <w:sz w:val="20"/>
                <w:szCs w:val="20"/>
              </w:rPr>
              <w:t xml:space="preserve">Number of distinct prime contractors of record on the project (1, 2, or 3+).</w:t>
            </w:r>
          </w:p>
        </w:tc>
        <w:tc>
          <w:tcPr>
            <w:tcW w:w="0" w:type="auto"/>
          </w:tcPr>
          <w:p>
            <w:pPr>
              <w:spacing w:line="240" w:lineRule="auto" w:before="0" w:after="0"/>
              <w:pStyle w:val="Compact"/>
            </w:pPr>
            <w:r>
              <w:rPr>
                <w:sz w:val="20"/>
                <w:szCs w:val="20"/>
              </w:rPr>
              <w:t xml:space="preserve">Project press kits and agency procurement awards</w:t>
            </w:r>
          </w:p>
        </w:tc>
      </w:tr>
    </w:tbl>
    <w:bookmarkEnd w:id="190"/>
    <w:bookmarkEnd w:id="191"/>
    <w:bookmarkEnd w:id="1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7" Type="http://schemas.openxmlformats.org/officeDocument/2006/relationships/image" Target="media/rId177.png"/><Relationship Id="rId185" Type="http://schemas.openxmlformats.org/officeDocument/2006/relationships/image" Target="media/rId185.png"/><Relationship Id="rId134" Type="http://schemas.openxmlformats.org/officeDocument/2006/relationships/hyperlink" Target="https://doi.org/10.1016/j.actaastro.2017.04.034" TargetMode="External"/><Relationship Id="rId138" Type="http://schemas.openxmlformats.org/officeDocument/2006/relationships/hyperlink" Target="https://doi.org/10.1016/j.actaastro.2017.09.019" TargetMode="External"/><Relationship Id="rId141" Type="http://schemas.openxmlformats.org/officeDocument/2006/relationships/hyperlink" Target="https://doi.org/10.1016/j.actaastro.2019.10.014" TargetMode="External"/><Relationship Id="rId172" Type="http://schemas.openxmlformats.org/officeDocument/2006/relationships/hyperlink" Target="https://doi.org/10.1016/j.actaastro.2022.02.012" TargetMode="External"/><Relationship Id="rId168" Type="http://schemas.openxmlformats.org/officeDocument/2006/relationships/hyperlink" Target="https://doi.org/10.1016/j.actaastro.2024.05.017" TargetMode="External"/><Relationship Id="rId170" Type="http://schemas.openxmlformats.org/officeDocument/2006/relationships/hyperlink" Target="https://doi.org/10.1016/j.actaastro.2024.05.026" TargetMode="External"/><Relationship Id="rId162" Type="http://schemas.openxmlformats.org/officeDocument/2006/relationships/hyperlink" Target="https://doi.org/10.1016/j.actaastro.2024.08.009" TargetMode="External"/><Relationship Id="rId131" Type="http://schemas.openxmlformats.org/officeDocument/2006/relationships/hyperlink" Target="https://doi.org/10.1016/j.actaastro.2024.09.005" TargetMode="External"/><Relationship Id="rId166" Type="http://schemas.openxmlformats.org/officeDocument/2006/relationships/hyperlink" Target="https://doi.org/10.1016/j.actaastro.2024.11.002" TargetMode="External"/><Relationship Id="rId143" Type="http://schemas.openxmlformats.org/officeDocument/2006/relationships/hyperlink" Target="https://doi.org/10.1016/j.actaastro.2025.01.031" TargetMode="External"/><Relationship Id="rId164" Type="http://schemas.openxmlformats.org/officeDocument/2006/relationships/hyperlink" Target="https://doi.org/10.1016/j.actaastro.2025.09.081" TargetMode="External"/><Relationship Id="rId160" Type="http://schemas.openxmlformats.org/officeDocument/2006/relationships/hyperlink" Target="https://doi.org/10.1016/j.actaastro.2026.01.040" TargetMode="External"/><Relationship Id="rId152" Type="http://schemas.openxmlformats.org/officeDocument/2006/relationships/hyperlink" Target="https://doi.org/10.64861/LFFV2455" TargetMode="External"/><Relationship Id="rId155" Type="http://schemas.openxmlformats.org/officeDocument/2006/relationships/hyperlink" Target="https://doi.org/10.64861/MOJR9666" TargetMode="External"/><Relationship Id="rId148" Type="http://schemas.openxmlformats.org/officeDocument/2006/relationships/hyperlink" Target="https://doi.org/10.64861/QBNC8763" TargetMode="External"/><Relationship Id="rId158" Type="http://schemas.openxmlformats.org/officeDocument/2006/relationships/hyperlink" Target="https://doi.org/10.64861/WXIJ8208" TargetMode="External"/></Relationships>
</file>

<file path=word/_rels/footnotes.xml.rels><?xml version='1.0' encoding='UTF-8' standalone='yes'?>
<Relationships xmlns="http://schemas.openxmlformats.org/package/2006/relationships"><Relationship Id="rId134" Type="http://schemas.openxmlformats.org/officeDocument/2006/relationships/hyperlink" Target="https://doi.org/10.1016/j.actaastro.2017.04.034" TargetMode="External"/><Relationship Id="rId138" Type="http://schemas.openxmlformats.org/officeDocument/2006/relationships/hyperlink" Target="https://doi.org/10.1016/j.actaastro.2017.09.019" TargetMode="External"/><Relationship Id="rId141" Type="http://schemas.openxmlformats.org/officeDocument/2006/relationships/hyperlink" Target="https://doi.org/10.1016/j.actaastro.2019.10.014" TargetMode="External"/><Relationship Id="rId172" Type="http://schemas.openxmlformats.org/officeDocument/2006/relationships/hyperlink" Target="https://doi.org/10.1016/j.actaastro.2022.02.012" TargetMode="External"/><Relationship Id="rId168" Type="http://schemas.openxmlformats.org/officeDocument/2006/relationships/hyperlink" Target="https://doi.org/10.1016/j.actaastro.2024.05.017" TargetMode="External"/><Relationship Id="rId170" Type="http://schemas.openxmlformats.org/officeDocument/2006/relationships/hyperlink" Target="https://doi.org/10.1016/j.actaastro.2024.05.026" TargetMode="External"/><Relationship Id="rId162" Type="http://schemas.openxmlformats.org/officeDocument/2006/relationships/hyperlink" Target="https://doi.org/10.1016/j.actaastro.2024.08.009" TargetMode="External"/><Relationship Id="rId131" Type="http://schemas.openxmlformats.org/officeDocument/2006/relationships/hyperlink" Target="https://doi.org/10.1016/j.actaastro.2024.09.005" TargetMode="External"/><Relationship Id="rId166" Type="http://schemas.openxmlformats.org/officeDocument/2006/relationships/hyperlink" Target="https://doi.org/10.1016/j.actaastro.2024.11.002" TargetMode="External"/><Relationship Id="rId143" Type="http://schemas.openxmlformats.org/officeDocument/2006/relationships/hyperlink" Target="https://doi.org/10.1016/j.actaastro.2025.01.031" TargetMode="External"/><Relationship Id="rId164" Type="http://schemas.openxmlformats.org/officeDocument/2006/relationships/hyperlink" Target="https://doi.org/10.1016/j.actaastro.2025.09.081" TargetMode="External"/><Relationship Id="rId160" Type="http://schemas.openxmlformats.org/officeDocument/2006/relationships/hyperlink" Target="https://doi.org/10.1016/j.actaastro.2026.01.040" TargetMode="External"/><Relationship Id="rId152" Type="http://schemas.openxmlformats.org/officeDocument/2006/relationships/hyperlink" Target="https://doi.org/10.64861/LFFV2455" TargetMode="External"/><Relationship Id="rId155" Type="http://schemas.openxmlformats.org/officeDocument/2006/relationships/hyperlink" Target="https://doi.org/10.64861/MOJR9666" TargetMode="External"/><Relationship Id="rId148" Type="http://schemas.openxmlformats.org/officeDocument/2006/relationships/hyperlink" Target="https://doi.org/10.64861/QBNC8763" TargetMode="External"/><Relationship Id="rId158" Type="http://schemas.openxmlformats.org/officeDocument/2006/relationships/hyperlink" Target="https://doi.org/10.64861/WXIJ82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Institutional Isomorphism Across Space Agencies: Do New Space Organizations Copy</dc:title>
  <dc:creator>Dimitri Aziz (1B-MPM-122)</dc:creator>
  <cp:keywords/>
  <dcterms:created xsi:type="dcterms:W3CDTF">2026-07-04T11:09:52Z</dcterms:created>
  <dcterms:modified xsi:type="dcterms:W3CDTF">2026-07-04T11:09:52Z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