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SUSTAINMENT TAIL: DOES ACQUISITION-PHASE ARCHITECTURE CHOICE DETERMINE DECADAL OPERATING COST IN FEDERAL SPACE PROGRAMS</w:t>
      </w:r>
    </w:p>
    <w:p>
      <w:pPr>
        <w:jc w:val="center"/>
      </w:pPr>
    </w:p>
    <w:p>
      <w:pPr>
        <w:jc w:val="center"/>
      </w:pPr>
      <w:r>
        <w:rPr>
          <w:rFonts w:ascii="Times New Roman" w:hAnsi="Times New Roman"/>
          <w:sz w:val="24"/>
        </w:rPr>
        <w:t>by</w:t>
      </w:r>
    </w:p>
    <w:p>
      <w:pPr>
        <w:jc w:val="center"/>
      </w:pPr>
      <w:r>
        <w:rPr>
          <w:rFonts w:ascii="Times New Roman" w:hAnsi="Times New Roman"/>
          <w:b/>
          <w:sz w:val="28"/>
        </w:rPr>
        <w:t>Hugo Nilsson</w:t>
      </w:r>
    </w:p>
    <w:p>
      <w:pPr>
        <w:jc w:val="center"/>
      </w:pPr>
      <w:r>
        <w:rPr>
          <w:rFonts w:ascii="Times New Roman" w:hAnsi="Times New Roman"/>
          <w:sz w:val="24"/>
        </w:rPr>
        <w:t>1B-MPM-108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92322e4769179d200ff102493ffb9ea6c13f557"/>
    <w:p>
      <w:pPr>
        <w:pStyle w:val="Heading2"/>
        <w:spacing w:line="480" w:lineRule="auto"/>
      </w:pPr>
      <w:r>
        <w:t xml:space="preserve">1.1 The Sustainment Tail as a Federal Space Problem</w:t>
      </w:r>
    </w:p>
    <w:p>
      <w:pPr>
        <w:pStyle w:val="FirstParagraph"/>
        <w:spacing w:line="480" w:lineRule="auto"/>
      </w:pPr>
      <w:r>
        <w:t xml:space="preserve">Federal space programs are governed as though the decisions that matter happen at the front end of the life cycle. They are paid for, operated, and constrained by something else: decisions whose financial weight lands in the decade after fielding. Both the Selected Acquisition Report record and the NASA Cost Analysis Data Requirements record tell the same story about the major space programs of the last quarter century. Operations and sustainment (O and S) obligations rival, and often exceed, the development and procurement obligations that dominate the source-selection conversation. Felten, Colombi, Cobb, and Meyer</w:t>
      </w:r>
      <w:r>
        <w:t xml:space="preserve"> </w:t>
      </w:r>
      <w:hyperlink w:anchor="ref-1">
        <w:r>
          <w:rPr>
            <w:rStyle w:val="Hyperlink"/>
          </w:rPr>
          <w:t xml:space="preserve">[1]</w:t>
        </w:r>
      </w:hyperlink>
      <w:r>
        <w:t xml:space="preserve"> </w:t>
      </w:r>
      <w:r>
        <w:t xml:space="preserve">state the point at the architectural level. They decompose life-cycle cost for geosynchronous space situational awareness architectures into development, procurement, launch, operations and sustainment, and disposal components, and they treat O and S not as a leftover but as a first-class element of the architecture trade space. This is not a matter of accounting taste. It changes what an architecture decision is, because the decision now reaches over the present and over the ten years that follow it.</w:t>
      </w:r>
    </w:p>
    <w:p>
      <w:pPr>
        <w:pStyle w:val="BodyText"/>
        <w:spacing w:line="480" w:lineRule="auto"/>
        <w:ind w:firstLine="720"/>
      </w:pPr>
      <w:r>
        <w:t xml:space="preserve">For the National Aeronautics and Space Administration (NASA), the problem keeps returning, and it bites hard.</w:t>
      </w:r>
    </w:p>
    <w:p>
      <w:pPr>
        <w:pStyle w:val="BodyText"/>
        <w:spacing w:line="480" w:lineRule="auto"/>
        <w:ind w:firstLine="720"/>
      </w:pPr>
      <w:r>
        <w:t xml:space="preserve">The Government Accountability Office’s annual assessment of major NASA projects</w:t>
      </w:r>
      <w:r>
        <w:t xml:space="preserve"> </w:t>
      </w:r>
      <w:hyperlink w:anchor="ref-7">
        <w:r>
          <w:rPr>
            <w:rStyle w:val="Hyperlink"/>
          </w:rPr>
          <w:t xml:space="preserve">[7]</w:t>
        </w:r>
      </w:hyperlink>
      <w:r>
        <w:t xml:space="preserve"> </w:t>
      </w:r>
      <w:r>
        <w:t xml:space="preserve">documents cost growth and schedule slip at portfolio scale, and the growth concentrates in the years after the Key Decision Point B equivalent rather than in the design phase that produced it. The Jet Propulsion Laboratory (JPL) is NASA’s principal federally funded research and development center for deep-space science, and it sits at the sharp end of this pattern. JPL’s portfolio runs on long-tailed sustainment commitments: operating spacecraft, deep-space network ground assets, and successor instruments whose architectural lineage traces back to acquisition decisions taken a decade or more earlier. When JPL’s recompete became public in 2026, the framing put the operating model of the laboratory forward as the policy question. The cost question sat underneath, and it was an acquisition-architecture question: whether the architectural choices being locked in today will leave a tractable sustainment tail a decade from now. None of this is abstract for NASA or for JPL. Suppose architecture choice at the acquisition decision does move the ten-year O and S trajectory by a material amount. Then the source-selection process, the independent cost estimate, the program-protection investment, and the recompete framing all underweight the one variable that most determines total program cost. Suppose instead that architecture choice does not move the trajectory. Then a generation of architecture trade studies, optimization tools, and methodology investments has been aimed at a lever that does not exist, and the policy response to cost growth belongs elsewhere, with the operations, workforce, and ground-segment levers that remain. Either answer is consequential. Neither answer is currently in evidence.</w:t>
      </w:r>
    </w:p>
    <w:bookmarkEnd w:id="61"/>
    <w:bookmarkStart w:id="62" w:name="Xeb281059798891b9e4112d88c057b15ef12ec59"/>
    <w:p>
      <w:pPr>
        <w:pStyle w:val="Heading2"/>
        <w:spacing w:line="480" w:lineRule="auto"/>
      </w:pPr>
      <w:r>
        <w:t xml:space="preserve">1.2 What the Domain Literature Knows and Does Not Know</w:t>
      </w:r>
    </w:p>
    <w:p>
      <w:pPr>
        <w:pStyle w:val="FirstParagraph"/>
        <w:spacing w:line="480" w:lineRule="auto"/>
      </w:pPr>
      <w:r>
        <w:t xml:space="preserve">Read against the sustainment problem just stated, the space-acquisition cost-modeling literature runs along two productive but separable tracks.</w:t>
      </w:r>
    </w:p>
    <w:p>
      <w:pPr>
        <w:pStyle w:val="BodyText"/>
        <w:spacing w:line="480" w:lineRule="auto"/>
        <w:ind w:firstLine="720"/>
      </w:pPr>
      <w:r>
        <w:t xml:space="preserve">The first track is parametric and predictive. Friz, Hosder, Leser, and Towle</w:t>
      </w:r>
      <w:r>
        <w:t xml:space="preserve"> </w:t>
      </w:r>
      <w:hyperlink w:anchor="ref-2">
        <w:r>
          <w:rPr>
            <w:rStyle w:val="Hyperlink"/>
          </w:rPr>
          <w:t xml:space="preserve">[2]</w:t>
        </w:r>
      </w:hyperlink>
      <w:r>
        <w:t xml:space="preserve"> </w:t>
      </w:r>
      <w:r>
        <w:t xml:space="preserve">conduct what they describe as the first blind validation of the parametric tool SEER-H against actual NASA mission outcomes, and they show that parametric tools deliver point estimates with wide confidence intervals and no structural representation of the sustainment phase. Probst, Nitzl, Kraus, and Förstner</w:t>
      </w:r>
      <w:r>
        <w:t xml:space="preserve"> </w:t>
      </w:r>
      <w:hyperlink w:anchor="ref-6">
        <w:r>
          <w:rPr>
            <w:rStyle w:val="Hyperlink"/>
          </w:rPr>
          <w:t xml:space="preserve">[6]</w:t>
        </w:r>
      </w:hyperlink>
      <w:r>
        <w:t xml:space="preserve"> </w:t>
      </w:r>
      <w:r>
        <w:t xml:space="preserve">push the predictive frontier further with a partial least squares structural equation model fitted to asteroid mining cost data, and their model depends explicitly on user judgement elicited through Delphi and Likert instruments. Probst and colleagues</w:t>
      </w:r>
      <w:r>
        <w:t xml:space="preserve"> </w:t>
      </w:r>
      <w:hyperlink w:anchor="ref-8">
        <w:r>
          <w:rPr>
            <w:rStyle w:val="Hyperlink"/>
          </w:rPr>
          <w:t xml:space="preserve">[8]</w:t>
        </w:r>
      </w:hyperlink>
      <w:r>
        <w:t xml:space="preserve"> </w:t>
      </w:r>
      <w:r>
        <w:t xml:space="preserve">restate and document the same methodological commitments in the published version. Both contributions advance prediction. Both also treat sustainment as a coefficient on total cost rather than as a separately identified outcome with its own dynamics conditional on architecture.</w:t>
      </w:r>
    </w:p>
    <w:p>
      <w:pPr>
        <w:pStyle w:val="BodyText"/>
        <w:spacing w:line="480" w:lineRule="auto"/>
        <w:ind w:firstLine="720"/>
      </w:pPr>
      <w:r>
        <w:t xml:space="preserve">The second track is architectural and prescriptive, and here the work turns normative. Felten and colleagues</w:t>
      </w:r>
      <w:r>
        <w:t xml:space="preserve"> </w:t>
      </w:r>
      <w:hyperlink w:anchor="ref-1">
        <w:r>
          <w:rPr>
            <w:rStyle w:val="Hyperlink"/>
          </w:rPr>
          <w:t xml:space="preserve">[1]</w:t>
        </w:r>
      </w:hyperlink>
      <w:r>
        <w:t xml:space="preserve"> </w:t>
      </w:r>
      <w:r>
        <w:t xml:space="preserve">and</w:t>
      </w:r>
      <w:r>
        <w:t xml:space="preserve"> </w:t>
      </w:r>
      <w:hyperlink w:anchor="ref-17">
        <w:r>
          <w:rPr>
            <w:rStyle w:val="Hyperlink"/>
          </w:rPr>
          <w:t xml:space="preserve">[17]</w:t>
        </w:r>
      </w:hyperlink>
      <w:r>
        <w:t xml:space="preserve"> </w:t>
      </w:r>
      <w:r>
        <w:t xml:space="preserve">solve a high-dimensional architecture optimization problem using parallel computation and derive recommended architectures against a life-cycle-cost objective. Gans and Barnhart</w:t>
      </w:r>
      <w:r>
        <w:t xml:space="preserve"> </w:t>
      </w:r>
      <w:hyperlink w:anchor="ref-13">
        <w:r>
          <w:rPr>
            <w:rStyle w:val="Hyperlink"/>
          </w:rPr>
          <w:t xml:space="preserve">[13]</w:t>
        </w:r>
      </w:hyperlink>
      <w:r>
        <w:t xml:space="preserve"> </w:t>
      </w:r>
      <w:r>
        <w:t xml:space="preserve">document a ten-step architecture-construction procedure for space surveillance projects. Wootton</w:t>
      </w:r>
      <w:r>
        <w:t xml:space="preserve"> </w:t>
      </w:r>
      <w:hyperlink w:anchor="ref-15">
        <w:r>
          <w:rPr>
            <w:rStyle w:val="Hyperlink"/>
          </w:rPr>
          <w:t xml:space="preserve">[15]</w:t>
        </w:r>
      </w:hyperlink>
      <w:r>
        <w:t xml:space="preserve"> </w:t>
      </w:r>
      <w:r>
        <w:t xml:space="preserve">describes how the Ground-Based Electro-Optical Deep Space Surveillance system was enabled architecturally for space situational awareness. Koblick and colleagues</w:t>
      </w:r>
      <w:r>
        <w:t xml:space="preserve"> </w:t>
      </w:r>
      <w:hyperlink w:anchor="ref-12">
        <w:r>
          <w:rPr>
            <w:rStyle w:val="Hyperlink"/>
          </w:rPr>
          <w:t xml:space="preserve">[12]</w:t>
        </w:r>
      </w:hyperlink>
      <w:r>
        <w:t xml:space="preserve"> </w:t>
      </w:r>
      <w:r>
        <w:t xml:space="preserve">articulate a ground optical signal processing architecture for contributing space-based sensor data, and Smith, Dean, Rilee, and Zielinski</w:t>
      </w:r>
      <w:r>
        <w:t xml:space="preserve"> </w:t>
      </w:r>
      <w:hyperlink w:anchor="ref-18">
        <w:r>
          <w:rPr>
            <w:rStyle w:val="Hyperlink"/>
          </w:rPr>
          <w:t xml:space="preserve">[18]</w:t>
        </w:r>
      </w:hyperlink>
      <w:r>
        <w:t xml:space="preserve"> </w:t>
      </w:r>
      <w:r>
        <w:t xml:space="preserve">document a parallel-computing architecture for James Webb Space Telescope wavefront-sensing algorithms, which shows that architecture-as-decision is a live research practice inside NASA centers as well as inside the Air Force Institute of Technology. The same instinct continues in recent work on distributed sensing, relative state estimation, and active debris removal [19, 20], and in the propulsion, launch-vehicle, and lunar-outpost architecture work that frames the next decade of mission concepts [21, 22, 23, 24]. Hejduk</w:t>
      </w:r>
      <w:r>
        <w:t xml:space="preserve"> </w:t>
      </w:r>
      <w:hyperlink w:anchor="ref-11">
        <w:r>
          <w:rPr>
            <w:rStyle w:val="Hyperlink"/>
          </w:rPr>
          <w:t xml:space="preserve">[11]</w:t>
        </w:r>
      </w:hyperlink>
      <w:r>
        <w:t xml:space="preserve"> </w:t>
      </w:r>
      <w:r>
        <w:t xml:space="preserve">and Landon and colleagues</w:t>
      </w:r>
      <w:r>
        <w:t xml:space="preserve"> </w:t>
      </w:r>
      <w:hyperlink w:anchor="ref-16">
        <w:r>
          <w:rPr>
            <w:rStyle w:val="Hyperlink"/>
          </w:rPr>
          <w:t xml:space="preserve">[16]</w:t>
        </w:r>
      </w:hyperlink>
      <w:r>
        <w:t xml:space="preserve"> </w:t>
      </w:r>
      <w:r>
        <w:t xml:space="preserve">show the pattern at the sensor-modeling and inference layers, where architectural choices about photometric models and deep-learning classifiers shape the downstream operations workload. Brown and colleagues</w:t>
      </w:r>
      <w:r>
        <w:t xml:space="preserve"> </w:t>
      </w:r>
      <w:hyperlink w:anchor="ref-14">
        <w:r>
          <w:rPr>
            <w:rStyle w:val="Hyperlink"/>
          </w:rPr>
          <w:t xml:space="preserve">[14]</w:t>
        </w:r>
      </w:hyperlink>
      <w:r>
        <w:t xml:space="preserve"> </w:t>
      </w:r>
      <w:r>
        <w:t xml:space="preserve">and Sabatini and colleagues</w:t>
      </w:r>
      <w:r>
        <w:t xml:space="preserve"> </w:t>
      </w:r>
      <w:hyperlink w:anchor="ref-26">
        <w:r>
          <w:rPr>
            <w:rStyle w:val="Hyperlink"/>
          </w:rPr>
          <w:t xml:space="preserve">[26]</w:t>
        </w:r>
      </w:hyperlink>
      <w:r>
        <w:t xml:space="preserve"> </w:t>
      </w:r>
      <w:r>
        <w:t xml:space="preserve">carry the architectural conversation into thermospheric forecasting and large-flexible-satellite control, and they make plain that architectural decisions get made under uncertainty about the very operating environment the decision will meet.</w:t>
      </w:r>
    </w:p>
    <w:p>
      <w:pPr>
        <w:pStyle w:val="BodyText"/>
        <w:spacing w:line="480" w:lineRule="auto"/>
        <w:ind w:firstLine="720"/>
      </w:pPr>
      <w:r>
        <w:t xml:space="preserve">Read as a body of evidence, this literature gives a careful account of what an architecture is, how one might be optimized, and how its constituents might be modeled. What it does not give is a causal account of what an architecture does to the sustainment tail. The parametric track has the outcome, cost, but it treats architecture as a categorical descriptor. The architectural track has the decision variable, architecture, but it treats outcome as a design objective rather than as a realized trajectory to be estimated. The Office of the Chief Economist’s forecasting work</w:t>
      </w:r>
      <w:r>
        <w:t xml:space="preserve"> </w:t>
      </w:r>
      <w:hyperlink w:anchor="ref-3">
        <w:r>
          <w:rPr>
            <w:rStyle w:val="Hyperlink"/>
          </w:rPr>
          <w:t xml:space="preserve">[3]</w:t>
        </w:r>
      </w:hyperlink>
      <w:r>
        <w:t xml:space="preserve"> </w:t>
      </w:r>
      <w:r>
        <w:t xml:space="preserve">sits adjacent to both tracks; it treats the declining cost of launch as the principal exogenous driver of program economics and leaves the endogenous, governance-controllable lever, the architecture itself, as a residual category. Stilwell’s transformative-change analyses [4, 9, 10] frame acquisition-strategy assessments as a recognized but under-instrumented input to space-policy goals, and Stilwell’s broader sustainability and development framing</w:t>
      </w:r>
      <w:r>
        <w:t xml:space="preserve"> </w:t>
      </w:r>
      <w:hyperlink w:anchor="ref-5">
        <w:r>
          <w:rPr>
            <w:rStyle w:val="Hyperlink"/>
          </w:rPr>
          <w:t xml:space="preserve">[5]</w:t>
        </w:r>
      </w:hyperlink>
      <w:r>
        <w:t xml:space="preserve"> </w:t>
      </w:r>
      <w:r>
        <w:t xml:space="preserve">reports, through Erwin, that even the directional question of whether military space program cost is rising or falling remains contested. That contestation is itself a symptom. Absent a credible counterfactual against which to measure the cost effect of any specific architecture decision, the domain literature can describe sustainment cost and prescribe architectures, yet it cannot say what the second does to the first.</w:t>
      </w:r>
    </w:p>
    <w:bookmarkEnd w:id="62"/>
    <w:bookmarkStart w:id="63" w:name="Xd24fa9698b0a2564f7391559a55b12a7250e138"/>
    <w:p>
      <w:pPr>
        <w:pStyle w:val="Heading2"/>
        <w:spacing w:line="480" w:lineRule="auto"/>
      </w:pPr>
      <w:r>
        <w:t xml:space="preserve">1.3 What the Econometric Method Literature Knows That the Domain Has Not Used</w:t>
      </w:r>
    </w:p>
    <w:p>
      <w:pPr>
        <w:pStyle w:val="FirstParagraph"/>
        <w:spacing w:line="480" w:lineRule="auto"/>
      </w:pPr>
      <w:r>
        <w:t xml:space="preserve">The gap is not a gap in available methods. Over the last three decades, the econometric and applied microeconometric literature has built an apparatus that fits this problem almost exactly. Two-way fixed-effects panel estimation isolates within-unit variation from program-invariant heterogeneity and from macro-year shocks. Difference-in-differences identification recovers a treatment effect from a quasi-experimental policy date wherever the parallel-trends assumption is defensible. Instrumental-variables estimation rescues identification when treatment assignment is partially endogenous, conditional on a defensible exclusion restriction. Wild-cluster bootstrap inference and small-cluster corrections protect inference when the panel of units is small. Every one of these tools is standard in labor economics, in public finance, and in program evaluation. None of them has been imported into the federal space acquisition cost-modeling literature at the architecture level. The mismatch is not one of difficulty. The domain has the question and lacks the apparatus; the methods have the apparatus and have never been pointed at the question. Consider what the public record already supplies. The 2010 disaggregation policy shift inside the Department of the Air Force reads as a textbook quasi-experimental treatment date. The architecture trade-study record documented in the AMOS conference corpus and in Air Force Institute of Technology theses, anchored by the methodology in Felten and colleagues [1, 17], furnishes a plausible instrument for the timing of architecture choice. The Selected Acquisition Report and NASA Cost Analysis Data Requirements records furnish the panel outcome. Every condition for a credible causal estimate is present in the open record. They have simply never been assembled.</w:t>
      </w:r>
    </w:p>
    <w:p>
      <w:pPr>
        <w:pStyle w:val="BodyText"/>
        <w:spacing w:line="480" w:lineRule="auto"/>
        <w:ind w:firstLine="720"/>
      </w:pPr>
      <w:r>
        <w:t xml:space="preserve">Leaving them unassembled carries a real cost. As long as the domain treats architecture as either a categorical descriptor inside a parametric model or a design objective inside an optimization, the policy debate over acquisition cost growth keeps recycling the same disputes about launch-cost trajectories, contracting vehicles, and program-management capability. The architecture variable, which the domain literature itself names as central, stays rhetorically central and empirically unestimated. This dissertation is written into that gap.</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makes exactly one contribution. It produces a single, falsifiable causal estimate of the elasticity of the ten-year operations and sustainment cost ratio of major federal space programs with respect to a one-standard-deviation increase in acquisition-phase disaggregation, conditional on mission class, contract-vehicle type, and pre-Milestone B technology readiness level, identified by a difference-in-differences design around the 2010 disaggregation policy shift and by an instrumental-variables specification that instruments the disaggregation index with the timing of architecture-trade methodology adoption documented by Felten and colleagues [1, 17]. One elasticity carries the whole argument. The policy question, the source-selection question, and the recompete question all reduce to it. If the elasticity is statistically indistinguishable from zero, the dissertation rejects the prevailing presumption that disaggregation is a cost-controllable lever, and the corollary is that the architecture trade study, as currently practiced, is a policy ornament rather than a policy instrument. If the elasticity is signed and material, the dissertation quantifies the lever, and the corollary is that source-selection criteria, independent cost estimates, and program-protection investments should weight architecture differently than they do, at a magnitude the estimate makes precise.</w:t>
      </w:r>
    </w:p>
    <w:p>
      <w:pPr>
        <w:pStyle w:val="BodyText"/>
        <w:spacing w:line="480" w:lineRule="auto"/>
        <w:ind w:firstLine="720"/>
      </w:pPr>
      <w:r>
        <w:t xml:space="preserve">The hypothesis is testable in the strict sense. Under the null, conditional on the named controls, a one-standard-deviation increase in acquisition-phase disaggregation produces no statistically distinguishable change in the ten-year O and S cost ratio. Under the alternative, that change is statistically distinguishable, with the sign and magnitude estimated as the central result. Where do the pieces come from? The outcome variable is recorded in the Selected Acquisition Report series and in the NASA Cost Analysis Data Requirements records, both publicly retrievable for the panel of 38 programs constructed in Chapter 4. The treatment variable is constructible from architecture trade-study documentation in the AMOS conference record and in the Air Force Institute of Technology thesis record. The instrument is constructible from the publication and acquisition-program-office adoption record reconstructed from those same documentary sources. The estimator is a fixed-effects two-stage least-squares regression of the log ten-year O and S cost ratio on the standardized disaggregation index and the controls, with standard errors clustered at the program level and reported with wild-cluster bootstrap corrections. The result is a number with a confidence interval and a p-value, and it either rejects the null or it does not.</w:t>
      </w:r>
    </w:p>
    <w:p>
      <w:pPr>
        <w:pStyle w:val="BodyText"/>
        <w:spacing w:line="480" w:lineRule="auto"/>
        <w:ind w:firstLine="720"/>
      </w:pPr>
      <w:r>
        <w:t xml:space="preserve">The contribution, then, is not a model, not a framework, not a synthesis, and not a recommendation. It is one estimate. The dissertation is organized to defend that estimate.</w:t>
      </w:r>
    </w:p>
    <w:bookmarkEnd w:id="64"/>
    <w:bookmarkStart w:id="65" w:name="X2f31c03ed00777a6848705ba4d12960bec8fbc7"/>
    <w:p>
      <w:pPr>
        <w:pStyle w:val="Heading2"/>
        <w:spacing w:line="480" w:lineRule="auto"/>
      </w:pPr>
      <w:r>
        <w:t xml:space="preserve">1.5 Scope and What This Dissertation Does Not Claim</w:t>
      </w:r>
    </w:p>
    <w:p>
      <w:pPr>
        <w:pStyle w:val="FirstParagraph"/>
        <w:spacing w:line="480" w:lineRule="auto"/>
      </w:pPr>
      <w:r>
        <w:t xml:space="preserve">The dissertation is deliberately narrow. It does not estimate the effect of payload-host coupling, hosted-payload reliance, or parallel-build commonality on the sustainment tail, though all three architectural attributes are coded into the dataset for use as covariates and for descriptive reporting. Disaggregation is the headline treatment because the 2010 policy shift gives it a quasi-experimental footing the other three attributes lack. The dissertation does not estimate effects on development cost, on procurement cost, on schedule, or on technical performance, though the same dataset would support those investigations as separate studies. It also does not claim external validity to European Space Agency programs, to Japan Aerospace Exploration Agency programs, or to commercial programs, because the Selected Acquisition Report and NASA Cost Analysis Data Requirements records are jointly available only for U.S. federal space acquisitions. The framework is portable. The estimate is not. The dissertation likewise declines to adjudicate the broader policy debate over the future of federal space program cost. The Office of the Chief Economist’s forecasting work</w:t>
      </w:r>
      <w:r>
        <w:t xml:space="preserve"> </w:t>
      </w:r>
      <w:hyperlink w:anchor="ref-3">
        <w:r>
          <w:rPr>
            <w:rStyle w:val="Hyperlink"/>
          </w:rPr>
          <w:t xml:space="preserve">[3]</w:t>
        </w:r>
      </w:hyperlink>
      <w:r>
        <w:t xml:space="preserve"> </w:t>
      </w:r>
      <w:r>
        <w:t xml:space="preserve">argues that declining launch cost is the dominant exogenous driver. The dissertation takes that finding as background, absorbs the macro-year variation it implies through year fixed effects, and isolates the architecture lever while holding launch-cost dynamics constant. Whether the architecture lever is large or small in absolute terms, and whether it is large or small relative to the launch-cost trend, are reported as a final descriptive comparison in Chapter 6 rather than as the central claim.</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reviews the literatures that frame the contribution. It treats the parametric cost-modeling track [2, 6, 8] and the architectural optimization and construction track [1, 11, 12, 13, 14, 15, 16, 17, 18, 19, 20, 26] as the two domain anchors, and it treats the OCEA forecasting work</w:t>
      </w:r>
      <w:r>
        <w:t xml:space="preserve"> </w:t>
      </w:r>
      <w:hyperlink w:anchor="ref-3">
        <w:r>
          <w:rPr>
            <w:rStyle w:val="Hyperlink"/>
          </w:rPr>
          <w:t xml:space="preserve">[3]</w:t>
        </w:r>
      </w:hyperlink>
      <w:r>
        <w:t xml:space="preserve"> </w:t>
      </w:r>
      <w:r>
        <w:t xml:space="preserve">and the Stilwell transformative-change analyses [4, 5, 9, 10] as the policy anchors. It identifies the three gaps articulated in Section 1.2 above, namely that sustainment is bundled, architecture is categorical, and causality is not asked, and it locates the dissertation against them. It then surveys the econometric apparatus the domain has not yet used. Chapter 3 develops the conceptual framework that links acquisition-phase architecture choice to the ten-year sustainment trajectory. The framework is deliberately spare. It posits a small number of mechanisms, interface complexity, ground-segment commonality, supplier-base concentration, and obsolescence exposure, through which disaggregation can plausibly move sustainment cost, and it derives the testable implications of each mechanism that the empirical chapter will report.</w:t>
      </w:r>
    </w:p>
    <w:p>
      <w:pPr>
        <w:pStyle w:val="BodyText"/>
        <w:spacing w:line="480" w:lineRule="auto"/>
        <w:ind w:firstLine="720"/>
      </w:pPr>
      <w:r>
        <w:t xml:space="preserve">Chapter 4 specifies the data and the identification strategy in detail. It documents the construction of the 38-program panel from the Selected Acquisition Report and NASA Cost Analysis Data Requirements records, the coding of the disaggregation index from the AMOS conference and Air Force Institute of Technology thesis documentation, and the construction of the controls and the instrument. It presents the difference-in-differences specification around the 2010 disaggregation policy shift, the parallel-trends test, the placebo specification at a 2007 false treatment date, and the instrumental-variables specification with its exclusion-restriction defense. Chapter 5 reports the estimates. It presents the headline two-way fixed-effects difference-in-differences estimate, the instrumental-variables estimate, the robustness panel against three alternative coding rules for the disaggregation index, the placebo test, and the power calculation conditioned on the realized panel. It reports the result against the null stated in Section 1.4 above. Chapter 6 interprets the estimate. It situates the headline number against the parametric cost-modeling baseline [2, 6, 8], against the architectural optimization recommendation [1, 17], and against the OCEA launch-cost forecast</w:t>
      </w:r>
      <w:r>
        <w:t xml:space="preserve"> </w:t>
      </w:r>
      <w:hyperlink w:anchor="ref-3">
        <w:r>
          <w:rPr>
            <w:rStyle w:val="Hyperlink"/>
          </w:rPr>
          <w:t xml:space="preserve">[3]</w:t>
        </w:r>
      </w:hyperlink>
      <w:r>
        <w:t xml:space="preserve">. It identifies the implications for NASA source selection, for JPL’s recompete framing, for the FAR-companion guidance now propagating across NASA and the Department of the Air Force, and for the program-protection investment decision. It states what the estimate does not say with the same precision as what it does.</w:t>
      </w:r>
    </w:p>
    <w:p>
      <w:pPr>
        <w:pStyle w:val="BodyText"/>
        <w:spacing w:line="480" w:lineRule="auto"/>
        <w:ind w:firstLine="720"/>
      </w:pPr>
      <w:r>
        <w:t xml:space="preserve">Chapter 7 concludes. It summarizes the contribution as a single estimate, restates the falsifiability conditions under which the estimate was produced, identifies the natural extensions that the same dataset would support but that fall outside this dissertation’s scope, and closes. The thesis is simple enough to state in one sentence, and it is restated here as a guide for the reader. The acquisition-phase architecture choice that NASA, the Department of the Air Force, and JPL make at Milestone B causally moves the ten-year operations and sustainment cost trajectory of the program by a magnitude that this dissertation estimates, or it does not, and the public record contains the data to decide which.</w:t>
      </w:r>
    </w:p>
    <w:bookmarkEnd w:id="66"/>
    <w:bookmarkEnd w:id="67"/>
    <w:bookmarkStart w:id="81" w:name="chapter-2.-literature-review"/>
    <w:p>
      <w:pPr>
        <w:pStyle w:val="Heading1"/>
        <w:spacing w:line="480" w:lineRule="auto"/>
      </w:pPr>
      <w:r>
        <w:t xml:space="preserve">Chapter 2. Literature Review</w:t>
      </w:r>
    </w:p>
    <w:bookmarkStart w:id="68" w:name="orientation"/>
    <w:p>
      <w:pPr>
        <w:pStyle w:val="Heading2"/>
        <w:spacing w:line="480" w:lineRule="auto"/>
      </w:pPr>
      <w:r>
        <w:t xml:space="preserve">2.1 Orientation</w:t>
      </w:r>
    </w:p>
    <w:p>
      <w:pPr>
        <w:pStyle w:val="FirstParagraph"/>
        <w:spacing w:line="480" w:lineRule="auto"/>
      </w:pPr>
      <w:r>
        <w:t xml:space="preserve">The research question anchoring this dissertation falls in territory no published study has settled. To one side lies a mature technical body of work covering federal space-program architecture, cost estimation, and the survival of programmatic milestones. To the other lies an equally mature methodological tradition in cliometric and econometric identification, carrying its panel designs, its hazard estimators, and its insistence on a causal counterfactual. Both sides have been fruitful within their own conventions. What neither has delivered is an estimate of how strongly decadal operations and sustainment cost responds to acquisition-phase architecture choice, at the identification standard the methodological camp now expects.</w:t>
      </w:r>
    </w:p>
    <w:p>
      <w:pPr>
        <w:pStyle w:val="BodyText"/>
        <w:spacing w:line="480" w:lineRule="auto"/>
        <w:ind w:firstLine="720"/>
      </w:pPr>
      <w:r>
        <w:t xml:space="preserve">The two literatures are reviewed here in turn, then joined, and the gap between them named.</w:t>
      </w:r>
    </w:p>
    <w:p>
      <w:pPr>
        <w:pStyle w:val="BodyText"/>
        <w:spacing w:line="480" w:lineRule="auto"/>
        <w:ind w:firstLine="720"/>
      </w:pPr>
      <w:r>
        <w:t xml:space="preserve">Section 2.2 traces the space-architecture and cost-estimation work, opening with parametric tools, moving through architecture-trade methodologies, and ending on the Government Accountability Office major-project record that gives the dissertation its empirical backbone. Section 2.3 turns to the methodological side: panel identification, difference-in-differences with policy shifts, instrumental-variables strategies for endogenous treatment, and survival analysis of programmatic events. Section 2.4 audits two adjacent technical bodies the dissertation borrows from without extending, namely the optical and sensor architectures for space situational awareness and the wider Acta Astronautica record on distributed mission design. Section 2.5 joins the two principal literatures, marks the seam where they fail to meet, and fixes the gap the empirical chapters set out to close.</w:t>
      </w:r>
    </w:p>
    <w:bookmarkEnd w:id="68"/>
    <w:bookmarkStart w:id="73" w:name="Xf0f8c67ca7f50b3176bf0751591bd2c9154137d"/>
    <w:p>
      <w:pPr>
        <w:pStyle w:val="Heading2"/>
        <w:spacing w:line="480" w:lineRule="auto"/>
      </w:pPr>
      <w:r>
        <w:t xml:space="preserve">2.2 The Space-Architecture and Cost-Estimation Literature</w:t>
      </w:r>
    </w:p>
    <w:bookmarkStart w:id="69" w:name="X6e2dbb0e4ed36308b459b945d4307889a4ed84e"/>
    <w:p>
      <w:pPr>
        <w:pStyle w:val="Heading3"/>
        <w:spacing w:line="480" w:lineRule="auto"/>
      </w:pPr>
      <w:r>
        <w:t xml:space="preserve">2.2.1 Parametric Cost Estimation as the Inherited Baseline</w:t>
      </w:r>
    </w:p>
    <w:p>
      <w:pPr>
        <w:pStyle w:val="FirstParagraph"/>
        <w:spacing w:line="480" w:lineRule="auto"/>
      </w:pPr>
      <w:r>
        <w:t xml:space="preserve">Every architecture-aware estimate has to prove itself against an inherited baseline, and parametric cost estimation is that baseline.</w:t>
      </w:r>
    </w:p>
    <w:p>
      <w:pPr>
        <w:pStyle w:val="BodyText"/>
        <w:spacing w:line="480" w:lineRule="auto"/>
        <w:ind w:firstLine="720"/>
      </w:pPr>
      <w:r>
        <w:t xml:space="preserve">Friz, Hosder, Leser, and Towle ran the first published blind validation of the SEER-H parametric tool against realized NASA mission outcomes</w:t>
      </w:r>
      <w:r>
        <w:t xml:space="preserve"> </w:t>
      </w:r>
      <w:hyperlink w:anchor="ref-2">
        <w:r>
          <w:rPr>
            <w:rStyle w:val="Hyperlink"/>
          </w:rPr>
          <w:t xml:space="preserve">[2]</w:t>
        </w:r>
      </w:hyperlink>
      <w:r>
        <w:t xml:space="preserve">. Their study earns its foundational status by fixing a transparent standard for what a parametric estimator can and cannot deliver. The point estimates SEER-H returns come wrapped in wide confidence intervals, and the tool builds no structural representation of the operations and sustainment phase as a distinct cost element with dynamics of its own. That same tool reappears in the dissertation’s companion survival-analysis work on time-to-breach</w:t>
      </w:r>
      <w:r>
        <w:t xml:space="preserve"> </w:t>
      </w:r>
      <w:hyperlink w:anchor="ref-5">
        <w:r>
          <w:rPr>
            <w:rStyle w:val="Hyperlink"/>
          </w:rPr>
          <w:t xml:space="preserve">[5]</w:t>
        </w:r>
      </w:hyperlink>
      <w:r>
        <w:t xml:space="preserve">, serving there as the inherited prior against which the survival approach quietly defines itself.</w:t>
      </w:r>
    </w:p>
    <w:p>
      <w:pPr>
        <w:pStyle w:val="BodyText"/>
        <w:spacing w:line="480" w:lineRule="auto"/>
        <w:ind w:firstLine="720"/>
      </w:pPr>
      <w:r>
        <w:t xml:space="preserve">Probst, Nitzl, Kraus, and Förstner carry the parametric line into partial least squares structural equation modelling for costing an asteroid-mining mission</w:t>
      </w:r>
      <w:r>
        <w:t xml:space="preserve"> </w:t>
      </w:r>
      <w:hyperlink w:anchor="ref-6">
        <w:r>
          <w:rPr>
            <w:rStyle w:val="Hyperlink"/>
          </w:rPr>
          <w:t xml:space="preserve">[6]</w:t>
        </w:r>
      </w:hyperlink>
      <w:r>
        <w:t xml:space="preserve">.</w:t>
      </w:r>
    </w:p>
    <w:p>
      <w:pPr>
        <w:pStyle w:val="BodyText"/>
        <w:spacing w:line="480" w:lineRule="auto"/>
        <w:ind w:firstLine="720"/>
      </w:pPr>
      <w:r>
        <w:t xml:space="preserve">Embedding latent constructs explicitly counts as a genuine methodological advance, and yet the inputs still lean on Delphi-elicited and Likert-scored expert judgement. The model coheres internally, and it stops short of any falsifiable causal claim tying a specific architectural choice to a specific cost outcome. The cost-breach work reuses the same paper</w:t>
      </w:r>
      <w:r>
        <w:t xml:space="preserve"> </w:t>
      </w:r>
      <w:hyperlink w:anchor="ref-8">
        <w:r>
          <w:rPr>
            <w:rStyle w:val="Hyperlink"/>
          </w:rPr>
          <w:t xml:space="preserve">[8]</w:t>
        </w:r>
      </w:hyperlink>
      <w:r>
        <w:t xml:space="preserve">, which drives home a blunt point: the parametric and structural-equation traditions are the tools analysts reach for when a number is owed before Milestone B, even where those tools leave the causal question wholly untouched. Three features of the parametric work mark the gap. To begin with, the dependent variable is total program cost, and operations and sustainment ride along as a coefficient rather than standing out as a separately identified outcome. Next, architecture enters as a categorical label or an exogenous input, never as a decision variable whose marginal effect one might estimate. Finally, identification goes unmentioned, because the parametric model fits historical data without any counterfactual. None of this amounts to a rejection of parametric estimation. The dissertation keeps it as the inherited baseline, and the limits it exposes are what motivate the causal design of Chapter 3.</w:t>
      </w:r>
    </w:p>
    <w:bookmarkEnd w:id="69"/>
    <w:bookmarkStart w:id="70" w:name="architecture-trade-methodologies"/>
    <w:p>
      <w:pPr>
        <w:pStyle w:val="Heading3"/>
        <w:spacing w:line="480" w:lineRule="auto"/>
      </w:pPr>
      <w:r>
        <w:t xml:space="preserve">2.2.2 Architecture-Trade Methodologies</w:t>
      </w:r>
    </w:p>
    <w:p>
      <w:pPr>
        <w:pStyle w:val="FirstParagraph"/>
        <w:spacing w:line="480" w:lineRule="auto"/>
      </w:pPr>
      <w:r>
        <w:t xml:space="preserve">The parametric line takes architecture as given; the architecture-trade line makes it the thing to optimize.</w:t>
      </w:r>
    </w:p>
    <w:p>
      <w:pPr>
        <w:pStyle w:val="BodyText"/>
        <w:spacing w:line="480" w:lineRule="auto"/>
        <w:ind w:firstLine="720"/>
      </w:pPr>
      <w:r>
        <w:t xml:space="preserve">Felten, Colombi, Cobb, and Meyer optimize geosynchronous space situational awareness architectures by parallel computation</w:t>
      </w:r>
      <w:r>
        <w:t xml:space="preserve"> </w:t>
      </w:r>
      <w:hyperlink w:anchor="ref-1">
        <w:r>
          <w:rPr>
            <w:rStyle w:val="Hyperlink"/>
          </w:rPr>
          <w:t xml:space="preserve">[1]</w:t>
        </w:r>
      </w:hyperlink>
      <w:r>
        <w:t xml:space="preserve">, returning recommended architectures scored against a life-cycle-cost objective. Their methodology matters to this dissertation for one reason above all: it insists that operations and sustainment cost belongs in the architecture trade space as a first-class element, not a residual. Later Air Force Institute of Technology theses and program-office trade studies took the methodology up, and that spread of adoption furnishes the timing variation the dissertation later exploits as an instrument. The 2018 publication is the methodological anchor</w:t>
      </w:r>
      <w:r>
        <w:t xml:space="preserve"> </w:t>
      </w:r>
      <w:hyperlink w:anchor="ref-17">
        <w:r>
          <w:rPr>
            <w:rStyle w:val="Hyperlink"/>
          </w:rPr>
          <w:t xml:space="preserve">[17]</w:t>
        </w:r>
      </w:hyperlink>
      <w:r>
        <w:t xml:space="preserve">, and the wider AMOS corpus charts how the methodology travelled.</w:t>
      </w:r>
    </w:p>
    <w:p>
      <w:pPr>
        <w:pStyle w:val="BodyText"/>
        <w:spacing w:line="480" w:lineRule="auto"/>
        <w:ind w:firstLine="720"/>
      </w:pPr>
      <w:r>
        <w:t xml:space="preserve">A second strand of the architecture-trade line concerns the steps needed to build an architecture for space surveillance projects.</w:t>
      </w:r>
    </w:p>
    <w:p>
      <w:pPr>
        <w:pStyle w:val="BodyText"/>
        <w:spacing w:line="480" w:lineRule="auto"/>
        <w:ind w:firstLine="720"/>
      </w:pPr>
      <w:r>
        <w:t xml:space="preserve">Gans and Barnhart lay out ten programmatic steps for exactly that construction</w:t>
      </w:r>
      <w:r>
        <w:t xml:space="preserve"> </w:t>
      </w:r>
      <w:hyperlink w:anchor="ref-13">
        <w:r>
          <w:rPr>
            <w:rStyle w:val="Hyperlink"/>
          </w:rPr>
          <w:t xml:space="preserve">[13]</w:t>
        </w:r>
      </w:hyperlink>
      <w:r>
        <w:t xml:space="preserve">. Their contribution is procedural more than empirical, and it pins down the architecture-construction problem so that its terms line up with the variables the dissertation codes from program records. Sam Wootton’s study of how the Ground-based Electro-Optical Deep Space Surveillance (GEODSS) system was enabled for space situational awareness</w:t>
      </w:r>
      <w:r>
        <w:t xml:space="preserve"> </w:t>
      </w:r>
      <w:hyperlink w:anchor="ref-15">
        <w:r>
          <w:rPr>
            <w:rStyle w:val="Hyperlink"/>
          </w:rPr>
          <w:t xml:space="preserve">[15]</w:t>
        </w:r>
      </w:hyperlink>
      <w:r>
        <w:t xml:space="preserve"> </w:t>
      </w:r>
      <w:r>
        <w:t xml:space="preserve">traces an architecture transition inside a fielded program and reveals that architecture choice and sustainment cost stay bound together well past initial fielding. That the Wootton study carries a MITRE provenance sits comfortably with the FFRDC stance behind the dissertation’s substantive framing. Koblick and colleagues build a ground optical signal-processing architecture for contributing space-based sensor data</w:t>
      </w:r>
      <w:r>
        <w:t xml:space="preserve"> </w:t>
      </w:r>
      <w:hyperlink w:anchor="ref-12">
        <w:r>
          <w:rPr>
            <w:rStyle w:val="Hyperlink"/>
          </w:rPr>
          <w:t xml:space="preserve">[12]</w:t>
        </w:r>
      </w:hyperlink>
      <w:r>
        <w:t xml:space="preserve">, and Smith, Dean, Rilee, and Zielinski set out a parallel-computing architecture for the James Webb Space Telescope wavefront-sensing algorithms</w:t>
      </w:r>
      <w:r>
        <w:t xml:space="preserve"> </w:t>
      </w:r>
      <w:hyperlink w:anchor="ref-18">
        <w:r>
          <w:rPr>
            <w:rStyle w:val="Hyperlink"/>
          </w:rPr>
          <w:t xml:space="preserve">[18]</w:t>
        </w:r>
      </w:hyperlink>
      <w:r>
        <w:t xml:space="preserve">. Each treats architecture as a decision variable with measurable consequences. Each reinforces the dissertation’s premise that architectural choices fixed at the acquisition phase carry forward into the sustainment trajectory. What neither delivers is a causal estimate of the cost effect of departing from the recommended architecture, and that is precisely the gap the dissertation closes.</w:t>
      </w:r>
    </w:p>
    <w:bookmarkEnd w:id="70"/>
    <w:bookmarkStart w:id="71" w:name="Xf3fdddd709caebccebf5d1435b35e1f9c77a13d"/>
    <w:p>
      <w:pPr>
        <w:pStyle w:val="Heading3"/>
        <w:spacing w:line="480" w:lineRule="auto"/>
      </w:pPr>
      <w:r>
        <w:t xml:space="preserve">2.2.3 Architectural Transformation and the Policy Frame</w:t>
      </w:r>
    </w:p>
    <w:p>
      <w:pPr>
        <w:pStyle w:val="FirstParagraph"/>
        <w:spacing w:line="480" w:lineRule="auto"/>
      </w:pPr>
      <w:r>
        <w:t xml:space="preserve">A third frame comes from policy and norms, and this is where the architectural-transformation writing situates the architecture question. Stilwell’s study of the architectural socio-technological transformative change of space-use norms</w:t>
      </w:r>
      <w:r>
        <w:t xml:space="preserve"> </w:t>
      </w:r>
      <w:hyperlink w:anchor="ref-4">
        <w:r>
          <w:rPr>
            <w:rStyle w:val="Hyperlink"/>
          </w:rPr>
          <w:t xml:space="preserve">[4]</w:t>
        </w:r>
      </w:hyperlink>
      <w:r>
        <w:t xml:space="preserve"> </w:t>
      </w:r>
      <w:r>
        <w:t xml:space="preserve">casts acquisition-strategy assessments as a recognized but under-instrumented input to space-policy goals and to cost savings across production, operation, and sustainment programs. The dissertation’s research papers reach for the Stilwell paper again [7, 9, 10] as the framing source for the architectural-strategy view. Its value to the present review is to confirm that the policy community regards architecture as consequential even as the empirical writing has yet to put a number on that consequence. The Office of the Chief Economist forecasting analysis of the space economy</w:t>
      </w:r>
      <w:r>
        <w:t xml:space="preserve"> </w:t>
      </w:r>
      <w:hyperlink w:anchor="ref-3">
        <w:r>
          <w:rPr>
            <w:rStyle w:val="Hyperlink"/>
          </w:rPr>
          <w:t xml:space="preserve">[3]</w:t>
        </w:r>
      </w:hyperlink>
      <w:r>
        <w:t xml:space="preserve"> </w:t>
      </w:r>
      <w:r>
        <w:t xml:space="preserve">supplies the macroeconomic backdrop. That analysis names declining launch cost as the principal exogenous driver of program economics, which is the dominant year shock the dissertation soaks up through two-way fixed effects. The OCEA framing also leaves a question the dissertation takes up head-on. If launch cost is the leading exogenous driver, then the leading endogenous lever is architecture itself, and the empirical task becomes to learn whether that lever moves cost once the exogenous launch-cost path is subtracted out.</w:t>
      </w:r>
    </w:p>
    <w:p>
      <w:pPr>
        <w:pStyle w:val="BodyText"/>
        <w:spacing w:line="480" w:lineRule="auto"/>
        <w:ind w:firstLine="720"/>
      </w:pPr>
      <w:r>
        <w:t xml:space="preserve">Stilwell’s companion study of the role of space in driving sustainability, security, and development</w:t>
      </w:r>
      <w:r>
        <w:t xml:space="preserve"> </w:t>
      </w:r>
      <w:hyperlink w:anchor="ref-5">
        <w:r>
          <w:rPr>
            <w:rStyle w:val="Hyperlink"/>
          </w:rPr>
          <w:t xml:space="preserve">[5]</w:t>
        </w:r>
      </w:hyperlink>
      <w:r>
        <w:t xml:space="preserve"> </w:t>
      </w:r>
      <w:r>
        <w:t xml:space="preserve">quotes Erwin’s reporting that even the direction of the question, whether military space program cost is climbing or falling, remains unsettled. An unsettled directional question is itself a sign that no credible counterfactual exists against which to weigh the cost effect of any particular architecture decision. The architectural-transformation writing thus lays out the policy stakes plainly while flagging that the empirical scaffolding needed to test architectural claims has yet to be built.</w:t>
      </w:r>
    </w:p>
    <w:bookmarkEnd w:id="71"/>
    <w:bookmarkStart w:id="72" w:name="X35e3702ab513319f5ebcd2869e96adeecb73dd5"/>
    <w:p>
      <w:pPr>
        <w:pStyle w:val="Heading3"/>
        <w:spacing w:line="480" w:lineRule="auto"/>
      </w:pPr>
      <w:r>
        <w:t xml:space="preserve">2.2.4 The Government Accountability Office Major-Project Record</w:t>
      </w:r>
    </w:p>
    <w:p>
      <w:pPr>
        <w:pStyle w:val="FirstParagraph"/>
        <w:spacing w:line="480" w:lineRule="auto"/>
      </w:pPr>
      <w:r>
        <w:t xml:space="preserve">The Government Accountability Office’s annual assessments of NASA major projects</w:t>
      </w:r>
      <w:r>
        <w:t xml:space="preserve"> </w:t>
      </w:r>
      <w:hyperlink w:anchor="ref-7">
        <w:r>
          <w:rPr>
            <w:rStyle w:val="Hyperlink"/>
          </w:rPr>
          <w:t xml:space="preserve">[7]</w:t>
        </w:r>
      </w:hyperlink>
      <w:r>
        <w:t xml:space="preserve"> </w:t>
      </w:r>
      <w:r>
        <w:t xml:space="preserve">give any panel study of NASA acquisition outcomes its empirical backbone. The 2022, 2023, 2024, and 2025 editions are the structured source for cost-growth, schedule, and technical-baseline data on the major projects in the panel. The companion research papers draw their dependent variables straight from the GAO series [1, 2, 3, 4 in p1; 2, 3, 4, 5 in p2], and the series also feeds the Cox proportional-hazards estimation of time to cost breach in the first paper and the survival analysis of time to flight in the second.</w:t>
      </w:r>
    </w:p>
    <w:p>
      <w:pPr>
        <w:pStyle w:val="BodyText"/>
        <w:spacing w:line="480" w:lineRule="auto"/>
        <w:ind w:firstLine="720"/>
      </w:pPr>
      <w:r>
        <w:t xml:space="preserve">Three properties recommend the GAO record. First, its reporting threshold sits administratively fixed at fifteen percent cost growth above the Key Decision Point C baseline, so the event indicator reads the same way across programs and across years. Second, it reports cost growth, schedule slip, and technical-baseline change on a structured cadence, which is what panel construction needs. Third, it notes architecture changes as they happen, leaving architecture observable rather than something to reconstruct. The first research paper puts these properties to work, fitting a Cox proportional hazards model on thirty-five projects with eighteen events and recovering a hazard ratio of 4.43 for a one-step rise in architecture complexity with a p-value of 0.128, alongside a hazard ratio of 0.047 for the log of baseline cost with a p-value of 0.007. The second paper reaches back across the GAO series from GAO-12-207SP through GAO-24-106767 to fit a Cox model of time to flight on thirty-six projects with twenty-eight events.</w:t>
      </w:r>
    </w:p>
    <w:p>
      <w:pPr>
        <w:pStyle w:val="BodyText"/>
        <w:spacing w:line="480" w:lineRule="auto"/>
        <w:ind w:firstLine="720"/>
      </w:pPr>
      <w:r>
        <w:t xml:space="preserve">The GAO record is also where the unsettled directional question can finally be resolved. The 2020 edition [4 in p2] and the 2019 edition [5 in p2] logged persistent overruns clustered in flagship-class monolithic missions, and the 2023 and 2024 editions [1, 2 in p1; 2, 3 in p2] confirmed that clustering against refreshed cost baselines. The dissertation reads the GAO record on two registers at once: as the empirical source for its dependent variables, and as the prima facie case that an architecture-aware causal estimate would carry policy weight.</w:t>
      </w:r>
    </w:p>
    <w:bookmarkEnd w:id="72"/>
    <w:bookmarkEnd w:id="73"/>
    <w:bookmarkStart w:id="78" w:name="X07fe73e594277fc276c6392b9242153367417e1"/>
    <w:p>
      <w:pPr>
        <w:pStyle w:val="Heading2"/>
        <w:spacing w:line="480" w:lineRule="auto"/>
      </w:pPr>
      <w:r>
        <w:t xml:space="preserve">2.3 The Cliometric and Econometric Methodology Literature</w:t>
      </w:r>
    </w:p>
    <w:bookmarkStart w:id="74" w:name="panel-designs-and-two-way-fixed-effects"/>
    <w:p>
      <w:pPr>
        <w:pStyle w:val="Heading3"/>
        <w:spacing w:line="480" w:lineRule="auto"/>
      </w:pPr>
      <w:r>
        <w:t xml:space="preserve">2.3.1 Panel Designs and Two-Way Fixed Effects</w:t>
      </w:r>
    </w:p>
    <w:p>
      <w:pPr>
        <w:pStyle w:val="FirstParagraph"/>
        <w:spacing w:line="480" w:lineRule="auto"/>
      </w:pPr>
      <w:r>
        <w:t xml:space="preserve">The methodological writing the dissertation leans on goes unnamed in the reference pool, and yet its core estimators show up inside the pool through the survival models of the dissertation’s own research papers and through the parametric and PLS-SEM models reviewed above. The panel design turns on two-way fixed effects to soak up program-invariant heterogeneity and macro-year shocks. The OCEA forecasting analysis</w:t>
      </w:r>
      <w:r>
        <w:t xml:space="preserve"> </w:t>
      </w:r>
      <w:hyperlink w:anchor="ref-3">
        <w:r>
          <w:rPr>
            <w:rStyle w:val="Hyperlink"/>
          </w:rPr>
          <w:t xml:space="preserve">[3]</w:t>
        </w:r>
      </w:hyperlink>
      <w:r>
        <w:t xml:space="preserve"> </w:t>
      </w:r>
      <w:r>
        <w:t xml:space="preserve">names the principal exogenous shock the year fixed effects exist to absorb. The Stilwell socio-technological transformation analysis</w:t>
      </w:r>
      <w:r>
        <w:t xml:space="preserve"> </w:t>
      </w:r>
      <w:hyperlink w:anchor="ref-4">
        <w:r>
          <w:rPr>
            <w:rStyle w:val="Hyperlink"/>
          </w:rPr>
          <w:t xml:space="preserve">[4]</w:t>
        </w:r>
      </w:hyperlink>
      <w:r>
        <w:t xml:space="preserve"> </w:t>
      </w:r>
      <w:r>
        <w:t xml:space="preserve">supplies the institutional framing for the program-invariant heterogeneity the program fixed effects absorb. Within the reference pool, the nearest cousin to the two-way fixed-effects design is the panel structure implicit in the parametric validation of Friz and colleagues</w:t>
      </w:r>
      <w:r>
        <w:t xml:space="preserve"> </w:t>
      </w:r>
      <w:hyperlink w:anchor="ref-2">
        <w:r>
          <w:rPr>
            <w:rStyle w:val="Hyperlink"/>
          </w:rPr>
          <w:t xml:space="preserve">[2]</w:t>
        </w:r>
      </w:hyperlink>
      <w:r>
        <w:t xml:space="preserve">. Their validation pools missions across years and across mission classes, and that pooling is the panel structure the dissertation generalizes. Friz and colleagues estimate no fixed effects, since their aim is tool validation rather than a causal estimate, and the data structure they lay bare is the structure the dissertation exploits. The panel comes out unbalanced, since programs cross Milestone B and leave it across the observation window, which is the very property the survival models in the research papers handle through right censoring.</w:t>
      </w:r>
    </w:p>
    <w:bookmarkEnd w:id="74"/>
    <w:bookmarkStart w:id="75" w:name="X85bf20427b3d6c526bc7c090eae71035d12ea9e"/>
    <w:p>
      <w:pPr>
        <w:pStyle w:val="Heading3"/>
        <w:spacing w:line="480" w:lineRule="auto"/>
      </w:pPr>
      <w:r>
        <w:t xml:space="preserve">2.3.2 Difference-in-Differences Around Policy Shifts</w:t>
      </w:r>
    </w:p>
    <w:p>
      <w:pPr>
        <w:pStyle w:val="FirstParagraph"/>
        <w:spacing w:line="480" w:lineRule="auto"/>
      </w:pPr>
      <w:r>
        <w:t xml:space="preserve">Identification leans chiefly on a difference-in-differences design built around the 2010 Department of the Air Force pivot toward disaggregation. That 2010 pivot is a recorded policy shift, and it hands the design a quasi-experimental treatment date. Programs crossing Milestone B after the shift, with architecture records showing a disaggregation-aligned design, count as treated. Programs crossing Milestone B before the shift, or holding a consolidated architecture through it, form the control set. The reference pool records the architectural transition the 2010 pivot was meant to bring about. Felten and colleagues’ optimization of geosynchronous space situational awareness architectures [1, 17] mapped out the trade space in which disaggregation could be weighed. Wootton’s study of enabling GEODSS for space situational awareness</w:t>
      </w:r>
      <w:r>
        <w:t xml:space="preserve"> </w:t>
      </w:r>
      <w:hyperlink w:anchor="ref-15">
        <w:r>
          <w:rPr>
            <w:rStyle w:val="Hyperlink"/>
          </w:rPr>
          <w:t xml:space="preserve">[15]</w:t>
        </w:r>
      </w:hyperlink>
      <w:r>
        <w:t xml:space="preserve"> </w:t>
      </w:r>
      <w:r>
        <w:t xml:space="preserve">traced an architecture transition inside a fielded surveillance program. Gans and Barnhart’s ten steps to building an architecture for space surveillance projects</w:t>
      </w:r>
      <w:r>
        <w:t xml:space="preserve"> </w:t>
      </w:r>
      <w:hyperlink w:anchor="ref-13">
        <w:r>
          <w:rPr>
            <w:rStyle w:val="Hyperlink"/>
          </w:rPr>
          <w:t xml:space="preserve">[13]</w:t>
        </w:r>
      </w:hyperlink>
      <w:r>
        <w:t xml:space="preserve"> </w:t>
      </w:r>
      <w:r>
        <w:t xml:space="preserve">set down the procedural posture the 2010 pivot institutionalized. The Stilwell transformation analysis</w:t>
      </w:r>
      <w:r>
        <w:t xml:space="preserve"> </w:t>
      </w:r>
      <w:hyperlink w:anchor="ref-4">
        <w:r>
          <w:rPr>
            <w:rStyle w:val="Hyperlink"/>
          </w:rPr>
          <w:t xml:space="preserve">[4]</w:t>
        </w:r>
      </w:hyperlink>
      <w:r>
        <w:t xml:space="preserve"> </w:t>
      </w:r>
      <w:r>
        <w:t xml:space="preserve">places the pivot within a longer arc of socio-technological norm change. Read together, these sources confirm that the 2010 pivot is a real policy event whose effects submit to empirical test.</w:t>
      </w:r>
    </w:p>
    <w:p>
      <w:pPr>
        <w:pStyle w:val="BodyText"/>
        <w:spacing w:line="480" w:lineRule="auto"/>
        <w:ind w:firstLine="720"/>
      </w:pPr>
      <w:r>
        <w:t xml:space="preserve">The parallel-trends assumption every difference-in-differences design needs is testable against the pre-2010 operations and sustainment paths in the GAO major-project record</w:t>
      </w:r>
      <w:r>
        <w:t xml:space="preserve"> </w:t>
      </w:r>
      <w:hyperlink w:anchor="ref-7">
        <w:r>
          <w:rPr>
            <w:rStyle w:val="Hyperlink"/>
          </w:rPr>
          <w:t xml:space="preserve">[7]</w:t>
        </w:r>
      </w:hyperlink>
      <w:r>
        <w:t xml:space="preserve">. The dissertation’s prospectus names the pre-trends test as its principal defense against endogeneity of the 2010 pivot, and a further placebo test using a 2007 false treatment date appears in the robustness appendix.</w:t>
      </w:r>
    </w:p>
    <w:bookmarkEnd w:id="75"/>
    <w:bookmarkStart w:id="76" w:name="Xc4bff2ed777b096c7184580c3a43c5bcfa9556e"/>
    <w:p>
      <w:pPr>
        <w:pStyle w:val="Heading3"/>
        <w:spacing w:line="480" w:lineRule="auto"/>
      </w:pPr>
      <w:r>
        <w:t xml:space="preserve">2.3.3 Instrumental Variables Under Endogenous Treatment</w:t>
      </w:r>
    </w:p>
    <w:p>
      <w:pPr>
        <w:pStyle w:val="FirstParagraph"/>
        <w:spacing w:line="480" w:lineRule="auto"/>
      </w:pPr>
      <w:r>
        <w:t xml:space="preserve">Architecture choice is partly endogenous, since programs under sharper cost-growth pressure may reach for disaggregation exactly to relieve that pressure. The dissertation meets the endogeneity with an instrumental-variables specification that instruments the disaggregation index by the timing of architecture-trade methodology adoption recorded by Felten and colleagues [1, 17]. The exclusion restriction holds that adopting a parallel-computation architecture-optimization methodology touches operations and sustainment cost only through the architecture it yields, conditional on the controls. That restriction holds up for a concrete reason. The parallel-computation methodology grew as a research artefact inside the Air Force Institute of Technology setting</w:t>
      </w:r>
      <w:r>
        <w:t xml:space="preserve"> </w:t>
      </w:r>
      <w:hyperlink w:anchor="ref-17">
        <w:r>
          <w:rPr>
            <w:rStyle w:val="Hyperlink"/>
          </w:rPr>
          <w:t xml:space="preserve">[17]</w:t>
        </w:r>
      </w:hyperlink>
      <w:r>
        <w:t xml:space="preserve"> </w:t>
      </w:r>
      <w:r>
        <w:t xml:space="preserve">before program offices took it up, so its timing tracked academic publication and curricular diffusion rather than any program-specific cost pressure. The Smith, Dean, Rilee, and Zielinski parallel-computing architecture for the James Webb Space Telescope wavefront-sensing algorithms</w:t>
      </w:r>
      <w:r>
        <w:t xml:space="preserve"> </w:t>
      </w:r>
      <w:hyperlink w:anchor="ref-18">
        <w:r>
          <w:rPr>
            <w:rStyle w:val="Hyperlink"/>
          </w:rPr>
          <w:t xml:space="preserve">[18]</w:t>
        </w:r>
      </w:hyperlink>
      <w:r>
        <w:t xml:space="preserve"> </w:t>
      </w:r>
      <w:r>
        <w:t xml:space="preserve">confirms that parallel-computation architectures had become a general-purpose research tool by the early 2010s, which backs the claim that adoption timing followed research diffusion rather than program-specific need.</w:t>
      </w:r>
    </w:p>
    <w:p>
      <w:pPr>
        <w:pStyle w:val="BodyText"/>
        <w:spacing w:line="480" w:lineRule="auto"/>
        <w:ind w:firstLine="720"/>
      </w:pPr>
      <w:r>
        <w:t xml:space="preserve">The Koblick and colleagues ground optical signal processing architecture</w:t>
      </w:r>
      <w:r>
        <w:t xml:space="preserve"> </w:t>
      </w:r>
      <w:hyperlink w:anchor="ref-12">
        <w:r>
          <w:rPr>
            <w:rStyle w:val="Hyperlink"/>
          </w:rPr>
          <w:t xml:space="preserve">[12]</w:t>
        </w:r>
      </w:hyperlink>
      <w:r>
        <w:t xml:space="preserve"> </w:t>
      </w:r>
      <w:r>
        <w:t xml:space="preserve">adds further evidence that architecture-optimization methodologies were spreading across the space situational awareness community without regard to any single program’s cost path. The Hejduk analysis of specular and diffuse components in spherical satellite photometric modelling</w:t>
      </w:r>
      <w:r>
        <w:t xml:space="preserve"> </w:t>
      </w:r>
      <w:hyperlink w:anchor="ref-11">
        <w:r>
          <w:rPr>
            <w:rStyle w:val="Hyperlink"/>
          </w:rPr>
          <w:t xml:space="preserve">[11]</w:t>
        </w:r>
      </w:hyperlink>
      <w:r>
        <w:t xml:space="preserve"> </w:t>
      </w:r>
      <w:r>
        <w:t xml:space="preserve">records the same spread inside the photometric-modelling writing. The Landon, Strong, Giblin, Roth, and Chun deep-learning classification of geosynchronous objects</w:t>
      </w:r>
      <w:r>
        <w:t xml:space="preserve"> </w:t>
      </w:r>
      <w:hyperlink w:anchor="ref-16">
        <w:r>
          <w:rPr>
            <w:rStyle w:val="Hyperlink"/>
          </w:rPr>
          <w:t xml:space="preserve">[16]</w:t>
        </w:r>
      </w:hyperlink>
      <w:r>
        <w:t xml:space="preserve"> </w:t>
      </w:r>
      <w:r>
        <w:t xml:space="preserve">and the Brown, Elvidge, Themens, Lewis, Kavanagh, and Cnossen forecasting of neutral densities in low Earth orbit</w:t>
      </w:r>
      <w:r>
        <w:t xml:space="preserve"> </w:t>
      </w:r>
      <w:hyperlink w:anchor="ref-14">
        <w:r>
          <w:rPr>
            <w:rStyle w:val="Hyperlink"/>
          </w:rPr>
          <w:t xml:space="preserve">[14]</w:t>
        </w:r>
      </w:hyperlink>
      <w:r>
        <w:t xml:space="preserve"> </w:t>
      </w:r>
      <w:r>
        <w:t xml:space="preserve">carry that diffusion record into the late 2010s and early 2020s. The instrumental-variables specification stands on that recorded spread of methodology through the technical community.</w:t>
      </w:r>
    </w:p>
    <w:bookmarkEnd w:id="76"/>
    <w:bookmarkStart w:id="77" w:name="survival-analysis-of-programmatic-events"/>
    <w:p>
      <w:pPr>
        <w:pStyle w:val="Heading3"/>
        <w:spacing w:line="480" w:lineRule="auto"/>
      </w:pPr>
      <w:r>
        <w:t xml:space="preserve">2.3.4 Survival Analysis of Programmatic Events</w:t>
      </w:r>
    </w:p>
    <w:p>
      <w:pPr>
        <w:pStyle w:val="FirstParagraph"/>
        <w:spacing w:line="480" w:lineRule="auto"/>
      </w:pPr>
      <w:r>
        <w:t xml:space="preserve">The dissertation’s two research papers settle the point that survival analysis is a productive frame for the acquisition-architecture question. The first paper fits a Cox proportional hazards model of time to cost breach on thirty-five NASA major projects seen in the GAO assessment series between 2009 and 2025 [1, 2, 3, 4 in p1]. The second fits a Cox proportional hazards model of time to flight on thirty-six NASA major projects seen in the GAO assessment series between 2012 and 2024 [2, 3, 4, 5 in p2]. Both models pull out scale at Key Decision Point C as the leading predictor of survival time, and both leave the architecture indicator suggestive but short of conventional significance once scale is held. The survival result matters methodologically because it exposes scale and architecture moving together in the underlying data. The second paper makes the tangle explicit, remarking that the biggest monolithic flagships are also the priciest and that the development-cost coefficient soaks up variance the architecture indicator would otherwise carry. The dissertation’s panel-identification strategy is built to pull scale and architecture apart through the difference-in-differences and instrumental-variables specifications set out above. The survival results in the research papers make the case for that strategy by showing that a single-equation survival model cannot recover the architecture effect free of scale.</w:t>
      </w:r>
    </w:p>
    <w:p>
      <w:pPr>
        <w:pStyle w:val="BodyText"/>
        <w:spacing w:line="480" w:lineRule="auto"/>
        <w:ind w:firstLine="720"/>
      </w:pPr>
      <w:r>
        <w:t xml:space="preserve">The Cox specification rounds out the panel design as well. The dissertation’s central estimator is a fixed-effects two-stage least-squares regression of log ten-year operations and sustainment cost ratio on the standardized disaggregation index. The Cox specification hands that panel estimator a survival-side check by recasting the cost-growth outcome as a hazard. The two estimators pull out different faces of the same architectural commitment, and reporting both belongs to the dissertation’s robustness strategy.</w:t>
      </w:r>
    </w:p>
    <w:bookmarkEnd w:id="77"/>
    <w:bookmarkEnd w:id="78"/>
    <w:bookmarkStart w:id="79" w:name="adjacent-technical-literatures"/>
    <w:p>
      <w:pPr>
        <w:pStyle w:val="Heading2"/>
        <w:spacing w:line="480" w:lineRule="auto"/>
      </w:pPr>
      <w:r>
        <w:t xml:space="preserve">2.4 Adjacent Technical Literatures</w:t>
      </w:r>
    </w:p>
    <w:p>
      <w:pPr>
        <w:pStyle w:val="FirstParagraph"/>
        <w:spacing w:line="480" w:lineRule="auto"/>
      </w:pPr>
      <w:r>
        <w:t xml:space="preserve">The reference pool holds a set of technical contributions sitting beside the dissertation’s substantive question rather than at its core. They earn a review here on two counts: they record the architectural diversity the disaggregation index tries to capture, and they carry the substantive content the methodology-adoption instrument propagates. Aliberti, Quadrelli, and Romano describe a distributed space radar sounder built on a cross-track flying tethered satellite system</w:t>
      </w:r>
      <w:r>
        <w:t xml:space="preserve"> </w:t>
      </w:r>
      <w:hyperlink w:anchor="ref-19">
        <w:r>
          <w:rPr>
            <w:rStyle w:val="Hyperlink"/>
          </w:rPr>
          <w:t xml:space="preserve">[19]</w:t>
        </w:r>
      </w:hyperlink>
      <w:r>
        <w:t xml:space="preserve">. Their work stands as an exemplar of the distributed architecture pattern the 2010 pivot meant to encourage, and it records that the distributed pattern is feasible across a wider span of mission types than the SSA community alone. Napolano, Nocerino, Fasano, Grassi, and Opromolla build a convolutional-neural-network architecture for relative state and target motion parameters estimation in active debris removal missions</w:t>
      </w:r>
      <w:r>
        <w:t xml:space="preserve"> </w:t>
      </w:r>
      <w:hyperlink w:anchor="ref-20">
        <w:r>
          <w:rPr>
            <w:rStyle w:val="Hyperlink"/>
          </w:rPr>
          <w:t xml:space="preserve">[20]</w:t>
        </w:r>
      </w:hyperlink>
      <w:r>
        <w:t xml:space="preserve">. Their work records that architecture, taken as compositional choice across hardware and software elements, is now an object of optimization inside the active-debris-removal community. Dominguez Calabuig, Wilson, Bi, Vasile, Sippel, and Tajmar run an environmental life-cycle assessment of reusable launch vehicle fleets</w:t>
      </w:r>
      <w:r>
        <w:t xml:space="preserve"> </w:t>
      </w:r>
      <w:hyperlink w:anchor="ref-21">
        <w:r>
          <w:rPr>
            <w:rStyle w:val="Hyperlink"/>
          </w:rPr>
          <w:t xml:space="preserve">[21]</w:t>
        </w:r>
      </w:hyperlink>
      <w:r>
        <w:t xml:space="preserve"> </w:t>
      </w:r>
      <w:r>
        <w:t xml:space="preserve">and find a large climate impact driven by rocket exhaust emissions. Their work bears on the dissertation because life-cycle assessment is the technical kin of the life-cycle cost framework the dissertation operationalizes. Blondel-Canepari, Sarritzu, and Pasini set out an integrated approach for efficient greener in-space propulsion</w:t>
      </w:r>
      <w:r>
        <w:t xml:space="preserve"> </w:t>
      </w:r>
      <w:hyperlink w:anchor="ref-22">
        <w:r>
          <w:rPr>
            <w:rStyle w:val="Hyperlink"/>
          </w:rPr>
          <w:t xml:space="preserve">[22]</w:t>
        </w:r>
      </w:hyperlink>
      <w:r>
        <w:t xml:space="preserve">, and their work records the distributed-architecture norm spreading into the propulsion subsystem, one of the components the disaggregation index captures.</w:t>
      </w:r>
    </w:p>
    <w:p>
      <w:pPr>
        <w:pStyle w:val="BodyText"/>
        <w:spacing w:line="480" w:lineRule="auto"/>
        <w:ind w:firstLine="720"/>
      </w:pPr>
      <w:r>
        <w:t xml:space="preserve">Santoro and Pontani study orbit acquisition, rendezvous, and docking with a noncooperative capsule in a Mars sample return mission</w:t>
      </w:r>
      <w:r>
        <w:t xml:space="preserve"> </w:t>
      </w:r>
      <w:hyperlink w:anchor="ref-23">
        <w:r>
          <w:rPr>
            <w:rStyle w:val="Hyperlink"/>
          </w:rPr>
          <w:t xml:space="preserve">[23]</w:t>
        </w:r>
      </w:hyperlink>
      <w:r>
        <w:t xml:space="preserve">. Their work is a worked example of the architectural complexity coding the first research paper uses, where multi-element campaigns carrying rendezvous-and-docking phases draw higher complexity scores. Spedding, Lim, and Nuttall run a Delphi survey on in-situ resource utilization technology deployment at a lunar outpost in 2040</w:t>
      </w:r>
      <w:r>
        <w:t xml:space="preserve"> </w:t>
      </w:r>
      <w:hyperlink w:anchor="ref-24">
        <w:r>
          <w:rPr>
            <w:rStyle w:val="Hyperlink"/>
          </w:rPr>
          <w:t xml:space="preserve">[24]</w:t>
        </w:r>
      </w:hyperlink>
      <w:r>
        <w:t xml:space="preserve">. Their Delphi method is kin to the Delphi inputs in the Probst PLS-SEM cost estimation work [6, 8], and their substantive focus on lunar architectures fits the architectural diversity the dissertation’s panel has to hold. Lorenz, Hay Mele, and Arena supply a bibliometric network multi-analysis of plant-space research across two decades</w:t>
      </w:r>
      <w:r>
        <w:t xml:space="preserve"> </w:t>
      </w:r>
      <w:hyperlink w:anchor="ref-25">
        <w:r>
          <w:rPr>
            <w:rStyle w:val="Hyperlink"/>
          </w:rPr>
          <w:t xml:space="preserve">[25]</w:t>
        </w:r>
      </w:hyperlink>
      <w:r>
        <w:t xml:space="preserve">. Their work is worth noting as an instance of bibliometric method the dissertation does not use but could use as a robustness check on the diffusion record grounding the instrumental-variables strategy. Sabatini, Iannelli, Gasbarri, Palmerini, Angeletti, and Ankersen present a scaling procedure for on-ground testing of a robust attitude and vibration control architecture for a large flexible satellite</w:t>
      </w:r>
      <w:r>
        <w:t xml:space="preserve"> </w:t>
      </w:r>
      <w:hyperlink w:anchor="ref-26">
        <w:r>
          <w:rPr>
            <w:rStyle w:val="Hyperlink"/>
          </w:rPr>
          <w:t xml:space="preserve">[26]</w:t>
        </w:r>
      </w:hyperlink>
      <w:r>
        <w:t xml:space="preserve">. Their architecture is a worked example of the consolidated end of the disaggregation spectrum, and the on-ground testing load their procedure records is exactly the sort of sustainment cost the dissertation’s outcome variable captures.</w:t>
      </w:r>
    </w:p>
    <w:p>
      <w:pPr>
        <w:pStyle w:val="BodyText"/>
        <w:spacing w:line="480" w:lineRule="auto"/>
        <w:ind w:firstLine="720"/>
      </w:pPr>
      <w:r>
        <w:t xml:space="preserve">These adjacent contributions matter to the review on three counts. First, they confirm that the architectural patterns the dissertation codes turn up across a wide span of mission types and subsystems. Second, they record that the spread of architecture-optimization methodology runs well past the AMOS conference record, which stiffens the instrumental-variables strategy. Third, they remind the reader that the dissertation’s substantive contribution is a causal estimate inside a specific population of U.S. federal space acquisitions and lays no claim to external validity across the wider community of distributed-architecture work these papers record.</w:t>
      </w:r>
    </w:p>
    <w:bookmarkEnd w:id="79"/>
    <w:bookmarkStart w:id="80" w:name="synthesis-and-gap"/>
    <w:p>
      <w:pPr>
        <w:pStyle w:val="Heading2"/>
        <w:spacing w:line="480" w:lineRule="auto"/>
      </w:pPr>
      <w:r>
        <w:t xml:space="preserve">2.5 Synthesis and Gap</w:t>
      </w:r>
    </w:p>
    <w:p>
      <w:pPr>
        <w:pStyle w:val="FirstParagraph"/>
        <w:spacing w:line="480" w:lineRule="auto"/>
      </w:pPr>
      <w:r>
        <w:t xml:space="preserve">The two principal literatures reviewed above have stayed apart. The space-architecture and cost-estimation side has delivered parametric tools whose validation properties are on record</w:t>
      </w:r>
      <w:r>
        <w:t xml:space="preserve"> </w:t>
      </w:r>
      <w:hyperlink w:anchor="ref-2">
        <w:r>
          <w:rPr>
            <w:rStyle w:val="Hyperlink"/>
          </w:rPr>
          <w:t xml:space="preserve">[2]</w:t>
        </w:r>
      </w:hyperlink>
      <w:r>
        <w:t xml:space="preserve">, structural-equation models whose latent constructs are laid bare [6, 8], architecture-trade methodologies whose optimization properties are shown [1, 17], and a GAO major-project record whose reporting cadence is administratively fixed</w:t>
      </w:r>
      <w:r>
        <w:t xml:space="preserve"> </w:t>
      </w:r>
      <w:hyperlink w:anchor="ref-7">
        <w:r>
          <w:rPr>
            <w:rStyle w:val="Hyperlink"/>
          </w:rPr>
          <w:t xml:space="preserve">[7]</w:t>
        </w:r>
      </w:hyperlink>
      <w:r>
        <w:t xml:space="preserve">. It has also delivered a policy frame that calls architecture consequential without pinning the consequence to a number [3, 4, 5]. What it has never delivered is a causal estimate of the marginal effect of an acquisition-phase architecture choice on the decadal operations and sustainment cost path. The cliometric and econometric methodology side has delivered the estimators the closing needs. Two-way fixed-effects panel models soak up program-invariant heterogeneity and macro-year shocks. Difference-in-differences designs around policy shifts recover treatment effects under the parallel-trends assumption. Instrumental-variables specifications meet endogenous treatment under defensible exclusion restrictions. Cox proportional-hazards models recast programmatic outcomes as hazards under right censoring. The dissertation’s own research papers confirm that the survival estimator earns its keep in this setting [research papers p1 and p2], and the methodological tradition hands over the panel design and the identification strategy that round out the survival approach.</w:t>
      </w:r>
    </w:p>
    <w:p>
      <w:pPr>
        <w:pStyle w:val="BodyText"/>
        <w:spacing w:line="480" w:lineRule="auto"/>
        <w:ind w:firstLine="720"/>
      </w:pPr>
      <w:r>
        <w:t xml:space="preserve">The unjoined seam is the spot where the two literatures fall silent toward one another. The space-architecture side treats architecture as a categorical input or an optimization variable and outputs descriptive or predictive claims. The methodology side treats causal identification as the whole problem and outputs estimators the space-architecture community has yet to adopt. The seam knits shut once an architecture-aware outcome variable is built from the GAO and Selected Acquisition Report record, once an architecture-aware treatment variable is built from the architecture-trade-study record anchored in the AMOS corpus [1, 17] and its diffusion record [11, 12, 13, 14, 15, 16, 18], and once the panel-identification strategy runs on the resulting dataset. The gap, then, is a methodological gap sitting inside a substantive frame. The substantive frame comes from the architectural-transformation writing [3, 4, 5] and from the GAO major-project record</w:t>
      </w:r>
      <w:r>
        <w:t xml:space="preserve"> </w:t>
      </w:r>
      <w:hyperlink w:anchor="ref-7">
        <w:r>
          <w:rPr>
            <w:rStyle w:val="Hyperlink"/>
          </w:rPr>
          <w:t xml:space="preserve">[7]</w:t>
        </w:r>
      </w:hyperlink>
      <w:r>
        <w:t xml:space="preserve">. The methodological gap is the missing causal estimate of how strongly decadal operations and sustainment cost answers to acquisition-phase disaggregation. The dissertation’s contribution is to knit that gap shut, delivering a single, falsifiable causal estimate, identified through a difference-in-differences design around the 2010 disaggregation pivot and a companion instrumental-variables specification anchored in the diffusion timing of the parallel-computation architecture-optimization methodology [1, 17].</w:t>
      </w:r>
    </w:p>
    <w:p>
      <w:pPr>
        <w:pStyle w:val="BodyText"/>
        <w:spacing w:line="480" w:lineRule="auto"/>
        <w:ind w:firstLine="720"/>
      </w:pPr>
      <w:r>
        <w:t xml:space="preserve">The contribution carries weight because the substantive frame and the methodological machinery have until now grown up in different communities reading different journals. The space-architecture community reads AMOS proceedings [1, 11, 12, 13, 14, 15, 16, 17, 18], Acta Astronautica [2, 6, 19, 20, 21, 22, 23, 24, 25, 26], and the GAO major-project record</w:t>
      </w:r>
      <w:r>
        <w:t xml:space="preserve"> </w:t>
      </w:r>
      <w:hyperlink w:anchor="ref-7">
        <w:r>
          <w:rPr>
            <w:rStyle w:val="Hyperlink"/>
          </w:rPr>
          <w:t xml:space="preserve">[7]</w:t>
        </w:r>
      </w:hyperlink>
      <w:r>
        <w:t xml:space="preserve">. The methodology community reads econometrics and applied causal inference journals the reference pool leaves unlisted by design, since the dissertation’s reference pool was assembled from the substantive corpus. The dissertation reads across both communities and builds an estimator that satisfies the identification standard the methodology community expects while answering the substantive question the space-architecture community framed and left open. The empirical chapters that follow move under three commitments the review has motivated. First, the outcome variable is the ten-year ratio of realized operations and sustainment cost to the Milestone B baseline, drawn from the GAO and SAR record</w:t>
      </w:r>
      <w:r>
        <w:t xml:space="preserve"> </w:t>
      </w:r>
      <w:hyperlink w:anchor="ref-7">
        <w:r>
          <w:rPr>
            <w:rStyle w:val="Hyperlink"/>
          </w:rPr>
          <w:t xml:space="preserve">[7]</w:t>
        </w:r>
      </w:hyperlink>
      <w:r>
        <w:t xml:space="preserve">, which prises sustainment apart from total program cost in a way the parametric writing never has [2, 6, 8]. Second, the treatment variable is a standardized disaggregation index built from architecture trade-study documentation in the AMOS corpus [1, 17] and the diffusion record [11, 12, 13, 14, 15, 16, 18], which turns architecture into an empirically tractable decision variable rather than a categorical label. Third, identification rests on the 2010 disaggregation pivot as a quasi-experimental treatment date and on the diffusion timing of the parallel-computation architecture-optimization methodology [1, 17] as the instrumental-variables source, which meets the endogeneity the architectural-transformation writing [3, 4, 5] flagged and left open. The next chapter builds out the design.</w:t>
      </w:r>
    </w:p>
    <w:bookmarkEnd w:id="80"/>
    <w:bookmarkEnd w:id="81"/>
    <w:bookmarkStart w:id="88" w:name="Xcfcc00a3ded59aed0c781c16bfc121f2a509603"/>
    <w:p>
      <w:pPr>
        <w:pStyle w:val="Heading1"/>
        <w:spacing w:line="480" w:lineRule="auto"/>
      </w:pPr>
      <w:r>
        <w:t xml:space="preserve">Chapter 3. Theoretical Framework and Hypotheses</w:t>
      </w:r>
    </w:p>
    <w:bookmarkStart w:id="82" w:name="purpose-and-scope-of-the-chapter"/>
    <w:p>
      <w:pPr>
        <w:pStyle w:val="Heading2"/>
        <w:spacing w:line="480" w:lineRule="auto"/>
      </w:pPr>
      <w:r>
        <w:t xml:space="preserve">3.1 Purpose and Scope of the Chapter</w:t>
      </w:r>
    </w:p>
    <w:p>
      <w:pPr>
        <w:pStyle w:val="FirstParagraph"/>
        <w:spacing w:line="480" w:lineRule="auto"/>
      </w:pPr>
      <w:r>
        <w:t xml:space="preserve">The empirical strategy set out in the prospectus stands on a claim that is theoretical well before it becomes statistical. Architecture fixed during the pre-Milestone B acquisition window shapes the operations and sustainment (O and S) cost path of a federal space program in a structural way that runs across a full decade, and that shaping can be told apart from the mission, from the threat environment, and from the technology readiness level at confirmation. This chapter assembles the theory needed to make the claim falsifiable. It traces the mechanism carrying architecture-phase choices into sustainment-phase obligations, lays down the causal logic joining the treatment construct, acquisition-phase disaggregation, to the outcome construct, the ten-year O and S cost ratio, and writes the null and alternative hypotheses the panel estimator will settle. Five movements carry the chapter. Section 3.2 places the theoretical problem among the cost-modeling and architecture-trade literatures, marking off description from prediction from causal identification. Section 3.3 builds the architectural-commitment mechanism, the central theoretical construct here, by breaking acquisition-phase architecture choice into the four observable attributes the panel logs. Section 3.4 draws the causal graph joining those attributes to the decadal O and S cost ratio across three intermediate channels: integration burden, vendor concentration, and configuration entropy. Section 3.5 writes hypotheses H0 and H1, states the conditions leaving each falsifiable, and spells out how the hypothesis pair meets the difference-in-differences identification strategy. Section 3.6 finishes by naming the constructs the theory holds off to the side of the inferential lane and pointing to where the qualitative case material of the later chapters is meant to soak up that residual.</w:t>
      </w:r>
    </w:p>
    <w:bookmarkEnd w:id="82"/>
    <w:bookmarkStart w:id="83" w:name="Xab18b81c078e420ade2debf2b57c1d6df174905"/>
    <w:p>
      <w:pPr>
        <w:pStyle w:val="Heading2"/>
        <w:spacing w:line="480" w:lineRule="auto"/>
      </w:pPr>
      <w:r>
        <w:t xml:space="preserve">3.2 Theoretical Position: From Parametric Description to Architectural Causation</w:t>
      </w:r>
    </w:p>
    <w:p>
      <w:pPr>
        <w:pStyle w:val="FirstParagraph"/>
        <w:spacing w:line="480" w:lineRule="auto"/>
      </w:pPr>
      <w:r>
        <w:t xml:space="preserve">Across federal space acquisition, the cost-modeling line runs descriptive and predictive. Parametric tools of the SEER-H family estimate total life-cycle cost from mass, technology readiness, and complexity, and the blind validation by Friz, Hosder, Leser, and Towle</w:t>
      </w:r>
      <w:r>
        <w:t xml:space="preserve"> </w:t>
      </w:r>
      <w:hyperlink w:anchor="ref-2">
        <w:r>
          <w:rPr>
            <w:rStyle w:val="Hyperlink"/>
          </w:rPr>
          <w:t xml:space="preserve">[2]</w:t>
        </w:r>
      </w:hyperlink>
      <w:r>
        <w:t xml:space="preserve"> </w:t>
      </w:r>
      <w:r>
        <w:t xml:space="preserve">confirms that such tools return point estimates with usefully tight variance for total program cost while building no structural representation of the sustainment phase as a separately identified outcome. The PLS-SEM specification of Probst, Nitzl, Kraus, and Förstner [6, 8] takes the next step, making cost the dependent variable in a structural model whose latent constructs come out of expert judgment. Even then, the estimator stays predictive, never causal. It tells what cost goes with a configuration of latent attributes, not what cost would have followed had one architectural choice gone another way. Opposite that line sits the architecture-trade writing. Felten, Colombi, Cobb, and Meyer [1, 17] cast architecture selection as an optimization problem whose objective is life-cycle cost, the O and S element included. Their parallel-computation framework returns an architecture locally optimal under the assumed cost surface, and it manages that by holding the cost surface itself fixed and known. The Gans and Barnhart synthesis of architecture-design practice for space-surveillance projects</w:t>
      </w:r>
      <w:r>
        <w:t xml:space="preserve"> </w:t>
      </w:r>
      <w:hyperlink w:anchor="ref-13">
        <w:r>
          <w:rPr>
            <w:rStyle w:val="Hyperlink"/>
          </w:rPr>
          <w:t xml:space="preserve">[13]</w:t>
        </w:r>
      </w:hyperlink>
      <w:r>
        <w:t xml:space="preserve"> </w:t>
      </w:r>
      <w:r>
        <w:t xml:space="preserve">writes down the same normative posture. Architecture goes in, cost comes out, and the map between them counts as engineering rather than a hypothesis under test. The Government Accountability Office’s annual assessments of NASA major projects</w:t>
      </w:r>
      <w:r>
        <w:t xml:space="preserve"> </w:t>
      </w:r>
      <w:hyperlink w:anchor="ref-7">
        <w:r>
          <w:rPr>
            <w:rStyle w:val="Hyperlink"/>
          </w:rPr>
          <w:t xml:space="preserve">[7]</w:t>
        </w:r>
      </w:hyperlink>
      <w:r>
        <w:t xml:space="preserve"> </w:t>
      </w:r>
      <w:r>
        <w:t xml:space="preserve">hold a third position, descriptive in form and evaluative in function.</w:t>
      </w:r>
    </w:p>
    <w:p>
      <w:pPr>
        <w:pStyle w:val="BodyText"/>
        <w:spacing w:line="480" w:lineRule="auto"/>
        <w:ind w:firstLine="720"/>
      </w:pPr>
      <w:r>
        <w:t xml:space="preserve">They report cost growth, schedule slip, and threshold breaches against a program’s Key Decision Point C baseline, and they log the architectural and managerial features of each project. The series is the fullest structured record of the dependent variable the dissertation needs, and the prior research papers in this dissertation series have already drawn survival outcomes from it [p1, p2]. Even so, it stays a record of realized cost paths, never an estimator of the architecture-phase choices behind them.</w:t>
      </w:r>
    </w:p>
    <w:p>
      <w:pPr>
        <w:pStyle w:val="BodyText"/>
        <w:spacing w:line="480" w:lineRule="auto"/>
        <w:ind w:firstLine="720"/>
      </w:pPr>
      <w:r>
        <w:t xml:space="preserve">This dissertation joins the predictive writing to the normative writing by way of a causal claim.</w:t>
      </w:r>
    </w:p>
    <w:p>
      <w:pPr>
        <w:pStyle w:val="BodyText"/>
        <w:spacing w:line="480" w:lineRule="auto"/>
        <w:ind w:firstLine="720"/>
      </w:pPr>
      <w:r>
        <w:t xml:space="preserve">The claim holds that architecture choices fixed during the pre-Milestone B acquisition window are neither merely correlated with the decadal O and S path, as the parametric line supposes, nor merely inputs to a known cost surface, as the optimization line assumes. They are the structural decisions that shape the sustainment cost surface itself. Architecture is the cause; the cost surface is what follows.</w:t>
      </w:r>
    </w:p>
    <w:p>
      <w:pPr>
        <w:pStyle w:val="BodyText"/>
        <w:spacing w:line="480" w:lineRule="auto"/>
        <w:ind w:firstLine="720"/>
      </w:pPr>
      <w:r>
        <w:t xml:space="preserve">This stance keeps company with the analytic frame Stilwell builds for transformative change in space-use norms [4, 9, 10], where acquisition-strategy assessments read as the under-instrumented input to cost outcomes across production, operation, and sustainment.</w:t>
      </w:r>
    </w:p>
    <w:p>
      <w:pPr>
        <w:pStyle w:val="BodyText"/>
        <w:spacing w:line="480" w:lineRule="auto"/>
        <w:ind w:firstLine="720"/>
      </w:pPr>
      <w:r>
        <w:t xml:space="preserve">It also keeps company with the OCEA forecasting analysis</w:t>
      </w:r>
      <w:r>
        <w:t xml:space="preserve"> </w:t>
      </w:r>
      <w:hyperlink w:anchor="ref-3">
        <w:r>
          <w:rPr>
            <w:rStyle w:val="Hyperlink"/>
          </w:rPr>
          <w:t xml:space="preserve">[3]</w:t>
        </w:r>
      </w:hyperlink>
      <w:r>
        <w:t xml:space="preserve">, which pulls the launch-cost decline out as an exogenous driver while leaving the architecture-phase lever as the endogenous, governance-controllable counterpart. The empirical work of this dissertation tests whether that counterpart, once properly identified, carries the cost weight the theory hangs on it.</w:t>
      </w:r>
    </w:p>
    <w:bookmarkEnd w:id="83"/>
    <w:bookmarkStart w:id="84" w:name="the-architectural-commitment-mechanism"/>
    <w:p>
      <w:pPr>
        <w:pStyle w:val="Heading2"/>
        <w:spacing w:line="480" w:lineRule="auto"/>
      </w:pPr>
      <w:r>
        <w:t xml:space="preserve">3.3 The Architectural-Commitment Mechanism</w:t>
      </w:r>
    </w:p>
    <w:p>
      <w:pPr>
        <w:pStyle w:val="FirstParagraph"/>
        <w:spacing w:line="480" w:lineRule="auto"/>
      </w:pPr>
      <w:r>
        <w:t xml:space="preserve">The central theoretical construct here is the architectural commitment. An architectural commitment is a decision taken inside the pre-Milestone B acquisition window that fixes one or more structural features of the system, and fixes them at a cost that makes reversal after Milestone B prohibitive. The mechanism lives not in the decision but in its irreversibility. Irreversibility reaches decadal O and S cost through the constraint the commitment lays on whatever sustainment-phase decisions the program office can still make afterward. The acquisition record lets four architectural commitments be seen directly. Each becomes, in the prospectus, a measurable attribute of the panel programs. The theory behind the four attributes runs as follows.</w:t>
      </w:r>
    </w:p>
    <w:p>
      <w:pPr>
        <w:pStyle w:val="BodyText"/>
        <w:spacing w:line="480" w:lineRule="auto"/>
        <w:ind w:firstLine="720"/>
      </w:pPr>
      <w:r>
        <w:rPr>
          <w:b/>
          <w:bCs/>
        </w:rPr>
        <w:t xml:space="preserve">Disaggregation degree.</w:t>
      </w:r>
      <w:r>
        <w:t xml:space="preserve"> </w:t>
      </w:r>
      <w:r>
        <w:t xml:space="preserve">Disaggregation degree tracks how far a mission’s functional capability spreads across multiple flight elements rather than concentrating on a single bus.</w:t>
      </w:r>
    </w:p>
    <w:p>
      <w:pPr>
        <w:pStyle w:val="BodyText"/>
        <w:spacing w:line="480" w:lineRule="auto"/>
        <w:ind w:firstLine="720"/>
      </w:pPr>
      <w:r>
        <w:t xml:space="preserve">The Department of the Air Force’s 2010 policy pivot toward disaggregation</w:t>
      </w:r>
      <w:r>
        <w:t xml:space="preserve"> </w:t>
      </w:r>
      <w:hyperlink w:anchor="ref-4">
        <w:r>
          <w:rPr>
            <w:rStyle w:val="Hyperlink"/>
          </w:rPr>
          <w:t xml:space="preserve">[4]</w:t>
        </w:r>
      </w:hyperlink>
      <w:r>
        <w:t xml:space="preserve"> </w:t>
      </w:r>
      <w:r>
        <w:t xml:space="preserve">is the central treatment event in the identification strategy, since it moved the prevailing architectural default and left a clean before-after contrast in the population entering Milestone B. The theoretical claim is that disaggregation reshapes the sustainment-phase decision space by severing the failure modes of one flight element from the operational availability of the constellation. A consolidated architecture ties the operations team to the failure mode of the integrated bus; a disaggregated architecture spreads that tie across smaller, less coupled elements.</w:t>
      </w:r>
      <w:r>
        <w:t xml:space="preserve"> </w:t>
      </w:r>
      <w:r>
        <w:rPr>
          <w:b/>
          <w:bCs/>
        </w:rPr>
        <w:t xml:space="preserve">Payload-host coupling.</w:t>
      </w:r>
      <w:r>
        <w:t xml:space="preserve"> </w:t>
      </w:r>
      <w:r>
        <w:t xml:space="preserve">Payload-host coupling tracks how far the payload and the host bus are drawn up as a single integrated unit rather than as a payload riding a generic bus. The companion paper on time to flight in this dissertation series [p2] finds that the monolithic-versus-distributed binary, on its own, leaves the schedule hazard unmoved once scale is held, while the cost paper [p1] finds that architecture complexity coded ordinally leans in the predicted direction at the cost-breach hazard. Put together, the finding fits a coupling-dominated mechanism. What sets the sustainment integration burden once the system is fielded is the coupling between payload and host, not the count of flight elements.</w:t>
      </w:r>
    </w:p>
    <w:p>
      <w:pPr>
        <w:pStyle w:val="BodyText"/>
        <w:spacing w:line="480" w:lineRule="auto"/>
        <w:ind w:firstLine="720"/>
      </w:pPr>
      <w:r>
        <w:rPr>
          <w:b/>
          <w:bCs/>
        </w:rPr>
        <w:t xml:space="preserve">Hosted-payload reliance.</w:t>
      </w:r>
      <w:r>
        <w:t xml:space="preserve"> </w:t>
      </w:r>
      <w:r>
        <w:t xml:space="preserve">Hosted-payload reliance tracks the share of a program’s mission capability delivered through payloads riding platforms the program office does not own. The theory here is that hosted payloads hand sustainment-phase control rights to the host platform’s owner, reshaping the cost surface by stripping the program office of authority over the upgrade, refresh, and disposal decisions that drive O and S obligations.</w:t>
      </w:r>
      <w:r>
        <w:t xml:space="preserve"> </w:t>
      </w:r>
      <w:r>
        <w:rPr>
          <w:b/>
          <w:bCs/>
        </w:rPr>
        <w:t xml:space="preserve">Parallel-build commonality.</w:t>
      </w:r>
      <w:r>
        <w:t xml:space="preserve"> </w:t>
      </w:r>
      <w:r>
        <w:t xml:space="preserve">Parallel-build commonality tracks how many programs in the population build a common element in parallel and so raise the demand pool that keeps a vendor base alive. The theory here is the supply-side mirror of disaggregation. A high commonality count spreads sustainment demand across a vendor base wide enough to hold price down; a low commonality count funnels demand onto a single vendor, with the price effects that follow when monopsony reverses in the sustainment phase. These four attributes do not exhaust the architectural decisions a program office takes across pre-Milestone B. They are the architectural commitments the acquisition record logs consistently in a form panel coding can use, and they are the four for which the AMOS architecture-trade corpus and the Air Force Institute of Technology thesis record supply the methodological anchor [1, 17]. The theory treats them as the observable face of the architectural-commitment construct.</w:t>
      </w:r>
    </w:p>
    <w:bookmarkEnd w:id="84"/>
    <w:bookmarkStart w:id="85" w:name="X7206ba66452ff43d523320e91316d62a902f9ad"/>
    <w:p>
      <w:pPr>
        <w:pStyle w:val="Heading2"/>
        <w:spacing w:line="480" w:lineRule="auto"/>
      </w:pPr>
      <w:r>
        <w:t xml:space="preserve">3.4 The Causal Logic: Three Intermediate Channels</w:t>
      </w:r>
    </w:p>
    <w:p>
      <w:pPr>
        <w:pStyle w:val="FirstParagraph"/>
        <w:spacing w:line="480" w:lineRule="auto"/>
      </w:pPr>
      <w:r>
        <w:t xml:space="preserve">Architectural commitments move the decadal O and S cost path through three intermediate channels. Each channel shows up in the cost-accounting record, and each is the empirical face of one theoretical prediction the dissertation tests.</w:t>
      </w:r>
      <w:r>
        <w:t xml:space="preserve"> </w:t>
      </w:r>
      <w:r>
        <w:rPr>
          <w:b/>
          <w:bCs/>
        </w:rPr>
        <w:t xml:space="preserve">Channel 1: Integration burden.</w:t>
      </w:r>
      <w:r>
        <w:t xml:space="preserve"> </w:t>
      </w:r>
      <w:r>
        <w:t xml:space="preserve">The first channel is the integration burden the sustainment-phase organization inherits from the architecture. Consolidated and tightly coupled architectures pile the integration work onto a single flight element, which lifts the marginal cost of any sustainment-phase modification, since the modification has to be qualified against the integrated system. Disaggregated and loosely coupled architectures spread the integration work across smaller elements, cutting the per-modification cost and, over a ten-year window, the cumulative O and S cost. This is the channel the prior cost paper in this dissertation series [p1] read as the likeliest source of the architecture-complexity signal in the Cox model, and it is the channel Smith, Dean, Rilee, and Zielinski</w:t>
      </w:r>
      <w:r>
        <w:t xml:space="preserve"> </w:t>
      </w:r>
      <w:hyperlink w:anchor="ref-18">
        <w:r>
          <w:rPr>
            <w:rStyle w:val="Hyperlink"/>
          </w:rPr>
          <w:t xml:space="preserve">[18]</w:t>
        </w:r>
      </w:hyperlink>
      <w:r>
        <w:t xml:space="preserve"> </w:t>
      </w:r>
      <w:r>
        <w:t xml:space="preserve">exhibit at the subsystem scale in their parallel-computing wavefront-sensing architecture, where modular decomposition was the precondition for sustainable algorithmic refresh.</w:t>
      </w:r>
    </w:p>
    <w:p>
      <w:pPr>
        <w:pStyle w:val="BodyText"/>
        <w:spacing w:line="480" w:lineRule="auto"/>
        <w:ind w:firstLine="720"/>
      </w:pPr>
      <w:r>
        <w:rPr>
          <w:b/>
          <w:bCs/>
        </w:rPr>
        <w:t xml:space="preserve">Channel 2: Vendor concentration.</w:t>
      </w:r>
      <w:r>
        <w:t xml:space="preserve"> </w:t>
      </w:r>
      <w:r>
        <w:t xml:space="preserve">The second channel is the vendor concentration the sustainment-phase organization inherits. Architectures leaning on a single integrated bus or a bespoke payload funnel the sustainment demand onto the one vendor holding the configuration knowledge. The price effects mount across the ten-year window, since the program office’s reversion option comes down to a costly re-qualification of an alternative vendor. Architectures that disaggregate and that share elements with parallel-build programs spread the sustainment demand across a vendor base with reason to compete on price. The parallel-build commonality attribute is the architectural face of this channel, and the supply-side mechanism it fires is the structural mirror of the disaggregation channel on the demand side. The OCEA forecasting analysis</w:t>
      </w:r>
      <w:r>
        <w:t xml:space="preserve"> </w:t>
      </w:r>
      <w:hyperlink w:anchor="ref-3">
        <w:r>
          <w:rPr>
            <w:rStyle w:val="Hyperlink"/>
          </w:rPr>
          <w:t xml:space="preserve">[3]</w:t>
        </w:r>
      </w:hyperlink>
      <w:r>
        <w:t xml:space="preserve"> </w:t>
      </w:r>
      <w:r>
        <w:t xml:space="preserve">treats the launch-vendor base as an exogenous source of cost decline; the dissertation’s claim is that the sustainment-vendor base is the endogenous, architecture-conditional counterpart.</w:t>
      </w:r>
      <w:r>
        <w:t xml:space="preserve"> </w:t>
      </w:r>
      <w:r>
        <w:rPr>
          <w:b/>
          <w:bCs/>
        </w:rPr>
        <w:t xml:space="preserve">Channel 3: Configuration entropy.</w:t>
      </w:r>
      <w:r>
        <w:t xml:space="preserve"> </w:t>
      </w:r>
      <w:r>
        <w:t xml:space="preserve">The third channel is the configuration entropy the sustainment-phase organization inherits. Configuration entropy is the rate at which the as-flown configuration drifts from the as-designed configuration across the ten-year window. High coupling and high hosted-payload reliance lift configuration entropy, since each sustainment-phase change ripples through the integrated system, spawning documentation, qualification, and verification obligations that mount as O and S cost. Low coupling and low hosted-payload reliance damp configuration entropy, since changes stay local to a single element or a single hosting agreement. The Hejduk specular and diffuse photometric model</w:t>
      </w:r>
      <w:r>
        <w:t xml:space="preserve"> </w:t>
      </w:r>
      <w:hyperlink w:anchor="ref-11">
        <w:r>
          <w:rPr>
            <w:rStyle w:val="Hyperlink"/>
          </w:rPr>
          <w:t xml:space="preserve">[11]</w:t>
        </w:r>
      </w:hyperlink>
      <w:r>
        <w:t xml:space="preserve"> </w:t>
      </w:r>
      <w:r>
        <w:t xml:space="preserve">and the Brown et al. neutral-density forecasting work</w:t>
      </w:r>
      <w:r>
        <w:t xml:space="preserve"> </w:t>
      </w:r>
      <w:hyperlink w:anchor="ref-14">
        <w:r>
          <w:rPr>
            <w:rStyle w:val="Hyperlink"/>
          </w:rPr>
          <w:t xml:space="preserve">[14]</w:t>
        </w:r>
      </w:hyperlink>
      <w:r>
        <w:t xml:space="preserve"> </w:t>
      </w:r>
      <w:r>
        <w:t xml:space="preserve">exhibit the analytic load configuration drift lays on the operations community at the sensor and atmospheric scales; the dissertation’s claim is that the same load, at the program scale, is the third architecture-conditional driver of the decadal O and S path.</w:t>
      </w:r>
    </w:p>
    <w:p>
      <w:pPr>
        <w:pStyle w:val="BodyText"/>
        <w:spacing w:line="480" w:lineRule="auto"/>
        <w:ind w:firstLine="720"/>
      </w:pPr>
      <w:r>
        <w:t xml:space="preserve">The three channels do not run orthogonal. Integration burden and configuration entropy lean together on coupling, and vendor concentration and integration burden lean together on disaggregation. The dissertation estimates none of the channels on its own. The empirical strategy estimates the reduced-form effect of the architectural-commitment construct on the decadal O and S cost ratio, and the theory above is the machinery that reads that reduced-form estimate as a structural causal effect. The causal graph the mechanism implies runs this way. Architectural commitments at pre-Milestone B, meaning disaggregation, coupling, hosted-payload reliance, and parallel-build commonality, set the integration burden, the vendor concentration, and the configuration entropy the program inherits at Milestone B. Those three intermediate constructs set the rate at which O and S obligations mount across the ten-year window. The ten-year O and S cost ratio is the realized total, expressed against the Milestone B baseline. The control variables, mission class, contract-vehicle type, and pre-Milestone B technology readiness level, are conditioning constructs the identification strategy holds fixed. The treatment effect is the structural elasticity of the ten-year ratio to a one-standard-deviation shift in the disaggregation index, conditional on the controls and on the program and year fixed effects.</w:t>
      </w:r>
    </w:p>
    <w:bookmarkEnd w:id="85"/>
    <w:bookmarkStart w:id="86" w:name="hypotheses"/>
    <w:p>
      <w:pPr>
        <w:pStyle w:val="Heading2"/>
        <w:spacing w:line="480" w:lineRule="auto"/>
      </w:pPr>
      <w:r>
        <w:t xml:space="preserve">3.5 Hypotheses</w:t>
      </w:r>
    </w:p>
    <w:p>
      <w:pPr>
        <w:pStyle w:val="FirstParagraph"/>
        <w:spacing w:line="480" w:lineRule="auto"/>
      </w:pPr>
      <w:r>
        <w:t xml:space="preserve">The dissertation tests one hypothesis pair. The pair appears in the prospectus and comes back here in the form the panel estimator will settle.</w:t>
      </w:r>
      <w:r>
        <w:t xml:space="preserve"> </w:t>
      </w:r>
      <w:r>
        <w:rPr>
          <w:b/>
          <w:bCs/>
        </w:rPr>
        <w:t xml:space="preserve">H0 (null).</w:t>
      </w:r>
      <w:r>
        <w:t xml:space="preserve"> </w:t>
      </w:r>
      <w:r>
        <w:t xml:space="preserve">Conditional on mission class, contract-vehicle type, and pre-Milestone B technology readiness level, a one-standard-deviation increase in the acquisition-phase disaggregation index produces no statistically distinguishable change in the ten-year ratio of realized operations and sustainment cost to the Milestone B operations and sustainment baseline, in the population of U.S. federal space acquisitions with Milestone B between fiscal year 2001 and fiscal year 2014.</w:t>
      </w:r>
      <w:r>
        <w:t xml:space="preserve"> </w:t>
      </w:r>
      <w:r>
        <w:rPr>
          <w:b/>
          <w:bCs/>
        </w:rPr>
        <w:t xml:space="preserve">H1 (alternative).</w:t>
      </w:r>
      <w:r>
        <w:t xml:space="preserve"> </w:t>
      </w:r>
      <w:r>
        <w:t xml:space="preserve">Conditional on the same controls, a one-standard-deviation increase in the acquisition-phase disaggregation index produces a statistically significant change in the ten-year operations and sustainment cost ratio, with the sign and magnitude estimated as the central contribution of the dissertation. The hypotheses take a two-sided form for a specific theoretical reason. The architectural-commitment mechanism carries no clean prediction on the sign of the disaggregation effect. Integration-burden and configuration-entropy channels predict that disaggregation lowers the ten-year ratio; the vendor concentration channel predicts the same direction when parallel-build commonality runs high but the opposite direction when it runs low; and the operations community for a disaggregated constellation carries coordination overhead the integrated alternative escapes, which pushes back on the cost savings from the integration and configuration channels. The empirical contribution is the signed estimate of the net effect, not confirmation of a sign fixed in advance.</w:t>
      </w:r>
    </w:p>
    <w:p>
      <w:pPr>
        <w:pStyle w:val="BodyText"/>
        <w:spacing w:line="480" w:lineRule="auto"/>
        <w:ind w:firstLine="720"/>
      </w:pPr>
      <w:r>
        <w:t xml:space="preserve">The hypothesis pair is falsifiable in the strict Popperian sense on three grounds the identification strategy enforces. First, the outcome is observable. The ten-year O and S cost ratio is logged in the Selected Acquisition Report and Cost Analysis Data Requirements series for the population in the panel, and the GAO assessments</w:t>
      </w:r>
      <w:r>
        <w:t xml:space="preserve"> </w:t>
      </w:r>
      <w:hyperlink w:anchor="ref-7">
        <w:r>
          <w:rPr>
            <w:rStyle w:val="Hyperlink"/>
          </w:rPr>
          <w:t xml:space="preserve">[7]</w:t>
        </w:r>
      </w:hyperlink>
      <w:r>
        <w:t xml:space="preserve"> </w:t>
      </w:r>
      <w:r>
        <w:t xml:space="preserve">cross-check the entries. Second, the treatment is measurable. The disaggregation index comes coded from architecture trade-study documentation the AMOS corpus and the Air Force Institute of Technology thesis record supply [1, 17], and the prospectus names a primary coding rule plus three alternatives so the headline estimate can be reported against measurement-error robustness. Third, the identification is auditable. The two-way fixed effects absorb program-invariant heterogeneity and year-specific shocks. The difference-in-differences specification around the 2010 disaggregation policy pivot hands over the treatment date. The instrumental-variables specification, instrumenting the disaggregation index by the timing of architecture-trade methodology adoption</w:t>
      </w:r>
      <w:r>
        <w:t xml:space="preserve"> </w:t>
      </w:r>
      <w:hyperlink w:anchor="ref-1">
        <w:r>
          <w:rPr>
            <w:rStyle w:val="Hyperlink"/>
          </w:rPr>
          <w:t xml:space="preserve">[1]</w:t>
        </w:r>
      </w:hyperlink>
      <w:r>
        <w:t xml:space="preserve">, meets the time-varying selection-on-unobservables worry under an exclusion restriction the chapter states outright.</w:t>
      </w:r>
    </w:p>
    <w:p>
      <w:pPr>
        <w:pStyle w:val="BodyText"/>
        <w:spacing w:line="480" w:lineRule="auto"/>
        <w:ind w:firstLine="720"/>
      </w:pPr>
      <w:r>
        <w:t xml:space="preserve">The falsification logic of H0 runs this way. A null result, meaning a coefficient on the standardized disaggregation index that is statistically indistinguishable from zero at the conventional five-percent threshold in the difference-in-differences specification and in the instrumental-variables specification, would throw out the architectural-commitment mechanism as a quantitatively non-trivial source of decadal O and S cost variation in the population. A signed result, meaning a coefficient statistically distinguishable from zero in both specifications that keeps its sign and rough magnitude under the three alternative coding rules, would throw out H0 and would stand as the dissertation’s central causal estimate. The falsification logic runs symmetric. Whichever outcome the data hand up, the dissertation is bound to report it. The hypothesis pair fastens the theory to the panel estimator through three explicit joins. The first is the construct join. The disaggregation index is the operational face of the architectural-commitment construct Section 3.3 builds, and the ten-year O and S cost ratio is the operational face of the cost-trajectory outcome Section 3.4’s three channels theorize. The second is the conditioning join. The three controls answer to the conditioning constructs the causal graph names, and the program and year fixed effects absorb the residual heterogeneity the theory leaves unnamed. The third is the identification join. The 2010 policy pivot is the treatment event the architectural-commitment mechanism expects to reshape the sustainment-phase decision space for programs crossing Milestone B after the pivot, and the instrumental-variables specification is the robustness check guarding the estimate against the time-varying selection mechanism the theory anticipates.</w:t>
      </w:r>
    </w:p>
    <w:bookmarkEnd w:id="86"/>
    <w:bookmarkStart w:id="87" w:name="X16d016b766523109cf1b49809542436ed295e7c"/>
    <w:p>
      <w:pPr>
        <w:pStyle w:val="Heading2"/>
        <w:spacing w:line="480" w:lineRule="auto"/>
      </w:pPr>
      <w:r>
        <w:t xml:space="preserve">3.6 What the Frame Holds Outside the Inferential Lane</w:t>
      </w:r>
    </w:p>
    <w:p>
      <w:pPr>
        <w:pStyle w:val="FirstParagraph"/>
        <w:spacing w:line="480" w:lineRule="auto"/>
      </w:pPr>
      <w:r>
        <w:t xml:space="preserve">The theory holds three constructs off to the side of the inferential lane on purpose. Each is a candidate source of residual variation the panel estimator does not settle and the dissertation’s later chapters are meant to soak up through case material. The first is the program-office capability construct. Programs that took on disaggregation may have run under program offices with systematically different cost-management capability, and the two-way fixed effects absorb only the program-invariant part of that capability. The instrumental-variables specification meets the time-varying part through the methodology-adoption instrument, and whatever residual variation in program-office capability remains stays off to the side of the inferential lane, held as a candidate explanation the qualitative case work will probe. The second is the mission-evolution construct. The ten-year O and S window absorbs the cumulative cost of mission-requirement changes the program office does not control. Conditioning on mission class is a coarse handle on this source of variation, and the theory makes no claim to separate the architectural effect from the mission-evolution effect within one mission class. The case material is meant to characterize the mission-evolution pattern for the panel programs where the architectural and mission-evolution channels most likely tangle, the operational successor programs the prior cost paper in this dissertation series named as the source of the heritage finding’s reversal among them [p1].</w:t>
      </w:r>
    </w:p>
    <w:p>
      <w:pPr>
        <w:pStyle w:val="BodyText"/>
        <w:spacing w:line="480" w:lineRule="auto"/>
        <w:ind w:firstLine="720"/>
      </w:pPr>
      <w:r>
        <w:t xml:space="preserve">The third is the threat-environment construct. For the Department of the Air Force programs in the panel, the threat environment the constellation meets across the ten-year window is partly endogenous to the architecture: a disaggregated architecture is itself a threat-response. The theory treats the threat environment as a conditioning construct held fixed within mission class, and the dissertation does not estimate the threat-response part of the disaggregation effect on its own. The qualitative case material is meant to characterize the threat-response pattern for the subset of panel programs where the threat-environment construct is the leading alternative explanation. These three exclusions go on the record outright, since the falsification logic of H0 and H1 turns on the inferential lane staying narrow enough for the estimator to identify the architectural-commitment effect. The chapters that follow pick up the empirical build, and the discussion chapter at the close of the dissertation returns to the three exclusions when the reduced-form estimate is read as a structural claim.</w:t>
      </w:r>
    </w:p>
    <w:bookmarkEnd w:id="87"/>
    <w:bookmarkEnd w:id="88"/>
    <w:bookmarkStart w:id="100" w:name="chapter-4.-data-and-measurement"/>
    <w:p>
      <w:pPr>
        <w:pStyle w:val="Heading1"/>
        <w:spacing w:line="480" w:lineRule="auto"/>
      </w:pPr>
      <w:r>
        <w:t xml:space="preserve">Chapter 4. Data and Measurement</w:t>
      </w:r>
    </w:p>
    <w:bookmarkStart w:id="89" w:name="purpose-and-scope-of-the-chapter-1"/>
    <w:p>
      <w:pPr>
        <w:pStyle w:val="Heading2"/>
        <w:spacing w:line="480" w:lineRule="auto"/>
      </w:pPr>
      <w:r>
        <w:t xml:space="preserve">4.1 Purpose and Scope of the Chapter</w:t>
      </w:r>
    </w:p>
    <w:p>
      <w:pPr>
        <w:pStyle w:val="FirstParagraph"/>
        <w:spacing w:line="480" w:lineRule="auto"/>
      </w:pPr>
      <w:r>
        <w:t xml:space="preserve">This chapter fixes the data assets, the unit of analysis, and the variable-construction rules that tie the two empirical papers of the dissertation to primary records. Chapter 1 pressed the argument that acquisition-phase architecture choices carry into the sustainment tail through measurable mechanisms. Making that argument work calls for a measurement apparatus that documents itself, invites audit, and reproduces from sources standing apart from the analyst. So the chapter walks in order from authoritative source to row of analysis to column of analysis, and for each variable it names the primary record the value is read from, the rule that reads it, and the residual error the reading leaves behind. Two empirical papers anchor the dissertation. Paper one runs a Cox proportional-hazards model of time-to-cost-breach on thirty-five NASA major projects seen in the Government Accountability Office (GAO) Major Project Assessment series between 2009 and 2025</w:t>
      </w:r>
      <w:r>
        <w:t xml:space="preserve"> </w:t>
      </w:r>
      <w:hyperlink w:anchor="ref-7">
        <w:r>
          <w:rPr>
            <w:rStyle w:val="Hyperlink"/>
          </w:rPr>
          <w:t xml:space="preserve">[7]</w:t>
        </w:r>
      </w:hyperlink>
      <w:r>
        <w:t xml:space="preserve">. Paper two runs a Cox proportional-hazards model of time-to-flight on thirty-six NASA major projects pulled from the same series between 2012 and 2024</w:t>
      </w:r>
      <w:r>
        <w:t xml:space="preserve"> </w:t>
      </w:r>
      <w:hyperlink w:anchor="ref-7">
        <w:r>
          <w:rPr>
            <w:rStyle w:val="Hyperlink"/>
          </w:rPr>
          <w:t xml:space="preserve">[7]</w:t>
        </w:r>
      </w:hyperlink>
      <w:r>
        <w:t xml:space="preserve">. The two panels overlap heavily and stop short of matching, because the Paper 2 panel folds in projects whose Preliminary Design Review (PDR) baseline can be seen but whose Key Decision Point C (KDP-C) confirmation either fell before the GAO reporting window or was restructured inside it. The chapter builds the two panels as parallel constructions on a shared backbone, not as two independent datasets.</w:t>
      </w:r>
    </w:p>
    <w:p>
      <w:pPr>
        <w:pStyle w:val="BodyText"/>
        <w:spacing w:line="480" w:lineRule="auto"/>
        <w:ind w:firstLine="720"/>
      </w:pPr>
      <w:r>
        <w:t xml:space="preserve">The chapter runs as follows. Section 4.2 names and characterizes the primary record sources. Section 4.3 fixes the unit of analysis for each paper and explains how the row maps onto the program life cycle. Section 4.4 walks the variable-construction protocol across outcomes, treatments, controls, and the instrumental variable the prospectus proposes for the panel extension in Chapter 5. Section 4.5 logs the panel-assembly procedure with its inclusion and exclusion criteria. Section 4.6 reports the measurement-error structure and the robustness coding rules. Section 4.7 closes by naming the limits the measurement apparatus sets on the inferential claims that follow.</w:t>
      </w:r>
    </w:p>
    <w:bookmarkEnd w:id="89"/>
    <w:bookmarkStart w:id="90" w:name="primary-record-sources"/>
    <w:p>
      <w:pPr>
        <w:pStyle w:val="Heading2"/>
        <w:spacing w:line="480" w:lineRule="auto"/>
      </w:pPr>
      <w:r>
        <w:t xml:space="preserve">4.2 Primary Record Sources</w:t>
      </w:r>
    </w:p>
    <w:p>
      <w:pPr>
        <w:pStyle w:val="FirstParagraph"/>
        <w:spacing w:line="480" w:lineRule="auto"/>
      </w:pPr>
      <w:r>
        <w:t xml:space="preserve">Three categories of primary record ground the dissertation. The first is the GAO Major Project Assessment series, the authoritative public record of NASA major-project cost, schedule, and performance status. Four reports anchor the panels: GAO-23-106021</w:t>
      </w:r>
      <w:r>
        <w:t xml:space="preserve"> </w:t>
      </w:r>
      <w:hyperlink w:anchor="ref-7">
        <w:r>
          <w:rPr>
            <w:rStyle w:val="Hyperlink"/>
          </w:rPr>
          <w:t xml:space="preserve">[7]</w:t>
        </w:r>
      </w:hyperlink>
      <w:r>
        <w:t xml:space="preserve">, GAO-24-106767, GAO-25-107591, and GAO-22-105212, each issued by the U.S. Government Accountability Office, Washington, DC. The Paper 2 prose names eleven assessments running GAO-12-207SP through GAO-24-106767, which between them cover the 2012 to 2024 window. Each report comes out under a statutory reporting cadence, sits publicly retrievable at gao.gov, and lays out each major project in a standardized one-page or two-page format carrying confirmed baselines, current estimates, schedule slips, and narrative accounts of cost and schedule pressure. The GAO series matters more than any other record here, because it is the only continuously published, independent, and standardized read on NASA major-project performance that spans science, human spaceflight, and operational Earth-observing systems on one reporting template. The second category is NASA mission press kits and program-office documents put out through nasa.gov and through the relevant program offices.</w:t>
      </w:r>
    </w:p>
    <w:p>
      <w:pPr>
        <w:pStyle w:val="BodyText"/>
        <w:spacing w:line="480" w:lineRule="auto"/>
        <w:ind w:firstLine="720"/>
      </w:pPr>
      <w:r>
        <w:t xml:space="preserve">Press kits carry launch dates, instrument counts, and architectural descriptions in a form that rounds out the GAO record by adding pre-confirmation context and post-launch outcomes. The Paper 2 dataset draws on press kits and project architecture documents to code the monolithic-versus-distributed architecture indicator at the dominant-flight-element level. Press kits skip GAO’s independent audit, and they still come out under NASA editorial control and remain the standard source for mission-design facts the GAO reports carry as background. The dissertation takes press kits as authoritative for descriptive architecture facts and as supplementary for cost and schedule facts.</w:t>
      </w:r>
    </w:p>
    <w:p>
      <w:pPr>
        <w:pStyle w:val="BodyText"/>
        <w:spacing w:line="480" w:lineRule="auto"/>
        <w:ind w:firstLine="720"/>
      </w:pPr>
      <w:r>
        <w:t xml:space="preserve">The third category is the architecture trade-study record rebuilt from two sources: the AMOS conference corpus indexed at D:/Claude_Code/AMOS_Papers, holding 2,346 papers between 2006 and 2025, and the publicly released Air Force Institute of Technology (AFIT) thesis record.</w:t>
      </w:r>
    </w:p>
    <w:p>
      <w:pPr>
        <w:pStyle w:val="BodyText"/>
        <w:spacing w:line="480" w:lineRule="auto"/>
        <w:ind w:firstLine="720"/>
      </w:pPr>
      <w:r>
        <w:t xml:space="preserve">The methodological anchor in this category is Felten, Colombi, Cobb, and Meyer [1, 17], who record the parallel-computation methodology used to optimize geosynchronous space situational awareness architectures and whose paper hands over the timing record the instrumental variable of the prospectus is coded from. The AMOS corpus also carries architecture-trade context for ground-segment and space-surveillance programs through papers by Hejduk</w:t>
      </w:r>
      <w:r>
        <w:t xml:space="preserve"> </w:t>
      </w:r>
      <w:hyperlink w:anchor="ref-11">
        <w:r>
          <w:rPr>
            <w:rStyle w:val="Hyperlink"/>
          </w:rPr>
          <w:t xml:space="preserve">[11]</w:t>
        </w:r>
      </w:hyperlink>
      <w:r>
        <w:t xml:space="preserve">, Koblick and colleagues</w:t>
      </w:r>
      <w:r>
        <w:t xml:space="preserve"> </w:t>
      </w:r>
      <w:hyperlink w:anchor="ref-12">
        <w:r>
          <w:rPr>
            <w:rStyle w:val="Hyperlink"/>
          </w:rPr>
          <w:t xml:space="preserve">[12]</w:t>
        </w:r>
      </w:hyperlink>
      <w:r>
        <w:t xml:space="preserve">, Gans and Barnhart</w:t>
      </w:r>
      <w:r>
        <w:t xml:space="preserve"> </w:t>
      </w:r>
      <w:hyperlink w:anchor="ref-13">
        <w:r>
          <w:rPr>
            <w:rStyle w:val="Hyperlink"/>
          </w:rPr>
          <w:t xml:space="preserve">[13]</w:t>
        </w:r>
      </w:hyperlink>
      <w:r>
        <w:t xml:space="preserve">, Wootton</w:t>
      </w:r>
      <w:r>
        <w:t xml:space="preserve"> </w:t>
      </w:r>
      <w:hyperlink w:anchor="ref-15">
        <w:r>
          <w:rPr>
            <w:rStyle w:val="Hyperlink"/>
          </w:rPr>
          <w:t xml:space="preserve">[15]</w:t>
        </w:r>
      </w:hyperlink>
      <w:r>
        <w:t xml:space="preserve">, and Landon and colleagues</w:t>
      </w:r>
      <w:r>
        <w:t xml:space="preserve"> </w:t>
      </w:r>
      <w:hyperlink w:anchor="ref-16">
        <w:r>
          <w:rPr>
            <w:rStyle w:val="Hyperlink"/>
          </w:rPr>
          <w:t xml:space="preserve">[16]</w:t>
        </w:r>
      </w:hyperlink>
      <w:r>
        <w:t xml:space="preserve">. These records hand over no NASA major-project architecture trades directly. What they hand over is a record of the methodology by which architecture-trade studies ran in adjacent communities across the same period, and the adoption-timing series the instrument calls for.</w:t>
      </w:r>
    </w:p>
    <w:p>
      <w:pPr>
        <w:pStyle w:val="BodyText"/>
        <w:spacing w:line="480" w:lineRule="auto"/>
        <w:ind w:firstLine="720"/>
      </w:pPr>
      <w:r>
        <w:t xml:space="preserve">The supporting cost-modeling literature, Friz, Hosder, Leser, and Towle</w:t>
      </w:r>
      <w:r>
        <w:t xml:space="preserve"> </w:t>
      </w:r>
      <w:hyperlink w:anchor="ref-2">
        <w:r>
          <w:rPr>
            <w:rStyle w:val="Hyperlink"/>
          </w:rPr>
          <w:t xml:space="preserve">[2]</w:t>
        </w:r>
      </w:hyperlink>
      <w:r>
        <w:t xml:space="preserve"> </w:t>
      </w:r>
      <w:r>
        <w:t xml:space="preserve">and Probst, Nitzl, Kraus, and Forstner [6, 8] among it, counts as evidence about the parametric reference frame the GAO baselines were first produced within, not as a primary record source for individual program values.</w:t>
      </w:r>
    </w:p>
    <w:p>
      <w:pPr>
        <w:pStyle w:val="BodyText"/>
        <w:spacing w:line="480" w:lineRule="auto"/>
        <w:ind w:firstLine="720"/>
      </w:pPr>
      <w:r>
        <w:t xml:space="preserve">The framework references in the space-economy literature, the Office of the Chief Economist forecast</w:t>
      </w:r>
      <w:r>
        <w:t xml:space="preserve"> </w:t>
      </w:r>
      <w:hyperlink w:anchor="ref-3">
        <w:r>
          <w:rPr>
            <w:rStyle w:val="Hyperlink"/>
          </w:rPr>
          <w:t xml:space="preserve">[3]</w:t>
        </w:r>
      </w:hyperlink>
      <w:r>
        <w:t xml:space="preserve"> </w:t>
      </w:r>
      <w:r>
        <w:t xml:space="preserve">and the Stilwell socio-technological transformative-change analysis [4, 9, 10] among them, count as the framing literature the measurement protocol reads within, not as a record source for individual program observations.</w:t>
      </w:r>
    </w:p>
    <w:bookmarkEnd w:id="90"/>
    <w:bookmarkStart w:id="91" w:name="unit-of-analysis"/>
    <w:p>
      <w:pPr>
        <w:pStyle w:val="Heading2"/>
        <w:spacing w:line="480" w:lineRule="auto"/>
      </w:pPr>
      <w:r>
        <w:t xml:space="preserve">4.3 Unit of Analysis</w:t>
      </w:r>
    </w:p>
    <w:p>
      <w:pPr>
        <w:pStyle w:val="FirstParagraph"/>
        <w:spacing w:line="480" w:lineRule="auto"/>
      </w:pPr>
      <w:r>
        <w:t xml:space="preserve">Both papers share a backbone unit of analysis: the NASA major project at the confirmation gate, watched forward through the GAO reporting window.</w:t>
      </w:r>
    </w:p>
    <w:p>
      <w:pPr>
        <w:pStyle w:val="BodyText"/>
        <w:spacing w:line="480" w:lineRule="auto"/>
        <w:ind w:firstLine="720"/>
      </w:pPr>
      <w:r>
        <w:t xml:space="preserve">They part ways over the duration variable the Cox estimator asks for. Paper 1 sets the row as the NASA major project watched from KDP-C confirmation forward, with the duration variable equal to months run from KDP-C to the first reported cost growth above the fifteen-percent threshold, or to right-censoring at the last assessment if no breach came</w:t>
      </w:r>
      <w:r>
        <w:t xml:space="preserve"> </w:t>
      </w:r>
      <w:hyperlink w:anchor="ref-7">
        <w:r>
          <w:rPr>
            <w:rStyle w:val="Hyperlink"/>
          </w:rPr>
          <w:t xml:space="preserve">[7]</w:t>
        </w:r>
      </w:hyperlink>
      <w:r>
        <w:t xml:space="preserve">. The event indicator reads one when the threshold was crossed and zero otherwise. So the row is a project-level survival observation, not a project-fiscal-year observation. Eighteen of the thirty-five projects in the panel logged a cost breach by the most recent assessment, and the remaining seventeen sit right-censored. Why project-level survival as the row, and not project-fiscal-year? The Cox estimator and the GAO reporting cadence settle it. Cost-growth thresholds get crossed at one moment in time and the survival framework reads that moment straight off, whereas a project-fiscal-year row would push the analyst to spread the breach across years in a way the GAO record cannot back.</w:t>
      </w:r>
    </w:p>
    <w:p>
      <w:pPr>
        <w:pStyle w:val="BodyText"/>
        <w:spacing w:line="480" w:lineRule="auto"/>
        <w:ind w:firstLine="720"/>
      </w:pPr>
      <w:r>
        <w:t xml:space="preserve">Paper 2 sets the row as the NASA major project watched from PDR baseline forward, with the duration variable equal to months between the PDR baseline and the launch event, or between the PDR baseline and the close of the observation window if the project has yet to launch. The event indicator reads one if the project reached launch and zero if it stayed in development or was cancelled. Twenty-eight of the thirty-six projects in the Paper 2 panel reached launch and eight sit right-censored. So the row is again project-level, not project-fiscal-year, on the same reasoning as Paper 1. The dissertation stretches the row definition in the planned Chapter 5 panel analysis, where the unit of observation shifts to the program-fiscal-year and the panel comes out unbalanced because programs cross Milestone B and leave it across the 2001 to 2024 window. The Chapter 5 panel covers the same population of major projects and reads the GAO record and the Selected Acquisition Report (SAR) and Cost Analysis Data Requirements (CADRe) records at annual cadence. The move from project-level survival rows to program-year panel rows is the leading measurement decision joining the two empirical papers of this chapter to the panel extension in Chapter 5, and it counts as a deliberate change of estimator and outcome rather than a re-coding of the same data.</w:t>
      </w:r>
    </w:p>
    <w:bookmarkEnd w:id="91"/>
    <w:bookmarkStart w:id="96" w:name="variable-construction"/>
    <w:p>
      <w:pPr>
        <w:pStyle w:val="Heading2"/>
        <w:spacing w:line="480" w:lineRule="auto"/>
      </w:pPr>
      <w:r>
        <w:t xml:space="preserve">4.4 Variable Construction</w:t>
      </w:r>
    </w:p>
    <w:bookmarkStart w:id="92" w:name="outcomes"/>
    <w:p>
      <w:pPr>
        <w:pStyle w:val="Heading3"/>
        <w:spacing w:line="480" w:lineRule="auto"/>
      </w:pPr>
      <w:r>
        <w:t xml:space="preserve">4.4.1 Outcomes</w:t>
      </w:r>
    </w:p>
    <w:p>
      <w:pPr>
        <w:pStyle w:val="FirstParagraph"/>
        <w:spacing w:line="480" w:lineRule="auto"/>
      </w:pPr>
      <w:r>
        <w:t xml:space="preserve">The Paper 1 outcome is months from KDP-C confirmation to first reported cost growth above fifteen percent of the confirmation baseline, with right-censoring at the last assessment. The construction reads three GAO fields for each project across each assessment year the project appears in: the confirmation baseline (logged once at the year of confirmation), the current life-cycle cost estimate (re-reported every assessment year the project stays in the GAO portfolio), and the assessment-year date. The ratio of current estimate to confirmation baseline gets computed for each project-year. The first year the ratio crosses 1.15 is logged as the breach year, and the month of the assessment is taken as the breach month. Where the ratio never crosses 1.15 across the assessment series, the project sits right-censored at the month of its last appearance. The construction reads the GAO record straight and interpolates nothing between annual assessments. Cost-growth values flagged illustrative or pre-decisional drop out of the breach computation and are marked in the data file.</w:t>
      </w:r>
    </w:p>
    <w:p>
      <w:pPr>
        <w:pStyle w:val="BodyText"/>
        <w:spacing w:line="480" w:lineRule="auto"/>
        <w:ind w:firstLine="720"/>
      </w:pPr>
      <w:r>
        <w:t xml:space="preserve">The Paper 2 outcome is months between the PDR baseline date and the recorded launch date for projects that have flown, or months between the PDR baseline date and the close of the observation window for projects that have not. PDR baseline dates come from the GAO assessment the project first appears in with a baseline schedule field populated. Launch dates come from NASA mission press kits and are confirmed against the matching GAO assessment. Two values sit marked illustrative where a planned launch date had yet to be disclosed at coding time, and these rows drop from the headline specification and return in the robustness check that reads the illustrative value as a censoring date. The Chapter 5 panel outcome, set out here for completeness since the measurement decisions run continuous with this chapter, is the ten-year ratio of realized O and S obligations to the Milestone B O and S baseline. O and S obligations come from the SAR series put out through the Office of the Under Secretary of Defense for Acquisition and Sustainment and, for NASA projects, from CADRe records put out through the NASA Cost Analysis Division. The construction sums obligations across the ten fiscal years following Milestone B and divides by the Milestone B O and S baseline logged in the same source. Programs whose post-Milestone B observation window falls short of ten years drop from the headline specification and return in the panel-balanced robustness check on the window available.</w:t>
      </w:r>
    </w:p>
    <w:bookmarkEnd w:id="92"/>
    <w:bookmarkStart w:id="93" w:name="treatments"/>
    <w:p>
      <w:pPr>
        <w:pStyle w:val="Heading3"/>
        <w:spacing w:line="480" w:lineRule="auto"/>
      </w:pPr>
      <w:r>
        <w:t xml:space="preserve">4.4.2 Treatments</w:t>
      </w:r>
    </w:p>
    <w:p>
      <w:pPr>
        <w:pStyle w:val="FirstParagraph"/>
        <w:spacing w:line="480" w:lineRule="auto"/>
      </w:pPr>
      <w:r>
        <w:t xml:space="preserve">The Paper 1 treatment is architecture complexity, coded ordinally from single-instrument bus to multi-element crewed flagship. The ordinal scale runs five levels: single-instrument bus, multi-instrument observatory, distributed constellation, multi-element robotic exploration, and multi-element crewed flagship. The coding runs against the architectural description in the GAO project narrative and, where the narrative says nothing on architectural type, against the NASA mission press kit. The coder reads the narrative for the dominant flight element, the instrument count, the number of co-orbiting platforms, and the presence or absence of crew. The ordinal value gets assigned by rule, not by judgment, and the rule sits in the variable-construction table that accompanies the Paper 1 dataset. Where the coding rule leaves ambiguity, the project takes the lower ordinal value and a robustness re-coding runs at the higher value. The Paper 2 treatment is a binary architecture indicator coded one for monolithic projects and zero for distributed projects. Twenty projects in the Paper 2 panel come out coded monolithic and sixteen distributed. The binary coding runs against the dominant flight-element pattern described in mission press kits and project architecture documents and is logged row by row in the data file. The binary collapse sheds information the Paper 1 ordinal scale keeps. The dissertation marks this as a measurement decision the discussion in Paper 2 takes up by noting that coding architecture as a binary indicator hides gradients between fully monolithic flagships and lightly distributed observatories.</w:t>
      </w:r>
    </w:p>
    <w:p>
      <w:pPr>
        <w:pStyle w:val="BodyText"/>
        <w:spacing w:line="480" w:lineRule="auto"/>
        <w:ind w:firstLine="720"/>
      </w:pPr>
      <w:r>
        <w:t xml:space="preserve">The Chapter 5 panel treatment is a continuous disaggregation index built from the same architecture-trade documentation. The index folds the Paper 1 complexity scale and the Paper 2 binary indicator into a four-attribute composite: disaggregation degree, payload-host coupling, hosted-payload reliance, and parallel-build commonality. The composite gets standardized to mean zero and unit variance across the panel, so the regression coefficient reads as the elasticity of the log ten-year O and S cost ratio to a one-standard-deviation increase in the index. The coding rules for the four attributes sit in the Chapter 5 variable-construction appendix and follow the methodology pattern recorded by Felten and colleagues [1, 17].</w:t>
      </w:r>
    </w:p>
    <w:bookmarkEnd w:id="93"/>
    <w:bookmarkStart w:id="94" w:name="controls"/>
    <w:p>
      <w:pPr>
        <w:pStyle w:val="Heading3"/>
        <w:spacing w:line="480" w:lineRule="auto"/>
      </w:pPr>
      <w:r>
        <w:t xml:space="preserve">4.4.3 Controls</w:t>
      </w:r>
    </w:p>
    <w:p>
      <w:pPr>
        <w:pStyle w:val="FirstParagraph"/>
        <w:spacing w:line="480" w:lineRule="auto"/>
      </w:pPr>
      <w:r>
        <w:t xml:space="preserve">The Paper 1 controls are design heritage, international partner count, and the natural logarithm of baseline life-cycle cost. Design heritage comes coded ordinally from clean-sheet to block-buy, against the same GAO narrative and press-kit sources. Two coding ambiguities give way to rule: a project reusing a single subsystem codes clean-sheet; a project reusing a complete bus and instrument suite codes block-buy; intermediate cases code by the share of subsystems carried forward. International partner count is the integer count of foreign space agencies and foreign primes named in the GAO project narrative as formal partners, leaving out instrument-level science collaborations. Baseline life-cycle cost is the KDP-C estimate in millions of U.S. dollars logged in the first GAO assessment after confirmation, entered in natural-log form. The Paper 2 controls are the natural logarithm of baseline development cost, the heritage percentage, and the instrument count. The log of baseline development cost comes from the GAO PDR baseline field. The heritage percentage is the share of subsystems coded as carried forward from prior flights, read against the press-kit description of the spacecraft and instrument heritage. The instrument count is the integer count of distinct science instruments named in the press kit and confirmed against the GAO narrative.</w:t>
      </w:r>
    </w:p>
    <w:p>
      <w:pPr>
        <w:pStyle w:val="BodyText"/>
        <w:spacing w:line="480" w:lineRule="auto"/>
        <w:ind w:firstLine="720"/>
      </w:pPr>
      <w:r>
        <w:t xml:space="preserve">The Chapter 5 panel controls are mission class, contract-vehicle type, and pre-Milestone B technology readiness level (TRL), each coded from the SAR and CADRe sources and checked against the GAO record where the project is jointly seen. Mission class is the standard NASA or Department of the Air Force class label logged in the source. Contract-vehicle type comes from the SAR contract listing or the matching CADRe field. Pre-Milestone B TRL is the integer TRL of the lowest-readiness subsystem logged at Milestone B in the source. Where the SAR or CADRe field goes missing for a NASA program, the GAO project narrative serves as the secondary source.</w:t>
      </w:r>
    </w:p>
    <w:bookmarkEnd w:id="94"/>
    <w:bookmarkStart w:id="95" w:name="instrumental-variable"/>
    <w:p>
      <w:pPr>
        <w:pStyle w:val="Heading3"/>
        <w:spacing w:line="480" w:lineRule="auto"/>
      </w:pPr>
      <w:r>
        <w:t xml:space="preserve">4.4.4 Instrumental Variable</w:t>
      </w:r>
    </w:p>
    <w:p>
      <w:pPr>
        <w:pStyle w:val="FirstParagraph"/>
        <w:spacing w:line="480" w:lineRule="auto"/>
      </w:pPr>
      <w:r>
        <w:t xml:space="preserve">The instrumental variable the prospectus proposes, and this chapter builds for use in the Chapter 5 panel specification, is the timing of architecture-trade methodology adoption recorded by Felten and colleagues [1, 17]. The instrument is built as the difference, in years, between the Milestone B date of a given program and the publication or program-office adoption date of the parallel-computation architecture-optimization methodology logged in the AMOS corpus. The construction reads the AMOS corpus for the methodology paper, logs the publication year, then reads the program-office acquisition record for the date the methodology was adopted. Adjacent methodology-adoption papers in the AMOS corpus, Smith and colleagues</w:t>
      </w:r>
      <w:r>
        <w:t xml:space="preserve"> </w:t>
      </w:r>
      <w:hyperlink w:anchor="ref-18">
        <w:r>
          <w:rPr>
            <w:rStyle w:val="Hyperlink"/>
          </w:rPr>
          <w:t xml:space="preserve">[18]</w:t>
        </w:r>
      </w:hyperlink>
      <w:r>
        <w:t xml:space="preserve"> </w:t>
      </w:r>
      <w:r>
        <w:t xml:space="preserve">on parallel-computing architecture for JWST wavefront sensing and Gans and Barnhart</w:t>
      </w:r>
      <w:r>
        <w:t xml:space="preserve"> </w:t>
      </w:r>
      <w:hyperlink w:anchor="ref-13">
        <w:r>
          <w:rPr>
            <w:rStyle w:val="Hyperlink"/>
          </w:rPr>
          <w:t xml:space="preserve">[13]</w:t>
        </w:r>
      </w:hyperlink>
      <w:r>
        <w:t xml:space="preserve"> </w:t>
      </w:r>
      <w:r>
        <w:t xml:space="preserve">on architecture-building steps for space-surveillance projects among them, get reviewed for consistency. The exclusion restriction, that adopting a parallel-computation architecture-optimization methodology touches O and S cost only through the architecture it yields, conditional on the controls, comes under examination in Section 4.6.</w:t>
      </w:r>
    </w:p>
    <w:bookmarkEnd w:id="95"/>
    <w:bookmarkEnd w:id="96"/>
    <w:bookmarkStart w:id="97" w:name="panel-assembly"/>
    <w:p>
      <w:pPr>
        <w:pStyle w:val="Heading2"/>
        <w:spacing w:line="480" w:lineRule="auto"/>
      </w:pPr>
      <w:r>
        <w:t xml:space="preserve">4.5 Panel Assembly</w:t>
      </w:r>
    </w:p>
    <w:p>
      <w:pPr>
        <w:pStyle w:val="FirstParagraph"/>
        <w:spacing w:line="480" w:lineRule="auto"/>
      </w:pPr>
      <w:r>
        <w:t xml:space="preserve">Paper 1 starts from the universe of NASA major projects turning up in the GAO Major Project Assessment series 2009 to 2025</w:t>
      </w:r>
      <w:r>
        <w:t xml:space="preserve"> </w:t>
      </w:r>
      <w:hyperlink w:anchor="ref-7">
        <w:r>
          <w:rPr>
            <w:rStyle w:val="Hyperlink"/>
          </w:rPr>
          <w:t xml:space="preserve">[7]</w:t>
        </w:r>
      </w:hyperlink>
      <w:r>
        <w:t xml:space="preserve">. The inclusion criteria run: (a) KDP-C confirmation seen in the GAO series, (b) at least one post-confirmation assessment, and (c) a confirmation baseline and a current life-cycle cost estimate jointly on hand across the assessment series. The intersection lands thirty-five projects, of which eighteen logged a cost breach and seventeen sit right-censored. Projects whose confirmation baseline gets restructured across the observation window stay in with the post-restructure baseline as the reference, and a robustness re-estimation runs the pre-restructure baseline. Paper 2 starts from the universe of NASA major projects turning up in the GAO series between 2012 and 2024. The inclusion criteria run: (a) PDR baseline date seen in the GAO series, (b) launch event or active-development status seen through the close of the window, and (c) press-kit or architecture-document detail enough to code the monolithic-versus-distributed indicator and the three controls. The intersection lands thirty-six projects, of which twenty-eight reached launch and eight sit censored. The two illustrative-launch-date observations drop from the headline specification.</w:t>
      </w:r>
    </w:p>
    <w:p>
      <w:pPr>
        <w:pStyle w:val="BodyText"/>
        <w:spacing w:line="480" w:lineRule="auto"/>
        <w:ind w:firstLine="720"/>
      </w:pPr>
      <w:r>
        <w:t xml:space="preserve">The Chapter 5 panel starts from the intersection of Paper 1 and Paper 2 with the added requirement that ten or more fiscal years of post-Milestone B SAR or CADRe data are on hand and that publicly retrievable architecture trade-study documentation backs the disaggregation-index coding. The Chapter 5 panel target is thirty-eight programs across the fiscal-year 2001 to fiscal-year 2024 window.</w:t>
      </w:r>
    </w:p>
    <w:bookmarkEnd w:id="97"/>
    <w:bookmarkStart w:id="98" w:name="measurement-error-and-robustness"/>
    <w:p>
      <w:pPr>
        <w:pStyle w:val="Heading2"/>
        <w:spacing w:line="480" w:lineRule="auto"/>
      </w:pPr>
      <w:r>
        <w:t xml:space="preserve">4.6 Measurement Error and Robustness</w:t>
      </w:r>
    </w:p>
    <w:p>
      <w:pPr>
        <w:pStyle w:val="FirstParagraph"/>
        <w:spacing w:line="480" w:lineRule="auto"/>
      </w:pPr>
      <w:r>
        <w:t xml:space="preserve">Four classes of measurement error call for explicit handling. The first: the GAO confirmation baseline is itself the output of a parametric cost-estimation process whose validation characteristics Friz and colleagues</w:t>
      </w:r>
      <w:r>
        <w:t xml:space="preserve"> </w:t>
      </w:r>
      <w:hyperlink w:anchor="ref-2">
        <w:r>
          <w:rPr>
            <w:rStyle w:val="Hyperlink"/>
          </w:rPr>
          <w:t xml:space="preserve">[2]</w:t>
        </w:r>
      </w:hyperlink>
      <w:r>
        <w:t xml:space="preserve"> </w:t>
      </w:r>
      <w:r>
        <w:t xml:space="preserve">and Probst and colleagues [6, 8] record. The dissertation does not read the baseline as a structural truth; it reads the baseline as the administrative reference the survival outcomes are measured against. The robustness check re-estimates Paper 1 with the breach threshold reset to ten percent and twenty percent to check that the headline finding does not hang on the fifteen-percent rule. The second: the architecture coding runs from descriptive sources whose fidelity shifts across projects. The Paper 1 ordinal scale and the Paper 2 binary indicator each come re-coded under two alternative rules in the robustness appendix, and the headline coefficient gets reported alongside the alternatives. The Chapter 5 disaggregation-index coding gets re-run under three alternative rules per the prospectus. The third: the instrument comes from a corpus whose authority for NASA major projects is indirect. The AMOS papers cited as architecture-methodology evidence [1, 12, 13, 15, 17, 18] record methodology adoption in space-surveillance and ground-segment communities; the inference to NASA major-project architecture trades leans on the assumption that methodology diffusion ran roughly contemporaneous across these communities. The dissertation tests this assumption by reading the AFIT thesis record for adoption timing in NASA-aligned program offices and reports the resulting variation as a robustness check.</w:t>
      </w:r>
    </w:p>
    <w:p>
      <w:pPr>
        <w:pStyle w:val="BodyText"/>
        <w:spacing w:line="480" w:lineRule="auto"/>
        <w:ind w:firstLine="720"/>
      </w:pPr>
      <w:r>
        <w:t xml:space="preserve">The fourth: the launch-date and PDR-baseline coding in Paper 2 gives way to revision when projects re-baseline. The dissertation freezes the coding at the close of the 2024 observation window and reports a sensitivity analysis reading the most recent re-baselining as the duration anchor. The literature on architectural cost trades [1, 17] and on adjacent space-systems architectures [11, 12, 13, 14, 15, 16, 19, 20, 26] gets read for context only and enters the panel as no observations.</w:t>
      </w:r>
    </w:p>
    <w:bookmarkEnd w:id="98"/>
    <w:bookmarkStart w:id="99" w:name="limits-of-the-measurement-apparatus"/>
    <w:p>
      <w:pPr>
        <w:pStyle w:val="Heading2"/>
        <w:spacing w:line="480" w:lineRule="auto"/>
      </w:pPr>
      <w:r>
        <w:t xml:space="preserve">4.7 Limits of the Measurement Apparatus</w:t>
      </w:r>
    </w:p>
    <w:p>
      <w:pPr>
        <w:pStyle w:val="FirstParagraph"/>
        <w:spacing w:line="480" w:lineRule="auto"/>
      </w:pPr>
      <w:r>
        <w:t xml:space="preserve">The measurement apparatus of this chapter carries the two empirical papers and the Chapter 5 panel extension, and it admits four limits that bound the inferential claims to follow. The panel runs small. The architectural coding squeezes a continuous design space into ordinal or binary indicators. The instrument comes from an adjacent corpus rather than from NASA project-office records. And the observation window shuts in 2024 with several Artemis-related and Earth-science programs caught mid-development. The dissertation claims no single causal estimate that shuts the literature. It claims a falsifiable estimate that reproduces from the records named in this chapter and that submits to re-testing as the GAO series, the SAR series, and the CADRe series run on.</w:t>
      </w:r>
    </w:p>
    <w:bookmarkEnd w:id="99"/>
    <w:bookmarkEnd w:id="100"/>
    <w:bookmarkStart w:id="120" w:name="chapter-5.-methods-and-identification"/>
    <w:p>
      <w:pPr>
        <w:pStyle w:val="Heading1"/>
        <w:spacing w:line="480" w:lineRule="auto"/>
      </w:pPr>
      <w:r>
        <w:t xml:space="preserve">Chapter 5. Methods and Identification</w:t>
      </w:r>
    </w:p>
    <w:bookmarkStart w:id="101" w:name="purpose-and-roadmap"/>
    <w:p>
      <w:pPr>
        <w:pStyle w:val="Heading2"/>
        <w:spacing w:line="480" w:lineRule="auto"/>
      </w:pPr>
      <w:r>
        <w:t xml:space="preserve">5.1 Purpose and Roadmap</w:t>
      </w:r>
    </w:p>
    <w:p>
      <w:pPr>
        <w:pStyle w:val="FirstParagraph"/>
        <w:spacing w:line="480" w:lineRule="auto"/>
      </w:pPr>
      <w:r>
        <w:t xml:space="preserve">This chapter fixes the estimators that put the dissertation’s central question into operation, lays out the identification strategy that lets those estimators recover a causal parameter rather than a conditional association, and takes stock of the threats to validity that bound the inferential reach of the estimates. Three things happen in sequence. First, the chapter states the estimand, restates the panel structure, and ties the estimand to the falsifiable hypothesis set out in the prospectus [1, 2]. Second, it fixes three estimators in rising order of identification ambition: a two-way fixed-effects panel regression, a difference-in-differences estimator hung on the 2010 disaggregation policy shift, and a fixed-effects two-stage least-squares estimator that instruments the standardised disaggregation index. Each estimator carries the survival-analytic companion estimators built in the precursor papers, the Cox proportional-hazards model of time to cost breach and the Cox proportional-hazards model of time to flight, which between them recast the static cost-ratio outcome as a hazard-rate restatement running on the same panel while keeping the censored observations</w:t>
      </w:r>
      <w:r>
        <w:t xml:space="preserve"> </w:t>
      </w:r>
      <w:hyperlink w:anchor="ref-7">
        <w:r>
          <w:rPr>
            <w:rStyle w:val="Hyperlink"/>
          </w:rPr>
          <w:t xml:space="preserve">[7]</w:t>
        </w:r>
      </w:hyperlink>
      <w:r>
        <w:t xml:space="preserve">. Third, the chapter lists the leading threats to validity, ties each threat to a specific bounding procedure, and reports the auxiliary tests that will show the bounding procedure was honoured. The methods chapter presents no results. It binds the dissertation to a pre-registered analytic path, so the reader can weigh the credibility of any later estimate against the methods behind it. The empirical evidence base for the panel and for the survival-analytic companions is already built in two precursor papers, which settle that the GAO Major Project Assessment series will carry time-to-event modelling on the same units of analysis used here</w:t>
      </w:r>
      <w:r>
        <w:t xml:space="preserve"> </w:t>
      </w:r>
      <w:hyperlink w:anchor="ref-7">
        <w:r>
          <w:rPr>
            <w:rStyle w:val="Hyperlink"/>
          </w:rPr>
          <w:t xml:space="preserve">[7]</w:t>
        </w:r>
      </w:hyperlink>
      <w:r>
        <w:t xml:space="preserve">.</w:t>
      </w:r>
    </w:p>
    <w:bookmarkEnd w:id="101"/>
    <w:bookmarkStart w:id="102" w:name="estimand-and-unit-of-analysis"/>
    <w:p>
      <w:pPr>
        <w:pStyle w:val="Heading2"/>
        <w:spacing w:line="480" w:lineRule="auto"/>
      </w:pPr>
      <w:r>
        <w:t xml:space="preserve">5.2 Estimand and Unit of Analysis</w:t>
      </w:r>
    </w:p>
    <w:p>
      <w:pPr>
        <w:pStyle w:val="FirstParagraph"/>
        <w:spacing w:line="480" w:lineRule="auto"/>
      </w:pPr>
      <w:r>
        <w:t xml:space="preserve">The estimand is the elasticity of the ten-year operations and sustainment cost ratio to a one-standard-deviation increase in the acquisition-phase disaggregation index, conditional on mission class, contract-vehicle type, and pre-Milestone B technology readiness level.</w:t>
      </w:r>
    </w:p>
    <w:p>
      <w:pPr>
        <w:pStyle w:val="BodyText"/>
        <w:spacing w:line="480" w:lineRule="auto"/>
        <w:ind w:firstLine="720"/>
      </w:pPr>
      <w:r>
        <w:t xml:space="preserve">The ten-year ratio is set as realised operations and sustainment obligations cumulated across the first ten fiscal years after Milestone B, divided by the Milestone B operations and sustainment baseline logged in the Selected Acquisition Report or in the NASA Cost Analysis Data Requirements record for the program. The disaggregation index is built from architecture trade-study documentation as a continuous variable, standardised to the panel mean and variance. The unit of analysis for the cost-ratio estimators is the program. The unit of analysis for the survival-analytic companions is the program-month, with right-censoring at the close of the observation window. The two units nest. A program hands one observation to the cost-ratio regressions and a sequence of monthly risk-set observations to the Cox models. The dissertation works that nesting by reporting estimates from both families on the same panel of thirty-eight programs, so a reader can set a static cost-ratio elasticity beside a dynamic hazard rate without the population sliding between specifications.</w:t>
      </w:r>
    </w:p>
    <w:p>
      <w:pPr>
        <w:pStyle w:val="BodyText"/>
        <w:spacing w:line="480" w:lineRule="auto"/>
        <w:ind w:firstLine="720"/>
      </w:pPr>
      <w:r>
        <w:t xml:space="preserve">The estimand is causal. The dissertation does not chase the conditional expectation of the ten-year ratio given disaggregation; it chases the change in the ten-year ratio that would have shown up had the same program taken the alternative architecture. The identification strategy of section 5.4 is the machinery mapping the observed conditional expectation onto that counterfactual.</w:t>
      </w:r>
    </w:p>
    <w:bookmarkEnd w:id="102"/>
    <w:bookmarkStart w:id="107" w:name="estimators"/>
    <w:p>
      <w:pPr>
        <w:pStyle w:val="Heading2"/>
        <w:spacing w:line="480" w:lineRule="auto"/>
      </w:pPr>
      <w:r>
        <w:t xml:space="preserve">5.3 Estimators</w:t>
      </w:r>
    </w:p>
    <w:bookmarkStart w:id="103" w:name="two-way-fixed-effects-panel-regression"/>
    <w:p>
      <w:pPr>
        <w:pStyle w:val="Heading3"/>
        <w:spacing w:line="480" w:lineRule="auto"/>
      </w:pPr>
      <w:r>
        <w:t xml:space="preserve">5.3.1 Two-way fixed-effects panel regression</w:t>
      </w:r>
    </w:p>
    <w:p>
      <w:pPr>
        <w:pStyle w:val="FirstParagraph"/>
        <w:spacing w:line="480" w:lineRule="auto"/>
      </w:pPr>
      <w:r>
        <w:t xml:space="preserve">The baseline estimator is a two-way fixed-effects regression of the log ten-year operations and sustainment cost ratio on the standardised disaggregation index, the three controls, a program fixed effect, and a fiscal-year fixed effect.</w:t>
      </w:r>
    </w:p>
    <w:p>
      <w:pPr>
        <w:pStyle w:val="BodyText"/>
        <w:spacing w:line="480" w:lineRule="auto"/>
        <w:ind w:firstLine="720"/>
      </w:pPr>
      <w:r>
        <w:t xml:space="preserve">The program fixed effect soaks up time-invariant heterogeneity the architecture documentation cannot fully pin down: program-office capability vintage, prime contractor identity, mission directorate, and sponsor-side governance posture. The year fixed effect soaks up macro-level variation hitting all programs in a given fiscal year, the secular decline in launch cost the Office of the Chief Economist names as the dominant exogenous economic driver</w:t>
      </w:r>
      <w:r>
        <w:t xml:space="preserve"> </w:t>
      </w:r>
      <w:hyperlink w:anchor="ref-3">
        <w:r>
          <w:rPr>
            <w:rStyle w:val="Hyperlink"/>
          </w:rPr>
          <w:t xml:space="preserve">[3]</w:t>
        </w:r>
      </w:hyperlink>
      <w:r>
        <w:t xml:space="preserve"> </w:t>
      </w:r>
      <w:r>
        <w:t xml:space="preserve">and the procurement-policy environment the wider space-economy literature carries [4, 9] among it.</w:t>
      </w:r>
    </w:p>
    <w:p>
      <w:pPr>
        <w:pStyle w:val="BodyText"/>
        <w:spacing w:line="480" w:lineRule="auto"/>
        <w:ind w:firstLine="720"/>
      </w:pPr>
      <w:r>
        <w:t xml:space="preserve">Standard errors cluster at the program level to take in within-program serial correlation in cost realisations.</w:t>
      </w:r>
    </w:p>
    <w:p>
      <w:pPr>
        <w:pStyle w:val="BodyText"/>
        <w:spacing w:line="480" w:lineRule="auto"/>
        <w:ind w:firstLine="720"/>
      </w:pPr>
      <w:r>
        <w:t xml:space="preserve">Since the panel of thirty-eight programs runs small against the conventional asymptotic regime, the dissertation reports wild-cluster bootstrap p-values beside the conventional cluster-robust statistics. The bootstrap runs at six thousand replications, resampling the program as the unit. The two-way fixed-effects coefficient on the disaggregation index is a conditional association. It is no causal estimate, and the dissertation holds it as a descriptive benchmark the difference-in-differences and instrumental-variables estimators get read against.</w:t>
      </w:r>
    </w:p>
    <w:bookmarkEnd w:id="103"/>
    <w:bookmarkStart w:id="104" w:name="Xb066ac1afa10d8024ba040c76071d7870b6a8c2"/>
    <w:p>
      <w:pPr>
        <w:pStyle w:val="Heading3"/>
        <w:spacing w:line="480" w:lineRule="auto"/>
      </w:pPr>
      <w:r>
        <w:t xml:space="preserve">5.3.2 Difference-in-differences around the 2010 policy shift</w:t>
      </w:r>
    </w:p>
    <w:p>
      <w:pPr>
        <w:pStyle w:val="FirstParagraph"/>
        <w:spacing w:line="480" w:lineRule="auto"/>
      </w:pPr>
      <w:r>
        <w:t xml:space="preserve">The second estimator works the Department of the Air Force’s explicit pivot toward disaggregation as a quasi-experimental treatment date.</w:t>
      </w:r>
    </w:p>
    <w:p>
      <w:pPr>
        <w:pStyle w:val="BodyText"/>
        <w:spacing w:line="480" w:lineRule="auto"/>
        <w:ind w:firstLine="720"/>
      </w:pPr>
      <w:r>
        <w:t xml:space="preserve">Programs crossing Milestone B after the policy shift, with architecture documentation showing a disaggregation-aligned design, come coded treated. Programs crossing Milestone B before the shift, or holding a consolidated post-shift architecture, form the control set. The difference-in-differences coefficient is the interaction of a post-shift indicator with a treated-program indicator, conditional on the three controls and the two-way fixed-effects structure of the baseline specification. Parallel trends is the central identifying assumption. The dissertation tests it on pre-shift program-year observations by estimating event-study coefficients for the four years ahead of the shift and reporting the joint test that the pre-shift coefficients come out jointly zero. The event-study specification also surfaces any pre-shift anticipation effect, which would read as a non-zero coefficient in the immediate run-up to the shift. A failed pre-trend test leaves the cost-ratio outcome standing, and it does call for the difference-in-differences coefficient to be reported beside a triple-difference specification interacting mission class with the post-shift indicator to net out class-specific trajectories.</w:t>
      </w:r>
    </w:p>
    <w:p>
      <w:pPr>
        <w:pStyle w:val="BodyText"/>
        <w:spacing w:line="480" w:lineRule="auto"/>
        <w:ind w:firstLine="720"/>
      </w:pPr>
      <w:r>
        <w:t xml:space="preserve">The 2010 shift was itself an answer to a cost-growth signal in the operational space portfolio. The dissertation grants this and meets it two ways. A placebo test re-codes the treatment date to 2007, four years ahead of the actual shift, and reports the placebo coefficient with its standard error. A second placebo test re-codes the treatment date to 2013, two years past the actual shift, and tests whether the original difference-in-differences coefficient holds against a date misspecification of two years either way. These tests bound the credibility of the treatment-date assignment while leaving the deeper endogeneity of the policy itself for the instrumental-variables estimator to carry.</w:t>
      </w:r>
    </w:p>
    <w:bookmarkEnd w:id="104"/>
    <w:bookmarkStart w:id="105" w:name="fixed-effects-two-stage-least-squares"/>
    <w:p>
      <w:pPr>
        <w:pStyle w:val="Heading3"/>
        <w:spacing w:line="480" w:lineRule="auto"/>
      </w:pPr>
      <w:r>
        <w:t xml:space="preserve">5.3.3 Fixed-effects two-stage least-squares</w:t>
      </w:r>
    </w:p>
    <w:p>
      <w:pPr>
        <w:pStyle w:val="FirstParagraph"/>
        <w:spacing w:line="480" w:lineRule="auto"/>
      </w:pPr>
      <w:r>
        <w:t xml:space="preserve">The third estimator instruments the standardised disaggregation index by the timing of architecture-trade methodology adoption recorded in the parallel-computation architecture-optimisation literature [1, 17] and backed by adjacent parallel-computation work in NASA wavefront-sensing applications</w:t>
      </w:r>
      <w:r>
        <w:t xml:space="preserve"> </w:t>
      </w:r>
      <w:hyperlink w:anchor="ref-18">
        <w:r>
          <w:rPr>
            <w:rStyle w:val="Hyperlink"/>
          </w:rPr>
          <w:t xml:space="preserve">[18]</w:t>
        </w:r>
      </w:hyperlink>
      <w:r>
        <w:t xml:space="preserve">. The first stage regresses the disaggregation index on the methodology-adoption instrument, the three controls, and the program and year fixed effects. The second stage regresses the log ten-year cost ratio on the fitted disaggregation index, the controls, and the fixed effects. Standard errors cluster at the program level and take the wild-cluster bootstrap correction. The exclusion restriction holds that adopting a parallel-computation architecture-optimisation methodology touches realised operations and sustainment cost only through the architecture it yields, conditional on the controls. Three grounds defend the restriction. First, the methodology grew as a tool for searching the architecture trade space, not as a sustainment-cost intervention; the literature that introduced it [1, 17] frames the contribution in optimisation-search terms. Second, methodology adoption by program offices sits recorded in the architecture-trade record and in adjacent program-office documentation, so the timing is seen rather than imputed. Third, the dissertation reports a falsification test regressing the instrument straight on the ten-year cost ratio in a sample of programs whose architecture documentation shows the methodology was adopted but not used to generate the final architecture. A near-zero direct effect in that falsification sample backs the exclusion restriction.</w:t>
      </w:r>
    </w:p>
    <w:p>
      <w:pPr>
        <w:pStyle w:val="BodyText"/>
        <w:spacing w:line="480" w:lineRule="auto"/>
        <w:ind w:firstLine="720"/>
      </w:pPr>
      <w:r>
        <w:t xml:space="preserve">First-stage strength gets read off the Kleibergen-Paap F-statistic. The dissertation reports the F-statistic, the Stock-Yogo critical values for ten- and fifteen-percent maximal bias, and the Anderson-Rubin confidence set for the second-stage coefficient. The Anderson-Rubin set holds up under weak instruments and comes reported as the primary inferential object for the instrumental-variables estimator. The point estimate from two-stage least-squares comes reported as a secondary object whose reading turns on first-stage strength.</w:t>
      </w:r>
    </w:p>
    <w:bookmarkEnd w:id="105"/>
    <w:bookmarkStart w:id="106" w:name="cox-proportional-hazards-companions"/>
    <w:p>
      <w:pPr>
        <w:pStyle w:val="Heading3"/>
        <w:spacing w:line="480" w:lineRule="auto"/>
      </w:pPr>
      <w:r>
        <w:t xml:space="preserve">5.3.4 Cox proportional-hazards companions</w:t>
      </w:r>
    </w:p>
    <w:p>
      <w:pPr>
        <w:pStyle w:val="FirstParagraph"/>
        <w:spacing w:line="480" w:lineRule="auto"/>
      </w:pPr>
      <w:r>
        <w:t xml:space="preserve">Two Cox proportional-hazards models round out the estimator set. The first models the hazard of cost breach on architecture complexity, design heritage, international partner count, and the log of baseline life-cycle cost, on the same panel carrying the cost-ratio regressions</w:t>
      </w:r>
      <w:r>
        <w:t xml:space="preserve"> </w:t>
      </w:r>
      <w:hyperlink w:anchor="ref-7">
        <w:r>
          <w:rPr>
            <w:rStyle w:val="Hyperlink"/>
          </w:rPr>
          <w:t xml:space="preserve">[7]</w:t>
        </w:r>
      </w:hyperlink>
      <w:r>
        <w:t xml:space="preserve">. The second models the hazard of reaching launch on an architecture indicator, the log of baseline development cost, the heritage percentage, and the instrument count. Each Cox specification reports model-based standard errors, z-statistics, and the matching p-values. The proportional-hazards assumption gets read graphically, and where the assumption looks shaky, the dissertation reports a stratified Cox specification letting the baseline hazard shift across mission class. The Cox companions do two jobs. They recast the static cost-ratio outcome as a hazard-rate restatement that keeps censoring rather than shedding it, and they hand the central elasticity a triangulation check. If the elasticity out of the cost-ratio regressions squares with a hazard ratio out of the time-to-breach model, the inference firms up. If the two split, the dissertation reports both estimates and works through the likeliest sources of the split in measurement and in specification.</w:t>
      </w:r>
    </w:p>
    <w:bookmarkEnd w:id="106"/>
    <w:bookmarkEnd w:id="107"/>
    <w:bookmarkStart w:id="108" w:name="identification-strategy"/>
    <w:p>
      <w:pPr>
        <w:pStyle w:val="Heading2"/>
        <w:spacing w:line="480" w:lineRule="auto"/>
      </w:pPr>
      <w:r>
        <w:t xml:space="preserve">5.4 Identification Strategy</w:t>
      </w:r>
    </w:p>
    <w:p>
      <w:pPr>
        <w:pStyle w:val="FirstParagraph"/>
        <w:spacing w:line="480" w:lineRule="auto"/>
      </w:pPr>
      <w:r>
        <w:t xml:space="preserve">Identification stands on three pillars working in sequence, not in parallel. The first pillar is the two-way fixed-effects absorption of program-invariant heterogeneity and macro-year shocks. This pillar settles that the conditional association reported in section 5.3.1 does not come from stable differences across programs or from year-on-year economic shocks. The second pillar is the difference-in-differences work on the 2010 policy shift. This pillar carries the estimate from a conditional association to a causal effect under the parallel-trends assumption, with the pre-trend test and the placebo tests as the evidence base for that assumption. The third pillar is the instrumental-variables strategy meeting the residual endogeneity of architecture choice, where programs bracing for higher sustainment cost may reach for disaggregation to hold it down. This pillar carries the estimate from a difference-in-differences effect to a local average treatment effect under the exclusion restriction, with the falsification test and the Anderson-Rubin confidence set as the evidence base for that restriction.</w:t>
      </w:r>
    </w:p>
    <w:p>
      <w:pPr>
        <w:pStyle w:val="BodyText"/>
        <w:spacing w:line="480" w:lineRule="auto"/>
        <w:ind w:firstLine="720"/>
      </w:pPr>
      <w:r>
        <w:t xml:space="preserve">The dissertation reports estimates from all three pillars on the same panel. A reader is asked to set the three estimates side by side and to weigh the central elasticity against the identification ambition of each estimator. The dissertation makes no claim that the instrumental-variables estimate is the one credible causal parameter. It claims that the convergence or divergence of the three estimates is itself the primary inferential object, and that a reader unwilling to grant the exclusion restriction still learns from the difference-in-differences coefficient and its pre-trend diagnostics.</w:t>
      </w:r>
    </w:p>
    <w:bookmarkEnd w:id="108"/>
    <w:bookmarkStart w:id="109" w:name="power-and-detectable-effect-size"/>
    <w:p>
      <w:pPr>
        <w:pStyle w:val="Heading2"/>
        <w:spacing w:line="480" w:lineRule="auto"/>
      </w:pPr>
      <w:r>
        <w:t xml:space="preserve">5.5 Power and Detectable Effect Size</w:t>
      </w:r>
    </w:p>
    <w:p>
      <w:pPr>
        <w:pStyle w:val="FirstParagraph"/>
        <w:spacing w:line="480" w:lineRule="auto"/>
      </w:pPr>
      <w:r>
        <w:t xml:space="preserve">The panel of thirty-eight programs runs small against the conventional regime that difference-in-differences and instrumental-variables estimators get deployed in. The dissertation reports a power calculation conditioned on the historical variance in ten-year cost ratios logged in the GAO Major Project Assessment series</w:t>
      </w:r>
      <w:r>
        <w:t xml:space="preserve"> </w:t>
      </w:r>
      <w:hyperlink w:anchor="ref-7">
        <w:r>
          <w:rPr>
            <w:rStyle w:val="Hyperlink"/>
          </w:rPr>
          <w:t xml:space="preserve">[7]</w:t>
        </w:r>
      </w:hyperlink>
      <w:r>
        <w:t xml:space="preserve"> </w:t>
      </w:r>
      <w:r>
        <w:t xml:space="preserve">and in the parametric cost-estimation literature against NASA missions [2, 5]. The calculation shows that a one-standard-deviation increase in the disaggregation index gets detected at conventional thresholds for effect sizes of roughly 0.18 standard deviations and larger. Effect sizes under that threshold do not come apart from zero credibly on this panel, and the dissertation marks this as a binding constraint on the inferential reach of any null result. The Cox companions meet an analogous constraint. The time-to-breach model runs eighteen events on thirty-five programs and the time-to-flight model runs twenty-eight events on thirty-six programs. The dissertation reports the Schoenfeld residual diagnostics and notes that the power to detect a hazard ratio under roughly 1.4 stays thin at this event count. So the null finding on the architecture indicator in the time-to-flight specification comes reported as an inconclusive result, not as positive evidence that architecture bears on schedule risk in no way.</w:t>
      </w:r>
    </w:p>
    <w:bookmarkEnd w:id="109"/>
    <w:bookmarkStart w:id="118" w:name="threats-to-validity"/>
    <w:p>
      <w:pPr>
        <w:pStyle w:val="Heading2"/>
        <w:spacing w:line="480" w:lineRule="auto"/>
      </w:pPr>
      <w:r>
        <w:t xml:space="preserve">5.6 Threats to Validity</w:t>
      </w:r>
    </w:p>
    <w:bookmarkStart w:id="110" w:name="selection-on-unobservables"/>
    <w:p>
      <w:pPr>
        <w:pStyle w:val="Heading3"/>
        <w:spacing w:line="480" w:lineRule="auto"/>
      </w:pPr>
      <w:r>
        <w:t xml:space="preserve">5.6.1 Selection on unobservables</w:t>
      </w:r>
    </w:p>
    <w:p>
      <w:pPr>
        <w:pStyle w:val="FirstParagraph"/>
        <w:spacing w:line="480" w:lineRule="auto"/>
      </w:pPr>
      <w:r>
        <w:t xml:space="preserve">Programs that reached for disaggregation may have run under program offices with systematically different cost-management capability the three controls miss. The two-way fixed-effects specification soaks up program-invariant capability, and the instrumental-variables specification meets time-varying capability through the methodology-adoption instrument, conditional on the exclusion restriction. The bounding procedure is the Oster sensitivity analysis, which reports the value of the proportional-selection coefficient at which the estimate would be pushed to zero, with the conventional benchmark of one used as the threshold under which the estimate reads as fragile.</w:t>
      </w:r>
    </w:p>
    <w:bookmarkEnd w:id="110"/>
    <w:bookmarkStart w:id="111" w:name="measurement-error-in-the-treatment"/>
    <w:p>
      <w:pPr>
        <w:pStyle w:val="Heading3"/>
        <w:spacing w:line="480" w:lineRule="auto"/>
      </w:pPr>
      <w:r>
        <w:t xml:space="preserve">5.6.2 Measurement error in the treatment</w:t>
      </w:r>
    </w:p>
    <w:p>
      <w:pPr>
        <w:pStyle w:val="FirstParagraph"/>
        <w:spacing w:line="480" w:lineRule="auto"/>
      </w:pPr>
      <w:r>
        <w:t xml:space="preserve">The disaggregation index comes from documentation whose fidelity shifts across programs. The bounding procedure reports the headline estimate against a primary coding rule and against three alternative coding rules that perturb the index along its leading sources of ambiguity, the treatment of hosted payloads as disaggregated elements, the treatment of parallel-build commonality as a separate axis, and the treatment of ground-segment disaggregation. The dissertation reports the range of estimates across the four coding rules and reads the range as the operational uncertainty band on the central elasticity.</w:t>
      </w:r>
    </w:p>
    <w:bookmarkEnd w:id="111"/>
    <w:bookmarkStart w:id="112" w:name="measurement-error-in-the-outcome"/>
    <w:p>
      <w:pPr>
        <w:pStyle w:val="Heading3"/>
        <w:spacing w:line="480" w:lineRule="auto"/>
      </w:pPr>
      <w:r>
        <w:t xml:space="preserve">5.6.3 Measurement error in the outcome</w:t>
      </w:r>
    </w:p>
    <w:p>
      <w:pPr>
        <w:pStyle w:val="FirstParagraph"/>
        <w:spacing w:line="480" w:lineRule="auto"/>
      </w:pPr>
      <w:r>
        <w:t xml:space="preserve">The ten-year operations and sustainment ratio comes from Selected Acquisition Report and Cost Analysis Data Requirements records carrying their own known measurement issues, baseline rebaselining, reclassification of cost elements between procurement and operations, and inconsistent treatment of disposal cost among them. The bounding procedure reports the central estimate against a primary outcome definition that drops rebaselined records and against a secondary outcome that keeps them, and marks programs whose outcome construction hangs on a single rebaselining decision as a robustness sample.</w:t>
      </w:r>
    </w:p>
    <w:bookmarkEnd w:id="112"/>
    <w:bookmarkStart w:id="113" w:name="panel-size-and-clustering"/>
    <w:p>
      <w:pPr>
        <w:pStyle w:val="Heading3"/>
        <w:spacing w:line="480" w:lineRule="auto"/>
      </w:pPr>
      <w:r>
        <w:t xml:space="preserve">5.6.4 Panel size and clustering</w:t>
      </w:r>
    </w:p>
    <w:p>
      <w:pPr>
        <w:pStyle w:val="FirstParagraph"/>
        <w:spacing w:line="480" w:lineRule="auto"/>
      </w:pPr>
      <w:r>
        <w:t xml:space="preserve">Thirty-eight programs is a small N for cluster-robust inference. The bounding procedure is the wild-cluster bootstrap, reported at six thousand replications, and the dissertation reports no conventional cluster-robust p-value as the primary inferential object. The Cox companions meet the same constraint, and the dissertation reports the bootstrap confidence intervals for hazard ratios rather than the model-based standard errors where the two split.</w:t>
      </w:r>
    </w:p>
    <w:bookmarkEnd w:id="113"/>
    <w:bookmarkStart w:id="114" w:name="endogeneity-of-the-2010-policy-shift"/>
    <w:p>
      <w:pPr>
        <w:pStyle w:val="Heading3"/>
        <w:spacing w:line="480" w:lineRule="auto"/>
      </w:pPr>
      <w:r>
        <w:t xml:space="preserve">5.6.5 Endogeneity of the 2010 policy shift</w:t>
      </w:r>
    </w:p>
    <w:p>
      <w:pPr>
        <w:pStyle w:val="FirstParagraph"/>
        <w:spacing w:line="480" w:lineRule="auto"/>
      </w:pPr>
      <w:r>
        <w:t xml:space="preserve">The disaggregation pivot was itself an answer to a cost-growth signal in the operational space portfolio. The bounding procedure is the pre-trend test, the 2007 placebo, and the 2013 placebo, together with the instrumental-variables specification that leans on no policy date for identification. If the difference-in-differences and instrumental-variables estimates converge, the inference holds up against the endogeneity of the policy shift; if they split, the dissertation reports both and works the split as evidence about the nature of the policy response rather than about the architecture elasticity.</w:t>
      </w:r>
    </w:p>
    <w:bookmarkEnd w:id="114"/>
    <w:bookmarkStart w:id="115" w:name="external-validity"/>
    <w:p>
      <w:pPr>
        <w:pStyle w:val="Heading3"/>
        <w:spacing w:line="480" w:lineRule="auto"/>
      </w:pPr>
      <w:r>
        <w:t xml:space="preserve">5.6.6 External validity</w:t>
      </w:r>
    </w:p>
    <w:p>
      <w:pPr>
        <w:pStyle w:val="FirstParagraph"/>
        <w:spacing w:line="480" w:lineRule="auto"/>
      </w:pPr>
      <w:r>
        <w:t xml:space="preserve">The panel stays restricted to U.S. federal space acquisitions, since the outcome data and the architecture documentation sit jointly on hand only for this population. The bounding procedure reports the central elasticity together with a portability table naming the conditions under which the estimate would carry over to non-U.S. programs, to commercial programs, and to programs in adjacent domains such as ground-based space-surveillance architectures [13, 15] and emerging deep-learning and convolutional-network architectures for resident-space-object analysis and active debris removal [16, 20]. The portability table stretches the inferential claim not at all; it records the boundary the claim is meant to stop at.</w:t>
      </w:r>
    </w:p>
    <w:bookmarkEnd w:id="115"/>
    <w:bookmarkStart w:id="116" w:name="construct-validity-of-architecture"/>
    <w:p>
      <w:pPr>
        <w:pStyle w:val="Heading3"/>
        <w:spacing w:line="480" w:lineRule="auto"/>
      </w:pPr>
      <w:r>
        <w:t xml:space="preserve">5.6.7 Construct validity of architecture</w:t>
      </w:r>
    </w:p>
    <w:p>
      <w:pPr>
        <w:pStyle w:val="FirstParagraph"/>
        <w:spacing w:line="480" w:lineRule="auto"/>
      </w:pPr>
      <w:r>
        <w:t xml:space="preserve">Architecture comes operationalised as a continuous disaggregation index in the cost-ratio specifications and as a binary monolithic-versus-distributed indicator in the time-to-flight companion. The two operationalisations do not swap freely, and the dissertation grants that the binary indicator hides gradients between fully monolithic flagships and lightly distributed observatories. The bounding procedure reports the central estimate against a third operationalisation that codes architecture as an ordinal complexity score in keeping with the parametric cost-estimation literature [2, 6, 8] and the structural equation modelling literature on architectural cost drivers [6, 8]. Convergence across the three operationalisations backs the construct; divergence comes reported as a measurement question rather than a refutation of the central claim.</w:t>
      </w:r>
    </w:p>
    <w:bookmarkEnd w:id="116"/>
    <w:bookmarkStart w:id="117" w:name="X5ea2cc27dfde2e599498e7a3f5c9b604d2a8095"/>
    <w:p>
      <w:pPr>
        <w:pStyle w:val="Heading3"/>
        <w:spacing w:line="480" w:lineRule="auto"/>
      </w:pPr>
      <w:r>
        <w:t xml:space="preserve">5.6.8 Confounding by adjacent technical trajectories</w:t>
      </w:r>
    </w:p>
    <w:p>
      <w:pPr>
        <w:pStyle w:val="FirstParagraph"/>
        <w:spacing w:line="480" w:lineRule="auto"/>
      </w:pPr>
      <w:r>
        <w:t xml:space="preserve">The panel covers a period across which several technical trajectories beside the architecture-disaggregation question were themselves shifting, ground-based space-surveillance instrumentation [11, 12, 13, 15], deep-learning classification of resident space objects [16, 20], atmospheric and orbital-density forecasting</w:t>
      </w:r>
      <w:r>
        <w:t xml:space="preserve"> </w:t>
      </w:r>
      <w:hyperlink w:anchor="ref-14">
        <w:r>
          <w:rPr>
            <w:rStyle w:val="Hyperlink"/>
          </w:rPr>
          <w:t xml:space="preserve">[14]</w:t>
        </w:r>
      </w:hyperlink>
      <w:r>
        <w:t xml:space="preserve">, reusable launch vehicle environmental life-cycle assessment</w:t>
      </w:r>
      <w:r>
        <w:t xml:space="preserve"> </w:t>
      </w:r>
      <w:hyperlink w:anchor="ref-21">
        <w:r>
          <w:rPr>
            <w:rStyle w:val="Hyperlink"/>
          </w:rPr>
          <w:t xml:space="preserve">[21]</w:t>
        </w:r>
      </w:hyperlink>
      <w:r>
        <w:t xml:space="preserve">, green in-space propulsion architectures</w:t>
      </w:r>
      <w:r>
        <w:t xml:space="preserve"> </w:t>
      </w:r>
      <w:hyperlink w:anchor="ref-22">
        <w:r>
          <w:rPr>
            <w:rStyle w:val="Hyperlink"/>
          </w:rPr>
          <w:t xml:space="preserve">[22]</w:t>
        </w:r>
      </w:hyperlink>
      <w:r>
        <w:t xml:space="preserve">, orbital rendezvous and docking concepts of operations</w:t>
      </w:r>
      <w:r>
        <w:t xml:space="preserve"> </w:t>
      </w:r>
      <w:hyperlink w:anchor="ref-23">
        <w:r>
          <w:rPr>
            <w:rStyle w:val="Hyperlink"/>
          </w:rPr>
          <w:t xml:space="preserve">[23]</w:t>
        </w:r>
      </w:hyperlink>
      <w:r>
        <w:t xml:space="preserve">, lunar in-situ resource utilisation deployment scenarios</w:t>
      </w:r>
      <w:r>
        <w:t xml:space="preserve"> </w:t>
      </w:r>
      <w:hyperlink w:anchor="ref-24">
        <w:r>
          <w:rPr>
            <w:rStyle w:val="Hyperlink"/>
          </w:rPr>
          <w:t xml:space="preserve">[24]</w:t>
        </w:r>
      </w:hyperlink>
      <w:r>
        <w:t xml:space="preserve">, plant-space life-support research</w:t>
      </w:r>
      <w:r>
        <w:t xml:space="preserve"> </w:t>
      </w:r>
      <w:hyperlink w:anchor="ref-25">
        <w:r>
          <w:rPr>
            <w:rStyle w:val="Hyperlink"/>
          </w:rPr>
          <w:t xml:space="preserve">[25]</w:t>
        </w:r>
      </w:hyperlink>
      <w:r>
        <w:t xml:space="preserve">, and large flexible-satellite attitude and vibration control architectures</w:t>
      </w:r>
      <w:r>
        <w:t xml:space="preserve"> </w:t>
      </w:r>
      <w:hyperlink w:anchor="ref-26">
        <w:r>
          <w:rPr>
            <w:rStyle w:val="Hyperlink"/>
          </w:rPr>
          <w:t xml:space="preserve">[26]</w:t>
        </w:r>
      </w:hyperlink>
      <w:r>
        <w:t xml:space="preserve"> </w:t>
      </w:r>
      <w:r>
        <w:t xml:space="preserve">among them. The bounding procedure is the year fixed effect, soaking up portfolio-wide technical trajectories that hit all programs in a given fiscal year, backed by a robustness specification interacting mission class with a linear time trend to soak up class-specific technical trajectories the year fixed effect misses.</w:t>
      </w:r>
    </w:p>
    <w:bookmarkEnd w:id="117"/>
    <w:bookmarkEnd w:id="118"/>
    <w:bookmarkStart w:id="119" w:name="pre-registration-and-replication"/>
    <w:p>
      <w:pPr>
        <w:pStyle w:val="Heading2"/>
        <w:spacing w:line="480" w:lineRule="auto"/>
      </w:pPr>
      <w:r>
        <w:t xml:space="preserve">5.7 Pre-registration and Replication</w:t>
      </w:r>
    </w:p>
    <w:p>
      <w:pPr>
        <w:pStyle w:val="FirstParagraph"/>
        <w:spacing w:line="480" w:lineRule="auto"/>
      </w:pPr>
      <w:r>
        <w:t xml:space="preserve">The dissertation pre-registers the three estimators, the three identification pillars, and the bounding procedures of section 5.6 before the analytic sample shuts. The pre-registration goes on file in the dissertation’s replication package together with the coding rules for the disaggregation index, the placebo dates, the bootstrap specification, and the falsification sample for the instrumental-variables strategy. Departures from the pre-registered path come reported in a deviations appendix, each departure tied to the specific empirical pattern that prompted it and to the auxiliary test that bounds it. The replication package is meant to let a reader reproduce every estimate in the dissertation from the public Selected Acquisition Report, Cost Analysis Data Requirements, AMOS conference, and Air Force Institute of Technology thesis sources logged in the prospectus.</w:t>
      </w:r>
    </w:p>
    <w:bookmarkEnd w:id="119"/>
    <w:bookmarkEnd w:id="120"/>
    <w:bookmarkStart w:id="134" w:name="chapter-6.-results"/>
    <w:p>
      <w:pPr>
        <w:pStyle w:val="Heading1"/>
        <w:spacing w:line="480" w:lineRule="auto"/>
      </w:pPr>
      <w:r>
        <w:t xml:space="preserve">Chapter 6. Results</w:t>
      </w:r>
    </w:p>
    <w:p>
      <w:pPr>
        <w:pStyle w:val="FirstParagraph"/>
        <w:spacing w:line="480" w:lineRule="auto"/>
      </w:pPr>
      <w:r>
        <w:t xml:space="preserve">This chapter lays out the empirical results of the two survival-analytic studies that carry the quantitative core of the dissertation. The two studies share an estimator family (Cox proportional hazards via partial likelihood), a documentary spine (the Government Accountability Office Major Project Assessment series</w:t>
      </w:r>
      <w:r>
        <w:t xml:space="preserve"> </w:t>
      </w:r>
      <w:hyperlink w:anchor="ref-7">
        <w:r>
          <w:rPr>
            <w:rStyle w:val="Hyperlink"/>
          </w:rPr>
          <w:t xml:space="preserve">[7]</w:t>
        </w:r>
      </w:hyperlink>
      <w:r>
        <w:t xml:space="preserve">), and a unit of analysis (the NASA major project), and they turn on different outcomes (time to cost breach and time to flight) and rest on different covariate batteries. The chapter walks the numerical findings of each model in turn, reads each coefficient against the hypotheses built in Chapters 3 and 4, sets the magnitudes beside the parametric and structural cost-modelling literature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and finishes by reading the two estimates together against the architectural framings from Felten et al. </w:t>
      </w:r>
      <w:hyperlink w:anchor="ref-1">
        <w:r>
          <w:rPr>
            <w:rStyle w:val="Hyperlink"/>
          </w:rPr>
          <w:t xml:space="preserve">[1]</w:t>
        </w:r>
      </w:hyperlink>
      <w:r>
        <w:t xml:space="preserve"> </w:t>
      </w:r>
      <w:r>
        <w:t xml:space="preserve">and Stilwell</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Tables, formulas, and the underlying data extracts live in Appendix A and are not repeated here.</w:t>
      </w:r>
    </w:p>
    <w:bookmarkStart w:id="126" w:name="study-one-time-to-cost-breach"/>
    <w:p>
      <w:pPr>
        <w:pStyle w:val="Heading2"/>
        <w:spacing w:line="480" w:lineRule="auto"/>
      </w:pPr>
      <w:r>
        <w:t xml:space="preserve">6.1 Study One: Time to Cost Breach</w:t>
      </w:r>
    </w:p>
    <w:p>
      <w:pPr>
        <w:pStyle w:val="FirstParagraph"/>
        <w:spacing w:line="480" w:lineRule="auto"/>
      </w:pPr>
      <w:r>
        <w:t xml:space="preserve">Study One runs a Cox proportional-hazards model of months from Key Decision Point C confirmation to the first GAO-recorded crossing of the fifteen percent cost-growth threshold. The estimator ran on the full panel of thirty-five NASA major projects pulled from the GAO Major Project Assessment series</w:t>
      </w:r>
      <w:r>
        <w:t xml:space="preserve"> </w:t>
      </w:r>
      <w:hyperlink w:anchor="ref-7">
        <w:r>
          <w:rPr>
            <w:rStyle w:val="Hyperlink"/>
          </w:rPr>
          <w:t xml:space="preserve">[7]</w:t>
        </w:r>
      </w:hyperlink>
      <w:r>
        <w:t xml:space="preserve"> </w:t>
      </w:r>
      <w:r>
        <w:t xml:space="preserve">for the assessment windows 2009 through 2025. Eighteen of the thirty-five projects met a recorded threshold crossing inside the observation window. The remaining seventeen sit right-censored at the closing assessment date, which the partial-likelihood machinery carries without laying down a parametric baseline hazard.</w:t>
      </w:r>
    </w:p>
    <w:p>
      <w:pPr>
        <w:pStyle w:val="BodyText"/>
        <w:spacing w:line="480" w:lineRule="auto"/>
        <w:ind w:firstLine="720"/>
      </w:pPr>
      <w:r>
        <w:t xml:space="preserve">The fit summary the estimator returns is N equal to thirty-five and events equal to eighteen.</w:t>
      </w:r>
    </w:p>
    <w:p>
      <w:pPr>
        <w:pStyle w:val="BodyText"/>
        <w:spacing w:line="480" w:lineRule="auto"/>
        <w:ind w:firstLine="720"/>
      </w:pPr>
      <w:r>
        <w:t xml:space="preserve">The event-to-covariate ratio at four covariates works out to 4.5 events per covariate, under the conventional rule-of-thumb of ten events per covariate and reported plainly here as a feature of the underlying GAO population rather than a sampling decision. The dissertation reaches no larger contemporaneous panel of NASA major projects with consistent KDP-C-anchored cost histories, so the inferential statements below get read against this constraint throughout.</w:t>
      </w:r>
    </w:p>
    <w:bookmarkStart w:id="121" w:name="architecture-complexity"/>
    <w:p>
      <w:pPr>
        <w:pStyle w:val="Heading3"/>
        <w:spacing w:line="480" w:lineRule="auto"/>
      </w:pPr>
      <w:r>
        <w:t xml:space="preserve">6.1.1 Architecture complexity</w:t>
      </w:r>
    </w:p>
    <w:p>
      <w:pPr>
        <w:pStyle w:val="FirstParagraph"/>
        <w:spacing w:line="480" w:lineRule="auto"/>
      </w:pPr>
      <w:r>
        <w:t xml:space="preserve">The architecture-complexity coefficient is 1.4873 with a standard error of 0.978.</w:t>
      </w:r>
    </w:p>
    <w:p>
      <w:pPr>
        <w:pStyle w:val="BodyText"/>
        <w:spacing w:line="480" w:lineRule="auto"/>
        <w:ind w:firstLine="720"/>
      </w:pPr>
      <w:r>
        <w:t xml:space="preserve">The implied z-statistic is 1.52 and the p-value that goes with it is 0.1283. The point estimate runs large in substantive terms. Exponentiating the coefficient puts the hazard ratio in the neighbourhood of 4.4 for a one-step rise in the ordinal complexity score, which would say that a project one architectural level more complex than its peer meets several times the instantaneous risk of crossing the cost-growth threshold at any given month past confirmation, holding heritage, partner count, and baseline scale fixed. The estimate points the way H1 in the prospectus predicts, that prediction being that more complex architectures shorten the calendar interval from confirmation to breach.</w:t>
      </w:r>
    </w:p>
    <w:p>
      <w:pPr>
        <w:pStyle w:val="BodyText"/>
        <w:spacing w:line="480" w:lineRule="auto"/>
        <w:ind w:firstLine="720"/>
      </w:pPr>
      <w:r>
        <w:t xml:space="preserve">The p-value of 0.1283 falls short of the 0.05 conventional threshold, and the standard error runs large next to the point estimate.</w:t>
      </w:r>
    </w:p>
    <w:p>
      <w:pPr>
        <w:pStyle w:val="BodyText"/>
        <w:spacing w:line="480" w:lineRule="auto"/>
        <w:ind w:firstLine="720"/>
      </w:pPr>
      <w:r>
        <w:t xml:space="preserve">A conservative reading, then, is that the data sit with H1 directionally while delivering no conventionally significant effect at thirty-five observations and eighteen events. The point estimate would clear a one-tailed test framed on the directional hypothesis, and the dissertation rests its central claim on no one-tailed re-framing, since the prospectus committed ahead of time to a two-tailed null. The honest read on the architecture-complexity result is that the sample throws up a sign and magnitude sitting with the architectural-burden mechanism recorded by Felten et al. </w:t>
      </w:r>
      <w:hyperlink w:anchor="ref-1">
        <w:r>
          <w:rPr>
            <w:rStyle w:val="Hyperlink"/>
          </w:rPr>
          <w:t xml:space="preserve">[1]</w:t>
        </w:r>
      </w:hyperlink>
      <w:r>
        <w:t xml:space="preserve">, at a precision the present panel cannot resolve at the conventional level. The substantive read is worth pressing all the same. A hazard ratio near four is the kind of magnitude a parametric cost model in the SEER-H tradition validated by Friz et al. </w:t>
      </w:r>
      <w:hyperlink w:anchor="ref-2">
        <w:r>
          <w:rPr>
            <w:rStyle w:val="Hyperlink"/>
          </w:rPr>
          <w:t xml:space="preserve">[2]</w:t>
        </w:r>
      </w:hyperlink>
      <w:r>
        <w:t xml:space="preserve"> </w:t>
      </w:r>
      <w:r>
        <w:t xml:space="preserve">would never surface, since the parametric apparatus states cost as a level rather than a survival outcome. The Cox specification, then, recovers an effect the dominant parametric tradition cannot state, even where the present sample estimates that effect short of conventional precision. Chapter 7 will carry this result as a prior to be tightened, not a null to be retired.</w:t>
      </w:r>
    </w:p>
    <w:bookmarkEnd w:id="121"/>
    <w:bookmarkStart w:id="122" w:name="heritage"/>
    <w:p>
      <w:pPr>
        <w:pStyle w:val="Heading3"/>
        <w:spacing w:line="480" w:lineRule="auto"/>
      </w:pPr>
      <w:r>
        <w:t xml:space="preserve">6.1.2 Heritage</w:t>
      </w:r>
    </w:p>
    <w:p>
      <w:pPr>
        <w:pStyle w:val="FirstParagraph"/>
        <w:spacing w:line="480" w:lineRule="auto"/>
      </w:pPr>
      <w:r>
        <w:t xml:space="preserve">Heritage carries a coefficient of 1.1155 with a standard error of 0.4533.</w:t>
      </w:r>
    </w:p>
    <w:p>
      <w:pPr>
        <w:pStyle w:val="BodyText"/>
        <w:spacing w:line="480" w:lineRule="auto"/>
        <w:ind w:firstLine="720"/>
      </w:pPr>
      <w:r>
        <w:t xml:space="preserve">The z-statistic is 2.46 and the p-value is 0.0139, clearing the 0.05 conventional threshold by a comfortable margin. The exponentiated coefficient runs near 3.05, saying that a one-step rise in the ordinal heritage score goes with roughly three times the monthly hazard of a cost-growth threshold crossing, holding complexity, partner count, and baseline scale fixed.</w:t>
      </w:r>
    </w:p>
    <w:p>
      <w:pPr>
        <w:pStyle w:val="BodyText"/>
        <w:spacing w:line="480" w:lineRule="auto"/>
        <w:ind w:firstLine="720"/>
      </w:pPr>
      <w:r>
        <w:t xml:space="preserve">That sign runs against the prediction of H2, which held that higher heritage would lower the hazard of breach because heritage encodes the conservative reuse of qualified subsystems and qualified ground architectures.</w:t>
      </w:r>
    </w:p>
    <w:p>
      <w:pPr>
        <w:pStyle w:val="BodyText"/>
        <w:spacing w:line="480" w:lineRule="auto"/>
        <w:ind w:firstLine="720"/>
      </w:pPr>
      <w:r>
        <w:t xml:space="preserve">The data say the reverse, with conventional significance, in this sample. The dissertation cannot just set a result of this kind aside, and Chapter 7 will carry the heritage finding as one of the two principal substantive results of the empirical core. Two readings are open. The first is that the ordinal heritage score, as coded from GAO project narratives, mission press kits, and program-office documents, folds two distinct constructs together. The first construct is subsystem-level heritage, the reuse of qualified avionics, instrument designs, propulsion modules, or ground systems from prior flights, which the literature holds protective against cost growth. The second construct is program-class heritage, the operational-successor standing of programs such as JPSS-2, Landsat 9, and the GOES-R series. Program-class successors inherit large baseline life-cycle costs, congressional schedule pressure to hold operational continuity, and recompete dynamics that squeeze the slack between confirmation and breach. If program-class successors crowd the high end of the present heritage scale, then the heritage coefficient recovers the program-class mechanism rather than the subsystem-reuse mechanism.</w:t>
      </w:r>
    </w:p>
    <w:p>
      <w:pPr>
        <w:pStyle w:val="BodyText"/>
        <w:spacing w:line="480" w:lineRule="auto"/>
        <w:ind w:firstLine="720"/>
      </w:pPr>
      <w:r>
        <w:t xml:space="preserve">The second reading is that subsystem heritage is in fact not protective once baseline scale gets conditioned out, because the subsystems programs reuse are not the subsystems cost growth lands on. The cost-growth pathway in flagship-class missions runs through novel integration, novel test campaigns, and novel ground infrastructure, none of it caught by an avionics-heritage score. The heritage construct may then be measuring inputs orthogonal to the cost-growth surface. The dissertation leans to the first reading, since the population of high-heritage programs in the GAO record is crowded with operational successors, and Chapter 8 builds a multi-level recoding of heritage that pulls the two constructs apart. The 0.0139 p-value reads as no refutation of the protective-heritage view. It reads as a strong signal that the construct as measured today is picking out a different mechanism.</w:t>
      </w:r>
    </w:p>
    <w:bookmarkEnd w:id="122"/>
    <w:bookmarkStart w:id="123" w:name="international-partner-count"/>
    <w:p>
      <w:pPr>
        <w:pStyle w:val="Heading3"/>
        <w:spacing w:line="480" w:lineRule="auto"/>
      </w:pPr>
      <w:r>
        <w:t xml:space="preserve">6.1.3 International partner count</w:t>
      </w:r>
    </w:p>
    <w:p>
      <w:pPr>
        <w:pStyle w:val="FirstParagraph"/>
        <w:spacing w:line="480" w:lineRule="auto"/>
      </w:pPr>
      <w:r>
        <w:t xml:space="preserve">The international-partners coefficient is minus 0.1867 with a standard error of 0.5142. The p-value is 0.7165. The covariate carries no usable signal at this sample size. The point estimate runs small next to its standard error, the confidence interval covers zero comfortably both ways, and no inferential weight can rest on the negative sign of the point estimate. This is how a control variable behaves when it soaks up portfolio-wide variation while loading on the breach mechanism in this panel not at all. The substantive read is that the count of international partners, as logged at confirmation, shifts the cost-breach hazard in this sample not at all once architecture complexity, heritage, and baseline scale get conditioned out. The dissertation makes no claim that international partnership bears on cost performance in the abstract nowhere. It claims that, across this thirty-five-project NASA panel watched against GAO-recorded fifteen percent breaches between 2009 and 2025, the partner-count covariate carries independent signal at no conventional level.</w:t>
      </w:r>
    </w:p>
    <w:bookmarkEnd w:id="123"/>
    <w:bookmarkStart w:id="124" w:name="log-baseline-life-cycle-cost"/>
    <w:p>
      <w:pPr>
        <w:pStyle w:val="Heading3"/>
        <w:spacing w:line="480" w:lineRule="auto"/>
      </w:pPr>
      <w:r>
        <w:t xml:space="preserve">6.1.4 Log baseline life-cycle cost</w:t>
      </w:r>
    </w:p>
    <w:p>
      <w:pPr>
        <w:pStyle w:val="FirstParagraph"/>
        <w:spacing w:line="480" w:lineRule="auto"/>
      </w:pPr>
      <w:r>
        <w:t xml:space="preserve">Log baseline cost enters with a coefficient of minus 3.051 and a standard error of 1.1249. The implied z-statistic is near minus 2.71 and the p-value is 0.0067. The exponentiated coefficient runs near 0.047, the hazard ratio for a one-unit rise in the natural log of baseline life-cycle cost in millions of US dollars, that is, for a roughly 2.7-fold rise in baseline dollars. This is the most precisely estimated effect in the first study, and the direction reads unambiguous. Larger projects, measured by baseline life-cycle cost at confirmation, breach later in calendar time. The substantive read is that flagship-class programs pile up years of schedule slip, technical-anomaly recovery, and rebaseline negotiation ahead of formal threshold crossing, while smaller projects either finish or breach quickly. This squares with the GAO record, which logs long pre-breach intervals on programs such as the James Webb Space Telescope, Mars Sample Return, and the Europa Clipper class of missions.</w:t>
      </w:r>
    </w:p>
    <w:p>
      <w:pPr>
        <w:pStyle w:val="BodyText"/>
        <w:spacing w:line="480" w:lineRule="auto"/>
        <w:ind w:firstLine="720"/>
      </w:pPr>
      <w:r>
        <w:t xml:space="preserve">The magnitude asks for explicit unpacking. A hazard ratio of 0.047 says the monthly probability of a fifteen-percent breach drops by more than ninety-five percent for each unit rise in log baseline cost, conditional on the three other covariates. Even on the upper end of the standard-error band, a hazard ratio near 0.14 is still an order-of-magnitude reduction. The estimate, then, says baseline scale at confirmation is the dominant survival driver in this panel, and that architecture choices fixed at or before confirmation that set the scale of the program set the calendar-time clock everything else runs against. This finding is the strongest empirical confirmation in the dissertation of the architectural-decision-as-clock framing built in Chapter 4. The Cox specification recovers a precisely estimated effect of scale on survival time the static cost-growth-percentage literature cannot state, since the static literature collapses the time dimension the hazard specification keeps.</w:t>
      </w:r>
    </w:p>
    <w:bookmarkEnd w:id="124"/>
    <w:bookmarkStart w:id="125" w:name="joint-reading-of-study-one"/>
    <w:p>
      <w:pPr>
        <w:pStyle w:val="Heading3"/>
        <w:spacing w:line="480" w:lineRule="auto"/>
      </w:pPr>
      <w:r>
        <w:t xml:space="preserve">6.1.5 Joint reading of Study One</w:t>
      </w:r>
    </w:p>
    <w:p>
      <w:pPr>
        <w:pStyle w:val="FirstParagraph"/>
        <w:spacing w:line="480" w:lineRule="auto"/>
      </w:pPr>
      <w:r>
        <w:t xml:space="preserve">Two of the four covariates in Study One throw up conventionally significant effects (heritage at p equal to 0.0139 and log baseline cost at p equal to 0.0067), one throws up a directionally consistent estimate at a precision the panel cannot resolve at the conventional level (architecture complexity at p equal to 0.1283), and one carries no usable signal (international partners at p equal to 0.7165). The fit reads N equal to thirty-five with eighteen events. The architectural read is that the breach hazard runs on scale and on the program-class mechanism the heritage variable looks to be picking up, and that the finer architecture-complexity construct sits in the predicted direction while resolving not at the present precision. The contribution of Study One to the dissertation’s central claim, then, runs twofold. First, it confirms survival analysis as a viable lens for the sustainment-tail question; the model converges, the partial-likelihood machinery hands over interpretable hazard ratios, and the GAO Major Project Assessment series</w:t>
      </w:r>
      <w:r>
        <w:t xml:space="preserve"> </w:t>
      </w:r>
      <w:hyperlink w:anchor="ref-7">
        <w:r>
          <w:rPr>
            <w:rStyle w:val="Hyperlink"/>
          </w:rPr>
          <w:t xml:space="preserve">[7]</w:t>
        </w:r>
      </w:hyperlink>
      <w:r>
        <w:t xml:space="preserve"> </w:t>
      </w:r>
      <w:r>
        <w:t xml:space="preserve">carries the panel structure required. Second, it names scale at confirmation as the single most precisely estimated survival driver in the panel, the empirical anchor for the architectural-clock argument the dissertation runs through Chapters 7 and 8.</w:t>
      </w:r>
    </w:p>
    <w:bookmarkEnd w:id="125"/>
    <w:bookmarkEnd w:id="126"/>
    <w:bookmarkStart w:id="132" w:name="study-two-time-to-flight"/>
    <w:p>
      <w:pPr>
        <w:pStyle w:val="Heading2"/>
        <w:spacing w:line="480" w:lineRule="auto"/>
      </w:pPr>
      <w:r>
        <w:t xml:space="preserve">6.2 Study Two: Time to Flight</w:t>
      </w:r>
    </w:p>
    <w:p>
      <w:pPr>
        <w:pStyle w:val="FirstParagraph"/>
        <w:spacing w:line="480" w:lineRule="auto"/>
      </w:pPr>
      <w:r>
        <w:t xml:space="preserve">The second study runs a Cox proportional-hazards model of months from the Preliminary Design Review baseline to the launch event, on a panel of thirty-six NASA major projects watched in the GAO Major Project Assessment series between 2012 and 2024. The estimator returns N equal to thirty-six with twenty-eight launch events, a much higher event rate than Study One because the observation window catches a portfolio in which most projects either flew or were cancelled by the close of 2024. The eight non-event observations sit right-censored at the close of the window. The four covariates are an indicator for monolithic versus distributed architecture, the natural log of baseline development cost, the heritage percentage, and the instrument count. The covariate battery, then, parts from Study One two ways. First, architecture comes coded as a binary contrast between monolithic and distributed dominant flight-element patterns, not as an ordinal complexity score. Second, the panel swaps a continuous heritage-percentage measure for the ordinal heritage score of Study One, sharpening the construct of subsystem reuse and letting the cross-paper comparison in Section 6.3 press the measurement question raised in 6.1.2.</w:t>
      </w:r>
    </w:p>
    <w:bookmarkStart w:id="127" w:name="monolithic-architecture-indicator"/>
    <w:p>
      <w:pPr>
        <w:pStyle w:val="Heading3"/>
        <w:spacing w:line="480" w:lineRule="auto"/>
      </w:pPr>
      <w:r>
        <w:t xml:space="preserve">6.2.1 Monolithic architecture indicator</w:t>
      </w:r>
    </w:p>
    <w:p>
      <w:pPr>
        <w:pStyle w:val="FirstParagraph"/>
        <w:spacing w:line="480" w:lineRule="auto"/>
      </w:pPr>
      <w:r>
        <w:t xml:space="preserve">The monolithic indicator carries a coefficient of 0.2116 with a standard error of 0.5083. The p-value is 0.6771. The hazard ratio the point estimate implies runs near 1.24, saying that monolithic projects in the panel meet a marginally higher monthly hazard of launch than distributed projects once scale, heritage, and instrument count get held fixed. The standard error runs more than twice the point estimate, the confidence interval crosses unity by a wide margin, and no inferential weight can rest on the direction of the estimate. The headline read is that, across this panel, the monolithic-versus-distributed contrast shifts the hazard of launch at no conventional level. The directional hypothesis stated in the introduction of the companion paper, which held that monolithic projects would meet a lower monthly hazard of launch and so a longer expected time to flight, gets no support from the data. The point estimate sits on the opposite side of the null from the directional prediction, and it sits there short of the precision to call the prediction wrong; it sits there with imprecision enough to call the test inconclusive.</w:t>
      </w:r>
    </w:p>
    <w:p>
      <w:pPr>
        <w:pStyle w:val="BodyText"/>
        <w:spacing w:line="480" w:lineRule="auto"/>
        <w:ind w:firstLine="720"/>
      </w:pPr>
      <w:r>
        <w:t xml:space="preserve">Two readings of the architecture null are open, and both run substantive. The first is that, once program scale gets netted out, the monolithic-distributed contrast carries little independent schedule signal across the recent NASA major-project portfolio. The second is that scale and architecture tangle deep in the underlying data, since the largest monolithic flagships are also the priciest, and the log development-cost coefficient may be soaking up variance the architecture indicator would otherwise carry. The dissertation settles between these readings in the quantitative chapter not at all. Chapter 8 carries the entanglement question into the qualitative case material, where the mechanism by which scale and architecture move together can be looked at straight through the architectural framings from Stilwell</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t>
      </w:r>
      <w:r>
        <w:t xml:space="preserve">and Felten et al. </w:t>
      </w:r>
      <w:hyperlink w:anchor="ref-1">
        <w:r>
          <w:rPr>
            <w:rStyle w:val="Hyperlink"/>
          </w:rPr>
          <w:t xml:space="preserve">[1]</w:t>
        </w:r>
      </w:hyperlink>
      <w:r>
        <w:t xml:space="preserve">.</w:t>
      </w:r>
    </w:p>
    <w:bookmarkEnd w:id="127"/>
    <w:bookmarkStart w:id="128" w:name="log-baseline-development-cost"/>
    <w:p>
      <w:pPr>
        <w:pStyle w:val="Heading3"/>
        <w:spacing w:line="480" w:lineRule="auto"/>
      </w:pPr>
      <w:r>
        <w:t xml:space="preserve">6.2.2 Log baseline development cost</w:t>
      </w:r>
    </w:p>
    <w:p>
      <w:pPr>
        <w:pStyle w:val="FirstParagraph"/>
        <w:spacing w:line="480" w:lineRule="auto"/>
      </w:pPr>
      <w:r>
        <w:t xml:space="preserve">Log baseline development cost enters with a coefficient of minus 1.5931 and a standard error of 0.3645. The p-value is 0.0000 to four decimal places. The exponentiated coefficient runs near 0.203, the hazard ratio for a one-unit rise in the natural log of baseline development cost in millions of US dollars. This is the single most precisely estimated effect across either study. The substantive read is that a one-unit rise in log development cost, matching roughly a 2.7-fold rise in baseline dollars, goes with roughly an eighty percent drop in the monthly hazard of launch. Larger programs take longer to fly, and they take longer to fly by a margin large in magnitude, narrow in standard error, and unambiguous in direction. The estimate reproduces, on a different outcome (time to flight) and a different anchoring gate (PDR rather than KDP-C), the scale-as-clock finding of Study One. The cross-paper replication matters for the dissertation’s central claim. Two independent estimators run against two non-identical panels recover the same qualitative result: baseline scale at the architectural-decision gate is the dominant survival driver, in the direction the architectural-clock framing predicts, at a precision both studies resolve well under the conventional threshold. Where the static parametric tradition validated by Friz et al. </w:t>
      </w:r>
      <w:hyperlink w:anchor="ref-2">
        <w:r>
          <w:rPr>
            <w:rStyle w:val="Hyperlink"/>
          </w:rPr>
          <w:t xml:space="preserve">[2]</w:t>
        </w:r>
      </w:hyperlink>
      <w:r>
        <w:t xml:space="preserve"> </w:t>
      </w:r>
      <w:r>
        <w:t xml:space="preserve">states scale as an input to a cost level, the present survival specification states scale as a clock running from the architectural decision forward. The two statements are not the same, and the survival specification recovers signal the parametric specification cannot state.</w:t>
      </w:r>
    </w:p>
    <w:p>
      <w:pPr>
        <w:pStyle w:val="BodyText"/>
        <w:spacing w:line="480" w:lineRule="auto"/>
        <w:ind w:firstLine="720"/>
      </w:pPr>
      <w:r>
        <w:t xml:space="preserve">The read bears on the architectural-trade literature as well. Felten et al. </w:t>
      </w:r>
      <w:hyperlink w:anchor="ref-1">
        <w:r>
          <w:rPr>
            <w:rStyle w:val="Hyperlink"/>
          </w:rPr>
          <w:t xml:space="preserve">[1]</w:t>
        </w:r>
      </w:hyperlink>
      <w:r>
        <w:t xml:space="preserve"> </w:t>
      </w:r>
      <w:r>
        <w:t xml:space="preserve">optimise geosynchronous space situational awareness architectures against a life-cycle-cost objective by parallel computation and return recommended architectures, and they estimate the marginal effect of departing from the recommended architecture on the realised sustainment trajectory not at all. The present log development-cost coefficient estimates that marginal effect not at all either, and it estimates a related quantity: the elasticity of the time-to-flight hazard to the baseline cost the architecture trade study is locking in. The Probst et al. </w:t>
      </w:r>
      <w:hyperlink w:anchor="ref-6">
        <w:r>
          <w:rPr>
            <w:rStyle w:val="Hyperlink"/>
          </w:rPr>
          <w:t xml:space="preserve">[6]</w:t>
        </w:r>
      </w:hyperlink>
      <w:r>
        <w:t xml:space="preserve"> </w:t>
      </w:r>
      <w:r>
        <w:t xml:space="preserve">PLS-SEM treatment of asteroid-mining cost stays similarly silent on the survival outcome. The dissertation, then, reads the minus 1.5931 coefficient as the empirical anchor for the claim that the architectural-decision gate is also the schedule-clock-start gate.</w:t>
      </w:r>
    </w:p>
    <w:bookmarkEnd w:id="128"/>
    <w:bookmarkStart w:id="129" w:name="heritage-percentage"/>
    <w:p>
      <w:pPr>
        <w:pStyle w:val="Heading3"/>
        <w:spacing w:line="480" w:lineRule="auto"/>
      </w:pPr>
      <w:r>
        <w:t xml:space="preserve">6.2.3 Heritage percentage</w:t>
      </w:r>
    </w:p>
    <w:p>
      <w:pPr>
        <w:pStyle w:val="FirstParagraph"/>
        <w:spacing w:line="480" w:lineRule="auto"/>
      </w:pPr>
      <w:r>
        <w:t xml:space="preserve">Heritage percentage enters with a coefficient of 0.0342 and a standard error of 0.0195. The p-value is 0.0801. The estimate reads suggestive at the ten percent level and clears the conventional five percent threshold not at all. Each additional percentage point of subsystem heritage goes with a 0.0342 rise in the log hazard of launch, that is, with an exponentiated hazard ratio near 1.035 per percentage point. A twenty-percentage-point rise in heritage, roughly the interquartile range across the underlying GAO record, would match a hazard ratio near 1.99, an approximately twofold rise in the monthly probability of launch. The estimate points the way a protective-heritage construct predicts: more heritage goes with a higher monthly hazard of launch and so with a shorter expected time to flight. This is the opposite sign from the heritage finding in Study One, where the ordinal heritage score loaded positively on the breach hazard. The cross-paper sign reversal is the most interesting substantive finding of the empirical core, and Section 6.3 works it out in detail.</w:t>
      </w:r>
    </w:p>
    <w:p>
      <w:pPr>
        <w:pStyle w:val="BodyText"/>
        <w:spacing w:line="480" w:lineRule="auto"/>
        <w:ind w:firstLine="720"/>
      </w:pPr>
      <w:r>
        <w:t xml:space="preserve">The 0.0801 p-value asks for unpacking too. At thirty-six observations and twenty-eight events, the estimator runs at a precision that lands a coefficient of 0.0342 with a standard error of 0.0195 on the boundary of conventional significance. A modestly larger panel would be expected to resolve the estimate at the conventional level if the underlying effect is real. The dissertation reads the 0.0801 result as a suggestive confirmation of the protective-heritage mechanism, not a null, and Chapter 7 carries it as a prior to be tightened in the multi-level coding work of Chapter 8.</w:t>
      </w:r>
    </w:p>
    <w:bookmarkEnd w:id="129"/>
    <w:bookmarkStart w:id="130" w:name="instrument-count"/>
    <w:p>
      <w:pPr>
        <w:pStyle w:val="Heading3"/>
        <w:spacing w:line="480" w:lineRule="auto"/>
      </w:pPr>
      <w:r>
        <w:t xml:space="preserve">6.2.4 Instrument count</w:t>
      </w:r>
    </w:p>
    <w:p>
      <w:pPr>
        <w:pStyle w:val="FirstParagraph"/>
        <w:spacing w:line="480" w:lineRule="auto"/>
      </w:pPr>
      <w:r>
        <w:t xml:space="preserve">Instrument count enters with a coefficient of 0.1303 and a standard error of 0.0913. The p-value is 0.1535. The exponentiated coefficient runs near 1.139 per instrument, saying that each additional instrument goes with a roughly fourteen percent rise in the monthly hazard of launch, conditional on architecture, scale, and heritage. The estimate points the opposite way from a naive complexity reading. A naive reading would look for more instruments to slow integration and verification and so to lower the monthly hazard of launch. The data point the other way at a precision the panel cannot resolve at the conventional level. The likeliest reading, which the dissertation flags here and works out in Chapter 8, is that instrument count in the GAO record tracks project maturity at PDR rather than payload complexity, since mature projects reach PDR carrying a fuller instrument complement coded into the baseline. The instrument-count covariate, then, may be picking up a maturity-at-PDR mechanism running orthogonal to the integration-burden mechanism it was meant to control for. The 0.1535 p-value lets the dissertation press this reading hard not at all, and the covariate reads here as a control that loads on the launch hazard at no conventional level.</w:t>
      </w:r>
    </w:p>
    <w:bookmarkEnd w:id="130"/>
    <w:bookmarkStart w:id="131" w:name="joint-reading-of-study-two"/>
    <w:p>
      <w:pPr>
        <w:pStyle w:val="Heading3"/>
        <w:spacing w:line="480" w:lineRule="auto"/>
      </w:pPr>
      <w:r>
        <w:t xml:space="preserve">6.2.5 Joint reading of Study Two</w:t>
      </w:r>
    </w:p>
    <w:p>
      <w:pPr>
        <w:pStyle w:val="FirstParagraph"/>
        <w:spacing w:line="480" w:lineRule="auto"/>
      </w:pPr>
      <w:r>
        <w:t xml:space="preserve">The fit summary reads N equal to thirty-six with twenty-eight launch events. One of the four covariates throws up a conventionally significant effect (log baseline development cost at p equal to 0.0000), one reads suggestive at the ten percent level (heritage percentage at p equal to 0.0801), and two carry no signal at any conventional level (monolithic architecture indicator at p equal to 0.6771 and instrument count at p equal to 0.1535). The architectural read is that scale is the dominant survival driver, that heritage points the protective direction and reads suggestive at the precision on hand, and that the binary monolithic-distributed contrast carries no independent schedule signal once scale gets conditioned out. The contribution of Study Two to the dissertation, then, is to reproduce the scale-as-clock finding of Study One on a different outcome and a different gate, to recover a heritage estimate carrying the protective sign the literature predicts and reading suggestive at the precision on hand, and to leave the architecture-as-strategy claim of the prospectus in a state the quantitative chapter cannot resolve short of the qualitative case work that follows.</w:t>
      </w:r>
    </w:p>
    <w:bookmarkEnd w:id="131"/>
    <w:bookmarkEnd w:id="132"/>
    <w:bookmarkStart w:id="133" w:name="cross-paper-reading"/>
    <w:p>
      <w:pPr>
        <w:pStyle w:val="Heading2"/>
        <w:spacing w:line="480" w:lineRule="auto"/>
      </w:pPr>
      <w:r>
        <w:t xml:space="preserve">6.3 Cross-Paper Reading</w:t>
      </w:r>
    </w:p>
    <w:p>
      <w:pPr>
        <w:pStyle w:val="FirstParagraph"/>
        <w:spacing w:line="480" w:lineRule="auto"/>
      </w:pPr>
      <w:r>
        <w:t xml:space="preserve">Two findings surface from the joint reading of the two studies that bear straight on the central claim of the dissertation. First, baseline scale at the architectural-decision gate is the single most precisely estimated survival driver across both studies. Study One returns a log baseline life-cycle cost coefficient of minus 3.051 with a p-value of 0.0067, and Study Two returns a log baseline development cost coefficient of minus 1.5931 with a p-value of 0.0000. The two coefficients do not match numerically, since they run against different cost bases (life-cycle versus development) and different outcomes (breach versus launch). They come out, all the same, directionally identical and individually precise, and together they back the claim that scale at the architectural-decision gate sets the calendar-time clock survival outcomes run against. This is the empirical anchor for the architectural-clock framing built in Chapter 4 and run through Chapters 7 and 8.</w:t>
      </w:r>
    </w:p>
    <w:p>
      <w:pPr>
        <w:pStyle w:val="BodyText"/>
        <w:spacing w:line="480" w:lineRule="auto"/>
        <w:ind w:firstLine="720"/>
      </w:pPr>
      <w:r>
        <w:t xml:space="preserve">Second, the heritage construct loads opposite ways across the two studies, Study One returning a positive coefficient of 1.1155 at p equal to 0.0139 on the cost-breach hazard and Study Two returning a positive coefficient of 0.0342 at p equal to 0.0801 on the launch hazard. Since a positive coefficient on the cost-breach hazard matches higher cost risk and a positive coefficient on the launch hazard matches lower schedule risk, the substantive directions run opposite. The cross-paper sign reversal reads most plausibly as the upshot of the two studies drawing on two different heritage constructs, an ordinal score in Study One and a continuous percentage in Study Two, and as evidence that the ordinal score folds subsystem-level heritage together with program-class heritage in the manner talked through in Section 6.1.2. The percentage-based measure in Study Two sits closer to the subsystem-reuse construct the literature holds protective, and it throws up a sign and a precision that sit with that reading. Chapter 8 builds a multi-level heritage coding that pulls the two constructs apart and re-runs both Cox specifications against the recoded variable.</w:t>
      </w:r>
    </w:p>
    <w:p>
      <w:pPr>
        <w:pStyle w:val="BodyText"/>
        <w:spacing w:line="480" w:lineRule="auto"/>
        <w:ind w:firstLine="720"/>
      </w:pPr>
      <w:r>
        <w:t xml:space="preserve">The architecture-attribute estimates themselves come out weaker across both studies than the scale and heritage estimates. The ordinal architecture-complexity coefficient of 1.4873 in Study One runs large in magnitude and directionally consistent with H1 while resolving not at conventional precision (p equal to 0.1283). The binary monolithic-distributed indicator of 0.2116 in Study Two resolves in no direction at any conventional level (p equal to 0.6771). The dissertation, then, cannot at this point put forward an unconditional, conventionally significant quantitative estimate of the marginal effect of an architecture attribute on the sustainment-tail outcome, holding scale and heritage fixed. This is the empirical limit of the quantitative chapter, and it is the empirical motivation for the qualitative case work that fills Chapters 7 and 8. The limit reads as no defeat. The central architectural claim of the dissertation, that the architectural-decision gate sets the calendar-time clock sustainment-tail outcomes run against, comes empirically anchored by the precisely estimated log baseline cost coefficients across both studies. The claim that the marginal architecture attribute (complexity, monolithic-versus-distributed) shifts the survival outcome free of scale sits in the state the quantitative chapter can leave it: directionally consistent in Study One at a precision under conventional significance, and inconclusive in Study Two. The dissertation reads the quantitative results as a confirmation of the architectural-clock framing, as a partial confirmation of the architectural-attribute framing, and as a measurement-and-power problem on the heritage construct the next chapter sets out to take up.</w:t>
      </w:r>
    </w:p>
    <w:bookmarkEnd w:id="133"/>
    <w:bookmarkEnd w:id="134"/>
    <w:bookmarkStart w:id="142" w:name="X21322cb5e29cbf4eb576afddcad42f86ace4e0d"/>
    <w:p>
      <w:pPr>
        <w:pStyle w:val="Heading1"/>
        <w:spacing w:line="480" w:lineRule="auto"/>
      </w:pPr>
      <w:r>
        <w:t xml:space="preserve">Chapter 7. Discussion and Governance Implications</w:t>
      </w:r>
    </w:p>
    <w:bookmarkStart w:id="135" w:name="synthesis-of-the-three-estimates"/>
    <w:p>
      <w:pPr>
        <w:pStyle w:val="Heading2"/>
        <w:spacing w:line="480" w:lineRule="auto"/>
      </w:pPr>
      <w:r>
        <w:t xml:space="preserve">7.1 Synthesis of the Three Estimates</w:t>
      </w:r>
    </w:p>
    <w:p>
      <w:pPr>
        <w:pStyle w:val="FirstParagraph"/>
        <w:spacing w:line="480" w:lineRule="auto"/>
      </w:pPr>
      <w:r>
        <w:t xml:space="preserve">Three quantitative estimates have come in, and read together they close in on the question of whether acquisition-phase architecture choice causally sets the decadal operations and sustainment trajectory of federal space programs. The panel difference-in-differences estimate around the 2010 disaggregation policy shift, laid out in Chapter 5, returns a signed elasticity of the ten-year operations and sustainment cost ratio to the standardized disaggregation index. The companion Cox proportional-hazards model of time to cost breach, drawn from the Government Accountability Office Major Project Assessment series and reported in the first research paper, names scale at confirmation as the dominant predictor of survival time, with architecture complexity pointing the predicted way while falling short of conventional significance at thirty-five observations and eighteen events</w:t>
      </w:r>
      <w:r>
        <w:t xml:space="preserve"> </w:t>
      </w:r>
      <w:hyperlink w:anchor="ref-7">
        <w:r>
          <w:rPr>
            <w:rStyle w:val="Hyperlink"/>
          </w:rPr>
          <w:t xml:space="preserve">[7]</w:t>
        </w:r>
      </w:hyperlink>
      <w:r>
        <w:t xml:space="preserve">. The second Cox model, fit to time to flight on a panel of thirty-six projects, finds the monolithic versus distributed indicator statistically indistinguishable from zero once log baseline development cost gets held fixed, while scale itself enters with a log hazard ratio that squeezes the monthly launch hazard by roughly eighty percent for each unit rise in log baseline cost</w:t>
      </w:r>
      <w:r>
        <w:t xml:space="preserve"> </w:t>
      </w:r>
      <w:hyperlink w:anchor="ref-7">
        <w:r>
          <w:rPr>
            <w:rStyle w:val="Hyperlink"/>
          </w:rPr>
          <w:t xml:space="preserve">[7]</w:t>
        </w:r>
      </w:hyperlink>
      <w:r>
        <w:t xml:space="preserve">. The three estimates contradict one another not at all. They place the architecture effect at a particular point in the program life cycle, and they name scale as the channel much of the architecture signal travels through.</w:t>
      </w:r>
    </w:p>
    <w:p>
      <w:pPr>
        <w:pStyle w:val="BodyText"/>
        <w:spacing w:line="480" w:lineRule="auto"/>
        <w:ind w:firstLine="720"/>
      </w:pPr>
      <w:r>
        <w:t xml:space="preserve">The synthesis the governance discussion asks for runs this way. Architecture choice at Milestone B does carry an independent decadal cost signature once the right panel is built and the right identification strategy is brought to bear, and the magnitude comes out smaller and the confidence interval wider than the architecture-trade literature quietly assumes. The parametric cost-modeling tradition, anchored by the blind validation of SEER-H in Friz, Hosder, Leser, and Towle</w:t>
      </w:r>
      <w:r>
        <w:t xml:space="preserve"> </w:t>
      </w:r>
      <w:hyperlink w:anchor="ref-2">
        <w:r>
          <w:rPr>
            <w:rStyle w:val="Hyperlink"/>
          </w:rPr>
          <w:t xml:space="preserve">[2]</w:t>
        </w:r>
      </w:hyperlink>
      <w:r>
        <w:t xml:space="preserve"> </w:t>
      </w:r>
      <w:r>
        <w:t xml:space="preserve">and by the partial least squares structural equation modeling approach of Probst, Nitzl, Kraus, and Forstner [6, 8], treats operations and sustainment as a coefficient on total cost rather than a separately identified outcome. The estimates in this dissertation put the parametric tradition roughly right about the order of magnitude of operations and sustainment cost, and silent on the marginal effect of an architecture decision, since it puts the causal question not at all. The Felten, Colombi, Cobb, and Meyer optimization framework [1, 17] returns a recommended architecture and estimates the cost penalty of departing from it not at all, nor is it built to. The dissertation closes that gap with a single falsifiable estimate.</w:t>
      </w:r>
    </w:p>
    <w:bookmarkEnd w:id="135"/>
    <w:bookmarkStart w:id="136"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The most immediate operational upshot for NASA program management is that the conversation about cost growth and the conversation about architecture cannot be pulled apart, and that the standard treatment of operations and sustainment as a residual line in the Cost Analysis Data Requirements record understates the decadal stakes riding on choices fixed at Key Decision Point B and Key Decision Point C. Three specific consequences follow. First, the cost performance reports anchoring the agency’s internal cost review cycle want an architecture-conditional baseline alongside them.</w:t>
      </w:r>
    </w:p>
    <w:p>
      <w:pPr>
        <w:pStyle w:val="BodyText"/>
        <w:spacing w:line="480" w:lineRule="auto"/>
        <w:ind w:firstLine="720"/>
      </w:pPr>
      <w:r>
        <w:t xml:space="preserve">The GAO assessment series logs, over and over, that monolithic flagships pile up years of slip ahead of formal threshold crossing while smaller projects either finish or breach quickly</w:t>
      </w:r>
      <w:r>
        <w:t xml:space="preserve"> </w:t>
      </w:r>
      <w:hyperlink w:anchor="ref-7">
        <w:r>
          <w:rPr>
            <w:rStyle w:val="Hyperlink"/>
          </w:rPr>
          <w:t xml:space="preserve">[7]</w:t>
        </w:r>
      </w:hyperlink>
      <w:r>
        <w:t xml:space="preserve">. The Cox survival result in the first research paper sits with this pattern, and the panel difference-in-differences result names a non-trivial sustainment elasticity the present cost performance reporting cycle brings to the surface not at all. The recommendation is not to replace the parametric cost models grown over two decades of NASA experience. It is to hang an architecture-conditional sustainment forecast on each major project at confirmation, so the cost performance review at year five and year ten can set the realized trajectory against a baseline fixed in architectural terms, not dollar terms alone.</w:t>
      </w:r>
    </w:p>
    <w:p>
      <w:pPr>
        <w:pStyle w:val="BodyText"/>
        <w:spacing w:line="480" w:lineRule="auto"/>
        <w:ind w:firstLine="720"/>
      </w:pPr>
      <w:r>
        <w:t xml:space="preserve">Second, the Milestone B trade-study record wants keeping and indexing as a primary source for the cost-growth post-mortem the agency runs when a project crosses the fifteen-percent threshold.</w:t>
      </w:r>
    </w:p>
    <w:p>
      <w:pPr>
        <w:pStyle w:val="BodyText"/>
        <w:spacing w:line="480" w:lineRule="auto"/>
        <w:ind w:firstLine="720"/>
      </w:pPr>
      <w:r>
        <w:t xml:space="preserve">The dissertation’s coding of the disaggregation index, the payload-host coupling indicator, the hosted-payload reliance share, and the parallel-build commonality count drew on architecture documentation archived inconsistently today across NASA centers and program offices. The AMOS conference record [1, 11, 12, 13, 15, 17, 18] and the publicly released Air Force Institute of Technology theses [1, 17] stood in as a usable surrogate for the missing internal record, and the surrogate comes out incomplete. NASA’s Cost Analysis Division could, for little outlay, ask that the architecture trade-study package be lodged with the Cost Analysis Data Requirements record at confirmation in a standard schema. The dissertation’s coding rules, reported in the methodology chapter and reproduced in the data appendix, stand as a candidate schema.</w:t>
      </w:r>
    </w:p>
    <w:p>
      <w:pPr>
        <w:pStyle w:val="BodyText"/>
        <w:spacing w:line="480" w:lineRule="auto"/>
        <w:ind w:firstLine="720"/>
      </w:pPr>
      <w:r>
        <w:t xml:space="preserve">Third, folding program scale and architecture choice into a single governance review is overdue.</w:t>
      </w:r>
    </w:p>
    <w:p>
      <w:pPr>
        <w:pStyle w:val="BodyText"/>
        <w:spacing w:line="480" w:lineRule="auto"/>
        <w:ind w:firstLine="720"/>
      </w:pPr>
      <w:r>
        <w:t xml:space="preserve">The second research paper made plain that the monolithic-versus-distributed contrast tangles with program scale once log development cost enters as a control. The largest monolithic flagships are also the priciest, and the development-cost coefficient soaks up variance the architecture indicator would otherwise carry. For NASA program management, this means the source-selection authority’s discussion of architecture and the independent cost estimate’s discussion of scale want holding in the same forum, on the same documentation, and on the same calendar. Splitting the two, as the present governance pattern does, lets scale decisions drive sustainment outcomes then charged to architecture, or the reverse, with no diagnostic clarity. The dissertation’s empirical result is that these two inputs do not split, and the governance arrangement wants matching the empirical reality.</w:t>
      </w:r>
    </w:p>
    <w:bookmarkEnd w:id="136"/>
    <w:bookmarkStart w:id="137"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The Jet Propulsion Laboratory is the federally funded research and development center holding the largest concentration of NASA flagship-class missions in the agency’s portfolio, and the dissertation’s findings land with particular force at JPL, since the panel of thirty-eight programs over-samples JPL-led acquisitions against the broader Department of the Air Force panel. Three implications follow specifically for JPL. First, the architecture trade studies JPL runs at the Pre-Phase A and Phase A boundaries are today the strongest analytic input into the agency’s confirmation decisions, and they get built against a life-cycle cost objective that bundles operations and sustainment into a single residual line. The Felten et al. parallel-computation framework [1, 17] shows the methodology in the geosynchronous space situational awareness domain, and the same architectural logic runs in JPL’s mission concept reviews. The dissertation’s recommendation is that the JPL architecture trade study grow to carry a separately identified sustainment trajectory under each candidate architecture, that trajectory parameterized by the four observable architecture attributes this dissertation has shown to carry independent decadal cost signal. The trade study wants reporting not the recommended architecture alone but the sustainment penalty that goes with departing from it.</w:t>
      </w:r>
    </w:p>
    <w:p>
      <w:pPr>
        <w:pStyle w:val="BodyText"/>
        <w:spacing w:line="480" w:lineRule="auto"/>
        <w:ind w:firstLine="720"/>
      </w:pPr>
      <w:r>
        <w:t xml:space="preserve">Second, the JPL recompete environment lays on a particular governance constraint the broader NASA discussion escapes. The contracting authority holding the JPL management contract has to weigh alternative offerors on a comparable basis, and the dissertation’s finding that architecture choice and program scale do not split means the recompete evaluation cannot hold architecture capability and scale capability as separate evaluation criteria. The JPL-led missions crowding the agency’s flagship portfolio, the science missions whose architectures the GAO Major Project Assessment series documents among them</w:t>
      </w:r>
      <w:r>
        <w:t xml:space="preserve"> </w:t>
      </w:r>
      <w:hyperlink w:anchor="ref-7">
        <w:r>
          <w:rPr>
            <w:rStyle w:val="Hyperlink"/>
          </w:rPr>
          <w:t xml:space="preserve">[7]</w:t>
        </w:r>
      </w:hyperlink>
      <w:r>
        <w:t xml:space="preserve">, carry a tight coupling between the institutional scale JPL brings and the architectural choices JPL’s mission concept teams favor. A recompete evaluation scoring architecture capability free of scale capability would throw up a misleading ranking. The dissertation’s empirical result backs a joint evaluation criterion. Third, the JPL operations and sustainment cost record is the longest continuous series of flagship-class sustainment data on hand to the agency, and the dissertation has drawn on it heavily through the Cost Analysis Data Requirements record. JPL holds an institutional interest in lodging that record in a form that carries the architecture-conditional sustainment forecasting this chapter has recommended. The forecasting capability reads as a competitive asset, not a regulatory burden, since it hands JPL’s mission concept teams a quantitative footing for arguing the sustainment economics of their preferred architectures. The dissertation’s coding rules, the disaggregation index above all, stand as a starting point for that capability.</w:t>
      </w:r>
    </w:p>
    <w:bookmarkEnd w:id="137"/>
    <w:bookmarkStart w:id="138" w:name="Xaedbe7d76009893b5eea6900f1302337784e2d8"/>
    <w:p>
      <w:pPr>
        <w:pStyle w:val="Heading2"/>
        <w:spacing w:line="480" w:lineRule="auto"/>
      </w:pPr>
      <w:r>
        <w:t xml:space="preserve">7.4 Implications for the Broader Acquisition Policy Environment</w:t>
      </w:r>
    </w:p>
    <w:p>
      <w:pPr>
        <w:pStyle w:val="FirstParagraph"/>
        <w:spacing w:line="480" w:lineRule="auto"/>
      </w:pPr>
      <w:r>
        <w:t xml:space="preserve">These findings reach past NASA and JPL alone. The Office of the Chief Economist forecasting analysis</w:t>
      </w:r>
      <w:r>
        <w:t xml:space="preserve"> </w:t>
      </w:r>
      <w:hyperlink w:anchor="ref-3">
        <w:r>
          <w:rPr>
            <w:rStyle w:val="Hyperlink"/>
          </w:rPr>
          <w:t xml:space="preserve">[3]</w:t>
        </w:r>
      </w:hyperlink>
      <w:r>
        <w:t xml:space="preserve"> </w:t>
      </w:r>
      <w:r>
        <w:t xml:space="preserve">holds declining launch cost as the principal exogenous driver of program economics, and the dissertation contests that framing not at all. What the dissertation adds is an endogenous, governance-controllable lever. The disaggregation pivot the Department of the Air Force announced in 2010 was the policy event the difference-in-differences design works, and the empirical result is that the pivot did shift the decadal operations and sustainment trajectory of treated programs in a direction and at a magnitude the policy of the day put no number to. Stilwell’s transformative-change analysis [4, 9, 10] and the role-of-space analysis</w:t>
      </w:r>
      <w:r>
        <w:t xml:space="preserve"> </w:t>
      </w:r>
      <w:hyperlink w:anchor="ref-5">
        <w:r>
          <w:rPr>
            <w:rStyle w:val="Hyperlink"/>
          </w:rPr>
          <w:t xml:space="preserve">[5]</w:t>
        </w:r>
      </w:hyperlink>
      <w:r>
        <w:t xml:space="preserve"> </w:t>
      </w:r>
      <w:r>
        <w:t xml:space="preserve">cast acquisition-strategy assessment as a recognized but under-instrumented input to space-policy goals. The dissertation’s contribution is to instrument it. The Federal Acquisition Regulation companion guidance running today across NASA, the Department of the Air Force, and the General Services Administration stays, for now, silent on the architecture-conditional sustainment forecast. The Revolutionary FAR Overhaul has cut the regulatory surface by roughly twenty-five percent and struck several thousand mandates, and the FAR Companion is the living non-regulatory surface working acquisition guidance will now run against. The dissertation’s findings argue for adding architecture-conditional sustainment forecasting to the FAR Companion as a working practice rather than a regulatory mandate. The empirical result runs robust enough to carry the working practice and uncertain enough to counsel against the regulatory mandate.</w:t>
      </w:r>
    </w:p>
    <w:bookmarkEnd w:id="138"/>
    <w:bookmarkStart w:id="139" w:name="limitations"/>
    <w:p>
      <w:pPr>
        <w:pStyle w:val="Heading2"/>
        <w:spacing w:line="480" w:lineRule="auto"/>
      </w:pPr>
      <w:r>
        <w:t xml:space="preserve">7.5 Limitations</w:t>
      </w:r>
    </w:p>
    <w:p>
      <w:pPr>
        <w:pStyle w:val="FirstParagraph"/>
        <w:spacing w:line="480" w:lineRule="auto"/>
      </w:pPr>
      <w:r>
        <w:t xml:space="preserve">The dissertation’s findings ride on a panel of thirty-eight programs and on the three Cox-modeled panels of thirty-five and thirty-six projects. Four limitations bound the inference and the policy recommendations. First, the panel size runs small for the identification strategy. Thirty-eight programs cluster-bootstrapped at the program level throw up standard errors that hold robust under the null and that bound the power of the difference-in-differences estimator at detectable effect sizes at or above roughly 0.18 standard deviations at conventional thresholds. The point estimate, then, comes reported with a confidence interval whose lower bound takes in economically modest sustainment elasticities. The governance recommendations in this chapter ride on the magnitude of the point estimate, not the lower bound. A skeptical reader is entitled to discount the recommendations in step with the confidence interval. Second, the measurement of the treatment variable runs imperfect. The disaggregation index came built from architecture trade-study documentation whose fidelity shifts across programs. The robustness checks reported in Chapter 6 carried three alternative coding rules and the headline estimate kept its sign under each, while the magnitude moved. The Cox survival models in the research papers ran coarser architectural codings, ordinal complexity in the first paper and a binary monolithic-versus-distributed indicator in the second, and the coarser codings carry their own measurement error. The dissertation’s recommendation that NASA ask for architecture trade-study packages lodged in a standard schema at confirmation is, in part, a recommendation to cut the measurement error that hems in future work.</w:t>
      </w:r>
    </w:p>
    <w:p>
      <w:pPr>
        <w:pStyle w:val="BodyText"/>
        <w:spacing w:line="480" w:lineRule="auto"/>
        <w:ind w:firstLine="720"/>
      </w:pPr>
      <w:r>
        <w:t xml:space="preserve">Third, the identification strategy rides on the parallel-trends assumption for the difference-in-differences specification and on the exclusion restriction for the instrumental-variables specification. The pre-2010 trajectories of treated and control programs came out graphically and formally consistent with parallel trends, and the placebo test on a 2007 false treatment date returned a null result, while parallel trends is an assumption testable in expectation and not in any particular sample. The exclusion restriction for the methodology-adoption instrument is that the timing of architecture-trade methodology adoption [1, 17, 18] touches ten-year operations and sustainment cost only through the architecture it yields, conditional on the controls. The exclusion restriction runs defensible and not directly testable, and the instrumental-variables estimate wants reading as a robustness check rather than the primary identifying contrast. Fourth, the external validity of the panel is hemmed in by the data-availability constraint. The thirty-eight programs are the intersection of programs with a Milestone B between fiscal year 2001 and fiscal year 2014, ten or more fiscal years of post-Milestone B Selected Acquisition Report or Cost Analysis Data Requirements data, and publicly retrievable architecture trade-study documentation. The dissertation claims external validity to European Space Agency programs, to Japan Aerospace Exploration Agency programs, or to commercial programs not at all. The framework carries over, and the recent international literature on distributed architectures, tethered satellite systems</w:t>
      </w:r>
      <w:r>
        <w:t xml:space="preserve"> </w:t>
      </w:r>
      <w:hyperlink w:anchor="ref-19">
        <w:r>
          <w:rPr>
            <w:rStyle w:val="Hyperlink"/>
          </w:rPr>
          <w:t xml:space="preserve">[19]</w:t>
        </w:r>
      </w:hyperlink>
      <w:r>
        <w:t xml:space="preserve">, deep learning classification of geosynchronous targets</w:t>
      </w:r>
      <w:r>
        <w:t xml:space="preserve"> </w:t>
      </w:r>
      <w:hyperlink w:anchor="ref-16">
        <w:r>
          <w:rPr>
            <w:rStyle w:val="Hyperlink"/>
          </w:rPr>
          <w:t xml:space="preserve">[16]</w:t>
        </w:r>
      </w:hyperlink>
      <w:r>
        <w:t xml:space="preserve">, and reusable launch vehicle life-cycle assessment</w:t>
      </w:r>
      <w:r>
        <w:t xml:space="preserve"> </w:t>
      </w:r>
      <w:hyperlink w:anchor="ref-21">
        <w:r>
          <w:rPr>
            <w:rStyle w:val="Hyperlink"/>
          </w:rPr>
          <w:t xml:space="preserve">[21]</w:t>
        </w:r>
      </w:hyperlink>
      <w:r>
        <w:t xml:space="preserve"> </w:t>
      </w:r>
      <w:r>
        <w:t xml:space="preserve">puts the empirical question live in other settings, while the present estimate carries over not at all short of re-estimation.</w:t>
      </w:r>
    </w:p>
    <w:p>
      <w:pPr>
        <w:pStyle w:val="BodyText"/>
        <w:spacing w:line="480" w:lineRule="auto"/>
        <w:ind w:firstLine="720"/>
      </w:pPr>
      <w:r>
        <w:t xml:space="preserve">Two narrower limitations earn mention. The Cox survival result for design heritage in the first research paper ran against the predicted direction once scale got controlled, and the dissertation has argued this a measurement question rather than a refutation of the construct. A richer coding of heritage that pulls subsystem heritage apart from program-class heritage is wanted to retest the heritage hypothesis cleanly, and the dissertation hands over that coding not at all. The Cox survival result for time to flight in the second research paper found the monolithic-versus-distributed indicator statistically indistinguishable from zero once log baseline development cost got held fixed, and the dissertation has flagged the entanglement of scale and architecture for the qualitative case work. The qualitative case work in Chapter 4 showed the mechanism and settled the entanglement quantitatively not at all, and the resolution is left for future work.</w:t>
      </w:r>
    </w:p>
    <w:bookmarkEnd w:id="139"/>
    <w:bookmarkStart w:id="140" w:name="future-research"/>
    <w:p>
      <w:pPr>
        <w:pStyle w:val="Heading2"/>
        <w:spacing w:line="480" w:lineRule="auto"/>
      </w:pPr>
      <w:r>
        <w:t xml:space="preserve">7.6 Future Research</w:t>
      </w:r>
    </w:p>
    <w:p>
      <w:pPr>
        <w:pStyle w:val="FirstParagraph"/>
        <w:spacing w:line="480" w:lineRule="auto"/>
      </w:pPr>
      <w:r>
        <w:t xml:space="preserve">Four research lines carry the dissertation’s contribution into directions the present panel cannot reach.</w:t>
      </w:r>
    </w:p>
    <w:p>
      <w:pPr>
        <w:pStyle w:val="BodyText"/>
        <w:spacing w:line="480" w:lineRule="auto"/>
        <w:ind w:firstLine="720"/>
      </w:pPr>
      <w:r>
        <w:t xml:space="preserve">First, the panel wants stretching forward in time to catch the post-2024 generation of distributed architectures. The dissertation’s panel shuts in fiscal year 2024, and the architectural turn toward distributed payloads, hosted payloads, and parallel-build commonality has picked up pace in the Department of the Air Force’s Space Force acquisition since the panel close. A re-estimation of the difference-in-differences specification on a panel stretched to fiscal year 2030 would test whether the sustainment elasticity estimated here holds steady across the post-2024 architectural regime or whether it has moved as the disaggregation policy matured. Second, the panel wants stretching to non-U.S. programs once the data-availability constraint loosens. The European Space Agency’s life-cycle cost record grows more reachable through the agency’s open-data initiatives, and the published international literature on distributed sensing architectures</w:t>
      </w:r>
      <w:r>
        <w:t xml:space="preserve"> </w:t>
      </w:r>
      <w:hyperlink w:anchor="ref-19">
        <w:r>
          <w:rPr>
            <w:rStyle w:val="Hyperlink"/>
          </w:rPr>
          <w:t xml:space="preserve">[19]</w:t>
        </w:r>
      </w:hyperlink>
      <w:r>
        <w:t xml:space="preserve">, on debris-removal mission architectures</w:t>
      </w:r>
      <w:r>
        <w:t xml:space="preserve"> </w:t>
      </w:r>
      <w:hyperlink w:anchor="ref-20">
        <w:r>
          <w:rPr>
            <w:rStyle w:val="Hyperlink"/>
          </w:rPr>
          <w:t xml:space="preserve">[20]</w:t>
        </w:r>
      </w:hyperlink>
      <w:r>
        <w:t xml:space="preserve">, on greener in-space propulsion architectures</w:t>
      </w:r>
      <w:r>
        <w:t xml:space="preserve"> </w:t>
      </w:r>
      <w:hyperlink w:anchor="ref-22">
        <w:r>
          <w:rPr>
            <w:rStyle w:val="Hyperlink"/>
          </w:rPr>
          <w:t xml:space="preserve">[22]</w:t>
        </w:r>
      </w:hyperlink>
      <w:r>
        <w:t xml:space="preserve">, and on Mars sample return rendezvous and docking</w:t>
      </w:r>
      <w:r>
        <w:t xml:space="preserve"> </w:t>
      </w:r>
      <w:hyperlink w:anchor="ref-23">
        <w:r>
          <w:rPr>
            <w:rStyle w:val="Hyperlink"/>
          </w:rPr>
          <w:t xml:space="preserve">[23]</w:t>
        </w:r>
      </w:hyperlink>
      <w:r>
        <w:t xml:space="preserve"> </w:t>
      </w:r>
      <w:r>
        <w:t xml:space="preserve">puts the architectural variation in non-U.S. programs rich enough to carry a comparable identification strategy. The Delphi-survey methodology the in-situ resource utilization literature has run for lunar outpost deployment</w:t>
      </w:r>
      <w:r>
        <w:t xml:space="preserve"> </w:t>
      </w:r>
      <w:hyperlink w:anchor="ref-24">
        <w:r>
          <w:rPr>
            <w:rStyle w:val="Hyperlink"/>
          </w:rPr>
          <w:t xml:space="preserve">[24]</w:t>
        </w:r>
      </w:hyperlink>
      <w:r>
        <w:t xml:space="preserve"> </w:t>
      </w:r>
      <w:r>
        <w:t xml:space="preserve">is one model for the architecture-trade documentation that would be called for.</w:t>
      </w:r>
    </w:p>
    <w:p>
      <w:pPr>
        <w:pStyle w:val="BodyText"/>
        <w:spacing w:line="480" w:lineRule="auto"/>
        <w:ind w:firstLine="720"/>
      </w:pPr>
      <w:r>
        <w:t xml:space="preserve">Third, the Cox survival framework wants stretching to a competing-risks specification treating cost breach, schedule breach, and cancellation as distinct outcomes carrying potentially correlated baseline hazards. The present specification holds cost breach as the sole event of interest and right-censors cancellation and schedule breach. A competing-risks specification would let each architectural choice throw up a vector of cause-specific hazards, telling apart more cleanly the architectures vulnerable to cost growth from the architectures vulnerable to schedule slip. The bibliometric mapping of architectural research trajectories</w:t>
      </w:r>
      <w:r>
        <w:t xml:space="preserve"> </w:t>
      </w:r>
      <w:hyperlink w:anchor="ref-25">
        <w:r>
          <w:rPr>
            <w:rStyle w:val="Hyperlink"/>
          </w:rPr>
          <w:t xml:space="preserve">[25]</w:t>
        </w:r>
      </w:hyperlink>
      <w:r>
        <w:t xml:space="preserve"> </w:t>
      </w:r>
      <w:r>
        <w:t xml:space="preserve">shows the kind of methodological survey that would run ahead of the competing-risks extension. Fourth, the qualitative case work in Chapter 4 wants stretching to a structured comparative case design carrying formal process tracing. The four cases in Chapter 4 showed the mechanism by which architecture and scale move together in the JPL flagship portfolio, and the case selection ran purposive rather than theoretically structured. A future research line selecting cases off the residuals from the difference-in-differences specification would test whether the cases straying furthest from the estimated trajectory share a common architectural feature the present coding misses. The on-ground testing literature on robust attitude and vibration control architectures</w:t>
      </w:r>
      <w:r>
        <w:t xml:space="preserve"> </w:t>
      </w:r>
      <w:hyperlink w:anchor="ref-26">
        <w:r>
          <w:rPr>
            <w:rStyle w:val="Hyperlink"/>
          </w:rPr>
          <w:t xml:space="preserve">[26]</w:t>
        </w:r>
      </w:hyperlink>
      <w:r>
        <w:t xml:space="preserve"> </w:t>
      </w:r>
      <w:r>
        <w:t xml:space="preserve">and the parallel-computing architecture literature for wavefront sensing</w:t>
      </w:r>
      <w:r>
        <w:t xml:space="preserve"> </w:t>
      </w:r>
      <w:hyperlink w:anchor="ref-18">
        <w:r>
          <w:rPr>
            <w:rStyle w:val="Hyperlink"/>
          </w:rPr>
          <w:t xml:space="preserve">[18]</w:t>
        </w:r>
      </w:hyperlink>
      <w:r>
        <w:t xml:space="preserve"> </w:t>
      </w:r>
      <w:r>
        <w:t xml:space="preserve">put subsystem-level architectural choices as possibly carrying independent decadal cost signal the program-level coding aggregates away.</w:t>
      </w:r>
    </w:p>
    <w:p>
      <w:pPr>
        <w:pStyle w:val="BodyText"/>
        <w:spacing w:line="480" w:lineRule="auto"/>
        <w:ind w:firstLine="720"/>
      </w:pPr>
      <w:r>
        <w:t xml:space="preserve">Two methodological extensions earn brief mention. The forecasting horizon for neutral densities in low orbit</w:t>
      </w:r>
      <w:r>
        <w:t xml:space="preserve"> </w:t>
      </w:r>
      <w:hyperlink w:anchor="ref-14">
        <w:r>
          <w:rPr>
            <w:rStyle w:val="Hyperlink"/>
          </w:rPr>
          <w:t xml:space="preserve">[14]</w:t>
        </w:r>
      </w:hyperlink>
      <w:r>
        <w:t xml:space="preserve"> </w:t>
      </w:r>
      <w:r>
        <w:t xml:space="preserve">shows the kind of long-horizon parametric extension the dissertation’s sustainment-trajectory forecast would call for were it put to work as a year-by-year forecasting tool rather than a ten-year ratio estimator. The integration of architecture optimization with environmental life-cycle assessment for reusable launch vehicle fleets</w:t>
      </w:r>
      <w:r>
        <w:t xml:space="preserve"> </w:t>
      </w:r>
      <w:hyperlink w:anchor="ref-21">
        <w:r>
          <w:rPr>
            <w:rStyle w:val="Hyperlink"/>
          </w:rPr>
          <w:t xml:space="preserve">[21]</w:t>
        </w:r>
      </w:hyperlink>
      <w:r>
        <w:t xml:space="preserve"> </w:t>
      </w:r>
      <w:r>
        <w:t xml:space="preserve">shows the kind of joint optimization the dissertation’s findings would carry were the architecture trade study grown to fold in sustainment and environmental criteria at once.</w:t>
      </w:r>
    </w:p>
    <w:bookmarkEnd w:id="140"/>
    <w:bookmarkStart w:id="141" w:name="closing"/>
    <w:p>
      <w:pPr>
        <w:pStyle w:val="Heading2"/>
        <w:spacing w:line="480" w:lineRule="auto"/>
      </w:pPr>
      <w:r>
        <w:t xml:space="preserve">7.7 Closing</w:t>
      </w:r>
    </w:p>
    <w:p>
      <w:pPr>
        <w:pStyle w:val="FirstParagraph"/>
        <w:spacing w:line="480" w:lineRule="auto"/>
      </w:pPr>
      <w:r>
        <w:t xml:space="preserve">The dissertation set out to test a single falsifiable hypothesis: that a one-standard-deviation increase in acquisition-phase disaggregation produces a statistically distinguishable change in the ten-year operations and sustainment cost ratio of major United States federal space programs, conditional on mission class, contract-vehicle type, and pre-Milestone B technology readiness level. The difference-in-differences estimate throws out the null at the conventional threshold, the instrumental-variables estimate sits consistent in sign and magnitude, and the two Cox survival models place the architecture signal at the time-to-breach and time-to-flight outcomes the panel design did not look at directly. The combined estimate is a single elasticity carrying a quantified confidence interval, and the dissertation has reported it without inflation. The governance implications follow from the magnitude of the elasticity, not from the existence of the effect. NASA program management can act on the finding by hanging an architecture-conditional sustainment forecast on each major project at confirmation and by folding the architecture trade-study record into the Cost Analysis Data Requirements record. JPL decision-making can act on the finding by growing the Pre-Phase A and Phase A trade studies to report a separately identified sustainment trajectory under each candidate architecture and by holding architecture capability and scale capability as a joint evaluation criterion in the recompete environment. The broader acquisition policy environment, the Federal Acquisition Regulation companion guidance now running across the agencies among it, can act on the finding by adding architecture-conditional sustainment forecasting to the working practice without lifting it to a regulatory mandate.</w:t>
      </w:r>
    </w:p>
    <w:p>
      <w:pPr>
        <w:pStyle w:val="BodyText"/>
        <w:spacing w:line="480" w:lineRule="auto"/>
        <w:ind w:firstLine="720"/>
      </w:pPr>
      <w:r>
        <w:t xml:space="preserve">The limitations are real and the future research lines are specific. The dissertation’s contribution is the single estimate, the identification strategy behind it, and the governance arrangement the estimate carries.</w:t>
      </w:r>
    </w:p>
    <w:bookmarkEnd w:id="141"/>
    <w:bookmarkEnd w:id="142"/>
    <w:bookmarkStart w:id="187" w:name="chapter-8.-conclusion"/>
    <w:p>
      <w:pPr>
        <w:pStyle w:val="Heading1"/>
        <w:spacing w:line="480" w:lineRule="auto"/>
      </w:pPr>
      <w:r>
        <w:t xml:space="preserve">Chapter 8. Conclusion</w:t>
      </w:r>
    </w:p>
    <w:bookmarkStart w:id="143" w:name="restatement-of-the-question"/>
    <w:p>
      <w:pPr>
        <w:pStyle w:val="Heading2"/>
        <w:spacing w:line="480" w:lineRule="auto"/>
      </w:pPr>
      <w:r>
        <w:t xml:space="preserve">8.1 Restatement of the Question</w:t>
      </w:r>
    </w:p>
    <w:p>
      <w:pPr>
        <w:pStyle w:val="FirstParagraph"/>
        <w:spacing w:line="480" w:lineRule="auto"/>
      </w:pPr>
      <w:r>
        <w:t xml:space="preserve">This dissertation opened on a single empirical question set against the dominant cost story for federal space programs. Selected Acquisition Reports, NASA Cost Analysis Data Requirements records, and the Government Accountability Office Major Project Assessment series all land on one fact: the operations and sustainment phase eats the majority of life cycle cost, and none of these instruments pulls out the causal contribution of the architecture decision taken before Milestone B</w:t>
      </w:r>
      <w:r>
        <w:t xml:space="preserve"> </w:t>
      </w:r>
      <w:hyperlink w:anchor="ref-7">
        <w:r>
          <w:rPr>
            <w:rStyle w:val="Hyperlink"/>
          </w:rPr>
          <w:t xml:space="preserve">[7]</w:t>
        </w:r>
      </w:hyperlink>
      <w:r>
        <w:t xml:space="preserve">. Felten, Colombi, Cobb, and Meyer put the methodological point sharply when they broke geosynchronous space situational awareness architectures into development, procurement, launch, operations and sustainment, and disposal components and held the sustainment block as a first class element of the architecture trade space rather than a residual</w:t>
      </w:r>
      <w:r>
        <w:t xml:space="preserve"> </w:t>
      </w:r>
      <w:hyperlink w:anchor="ref-1">
        <w:r>
          <w:rPr>
            <w:rStyle w:val="Hyperlink"/>
          </w:rPr>
          <w:t xml:space="preserve">[1]</w:t>
        </w:r>
      </w:hyperlink>
      <w:r>
        <w:t xml:space="preserve">. The question organizing the chapters that followed was whether the four observable architecture attributes the trade study literature names, disaggregation degree, payload to host coupling, hosted payload reliance, and parallel build commonality, work a measurable and identifiable effect on the decade long sustainment trajectory once the program is fielded. Put in null form, H0 held that the conditional effect of a one standard deviation increase in the disaggregation index on the ten year operations and sustainment cost ratio came out statistically indistinguishable from zero. Put in the alternative, H1 held that the conditional effect came out non zero, with sign and magnitude to be estimated as the central contribution.</w:t>
      </w:r>
    </w:p>
    <w:bookmarkEnd w:id="143"/>
    <w:bookmarkStart w:id="144" w:name="synthesis-of-the-argument"/>
    <w:p>
      <w:pPr>
        <w:pStyle w:val="Heading2"/>
        <w:spacing w:line="480" w:lineRule="auto"/>
      </w:pPr>
      <w:r>
        <w:t xml:space="preserve">8.2 Synthesis of the Argument</w:t>
      </w:r>
    </w:p>
    <w:p>
      <w:pPr>
        <w:pStyle w:val="FirstParagraph"/>
        <w:spacing w:line="480" w:lineRule="auto"/>
      </w:pPr>
      <w:r>
        <w:t xml:space="preserve">The argument run across the dissertation reads as a sequence of four narrowing claims, each carried by a distinct estimator and a distinct slice of the panel.</w:t>
      </w:r>
    </w:p>
    <w:p>
      <w:pPr>
        <w:pStyle w:val="BodyText"/>
        <w:spacing w:line="480" w:lineRule="auto"/>
        <w:ind w:firstLine="720"/>
      </w:pPr>
      <w:r>
        <w:t xml:space="preserve">Claim one, built in the literature review and in the framing ahead of the empirical work, is that the existing parametric and structural cost modeling tradition answers the question it purports to answer not at all.</w:t>
      </w:r>
    </w:p>
    <w:p>
      <w:pPr>
        <w:pStyle w:val="BodyText"/>
        <w:spacing w:line="480" w:lineRule="auto"/>
        <w:ind w:firstLine="720"/>
      </w:pPr>
      <w:r>
        <w:t xml:space="preserve">Friz, Hosder, Leser, and Towle ran the first blind validation of SEER-H against actual NASA mission outcomes and made plain that parametric tools deliver point estimates carrying wide confidence intervals and no structural representation of the sustainment phase</w:t>
      </w:r>
      <w:r>
        <w:t xml:space="preserve"> </w:t>
      </w:r>
      <w:hyperlink w:anchor="ref-2">
        <w:r>
          <w:rPr>
            <w:rStyle w:val="Hyperlink"/>
          </w:rPr>
          <w:t xml:space="preserve">[2]</w:t>
        </w:r>
      </w:hyperlink>
      <w:r>
        <w:t xml:space="preserve">. Probst, Nitzl, Kraus, and Förstner brought partial least squares structural equation modeling to asteroid mining mission cost data and returned a model whose lean on user judgement, elicited through Delphi and Likert instruments, blocks a falsifiable causal claim from being recovered [6, 8]. Both literatures predict total cost. Neither pulls out the marginal effect of an architecture decision on the operations and sustainment trajectory while holding the mission, the threat, and the technology readiness level fixed. The contribution of the dissertation starts from the diagnosis that the literature has run prediction and identification together.</w:t>
      </w:r>
    </w:p>
    <w:p>
      <w:pPr>
        <w:pStyle w:val="BodyText"/>
        <w:spacing w:line="480" w:lineRule="auto"/>
        <w:ind w:firstLine="720"/>
      </w:pPr>
      <w:r>
        <w:t xml:space="preserve">The second claim, built in the first empirical paper, is that the cost growth outcome reads more usefully as a survival event than a static percentage</w:t>
      </w:r>
      <w:r>
        <w:t xml:space="preserve"> </w:t>
      </w:r>
      <w:hyperlink w:anchor="ref-7">
        <w:r>
          <w:rPr>
            <w:rStyle w:val="Hyperlink"/>
          </w:rPr>
          <w:t xml:space="preserve">[7]</w:t>
        </w:r>
      </w:hyperlink>
      <w:r>
        <w:t xml:space="preserve">. The Cox proportional hazards specification fitted to the panel of thirty five NASA major projects watched in the GAO assessment series between 2009 and 2025 returned a hazard ratio on architecture complexity of 4.43 with the confidence interval crossing one at thirty five observations and eighteen events. The scale coefficient, in contrast, came out sharply identified at minus 3.05 with a p value of 0.007, saying that programs carrying larger baseline life cycle costs cross the fifteen percent threshold later in calendar time, not that they dodge crossing it. The survival reframing threw up the first substantive result of the dissertation: the clock running from confirmation to breach is set by scale at confirmation, and architectural decisions taken before Preliminary Design Review fix the boundary conditions the clock runs inside.</w:t>
      </w:r>
    </w:p>
    <w:p>
      <w:pPr>
        <w:pStyle w:val="BodyText"/>
        <w:spacing w:line="480" w:lineRule="auto"/>
        <w:ind w:firstLine="720"/>
      </w:pPr>
      <w:r>
        <w:t xml:space="preserve">The third claim, built in the second empirical paper, is that the same logic reaches time to flight. A Cox specification fitted to a panel of thirty six NASA major projects between 2012 and 2024, with twenty eight launch events watched and eight projects right censored, returned a log hazard ratio on the monolithic versus distributed indicator of 0.21 with a p value of 0.68, while the log of baseline development cost entered with a coefficient of minus 1.59 and a p value below 0.001. The directional hypothesis that monolithic architectures lengthen time to flight drew no support once scale got netted out. Two readings of this null stayed on the table for the dissertation. The first reading, which the qualitative case work made plausible, is that the monolithic versus distributed contrast carries little independent schedule signal once scale gets controlled. The second reading, which the data structure cannot rule out, is that the scale variable soaks up variance the architecture indicator would otherwise carry, since the largest monolithic flagships are also the priciest. The two readings meet on a single methodological lesson. Architecture and scale are not separable inputs in NASA major projects, and any acquisition reform holding them separable will misallocate scrutiny.</w:t>
      </w:r>
    </w:p>
    <w:p>
      <w:pPr>
        <w:pStyle w:val="BodyText"/>
        <w:spacing w:line="480" w:lineRule="auto"/>
        <w:ind w:firstLine="720"/>
      </w:pPr>
      <w:r>
        <w:t xml:space="preserve">The fourth claim, built in the dissertation’s principal identification exercise and drawn together in the preceding chapter, is that the disaggregation pivot the Department of the Air Force announced in 2010 hands over a quasi experimental treatment date the architecture effect can be tested against by difference in differences, with the timing of architecture trade methodology adoption recorded by Felten and colleagues standing as the instrumental variable in the second specification [1, 17]. The fixed effects two stage least squares estimate of the elasticity of log ten year operations and sustainment cost ratio to the standardized disaggregation index returned a signed and statistically distinguishable effect at conventional thresholds in the principal specification, with the parallel trends test and the 2007 placebo robustness check both sitting with the identifying assumption. The null H0 is thrown out. The signed magnitude is the central contribution of the dissertation.</w:t>
      </w:r>
    </w:p>
    <w:bookmarkEnd w:id="144"/>
    <w:bookmarkStart w:id="145" w:name="contribution-to-knowledge"/>
    <w:p>
      <w:pPr>
        <w:pStyle w:val="Heading2"/>
        <w:spacing w:line="480" w:lineRule="auto"/>
      </w:pPr>
      <w:r>
        <w:t xml:space="preserve">8.3 Contribution to Knowledge</w:t>
      </w:r>
    </w:p>
    <w:p>
      <w:pPr>
        <w:pStyle w:val="FirstParagraph"/>
        <w:spacing w:line="480" w:lineRule="auto"/>
      </w:pPr>
      <w:r>
        <w:t xml:space="preserve">The contribution reads at three altitudes.</w:t>
      </w:r>
    </w:p>
    <w:p>
      <w:pPr>
        <w:pStyle w:val="BodyText"/>
        <w:spacing w:line="480" w:lineRule="auto"/>
        <w:ind w:firstLine="720"/>
      </w:pPr>
      <w:r>
        <w:t xml:space="preserve">At the level of measurement, the dissertation returns a portable disaggregation index coded from publicly retrievable architecture trade study documentation in the AMOS conference record and in the Air Force Institute of Technology thesis record, with Felten and colleagues as the methodological anchor [1, 17]. The index reproduces from named sources, invites audit against the four robustness coding rules reported in the dissertation, and is built so it can stretch to programs entering Milestone B past the close of the panel window. Later investigators can bring it to bear with no recourse to privileged access. This takes up the first of the three gaps named in the prospectus, the bundling of operations and sustainment cost inside the total cost coefficient in the parametric tradition Friz and colleagues and Probst and colleagues exemplify [2, 6]. At the level of estimation, the dissertation returns what the prior literature holds not at all, a single falsifiable causal estimate of the elasticity of decadal operations and sustainment cost to acquisition phase disaggregation, identified by difference in differences around the 2010 policy shift and disciplined by an instrumental variables specification drawing on the timing of architecture trade methodology adoption [1, 17]. The estimate rides conditional on mission class, contract vehicle type, and pre Milestone B technology readiness level. It comes reported with standard errors clustered at the program level and corrected by wild cluster bootstrap, with the parallel trends test and the placebo treatment date both reported in the robustness appendix. This takes up the third of the three gaps named in the prospectus, the missing causal claim in a literature otherwise descriptive and predictive.</w:t>
      </w:r>
    </w:p>
    <w:p>
      <w:pPr>
        <w:pStyle w:val="BodyText"/>
        <w:spacing w:line="480" w:lineRule="auto"/>
        <w:ind w:firstLine="720"/>
      </w:pPr>
      <w:r>
        <w:t xml:space="preserve">At the level of policy, the dissertation hands over a framework source selection authorities, program protection planners, and the FAR Companion drafters running today across NASA, the Department of the Air Force, and the General Services Administration can bring to bear to weight architecture other than they do today. The OCEA forecasting analysis holds declining launch cost as the principal exogenous driver of space program economics, leaving the endogenous governance controllable lever undertheorized</w:t>
      </w:r>
      <w:r>
        <w:t xml:space="preserve"> </w:t>
      </w:r>
      <w:hyperlink w:anchor="ref-3">
        <w:r>
          <w:rPr>
            <w:rStyle w:val="Hyperlink"/>
          </w:rPr>
          <w:t xml:space="preserve">[3]</w:t>
        </w:r>
      </w:hyperlink>
      <w:r>
        <w:t xml:space="preserve">. Stilwell’s transformative change analysis casts acquisition strategy assessment as a recognized but under instrumented input to space policy goals and to cost savings across production, operation, and sustainment programs [4, 9, 10]. Erwin’s reporting cited in the Stilwell Howard synthesis drives home that even the direction of the question, whether military space program cost is climbing or falling, stays contested, which the dissertation reads as a symptom of the missing credible counterfactual against which to weigh the cost effect of an architecture decision</w:t>
      </w:r>
      <w:r>
        <w:t xml:space="preserve"> </w:t>
      </w:r>
      <w:hyperlink w:anchor="ref-5">
        <w:r>
          <w:rPr>
            <w:rStyle w:val="Hyperlink"/>
          </w:rPr>
          <w:t xml:space="preserve">[5]</w:t>
        </w:r>
      </w:hyperlink>
      <w:r>
        <w:t xml:space="preserve">. The signed elasticity reported in the dissertation hands over the counterfactual the policy conversation has gone without. The implication is not that disaggregation lowers cost everywhere, which the heterogeneity subgroup estimates in the principal chapter temper, but that the architecture lever now reads measurable at the elasticity portfolio level decisions ask for.</w:t>
      </w:r>
    </w:p>
    <w:p>
      <w:pPr>
        <w:pStyle w:val="BodyText"/>
        <w:spacing w:line="480" w:lineRule="auto"/>
        <w:ind w:firstLine="720"/>
      </w:pPr>
      <w:r>
        <w:t xml:space="preserve">A subsidiary contribution belongs to the survival modeling literature on acquisition outcomes. The two Cox specifications of the empirical papers made plain that GAO threshold crossings and launch events both take a hazard formulation recovering information the static cost growth percentage sheds. Eighteen of thirty five programs in the cost breach panel came out event observations and seventeen right censored, and twenty eight of thirty six programs in the time to flight panel came out event observations and eight right censored. Reading the right censored programs as informative about exposure time, rather than as missing observations, is the methodological move the dissertation urges on later investigators of acquisition outcomes</w:t>
      </w:r>
      <w:r>
        <w:t xml:space="preserve"> </w:t>
      </w:r>
      <w:hyperlink w:anchor="ref-7">
        <w:r>
          <w:rPr>
            <w:rStyle w:val="Hyperlink"/>
          </w:rPr>
          <w:t xml:space="preserve">[7]</w:t>
        </w:r>
      </w:hyperlink>
      <w:r>
        <w:t xml:space="preserve">. The recommendation carries past the space domain.</w:t>
      </w:r>
    </w:p>
    <w:bookmarkEnd w:id="145"/>
    <w:bookmarkStart w:id="146" w:name="limits-reaffirmed"/>
    <w:p>
      <w:pPr>
        <w:pStyle w:val="Heading2"/>
        <w:spacing w:line="480" w:lineRule="auto"/>
      </w:pPr>
      <w:r>
        <w:t xml:space="preserve">8.4 Limits Reaffirmed</w:t>
      </w:r>
    </w:p>
    <w:p>
      <w:pPr>
        <w:pStyle w:val="FirstParagraph"/>
        <w:spacing w:line="480" w:lineRule="auto"/>
      </w:pPr>
      <w:r>
        <w:t xml:space="preserve">The contribution is hemmed in by the four threats to validity set out in the prospectus and revisited at every stage of the empirical work. Selection on unobservables gets absorbed by program fixed effects to the degree the unobservable runs program invariant, and by the instrumental variables specification to the degree the methodology adoption instrument meets the exclusion restriction. Measurement error in the disaggregation index is hemmed in by the four alternative coding rules reported in the robustness appendix. The panel of thirty eight programs in the principal identification exercise stays small for the identification machinery brought to bear, and the wild cluster bootstrap correction runs necessary rather than ornamental. External validity to European Space Agency, Japan Aerospace Exploration Agency, and commercial programs is claimed not at all, since the joint availability of Selected Acquisition Reports, Cost Analysis Data Requirements records, and architecture trade study documentation stays confined today to U.S. federal space acquisitions. These limits temper the contribution. They vacate it not at all.</w:t>
      </w:r>
    </w:p>
    <w:bookmarkEnd w:id="146"/>
    <w:bookmarkStart w:id="147" w:name="closing-statement"/>
    <w:p>
      <w:pPr>
        <w:pStyle w:val="Heading2"/>
        <w:spacing w:line="480" w:lineRule="auto"/>
      </w:pPr>
      <w:r>
        <w:t xml:space="preserve">8.5 Closing Statement</w:t>
      </w:r>
    </w:p>
    <w:p>
      <w:pPr>
        <w:pStyle w:val="FirstParagraph"/>
        <w:spacing w:line="480" w:lineRule="auto"/>
      </w:pPr>
      <w:r>
        <w:t xml:space="preserve">The dominant cost story for federal space programs gets told in the acquisition phase, and the dominant cost reality plays out over the sustainment tail. The two stories have gone unjoined by a single identified estimate in the prior literature, and that joining is what this dissertation set out to do. The empirical record, read through the survival formulations of the first two papers and through the difference in differences identification of the principal chapter, backs a signed claim about the elasticity of decadal operations and sustainment cost to acquisition phase disaggregation, conditional on mission class, contract vehicle type, and pre Milestone B technology readiness level. The claim runs falsifiable, the panel comes hand curated from named public sources, and the estimator stays disciplined by an instrumental variables robustness specification anchored in the architecture optimization methodology built by Felten and colleagues</w:t>
      </w:r>
      <w:r>
        <w:t xml:space="preserve"> </w:t>
      </w:r>
      <w:hyperlink w:anchor="ref-1">
        <w:r>
          <w:rPr>
            <w:rStyle w:val="Hyperlink"/>
          </w:rPr>
          <w:t xml:space="preserve">[1]</w:t>
        </w:r>
      </w:hyperlink>
      <w:r>
        <w:t xml:space="preserve">. The portable disaggregation index, the survival reframing of cost growth and time to flight, and the elasticity estimate come offered as a foundation for the next generation of work, which can stretch the panel forward as new Milestone B decisions pile up, can carry the framework to allied space programs as their cost data come on hand, and can sharpen the heterogeneity subgroup estimates as the heritage coding question the first empirical paper flagged gets settled with a multi level treatment. The sustainment tail is no destiny. It is, all the same, set by a small number of architecture decisions taken before Preliminary Design Review, and those decisions now read measurable at the elasticity portfolio level governance asks for.</w:t>
      </w:r>
    </w:p>
    <w:bookmarkEnd w:id="147"/>
    <w:bookmarkStart w:id="186" w:name="references"/>
    <w:p>
      <w:pPr>
        <w:pStyle w:val="Heading2"/>
        <w:spacing w:line="480" w:lineRule="auto"/>
      </w:pPr>
      <w:r>
        <w:t xml:space="preserve">References</w:t>
      </w:r>
    </w:p>
    <w:p>
      <w:pPr>
        <w:pStyle w:val="FirstParagraph"/>
        <w:spacing w:line="480" w:lineRule="auto"/>
      </w:pPr>
      <w:bookmarkStart w:id="148" w:name="ref-1"/>
      <w:bookmarkEnd w:id="148"/>
      <w:r>
        <w:t xml:space="preserve">1. M. Felten, J. Colombi, R. Cobb, and D. Meyer,</w:t>
      </w:r>
      <w:r>
        <w:t xml:space="preserve"> </w:t>
      </w:r>
      <w:r>
        <w:t xml:space="preserve">“Optimization of Geosynchronous Space Situational Awareness Architectures using Parallel Computation,”</w:t>
      </w:r>
      <w:r>
        <w:t xml:space="preserve"> </w:t>
      </w:r>
      <w:r>
        <w:t xml:space="preserve">Proc. Advanced Maui Optical and Space Surveillance Technologies (AMOS) Conference, 2018. https://amostech.space/year/2018/optimization-of-geosynchronous-space-situational-awareness-architectures-using-parallel-computation/</w:t>
      </w:r>
    </w:p>
    <w:p>
      <w:pPr>
        <w:pStyle w:val="BodyText"/>
        <w:spacing w:line="480" w:lineRule="auto"/>
        <w:ind w:firstLine="720"/>
      </w:pPr>
      <w:bookmarkStart w:id="149" w:name="ref-2"/>
      <w:bookmarkEnd w:id="149"/>
      <w:r>
        <w:t xml:space="preserve">2.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150">
        <w:r>
          <w:rPr>
            <w:rStyle w:val="Hyperlink"/>
          </w:rPr>
          <w:t xml:space="preserve">10.1016/j.actaastro.2019.09.030</w:t>
        </w:r>
      </w:hyperlink>
    </w:p>
    <w:p>
      <w:pPr>
        <w:pStyle w:val="BodyText"/>
        <w:spacing w:line="480" w:lineRule="auto"/>
        <w:ind w:firstLine="720"/>
      </w:pPr>
      <w:bookmarkStart w:id="151" w:name="ref-3"/>
      <w:bookmarkEnd w:id="151"/>
      <w:r>
        <w:t xml:space="preserve">3. Office of the Chief Economist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52" w:name="ref-4"/>
      <w:bookmarkEnd w:id="152"/>
      <w:r>
        <w:t xml:space="preserve">4. V. Stilwell,</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53" w:name="ref-5"/>
      <w:bookmarkEnd w:id="153"/>
      <w:r>
        <w:t xml:space="preserve">5. V. Stilwell,</w:t>
      </w:r>
      <w:r>
        <w:t xml:space="preserve"> </w:t>
      </w:r>
      <w:r>
        <w:t xml:space="preserve">“The Role of Space in Driving Sustainability, Security, and Development,”</w:t>
      </w:r>
      <w:r>
        <w:t xml:space="preserve"> </w:t>
      </w:r>
      <w:r>
        <w:t xml:space="preserve">Space Economy Papers corpus source SD13, citing S. Erwin,</w:t>
      </w:r>
      <w:r>
        <w:t xml:space="preserve"> </w:t>
      </w:r>
      <w:r>
        <w:t xml:space="preserve">“Is the cost of military space programs going up or down? Depends on…”</w:t>
      </w:r>
    </w:p>
    <w:p>
      <w:pPr>
        <w:pStyle w:val="BodyText"/>
        <w:spacing w:line="480" w:lineRule="auto"/>
        <w:ind w:firstLine="720"/>
      </w:pPr>
      <w:bookmarkStart w:id="154" w:name="ref-6"/>
      <w:bookmarkEnd w:id="154"/>
      <w:r>
        <w:t xml:space="preserve">6. A. Probst, C. Nitzl, F. J. Kraus, and R. Förstner,</w:t>
      </w:r>
      <w:r>
        <w:t xml:space="preserve"> </w:t>
      </w:r>
      <w:r>
        <w:t xml:space="preserve">“Cost estimation of an asteroid mining mission using partial least squares structural equation modelling (PLS-SEM),”</w:t>
      </w:r>
      <w:r>
        <w:t xml:space="preserve"> </w:t>
      </w:r>
      <w:r>
        <w:t xml:space="preserve">Acta Astronautica, vol. 167, 2019. doi:</w:t>
      </w:r>
      <w:r>
        <w:t xml:space="preserve"> </w:t>
      </w:r>
      <w:hyperlink r:id="rId155">
        <w:r>
          <w:rPr>
            <w:rStyle w:val="Hyperlink"/>
          </w:rPr>
          <w:t xml:space="preserve">10.1016/j.actaastro.2019.07.032</w:t>
        </w:r>
      </w:hyperlink>
    </w:p>
    <w:p>
      <w:pPr>
        <w:pStyle w:val="BodyText"/>
        <w:spacing w:line="480" w:lineRule="auto"/>
        <w:ind w:firstLine="720"/>
      </w:pPr>
      <w:bookmarkStart w:id="156" w:name="ref-7"/>
      <w:bookmarkEnd w:id="156"/>
      <w:r>
        <w:t xml:space="preserve">7. U.S. Government Accountability Office. NASA Assessments of Major Projects. GAO-23-106021. Washington, DC, 2023. https://www.gao.gov/products/gao-23-106021</w:t>
      </w:r>
    </w:p>
    <w:p>
      <w:pPr>
        <w:pStyle w:val="BodyText"/>
        <w:spacing w:line="480" w:lineRule="auto"/>
        <w:ind w:firstLine="720"/>
      </w:pPr>
      <w:bookmarkStart w:id="157" w:name="ref-8"/>
      <w:bookmarkEnd w:id="157"/>
      <w:r>
        <w:t xml:space="preserve">8. A. Probst, C. Nitzl, F. J. Kraus, and R. Forstner. Cost estimation of an asteroid mining mission using partial least squares structural equation modelling. Acta Astronautica, vol. 167, 2019. https://doi.org/10.1016/j.actaastro.2019.07.032</w:t>
      </w:r>
    </w:p>
    <w:p>
      <w:pPr>
        <w:pStyle w:val="BodyText"/>
        <w:spacing w:line="480" w:lineRule="auto"/>
        <w:ind w:firstLine="720"/>
      </w:pPr>
      <w:bookmarkStart w:id="158" w:name="ref-9"/>
      <w:bookmarkEnd w:id="158"/>
      <w:r>
        <w:t xml:space="preserve">9. Space Economy Papers corpus. Architectural Socio-Technological Transformative Change of Space-Use Norms. Source key SD03, retrieved 2026.</w:t>
      </w:r>
    </w:p>
    <w:p>
      <w:pPr>
        <w:pStyle w:val="BodyText"/>
        <w:spacing w:line="480" w:lineRule="auto"/>
        <w:ind w:firstLine="720"/>
      </w:pPr>
      <w:bookmarkStart w:id="159" w:name="ref-10"/>
      <w:bookmarkEnd w:id="159"/>
      <w:r>
        <w:t xml:space="preserve">10. Architectural Socio-Technological Transformative Change of Space-Use Norms, Space Economy Papers source SD03, retrieved 2026.</w:t>
      </w:r>
    </w:p>
    <w:p>
      <w:pPr>
        <w:pStyle w:val="BodyText"/>
        <w:spacing w:line="480" w:lineRule="auto"/>
        <w:ind w:firstLine="720"/>
      </w:pPr>
      <w:bookmarkStart w:id="160" w:name="ref-11"/>
      <w:bookmarkEnd w:id="160"/>
      <w:r>
        <w:t xml:space="preserve">11. Matt D. Hejduk, a.i. solutions Inc.. Specular and Diffuse Components in Spherical Satellite Photometric Modeling (2011).</w:t>
      </w:r>
    </w:p>
    <w:p>
      <w:pPr>
        <w:pStyle w:val="BodyText"/>
        <w:spacing w:line="480" w:lineRule="auto"/>
        <w:ind w:firstLine="720"/>
      </w:pPr>
      <w:bookmarkStart w:id="161" w:name="ref-12"/>
      <w:bookmarkEnd w:id="161"/>
      <w:r>
        <w:t xml:space="preserve">12. Darin Koblick (Millennium Space Systems), Moriba Jah (Air Force Research Laboratory), Brien Flewelling (Air Force Research Laboratory), Alfred Goldsmith (Millennium Space Systems), Michael Klug (Millennium Space Systems), Joe Shanks (Photon Research Associates), Robert Pina (Photon Research Associates), Jason Stauch (Schafer Corporation), Jason Baldwin (Schafer Corporation), James Campbell (CENTRA Technology), Travis Blake (Defense Advanced Research Projects Agency). Ground Optical Signal Processing Architecture for Contributing SSA Space Based Sensor Data (2014).</w:t>
      </w:r>
    </w:p>
    <w:p>
      <w:pPr>
        <w:pStyle w:val="BodyText"/>
        <w:spacing w:line="480" w:lineRule="auto"/>
        <w:ind w:firstLine="720"/>
      </w:pPr>
      <w:bookmarkStart w:id="162" w:name="ref-13"/>
      <w:bookmarkEnd w:id="162"/>
      <w:r>
        <w:t xml:space="preserve">13. Howard Gans, Harris Corporation, Eric Barnhart, Harris Corporation. 10 Steps to Building an Architecture for Space Surveillance Projects (2015).</w:t>
      </w:r>
    </w:p>
    <w:p>
      <w:pPr>
        <w:pStyle w:val="BodyText"/>
        <w:spacing w:line="480" w:lineRule="auto"/>
        <w:ind w:firstLine="720"/>
      </w:pPr>
      <w:bookmarkStart w:id="163" w:name="ref-14"/>
      <w:bookmarkEnd w:id="163"/>
      <w:r>
        <w:t xml:space="preserve">14. Matthew Brown, University of Birmingham; Sean Elvidge, University of Birmingham; David Themens, University of Birmingham; Hugh Lewis, University of Southampton; Andrew Kavanagh, British Antarctic Survey; Ingrid Cnossen, British Antarctic Survey. Days to Decades: Forecasting Neutral Densities in Low Earth Orbit (2023). doi:</w:t>
      </w:r>
      <w:r>
        <w:t xml:space="preserve"> </w:t>
      </w:r>
      <w:hyperlink r:id="rId164">
        <w:r>
          <w:rPr>
            <w:rStyle w:val="Hyperlink"/>
          </w:rPr>
          <w:t xml:space="preserve">10.64861/DMDO1602</w:t>
        </w:r>
      </w:hyperlink>
    </w:p>
    <w:p>
      <w:pPr>
        <w:pStyle w:val="BodyText"/>
        <w:spacing w:line="480" w:lineRule="auto"/>
        <w:ind w:firstLine="720"/>
      </w:pPr>
      <w:bookmarkStart w:id="165" w:name="ref-15"/>
      <w:bookmarkEnd w:id="165"/>
      <w:r>
        <w:t xml:space="preserve">15. Sam Wootton, The MITRE Corporation. Enabling GEODSS for Space Situational Awareness (SSA) (2016).</w:t>
      </w:r>
    </w:p>
    <w:p>
      <w:pPr>
        <w:pStyle w:val="BodyText"/>
        <w:spacing w:line="480" w:lineRule="auto"/>
        <w:ind w:firstLine="720"/>
      </w:pPr>
      <w:bookmarkStart w:id="166" w:name="ref-16"/>
      <w:bookmarkEnd w:id="166"/>
      <w:r>
        <w:t xml:space="preserve">16. George Landon, Cedarville University; David Strong, Strong EO Imaging, Inc.; Timothy Giblin, i2 Strategic Services LLC; Benjamin Roth, U.S. Air Force Academy; Francis Chun, U.S. Air Force Academy. Deep Learning Based Classification of GEOs using Unresolved Spectral Data (2025). doi:</w:t>
      </w:r>
      <w:r>
        <w:t xml:space="preserve"> </w:t>
      </w:r>
      <w:hyperlink r:id="rId167">
        <w:r>
          <w:rPr>
            <w:rStyle w:val="Hyperlink"/>
          </w:rPr>
          <w:t xml:space="preserve">10.64861/SQBE6637</w:t>
        </w:r>
      </w:hyperlink>
    </w:p>
    <w:p>
      <w:pPr>
        <w:pStyle w:val="BodyText"/>
        <w:spacing w:line="480" w:lineRule="auto"/>
        <w:ind w:firstLine="720"/>
      </w:pPr>
      <w:bookmarkStart w:id="168" w:name="ref-17"/>
      <w:bookmarkEnd w:id="168"/>
      <w:r>
        <w:t xml:space="preserve">17. Michael Felten, U.S. Air Force; John Colombi, AFIT; Richard Cobb, AFIT; David Meyer, AFIT. Optimization of Geosynchronous Space Situational Awareness Architectures using Parallel Computation (2018).</w:t>
      </w:r>
    </w:p>
    <w:p>
      <w:pPr>
        <w:pStyle w:val="BodyText"/>
        <w:spacing w:line="480" w:lineRule="auto"/>
        <w:ind w:firstLine="720"/>
      </w:pPr>
      <w:bookmarkStart w:id="169" w:name="ref-18"/>
      <w:bookmarkEnd w:id="169"/>
      <w:r>
        <w:t xml:space="preserve">18. J. Scott Smith (Optics Branch / Code 551, NASA Goddard Space Flight Center), Bruce H. Dean (Optics Branch / Code 551, NASA Goddard Space Flight Center), Alexander Rilee (Optics Branch / Code 551, NASA Goddard Space Flight Center), Thomas P. Zielinski (Optics Branch / Code 551, NASA Goddard Space Flight Center). Parallel-Computing Architecture for JWST Wavefront-Sensing Algorithms (2011).</w:t>
      </w:r>
    </w:p>
    <w:p>
      <w:pPr>
        <w:pStyle w:val="BodyText"/>
        <w:spacing w:line="480" w:lineRule="auto"/>
        <w:ind w:firstLine="720"/>
      </w:pPr>
      <w:bookmarkStart w:id="170" w:name="ref-19"/>
      <w:bookmarkEnd w:id="170"/>
      <w:r>
        <w:t xml:space="preserve">19. Stefano Aliberti; Marco B. Quadrelli; Marcello Romano. A distributed space radar sounder using a cross-track flying tethered satellite system (2024). doi:</w:t>
      </w:r>
      <w:r>
        <w:t xml:space="preserve"> </w:t>
      </w:r>
      <w:hyperlink r:id="rId171">
        <w:r>
          <w:rPr>
            <w:rStyle w:val="Hyperlink"/>
          </w:rPr>
          <w:t xml:space="preserve">10.1016/j.actaastro.2024.05.018</w:t>
        </w:r>
      </w:hyperlink>
    </w:p>
    <w:p>
      <w:pPr>
        <w:pStyle w:val="BodyText"/>
        <w:spacing w:line="480" w:lineRule="auto"/>
        <w:ind w:firstLine="720"/>
      </w:pPr>
      <w:bookmarkStart w:id="172" w:name="ref-20"/>
      <w:bookmarkEnd w:id="172"/>
      <w:r>
        <w:t xml:space="preserve">20. Giuseppe Napolano; Alessia Nocerino; Giancarmine Fasano; Michele Grassi; Roberto Opromolla. A CNN-based architecture for relative state and target motion parameters estimation in active debris removal missions (2025). doi:</w:t>
      </w:r>
      <w:r>
        <w:t xml:space="preserve"> </w:t>
      </w:r>
      <w:hyperlink r:id="rId173">
        <w:r>
          <w:rPr>
            <w:rStyle w:val="Hyperlink"/>
          </w:rPr>
          <w:t xml:space="preserve">10.1016/j.actaastro.2025.06.012</w:t>
        </w:r>
      </w:hyperlink>
    </w:p>
    <w:p>
      <w:pPr>
        <w:pStyle w:val="BodyText"/>
        <w:spacing w:line="480" w:lineRule="auto"/>
        <w:ind w:firstLine="720"/>
      </w:pPr>
      <w:bookmarkStart w:id="174" w:name="ref-21"/>
      <w:bookmarkEnd w:id="174"/>
      <w:r>
        <w:t xml:space="preserve">21. Guillermo J. Dominguez Calabuig; Andrew Wilson; Sifeng Bi; Massimiliano Vasile; Martin Sippel; Martin Tajmar. Environmental life cycle assessment of reusable launch vehicle fleets: Large climate impact driven by rocket exhaust emissions (2024). doi:</w:t>
      </w:r>
      <w:r>
        <w:t xml:space="preserve"> </w:t>
      </w:r>
      <w:hyperlink r:id="rId175">
        <w:r>
          <w:rPr>
            <w:rStyle w:val="Hyperlink"/>
          </w:rPr>
          <w:t xml:space="preserve">10.1016/j.actaastro.2024.05.009</w:t>
        </w:r>
      </w:hyperlink>
    </w:p>
    <w:p>
      <w:pPr>
        <w:pStyle w:val="BodyText"/>
        <w:spacing w:line="480" w:lineRule="auto"/>
        <w:ind w:firstLine="720"/>
      </w:pPr>
      <w:bookmarkStart w:id="176" w:name="ref-22"/>
      <w:bookmarkEnd w:id="176"/>
      <w:r>
        <w:t xml:space="preserve">22. Lily Blondel-Canepari; Alberto Sarritzu; Angelo Pasini. A holistic approach for efficient greener in-space propulsion (2024). doi:</w:t>
      </w:r>
      <w:r>
        <w:t xml:space="preserve"> </w:t>
      </w:r>
      <w:hyperlink r:id="rId177">
        <w:r>
          <w:rPr>
            <w:rStyle w:val="Hyperlink"/>
          </w:rPr>
          <w:t xml:space="preserve">10.1016/j.actaastro.2024.07.023</w:t>
        </w:r>
      </w:hyperlink>
    </w:p>
    <w:p>
      <w:pPr>
        <w:pStyle w:val="BodyText"/>
        <w:spacing w:line="480" w:lineRule="auto"/>
        <w:ind w:firstLine="720"/>
      </w:pPr>
      <w:bookmarkStart w:id="178" w:name="ref-23"/>
      <w:bookmarkEnd w:id="178"/>
      <w:r>
        <w:t xml:space="preserve">23. Riccardo Santoro; Mauro Pontani. Orbit acquisition, rendezvous, and docking with a noncooperative capsule in a Mars sample return mission (2023). doi:</w:t>
      </w:r>
      <w:r>
        <w:t xml:space="preserve"> </w:t>
      </w:r>
      <w:hyperlink r:id="rId179">
        <w:r>
          <w:rPr>
            <w:rStyle w:val="Hyperlink"/>
          </w:rPr>
          <w:t xml:space="preserve">10.1016/j.actaastro.2023.04.043</w:t>
        </w:r>
      </w:hyperlink>
    </w:p>
    <w:p>
      <w:pPr>
        <w:pStyle w:val="BodyText"/>
        <w:spacing w:line="480" w:lineRule="auto"/>
        <w:ind w:firstLine="720"/>
      </w:pPr>
      <w:bookmarkStart w:id="180" w:name="ref-24"/>
      <w:bookmarkEnd w:id="180"/>
      <w:r>
        <w:t xml:space="preserve">24. Christopher P. Spedding; Sungwoo Lim; William J. Nuttall. ISRU technology deployment at a lunar outpost in 2040: A Delphi survey (2021). doi:</w:t>
      </w:r>
      <w:r>
        <w:t xml:space="preserve"> </w:t>
      </w:r>
      <w:hyperlink r:id="rId181">
        <w:r>
          <w:rPr>
            <w:rStyle w:val="Hyperlink"/>
          </w:rPr>
          <w:t xml:space="preserve">10.1016/j.actaastro.2021.01.009</w:t>
        </w:r>
      </w:hyperlink>
    </w:p>
    <w:p>
      <w:pPr>
        <w:pStyle w:val="BodyText"/>
        <w:spacing w:line="480" w:lineRule="auto"/>
        <w:ind w:firstLine="720"/>
      </w:pPr>
      <w:bookmarkStart w:id="182" w:name="ref-25"/>
      <w:bookmarkEnd w:id="182"/>
      <w:r>
        <w:t xml:space="preserve">25. Christian Lorenz; Bruno Hay Mele; Carmen Arena. Where is the plant-space research going? An overview on the last two decades through bibliometric network multi-analysis (2024). doi:</w:t>
      </w:r>
      <w:r>
        <w:t xml:space="preserve"> </w:t>
      </w:r>
      <w:hyperlink r:id="rId183">
        <w:r>
          <w:rPr>
            <w:rStyle w:val="Hyperlink"/>
          </w:rPr>
          <w:t xml:space="preserve">10.1016/j.actaastro.2024.05.022</w:t>
        </w:r>
      </w:hyperlink>
    </w:p>
    <w:p>
      <w:pPr>
        <w:pStyle w:val="BodyText"/>
        <w:spacing w:line="480" w:lineRule="auto"/>
        <w:ind w:firstLine="720"/>
      </w:pPr>
      <w:bookmarkStart w:id="184" w:name="ref-26"/>
      <w:bookmarkEnd w:id="184"/>
      <w:r>
        <w:t xml:space="preserve">26. Marco Sabatini; Paolo Iannelli; Paolo Gasbarri; Giovanni B. Palmerini; Federica Angeletti; Finn Ankersen. Scaling procedure for on-ground testing of a robust attitude and vibration control architecture for a large flexible satellite (2024). doi:</w:t>
      </w:r>
      <w:r>
        <w:t xml:space="preserve"> </w:t>
      </w:r>
      <w:hyperlink r:id="rId185">
        <w:r>
          <w:rPr>
            <w:rStyle w:val="Hyperlink"/>
          </w:rPr>
          <w:t xml:space="preserve">10.1016/j.actaastro.2024.05.040</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4026cd81f365a628a918f2fb960690b965a8689"/>
    <w:p>
      <w:pPr>
        <w:pStyle w:val="Heading2"/>
        <w:spacing w:line="480" w:lineRule="auto"/>
      </w:pPr>
      <w:r>
        <w:t xml:space="preserve">A.1 Time to Cost Breach: A Cox Proportional Hazards Model of Architecture Choice in NASA Major Projects</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sSub>
            <m:e>
              <m:r>
                <m:rPr>
                  <m:nor/>
                  <m:sty m:val="p"/>
                </m:rPr>
                <m:t>Complexity</m:t>
              </m:r>
            </m:e>
            <m:sub>
              <m:r>
                <m:t>i</m:t>
              </m:r>
            </m:sub>
          </m:sSub>
          <m:r>
            <m:rPr>
              <m:sty m:val="p"/>
            </m:rPr>
            <m:t>+</m:t>
          </m:r>
          <m:sSub>
            <m:e>
              <m:r>
                <m:t>β</m:t>
              </m:r>
            </m:e>
            <m:sub>
              <m:r>
                <m:t>2</m:t>
              </m:r>
            </m:sub>
          </m:sSub>
          <m:sSub>
            <m:e>
              <m:r>
                <m:rPr>
                  <m:nor/>
                  <m:sty m:val="p"/>
                </m:rPr>
                <m:t>Heritage</m:t>
              </m:r>
            </m:e>
            <m:sub>
              <m:r>
                <m:t>i</m:t>
              </m:r>
            </m:sub>
          </m:sSub>
          <m:r>
            <m:rPr>
              <m:sty m:val="p"/>
            </m:rPr>
            <m:t>+</m:t>
          </m:r>
          <m:sSub>
            <m:e>
              <m:r>
                <m:t>β</m:t>
              </m:r>
            </m:e>
            <m:sub>
              <m:r>
                <m:t>3</m:t>
              </m:r>
            </m:sub>
          </m:sSub>
          <m:sSub>
            <m:e>
              <m:r>
                <m:rPr>
                  <m:nor/>
                  <m:sty m:val="p"/>
                </m:rPr>
                <m:t>Partners</m:t>
              </m:r>
            </m:e>
            <m:sub>
              <m:r>
                <m:t>i</m:t>
              </m:r>
            </m:sub>
          </m:sSub>
          <m:r>
            <m:rPr>
              <m:sty m:val="p"/>
            </m:rPr>
            <m:t>+</m:t>
          </m:r>
          <m:sSub>
            <m:e>
              <m:r>
                <m:t>β</m:t>
              </m:r>
            </m:e>
            <m:sub>
              <m:r>
                <m:t>4</m:t>
              </m:r>
            </m:sub>
          </m:sSub>
          <m:r>
            <m:rPr>
              <m:sty m:val="p"/>
            </m:rPr>
            <m:t>ln</m:t>
          </m:r>
          <m:r>
            <m:rPr>
              <m:sty m:val="p"/>
            </m:rPr>
            <m:t>(</m:t>
          </m:r>
          <m:sSub>
            <m:e>
              <m:r>
                <m:rPr>
                  <m:nor/>
                  <m:sty m:val="p"/>
                </m:rPr>
                <m:t>Cost</m:t>
              </m:r>
            </m:e>
            <m:sub>
              <m:r>
                <m:t>i</m:t>
              </m:r>
            </m:sub>
          </m:sSub>
          <m:r>
            <m:rPr>
              <m:sty m:val="p"/>
            </m:rPr>
            <m:t>)</m:t>
          </m:r>
          <m:r>
            <m:rPr>
              <m:sty m:val="p"/>
            </m:rPr>
            <m:t>}</m:t>
          </m:r>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1.4873</w:t>
            </w:r>
          </w:p>
        </w:tc>
        <w:tc>
          <w:tcPr>
            <w:tcW w:w="0" w:type="auto"/>
          </w:tcPr>
          <w:p>
            <w:pPr>
              <w:spacing w:line="240" w:lineRule="auto" w:before="0" w:after="0"/>
              <w:pStyle w:val="Compact"/>
            </w:pPr>
            <w:r>
              <w:rPr>
                <w:sz w:val="20"/>
                <w:szCs w:val="20"/>
              </w:rPr>
              <w:t xml:space="preserve">0.978</w:t>
            </w:r>
          </w:p>
        </w:tc>
        <w:tc>
          <w:tcPr>
            <w:tcW w:w="0" w:type="auto"/>
          </w:tcPr>
          <w:p>
            <w:pPr>
              <w:spacing w:line="240" w:lineRule="auto" w:before="0" w:after="0"/>
              <w:pStyle w:val="Compact"/>
            </w:pPr>
            <w:r>
              <w:rPr>
                <w:sz w:val="20"/>
                <w:szCs w:val="20"/>
              </w:rPr>
              <w:t xml:space="preserve">1.5207</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[-0.4296, 3.4042]</w:t>
            </w:r>
          </w:p>
        </w:tc>
        <w:tc>
          <w:tcPr>
            <w:tcW w:w="0" w:type="auto"/>
          </w:tcPr>
          <w:p>
            <w:pPr>
              <w:spacing w:line="240" w:lineRule="auto" w:before="0" w:after="0"/>
              <w:pStyle w:val="Compact"/>
            </w:pPr>
            <w:r>
              <w:rPr>
                <w:sz w:val="20"/>
                <w:szCs w:val="20"/>
              </w:rPr>
              <w:t xml:space="preserve">4.4252</w:t>
            </w:r>
          </w:p>
        </w:tc>
      </w:tr>
      <w:tr>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1.1155</w:t>
            </w:r>
          </w:p>
        </w:tc>
        <w:tc>
          <w:tcPr>
            <w:tcW w:w="0" w:type="auto"/>
          </w:tcPr>
          <w:p>
            <w:pPr>
              <w:spacing w:line="240" w:lineRule="auto" w:before="0" w:after="0"/>
              <w:pStyle w:val="Compact"/>
            </w:pPr>
            <w:r>
              <w:rPr>
                <w:sz w:val="20"/>
                <w:szCs w:val="20"/>
              </w:rPr>
              <w:t xml:space="preserve">0.4533</w:t>
            </w:r>
          </w:p>
        </w:tc>
        <w:tc>
          <w:tcPr>
            <w:tcW w:w="0" w:type="auto"/>
          </w:tcPr>
          <w:p>
            <w:pPr>
              <w:spacing w:line="240" w:lineRule="auto" w:before="0" w:after="0"/>
              <w:pStyle w:val="Compact"/>
            </w:pPr>
            <w:r>
              <w:rPr>
                <w:sz w:val="20"/>
                <w:szCs w:val="20"/>
              </w:rPr>
              <w:t xml:space="preserve">2.4611</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[0.2271, 2.004]</w:t>
            </w:r>
          </w:p>
        </w:tc>
        <w:tc>
          <w:tcPr>
            <w:tcW w:w="0" w:type="auto"/>
          </w:tcPr>
          <w:p>
            <w:pPr>
              <w:spacing w:line="240" w:lineRule="auto" w:before="0" w:after="0"/>
              <w:pStyle w:val="Compact"/>
            </w:pPr>
            <w:r>
              <w:rPr>
                <w:sz w:val="20"/>
                <w:szCs w:val="20"/>
              </w:rPr>
              <w:t xml:space="preserve">3.0512</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-0.1867</w:t>
            </w:r>
          </w:p>
        </w:tc>
        <w:tc>
          <w:tcPr>
            <w:tcW w:w="0" w:type="auto"/>
          </w:tcPr>
          <w:p>
            <w:pPr>
              <w:spacing w:line="240" w:lineRule="auto" w:before="0" w:after="0"/>
              <w:pStyle w:val="Compact"/>
            </w:pPr>
            <w:r>
              <w:rPr>
                <w:sz w:val="20"/>
                <w:szCs w:val="20"/>
              </w:rPr>
              <w:t xml:space="preserve">0.5142</w:t>
            </w:r>
          </w:p>
        </w:tc>
        <w:tc>
          <w:tcPr>
            <w:tcW w:w="0" w:type="auto"/>
          </w:tcPr>
          <w:p>
            <w:pPr>
              <w:spacing w:line="240" w:lineRule="auto" w:before="0" w:after="0"/>
              <w:pStyle w:val="Compact"/>
            </w:pPr>
            <w:r>
              <w:rPr>
                <w:sz w:val="20"/>
                <w:szCs w:val="20"/>
              </w:rPr>
              <w:t xml:space="preserve">-0.3631</w:t>
            </w:r>
          </w:p>
        </w:tc>
        <w:tc>
          <w:tcPr>
            <w:tcW w:w="0" w:type="auto"/>
          </w:tcPr>
          <w:p>
            <w:pPr>
              <w:spacing w:line="240" w:lineRule="auto" w:before="0" w:after="0"/>
              <w:pStyle w:val="Compact"/>
            </w:pPr>
            <w:r>
              <w:rPr>
                <w:sz w:val="20"/>
                <w:szCs w:val="20"/>
              </w:rPr>
              <w:t xml:space="preserve">0.7165</w:t>
            </w:r>
          </w:p>
        </w:tc>
        <w:tc>
          <w:tcPr>
            <w:tcW w:w="0" w:type="auto"/>
          </w:tcPr>
          <w:p>
            <w:pPr>
              <w:spacing w:line="240" w:lineRule="auto" w:before="0" w:after="0"/>
              <w:pStyle w:val="Compact"/>
            </w:pPr>
            <w:r>
              <w:rPr>
                <w:sz w:val="20"/>
                <w:szCs w:val="20"/>
              </w:rPr>
              <w:t xml:space="preserve">[-1.1945, 0.8211]</w:t>
            </w:r>
          </w:p>
        </w:tc>
        <w:tc>
          <w:tcPr>
            <w:tcW w:w="0" w:type="auto"/>
          </w:tcPr>
          <w:p>
            <w:pPr>
              <w:spacing w:line="240" w:lineRule="auto" w:before="0" w:after="0"/>
              <w:pStyle w:val="Compact"/>
            </w:pPr>
            <w:r>
              <w:rPr>
                <w:sz w:val="20"/>
                <w:szCs w:val="20"/>
              </w:rPr>
              <w:t xml:space="preserve">0.8297</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-3.051</w:t>
            </w:r>
          </w:p>
        </w:tc>
        <w:tc>
          <w:tcPr>
            <w:tcW w:w="0" w:type="auto"/>
          </w:tcPr>
          <w:p>
            <w:pPr>
              <w:spacing w:line="240" w:lineRule="auto" w:before="0" w:after="0"/>
              <w:pStyle w:val="Compact"/>
            </w:pPr>
            <w:r>
              <w:rPr>
                <w:sz w:val="20"/>
                <w:szCs w:val="20"/>
              </w:rPr>
              <w:t xml:space="preserve">1.1249</w:t>
            </w:r>
          </w:p>
        </w:tc>
        <w:tc>
          <w:tcPr>
            <w:tcW w:w="0" w:type="auto"/>
          </w:tcPr>
          <w:p>
            <w:pPr>
              <w:spacing w:line="240" w:lineRule="auto" w:before="0" w:after="0"/>
              <w:pStyle w:val="Compact"/>
            </w:pPr>
            <w:r>
              <w:rPr>
                <w:sz w:val="20"/>
                <w:szCs w:val="20"/>
              </w:rPr>
              <w:t xml:space="preserve">-2.7123</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[-5.2558, -0.8462]</w:t>
            </w:r>
          </w:p>
        </w:tc>
        <w:tc>
          <w:tcPr>
            <w:tcW w:w="0" w:type="auto"/>
          </w:tcPr>
          <w:p>
            <w:pPr>
              <w:spacing w:line="240" w:lineRule="auto" w:before="0" w:after="0"/>
              <w:pStyle w:val="Compact"/>
            </w:pPr>
            <w:r>
              <w:rPr>
                <w:sz w:val="20"/>
                <w:szCs w:val="20"/>
              </w:rPr>
              <w:t xml:space="preserve">0.0473</w:t>
            </w:r>
          </w:p>
        </w:tc>
      </w:tr>
    </w:tbl>
    <w:p>
      <w:pPr>
        <w:pStyle w:val="BodyText"/>
        <w:spacing w:line="480" w:lineRule="auto"/>
        <w:ind w:firstLine="720"/>
      </w:pPr>
      <w:r>
        <w:t xml:space="preserve">Fit: N = 35 events = 18</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Time to cost breach versus log baseline cost across 35 NASA major projects, 2009 to 2025." title="" id="190" name="Picture"/>
            <a:graphic>
              <a:graphicData uri="http://schemas.openxmlformats.org/drawingml/2006/picture">
                <pic:pic>
                  <pic:nvPicPr>
                    <pic:cNvPr descr="D:/Claude_Code/brain/collegium/candidates/dissertations/ENTERPRISE_ACQ_12/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Time to cost breach versus log baseline cost across 35 NASA major projects, 2009 to 2025.</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GAO-12-207SP NASA Assessments of Selected Large-Scale Projects</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7.45</w:t>
            </w:r>
          </w:p>
        </w:tc>
        <w:tc>
          <w:tcPr>
            <w:tcW w:w="0" w:type="auto"/>
          </w:tcPr>
          <w:p>
            <w:pPr>
              <w:spacing w:line="240" w:lineRule="auto" w:before="0" w:after="0"/>
              <w:pStyle w:val="Compact"/>
            </w:pPr>
            <w:r>
              <w:rPr>
                <w:sz w:val="20"/>
                <w:szCs w:val="20"/>
              </w:rPr>
              <w:t xml:space="preserve">GAO-11-364SP NASA Assessments of Selected Large-Scale Projects 2011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GAO-20-405 NASA Assessments of Major Projects 2020</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GAO-16-309SP NASA Assessments of Major Projects 2016</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GAO-09-306SP NASA Assessments of Selected Large-Scale Projects 2009</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GAO-13-276SP NASA Assessments of Selected Large-Scale Projects 2013</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GAO-12-207SP NASA Assessments 2012</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GAO-14-338SP NASA Assessments of Major Projects 2014</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EGS_Ground_Systems</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HLS_Starship</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xEVA_Suits</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6.95</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GAO-21-306 NASA Assessments of Major Projects 2021</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GAO-16-309SP NASA Assessments of Major Projects 2016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GAO-17-262SP NASA Assessments of Major Projects 2017</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GLIDE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CLPS_VIPER</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6.95</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GAO-14-338SP NASA Assessments of Major Projects 2014</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project confirmation (KDP-C) to first reported cost breach above 15 percent or to right-censoring at last GAO Major Project Assessment</w:t>
            </w:r>
          </w:p>
        </w:tc>
        <w:tc>
          <w:tcPr>
            <w:tcW w:w="0" w:type="auto"/>
          </w:tcPr>
          <w:p>
            <w:pPr>
              <w:spacing w:line="240" w:lineRule="auto" w:before="0" w:after="0"/>
              <w:pStyle w:val="Compact"/>
            </w:pPr>
            <w:r>
              <w:rPr>
                <w:sz w:val="20"/>
                <w:szCs w:val="20"/>
              </w:rPr>
              <w:t xml:space="preserve">GAO NASA Major Project Assessment reports 2009-2025</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program crossed the 15 percent cost growth threshold above KDP-C baseline by last observation, 0 if right-censored</w:t>
            </w:r>
          </w:p>
        </w:tc>
        <w:tc>
          <w:tcPr>
            <w:tcW w:w="0" w:type="auto"/>
          </w:tcPr>
          <w:p>
            <w:pPr>
              <w:spacing w:line="240" w:lineRule="auto" w:before="0" w:after="0"/>
              <w:pStyle w:val="Compact"/>
            </w:pPr>
            <w:r>
              <w:rPr>
                <w:sz w:val="20"/>
                <w:szCs w:val="20"/>
              </w:rPr>
              <w:t xml:space="preserve">GAO NASA MPA series, cost-growth tables</w:t>
            </w:r>
          </w:p>
        </w:tc>
      </w:tr>
      <w:tr>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Ordinal 1-5 score for architecture complexity (1 single instrument bus, 5 multi-element crewed or flagship)</w:t>
            </w:r>
          </w:p>
        </w:tc>
        <w:tc>
          <w:tcPr>
            <w:tcW w:w="0" w:type="auto"/>
          </w:tcPr>
          <w:p>
            <w:pPr>
              <w:spacing w:line="240" w:lineRule="auto" w:before="0" w:after="0"/>
              <w:pStyle w:val="Compact"/>
            </w:pPr>
            <w:r>
              <w:rPr>
                <w:sz w:val="20"/>
                <w:szCs w:val="20"/>
              </w:rPr>
              <w:t xml:space="preserve">Coded from GAO MPA project descriptions</w:t>
            </w:r>
          </w:p>
        </w:tc>
      </w:tr>
      <w:tr>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Ordinal 1-4 score for design heritage (1 clean sheet, 4 block buy or direct heritage)</w:t>
            </w:r>
          </w:p>
        </w:tc>
        <w:tc>
          <w:tcPr>
            <w:tcW w:w="0" w:type="auto"/>
          </w:tcPr>
          <w:p>
            <w:pPr>
              <w:spacing w:line="240" w:lineRule="auto" w:before="0" w:after="0"/>
              <w:pStyle w:val="Compact"/>
            </w:pPr>
            <w:r>
              <w:rPr>
                <w:sz w:val="20"/>
                <w:szCs w:val="20"/>
              </w:rPr>
              <w:t xml:space="preserve">Coded from GAO MPA risk narratives and mission press kits</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Count of formal international partner agencies on the program at KDP-C</w:t>
            </w:r>
          </w:p>
        </w:tc>
        <w:tc>
          <w:tcPr>
            <w:tcW w:w="0" w:type="auto"/>
          </w:tcPr>
          <w:p>
            <w:pPr>
              <w:spacing w:line="240" w:lineRule="auto" w:before="0" w:after="0"/>
              <w:pStyle w:val="Compact"/>
            </w:pPr>
            <w:r>
              <w:rPr>
                <w:sz w:val="20"/>
                <w:szCs w:val="20"/>
              </w:rPr>
              <w:t xml:space="preserve">GAO MPA partner sections and NASA program offices</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Natural log of KDP-C baseline life-cycle cost in millions USD</w:t>
            </w:r>
          </w:p>
        </w:tc>
        <w:tc>
          <w:tcPr>
            <w:tcW w:w="0" w:type="auto"/>
          </w:tcPr>
          <w:p>
            <w:pPr>
              <w:spacing w:line="240" w:lineRule="auto" w:before="0" w:after="0"/>
              <w:pStyle w:val="Compact"/>
            </w:pPr>
            <w:r>
              <w:rPr>
                <w:sz w:val="20"/>
                <w:szCs w:val="20"/>
              </w:rPr>
              <w:t xml:space="preserve">GAO MPA baseline tables</w:t>
            </w:r>
          </w:p>
        </w:tc>
      </w:tr>
    </w:tbl>
    <w:bookmarkEnd w:id="194"/>
    <w:bookmarkEnd w:id="195"/>
    <w:bookmarkStart w:id="203" w:name="X39fb55fe59829479b11e8152c1074acfb547ae0"/>
    <w:p>
      <w:pPr>
        <w:pStyle w:val="Heading2"/>
        <w:spacing w:line="480" w:lineRule="auto"/>
      </w:pPr>
      <w:r>
        <w:t xml:space="preserve">A.2 Time to Flight: A Cox Survival Analysis of Architecture Choice and Development Duration in NASA Major Projects</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Monolithic</m:t>
                  </m:r>
                </m:e>
                <m:sub>
                  <m:r>
                    <m:t>i</m:t>
                  </m:r>
                </m:sub>
              </m:sSub>
              <m:r>
                <m:rPr>
                  <m:sty m:val="p"/>
                </m:rPr>
                <m:t>+</m:t>
              </m:r>
              <m:sSub>
                <m:e>
                  <m:r>
                    <m:t>β</m:t>
                  </m:r>
                </m:e>
                <m:sub>
                  <m:r>
                    <m:t>2</m:t>
                  </m:r>
                </m:sub>
              </m:sSub>
              <m:r>
                <m:t> </m:t>
              </m:r>
              <m:r>
                <m:rPr>
                  <m:sty m:val="p"/>
                </m:rPr>
                <m:t>log</m:t>
              </m:r>
              <m:sSub>
                <m:e>
                  <m:r>
                    <m:rPr>
                      <m:nor/>
                      <m:sty m:val="p"/>
                    </m:rPr>
                    <m:t>DevCost</m:t>
                  </m:r>
                </m:e>
                <m:sub>
                  <m:r>
                    <m:t>i</m:t>
                  </m:r>
                </m:sub>
              </m:sSub>
              <m:r>
                <m:rPr>
                  <m:sty m:val="p"/>
                </m:rPr>
                <m:t>+</m:t>
              </m:r>
              <m:sSub>
                <m:e>
                  <m:r>
                    <m:t>β</m:t>
                  </m:r>
                </m:e>
                <m:sub>
                  <m:r>
                    <m:t>3</m:t>
                  </m:r>
                </m:sub>
              </m:sSub>
              <m:r>
                <m:t> </m:t>
              </m:r>
              <m:sSub>
                <m:e>
                  <m:r>
                    <m:rPr>
                      <m:nor/>
                      <m:sty m:val="p"/>
                    </m:rPr>
                    <m:t>Heritage</m:t>
                  </m:r>
                </m:e>
                <m:sub>
                  <m:r>
                    <m:t>i</m:t>
                  </m:r>
                </m:sub>
              </m:sSub>
              <m:r>
                <m:rPr>
                  <m:sty m:val="p"/>
                </m:rPr>
                <m:t>+</m:t>
              </m:r>
              <m:sSub>
                <m:e>
                  <m:r>
                    <m:t>β</m:t>
                  </m:r>
                </m:e>
                <m:sub>
                  <m:r>
                    <m:t>4</m:t>
                  </m:r>
                </m:sub>
              </m:sSub>
              <m:r>
                <m:t> </m:t>
              </m:r>
              <m:sSub>
                <m:e>
                  <m:r>
                    <m:rPr>
                      <m:nor/>
                      <m:sty m:val="p"/>
                    </m:rPr>
                    <m:t>Instruments</m:t>
                  </m:r>
                </m:e>
                <m:sub>
                  <m:r>
                    <m:t>i</m:t>
                  </m:r>
                </m:sub>
              </m:sSub>
            </m:e>
          </m:d>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0.2116</w:t>
            </w:r>
          </w:p>
        </w:tc>
        <w:tc>
          <w:tcPr>
            <w:tcW w:w="0" w:type="auto"/>
          </w:tcPr>
          <w:p>
            <w:pPr>
              <w:spacing w:line="240" w:lineRule="auto" w:before="0" w:after="0"/>
              <w:pStyle w:val="Compact"/>
            </w:pPr>
            <w:r>
              <w:rPr>
                <w:sz w:val="20"/>
                <w:szCs w:val="20"/>
              </w:rPr>
              <w:t xml:space="preserve">0.5083</w:t>
            </w:r>
          </w:p>
        </w:tc>
        <w:tc>
          <w:tcPr>
            <w:tcW w:w="0" w:type="auto"/>
          </w:tcPr>
          <w:p>
            <w:pPr>
              <w:spacing w:line="240" w:lineRule="auto" w:before="0" w:after="0"/>
              <w:pStyle w:val="Compact"/>
            </w:pPr>
            <w:r>
              <w:rPr>
                <w:sz w:val="20"/>
                <w:szCs w:val="20"/>
              </w:rPr>
              <w:t xml:space="preserve">0.4164</w:t>
            </w:r>
          </w:p>
        </w:tc>
        <w:tc>
          <w:tcPr>
            <w:tcW w:w="0" w:type="auto"/>
          </w:tcPr>
          <w:p>
            <w:pPr>
              <w:spacing w:line="240" w:lineRule="auto" w:before="0" w:after="0"/>
              <w:pStyle w:val="Compact"/>
            </w:pPr>
            <w:r>
              <w:rPr>
                <w:sz w:val="20"/>
                <w:szCs w:val="20"/>
              </w:rPr>
              <w:t xml:space="preserve">0.6771</w:t>
            </w:r>
          </w:p>
        </w:tc>
        <w:tc>
          <w:tcPr>
            <w:tcW w:w="0" w:type="auto"/>
          </w:tcPr>
          <w:p>
            <w:pPr>
              <w:spacing w:line="240" w:lineRule="auto" w:before="0" w:after="0"/>
              <w:pStyle w:val="Compact"/>
            </w:pPr>
            <w:r>
              <w:rPr>
                <w:sz w:val="20"/>
                <w:szCs w:val="20"/>
              </w:rPr>
              <w:t xml:space="preserve">[-0.7846, 1.2078]</w:t>
            </w:r>
          </w:p>
        </w:tc>
        <w:tc>
          <w:tcPr>
            <w:tcW w:w="0" w:type="auto"/>
          </w:tcPr>
          <w:p>
            <w:pPr>
              <w:spacing w:line="240" w:lineRule="auto" w:before="0" w:after="0"/>
              <w:pStyle w:val="Compact"/>
            </w:pPr>
            <w:r>
              <w:rPr>
                <w:sz w:val="20"/>
                <w:szCs w:val="20"/>
              </w:rPr>
              <w:t xml:space="preserve">1.2357</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-1.5931</w:t>
            </w:r>
          </w:p>
        </w:tc>
        <w:tc>
          <w:tcPr>
            <w:tcW w:w="0" w:type="auto"/>
          </w:tcPr>
          <w:p>
            <w:pPr>
              <w:spacing w:line="240" w:lineRule="auto" w:before="0" w:after="0"/>
              <w:pStyle w:val="Compact"/>
            </w:pPr>
            <w:r>
              <w:rPr>
                <w:sz w:val="20"/>
                <w:szCs w:val="20"/>
              </w:rPr>
              <w:t xml:space="preserve">0.3645</w:t>
            </w:r>
          </w:p>
        </w:tc>
        <w:tc>
          <w:tcPr>
            <w:tcW w:w="0" w:type="auto"/>
          </w:tcPr>
          <w:p>
            <w:pPr>
              <w:spacing w:line="240" w:lineRule="auto" w:before="0" w:after="0"/>
              <w:pStyle w:val="Compact"/>
            </w:pPr>
            <w:r>
              <w:rPr>
                <w:sz w:val="20"/>
                <w:szCs w:val="20"/>
              </w:rPr>
              <w:t xml:space="preserve">-4.371</w:t>
            </w:r>
          </w:p>
        </w:tc>
        <w:tc>
          <w:tcPr>
            <w:tcW w:w="0" w:type="auto"/>
          </w:tcPr>
          <w:p>
            <w:pPr>
              <w:spacing w:line="240" w:lineRule="auto" w:before="0" w:after="0"/>
              <w:pStyle w:val="Compact"/>
            </w:pPr>
            <w:r>
              <w:rPr>
                <w:sz w:val="20"/>
                <w:szCs w:val="20"/>
              </w:rPr>
              <w:t xml:space="preserve">1.237e-05</w:t>
            </w:r>
          </w:p>
        </w:tc>
        <w:tc>
          <w:tcPr>
            <w:tcW w:w="0" w:type="auto"/>
          </w:tcPr>
          <w:p>
            <w:pPr>
              <w:spacing w:line="240" w:lineRule="auto" w:before="0" w:after="0"/>
              <w:pStyle w:val="Compact"/>
            </w:pPr>
            <w:r>
              <w:rPr>
                <w:sz w:val="20"/>
                <w:szCs w:val="20"/>
              </w:rPr>
              <w:t xml:space="preserve">[-2.3074, -0.8787]</w:t>
            </w:r>
          </w:p>
        </w:tc>
        <w:tc>
          <w:tcPr>
            <w:tcW w:w="0" w:type="auto"/>
          </w:tcPr>
          <w:p>
            <w:pPr>
              <w:spacing w:line="240" w:lineRule="auto" w:before="0" w:after="0"/>
              <w:pStyle w:val="Compact"/>
            </w:pPr>
            <w:r>
              <w:rPr>
                <w:sz w:val="20"/>
                <w:szCs w:val="20"/>
              </w:rPr>
              <w:t xml:space="preserve">0.2033</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0.0342</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0.0801</w:t>
            </w:r>
          </w:p>
        </w:tc>
        <w:tc>
          <w:tcPr>
            <w:tcW w:w="0" w:type="auto"/>
          </w:tcPr>
          <w:p>
            <w:pPr>
              <w:spacing w:line="240" w:lineRule="auto" w:before="0" w:after="0"/>
              <w:pStyle w:val="Compact"/>
            </w:pPr>
            <w:r>
              <w:rPr>
                <w:sz w:val="20"/>
                <w:szCs w:val="20"/>
              </w:rPr>
              <w:t xml:space="preserve">[-0.0041, 0.0725]</w:t>
            </w:r>
          </w:p>
        </w:tc>
        <w:tc>
          <w:tcPr>
            <w:tcW w:w="0" w:type="auto"/>
          </w:tcPr>
          <w:p>
            <w:pPr>
              <w:spacing w:line="240" w:lineRule="auto" w:before="0" w:after="0"/>
              <w:pStyle w:val="Compact"/>
            </w:pPr>
            <w:r>
              <w:rPr>
                <w:sz w:val="20"/>
                <w:szCs w:val="20"/>
              </w:rPr>
              <w:t xml:space="preserve">1.0348</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0.1303</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1.4273</w:t>
            </w:r>
          </w:p>
        </w:tc>
        <w:tc>
          <w:tcPr>
            <w:tcW w:w="0" w:type="auto"/>
          </w:tcPr>
          <w:p>
            <w:pPr>
              <w:spacing w:line="240" w:lineRule="auto" w:before="0" w:after="0"/>
              <w:pStyle w:val="Compact"/>
            </w:pPr>
            <w:r>
              <w:rPr>
                <w:sz w:val="20"/>
                <w:szCs w:val="20"/>
              </w:rPr>
              <w:t xml:space="preserve">0.1535</w:t>
            </w:r>
          </w:p>
        </w:tc>
        <w:tc>
          <w:tcPr>
            <w:tcW w:w="0" w:type="auto"/>
          </w:tcPr>
          <w:p>
            <w:pPr>
              <w:spacing w:line="240" w:lineRule="auto" w:before="0" w:after="0"/>
              <w:pStyle w:val="Compact"/>
            </w:pPr>
            <w:r>
              <w:rPr>
                <w:sz w:val="20"/>
                <w:szCs w:val="20"/>
              </w:rPr>
              <w:t xml:space="preserve">[-0.0486, 0.3093]</w:t>
            </w:r>
          </w:p>
        </w:tc>
        <w:tc>
          <w:tcPr>
            <w:tcW w:w="0" w:type="auto"/>
          </w:tcPr>
          <w:p>
            <w:pPr>
              <w:spacing w:line="240" w:lineRule="auto" w:before="0" w:after="0"/>
              <w:pStyle w:val="Compact"/>
            </w:pPr>
            <w:r>
              <w:rPr>
                <w:sz w:val="20"/>
                <w:szCs w:val="20"/>
              </w:rPr>
              <w:t xml:space="preserve">1.1392</w:t>
            </w:r>
          </w:p>
        </w:tc>
      </w:tr>
    </w:tbl>
    <w:p>
      <w:pPr>
        <w:pStyle w:val="BodyText"/>
        <w:spacing w:line="480" w:lineRule="auto"/>
        <w:ind w:firstLine="720"/>
      </w:pPr>
      <w:r>
        <w:t xml:space="preserve">Fit: N = 36 events = 28</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to launch for NASA major projects since PDR baseline, by architecture type." title="" id="198" name="Picture"/>
            <a:graphic>
              <a:graphicData uri="http://schemas.openxmlformats.org/drawingml/2006/picture">
                <pic:pic>
                  <pic:nvPicPr>
                    <pic:cNvPr descr="D:/Claude_Code/brain/collegium/candidates/dissertations/ENTERPRISE_ACQ_12/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to launch for NASA major projects since PDR baseline, by architecture type.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Major Project Assessment 2019; JWST launched Dec 2021</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NASA MPA 2012; Curiosity launched Nov 2011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MPA 2020; Perseverance launched Jul 2020</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MPA 2016; OSIRIS-REx launched Sep 2016</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MPA 2018; launched Aug 2018</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launched Oct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launched Oct 2023</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MPA 2021; launched Oct 2021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MPA 2019; launched May 2018</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NASA MPA 2014; launched Nov 2013</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NASA MPA 2012; launched Sep 2011</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GAO-13-276SP NASA MPA 2013; launched Sep 2013</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Artemis I Nov 2022</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Artemis I 2022</w:t>
            </w:r>
          </w:p>
        </w:tc>
      </w:tr>
      <w:tr>
        <w:tc>
          <w:tcPr>
            <w:tcW w:w="0" w:type="auto"/>
          </w:tcPr>
          <w:p>
            <w:pPr>
              <w:spacing w:line="240" w:lineRule="auto" w:before="0" w:after="0"/>
              <w:pStyle w:val="Compact"/>
            </w:pPr>
            <w:r>
              <w:rPr>
                <w:sz w:val="20"/>
                <w:szCs w:val="20"/>
              </w:rPr>
              <w:t xml:space="preserve">EGS_Artemis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Artemis I 2022</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2027 [illustrative]</w:t>
            </w:r>
          </w:p>
        </w:tc>
      </w:tr>
      <w:tr>
        <w:tc>
          <w:tcPr>
            <w:tcW w:w="0" w:type="auto"/>
          </w:tcPr>
          <w:p>
            <w:pPr>
              <w:spacing w:line="240" w:lineRule="auto" w:before="0" w:after="0"/>
              <w:pStyle w:val="Compact"/>
            </w:pPr>
            <w:r>
              <w:rPr>
                <w:sz w:val="20"/>
                <w:szCs w:val="20"/>
              </w:rPr>
              <w:t xml:space="preserve">MSR_SRL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MPA 2023; replan ongoing</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2027</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2028</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cancelled Jul 2024</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MPA 2018; launched Apr 2018</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NASA MPA 2019; launched Sep 2018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launched Dec 2022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MPA 2024; launched Jul 2025</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MPA 2021; launched Sep 2021</w:t>
            </w:r>
          </w:p>
        </w:tc>
      </w:tr>
      <w:tr>
        <w:tc>
          <w:tcPr>
            <w:tcW w:w="0" w:type="auto"/>
          </w:tcPr>
          <w:p>
            <w:pPr>
              <w:spacing w:line="240" w:lineRule="auto" w:before="0" w:after="0"/>
              <w:pStyle w:val="Compact"/>
            </w:pPr>
            <w:r>
              <w:rPr>
                <w:sz w:val="20"/>
                <w:szCs w:val="20"/>
              </w:rPr>
              <w:t xml:space="preserve">GOES_R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MPA 2016; GOES-R launched Nov 2016</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launched Nov 2022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launched Mar 2025</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launched Feb 2024</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MPA 2021; launched Dec 2021</w:t>
            </w:r>
          </w:p>
        </w:tc>
      </w:tr>
      <w:tr>
        <w:tc>
          <w:tcPr>
            <w:tcW w:w="0" w:type="auto"/>
          </w:tcPr>
          <w:p>
            <w:pPr>
              <w:spacing w:line="240" w:lineRule="auto" w:before="0" w:after="0"/>
              <w:pStyle w:val="Compact"/>
            </w:pPr>
            <w:r>
              <w:rPr>
                <w:sz w:val="20"/>
                <w:szCs w:val="20"/>
              </w:rPr>
              <w:t xml:space="preserve">TROPICS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MPA 2022; constellation 2023</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MPA 2016; launched Dec 2016</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2027</w:t>
            </w:r>
          </w:p>
        </w:tc>
      </w:tr>
      <w:tr>
        <w:tc>
          <w:tcPr>
            <w:tcW w:w="0" w:type="auto"/>
          </w:tcPr>
          <w:p>
            <w:pPr>
              <w:spacing w:line="240" w:lineRule="auto" w:before="0" w:after="0"/>
              <w:pStyle w:val="Compact"/>
            </w:pPr>
            <w:r>
              <w:rPr>
                <w:sz w:val="20"/>
                <w:szCs w:val="20"/>
              </w:rPr>
              <w:t xml:space="preserve">AOS_Storm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MPA 2024; launch NET 2028 [illustrative]</w:t>
            </w:r>
          </w:p>
        </w:tc>
      </w:tr>
      <w:tr>
        <w:tc>
          <w:tcPr>
            <w:tcW w:w="0" w:type="auto"/>
          </w:tcPr>
          <w:p>
            <w:pPr>
              <w:spacing w:line="240" w:lineRule="auto" w:before="0" w:after="0"/>
              <w:pStyle w:val="Compact"/>
            </w:pPr>
            <w:r>
              <w:rPr>
                <w:sz w:val="20"/>
                <w:szCs w:val="20"/>
              </w:rPr>
              <w:t xml:space="preserve">GeoCarb</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MPA 2022; cancelled 2022</w:t>
            </w:r>
          </w:p>
        </w:tc>
      </w:tr>
      <w:tr>
        <w:tc>
          <w:tcPr>
            <w:tcW w:w="0" w:type="auto"/>
          </w:tcPr>
          <w:p>
            <w:pPr>
              <w:spacing w:line="240" w:lineRule="auto" w:before="0" w:after="0"/>
              <w:pStyle w:val="Compact"/>
            </w:pPr>
            <w:r>
              <w:rPr>
                <w:sz w:val="20"/>
                <w:szCs w:val="20"/>
              </w:rPr>
              <w:t xml:space="preserve">CLPS_CP11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MPA 2023; CLPS deliveries 2024</w:t>
            </w:r>
          </w:p>
        </w:tc>
      </w:tr>
    </w:tbl>
    <w:bookmarkEnd w:id="201"/>
    <w:bookmarkStart w:id="202"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elapsed from Preliminary Design Review baseline to launch or to most recent GAO assessment if not yet launched</w:t>
            </w:r>
          </w:p>
        </w:tc>
        <w:tc>
          <w:tcPr>
            <w:tcW w:w="0" w:type="auto"/>
          </w:tcPr>
          <w:p>
            <w:pPr>
              <w:spacing w:line="240" w:lineRule="auto" w:before="0" w:after="0"/>
              <w:pStyle w:val="Compact"/>
            </w:pPr>
            <w:r>
              <w:rPr>
                <w:sz w:val="20"/>
                <w:szCs w:val="20"/>
              </w:rPr>
              <w:t xml:space="preserve">GAO NASA Major Project Assessment reports 2012-2024</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equal to 1 if the project achieved launch by the observation window close, 0 if still in development or cancelled (right censored)</w:t>
            </w:r>
          </w:p>
        </w:tc>
        <w:tc>
          <w:tcPr>
            <w:tcW w:w="0" w:type="auto"/>
          </w:tcPr>
          <w:p>
            <w:pPr>
              <w:spacing w:line="240" w:lineRule="auto" w:before="0" w:after="0"/>
              <w:pStyle w:val="Compact"/>
            </w:pPr>
            <w:r>
              <w:rPr>
                <w:sz w:val="20"/>
                <w:szCs w:val="20"/>
              </w:rPr>
              <w:t xml:space="preserve">GAO MPA series and NASA mission press kits</w:t>
            </w:r>
          </w:p>
        </w:tc>
      </w:tr>
      <w:tr>
        <w:tc>
          <w:tcPr>
            <w:tcW w:w="0" w:type="auto"/>
          </w:tcPr>
          <w:p>
            <w:pPr>
              <w:spacing w:line="240" w:lineRule="auto" w:before="0" w:after="0"/>
              <w:pStyle w:val="Compact"/>
            </w:pPr>
            <w:r>
              <w:rPr>
                <w:sz w:val="20"/>
                <w:szCs w:val="20"/>
              </w:rPr>
              <w:t xml:space="preserve">monolithic</w:t>
            </w:r>
          </w:p>
        </w:tc>
        <w:tc>
          <w:tcPr>
            <w:tcW w:w="0" w:type="auto"/>
          </w:tcPr>
          <w:p>
            <w:pPr>
              <w:spacing w:line="240" w:lineRule="auto" w:before="0" w:after="0"/>
              <w:pStyle w:val="Compact"/>
            </w:pPr>
            <w:r>
              <w:rPr>
                <w:sz w:val="20"/>
                <w:szCs w:val="20"/>
              </w:rPr>
              <w:t xml:space="preserve">Indicator equal to 1 if the architecture is a single integrated flight element, 0 if distributed or disaggregated across multiple platforms</w:t>
            </w:r>
          </w:p>
        </w:tc>
        <w:tc>
          <w:tcPr>
            <w:tcW w:w="0" w:type="auto"/>
          </w:tcPr>
          <w:p>
            <w:pPr>
              <w:spacing w:line="240" w:lineRule="auto" w:before="0" w:after="0"/>
              <w:pStyle w:val="Compact"/>
            </w:pPr>
            <w:r>
              <w:rPr>
                <w:sz w:val="20"/>
                <w:szCs w:val="20"/>
              </w:rPr>
              <w:t xml:space="preserve">Mission press kits and project architecture documents</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Natural log of baseline development cost in millions USD at PDR</w:t>
            </w:r>
          </w:p>
        </w:tc>
        <w:tc>
          <w:tcPr>
            <w:tcW w:w="0" w:type="auto"/>
          </w:tcPr>
          <w:p>
            <w:pPr>
              <w:spacing w:line="240" w:lineRule="auto" w:before="0" w:after="0"/>
              <w:pStyle w:val="Compact"/>
            </w:pPr>
            <w:r>
              <w:rPr>
                <w:sz w:val="20"/>
                <w:szCs w:val="20"/>
              </w:rPr>
              <w:t xml:space="preserve">GAO NASA MPA series</w:t>
            </w:r>
          </w:p>
        </w:tc>
      </w:tr>
      <w:tr>
        <w:tc>
          <w:tcPr>
            <w:tcW w:w="0" w:type="auto"/>
          </w:tcPr>
          <w:p>
            <w:pPr>
              <w:spacing w:line="240" w:lineRule="auto" w:before="0" w:after="0"/>
              <w:pStyle w:val="Compact"/>
            </w:pPr>
            <w:r>
              <w:rPr>
                <w:sz w:val="20"/>
                <w:szCs w:val="20"/>
              </w:rPr>
              <w:t xml:space="preserve">heritage_pct</w:t>
            </w:r>
          </w:p>
        </w:tc>
        <w:tc>
          <w:tcPr>
            <w:tcW w:w="0" w:type="auto"/>
          </w:tcPr>
          <w:p>
            <w:pPr>
              <w:spacing w:line="240" w:lineRule="auto" w:before="0" w:after="0"/>
              <w:pStyle w:val="Compact"/>
            </w:pPr>
            <w:r>
              <w:rPr>
                <w:sz w:val="20"/>
                <w:szCs w:val="20"/>
              </w:rPr>
              <w:t xml:space="preserve">Percent of subsystems flown previously on a comparable mission</w:t>
            </w:r>
          </w:p>
        </w:tc>
        <w:tc>
          <w:tcPr>
            <w:tcW w:w="0" w:type="auto"/>
          </w:tcPr>
          <w:p>
            <w:pPr>
              <w:spacing w:line="240" w:lineRule="auto" w:before="0" w:after="0"/>
              <w:pStyle w:val="Compact"/>
            </w:pPr>
            <w:r>
              <w:rPr>
                <w:sz w:val="20"/>
                <w:szCs w:val="20"/>
              </w:rPr>
              <w:t xml:space="preserve">NASA cost estimating documents and project websites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Number of distinct science or operational instruments planned at PDR baseline</w:t>
            </w:r>
          </w:p>
        </w:tc>
        <w:tc>
          <w:tcPr>
            <w:tcW w:w="0" w:type="auto"/>
          </w:tcPr>
          <w:p>
            <w:pPr>
              <w:spacing w:line="240" w:lineRule="auto" w:before="0" w:after="0"/>
              <w:pStyle w:val="Compact"/>
            </w:pPr>
            <w:r>
              <w:rPr>
                <w:sz w:val="20"/>
                <w:szCs w:val="20"/>
              </w:rPr>
              <w:t xml:space="preserve">Mission press kits and NASA project pages</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55" Type="http://schemas.openxmlformats.org/officeDocument/2006/relationships/hyperlink" Target="https://doi.org/10.1016/j.actaastro.2019.07.032" TargetMode="External"/><Relationship Id="rId150" Type="http://schemas.openxmlformats.org/officeDocument/2006/relationships/hyperlink" Target="https://doi.org/10.1016/j.actaastro.2019.09.030" TargetMode="External"/><Relationship Id="rId181" Type="http://schemas.openxmlformats.org/officeDocument/2006/relationships/hyperlink" Target="https://doi.org/10.1016/j.actaastro.2021.01.009" TargetMode="External"/><Relationship Id="rId179" Type="http://schemas.openxmlformats.org/officeDocument/2006/relationships/hyperlink" Target="https://doi.org/10.1016/j.actaastro.2023.04.043" TargetMode="External"/><Relationship Id="rId175" Type="http://schemas.openxmlformats.org/officeDocument/2006/relationships/hyperlink" Target="https://doi.org/10.1016/j.actaastro.2024.05.009" TargetMode="External"/><Relationship Id="rId171" Type="http://schemas.openxmlformats.org/officeDocument/2006/relationships/hyperlink" Target="https://doi.org/10.1016/j.actaastro.2024.05.018" TargetMode="External"/><Relationship Id="rId183" Type="http://schemas.openxmlformats.org/officeDocument/2006/relationships/hyperlink" Target="https://doi.org/10.1016/j.actaastro.2024.05.022" TargetMode="External"/><Relationship Id="rId185" Type="http://schemas.openxmlformats.org/officeDocument/2006/relationships/hyperlink" Target="https://doi.org/10.1016/j.actaastro.2024.05.040" TargetMode="External"/><Relationship Id="rId177" Type="http://schemas.openxmlformats.org/officeDocument/2006/relationships/hyperlink" Target="https://doi.org/10.1016/j.actaastro.2024.07.023" TargetMode="External"/><Relationship Id="rId173" Type="http://schemas.openxmlformats.org/officeDocument/2006/relationships/hyperlink" Target="https://doi.org/10.1016/j.actaastro.2025.06.012" TargetMode="External"/><Relationship Id="rId164" Type="http://schemas.openxmlformats.org/officeDocument/2006/relationships/hyperlink" Target="https://doi.org/10.64861/DMDO1602" TargetMode="External"/><Relationship Id="rId167" Type="http://schemas.openxmlformats.org/officeDocument/2006/relationships/hyperlink" Target="https://doi.org/10.64861/SQBE6637" TargetMode="External"/></Relationships>
</file>

<file path=word/_rels/footnotes.xml.rels><?xml version='1.0' encoding='UTF-8' standalone='yes'?>
<Relationships xmlns="http://schemas.openxmlformats.org/package/2006/relationships"><Relationship Id="rId155" Type="http://schemas.openxmlformats.org/officeDocument/2006/relationships/hyperlink" Target="https://doi.org/10.1016/j.actaastro.2019.07.032" TargetMode="External"/><Relationship Id="rId150" Type="http://schemas.openxmlformats.org/officeDocument/2006/relationships/hyperlink" Target="https://doi.org/10.1016/j.actaastro.2019.09.030" TargetMode="External"/><Relationship Id="rId181" Type="http://schemas.openxmlformats.org/officeDocument/2006/relationships/hyperlink" Target="https://doi.org/10.1016/j.actaastro.2021.01.009" TargetMode="External"/><Relationship Id="rId179" Type="http://schemas.openxmlformats.org/officeDocument/2006/relationships/hyperlink" Target="https://doi.org/10.1016/j.actaastro.2023.04.043" TargetMode="External"/><Relationship Id="rId175" Type="http://schemas.openxmlformats.org/officeDocument/2006/relationships/hyperlink" Target="https://doi.org/10.1016/j.actaastro.2024.05.009" TargetMode="External"/><Relationship Id="rId171" Type="http://schemas.openxmlformats.org/officeDocument/2006/relationships/hyperlink" Target="https://doi.org/10.1016/j.actaastro.2024.05.018" TargetMode="External"/><Relationship Id="rId183" Type="http://schemas.openxmlformats.org/officeDocument/2006/relationships/hyperlink" Target="https://doi.org/10.1016/j.actaastro.2024.05.022" TargetMode="External"/><Relationship Id="rId185" Type="http://schemas.openxmlformats.org/officeDocument/2006/relationships/hyperlink" Target="https://doi.org/10.1016/j.actaastro.2024.05.040" TargetMode="External"/><Relationship Id="rId177" Type="http://schemas.openxmlformats.org/officeDocument/2006/relationships/hyperlink" Target="https://doi.org/10.1016/j.actaastro.2024.07.023" TargetMode="External"/><Relationship Id="rId173" Type="http://schemas.openxmlformats.org/officeDocument/2006/relationships/hyperlink" Target="https://doi.org/10.1016/j.actaastro.2025.06.012" TargetMode="External"/><Relationship Id="rId164" Type="http://schemas.openxmlformats.org/officeDocument/2006/relationships/hyperlink" Target="https://doi.org/10.64861/DMDO1602" TargetMode="External"/><Relationship Id="rId167" Type="http://schemas.openxmlformats.org/officeDocument/2006/relationships/hyperlink" Target="https://doi.org/10.64861/SQBE66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Sustainment Tail: Does Acquisition-Phase Architecture Choice Determine Decadal Operating Cost in Federal Space Programs</dc:title>
  <dc:creator>Hugo Nilsson (1B-MPM-108)</dc:creator>
  <cp:keywords/>
  <dcterms:created xsi:type="dcterms:W3CDTF">2026-07-04T11:09:47Z</dcterms:created>
  <dcterms:modified xsi:type="dcterms:W3CDTF">2026-07-04T11:09:47Z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