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b5fc228df85bb0abaadd7249aad61934155038d"/>
    <w:p>
      <w:pPr>
        <w:pStyle w:val="Heading1"/>
      </w:pPr>
      <w:r>
        <w:t xml:space="preserve">Estimating Cost-Growth Magnitude in NASA Major Projects: An OLS Test of Governance Density, Complexity, and Acquisition Mode</w:t>
      </w:r>
    </w:p>
    <w:bookmarkStart w:id="61" w:name="introduction"/>
    <w:p>
      <w:pPr>
        <w:pStyle w:val="Heading2"/>
      </w:pPr>
      <w:r>
        <w:t xml:space="preserve">1. Introduction</w:t>
      </w:r>
    </w:p>
    <w:p>
      <w:pPr>
        <w:pStyle w:val="FirstParagraph"/>
      </w:pPr>
      <w:r>
        <w:t xml:space="preserve">The companion paper to this study reframed the NASA major-project portfolio as a survival problem, asking when a program crosses a fixed cost-growth threshold. That formulation answers a binary question and discards the magnitude of growth conditional on its occurrence. A program that ends 5 percent above its KDP-C baseline and a program that ends 95 percent above it are treated identically once both have crossed the threshold. For acquisition policy the magnitude is the substantive quantity of interest, because it is the number that returns to appropriators. This paper therefore estimates an ordinary least squares model of cost-growth percent as a continuous outcome, conditional on technical complexity, the count of standing oversight committees at confirmation, prime contractor count, an indicator for fixed-price commercial services acquisition, and cumulative schedule slip. The estimand is the conditional mean of life-cycle cost growth across the modern portfolio of NASA major projects documented in the GAO Major Project Annual Assessment series.</w:t>
      </w:r>
    </w:p>
    <w:bookmarkEnd w:id="61"/>
    <w:bookmarkStart w:id="62" w:name="theory-and-hypotheses"/>
    <w:p>
      <w:pPr>
        <w:pStyle w:val="Heading2"/>
      </w:pPr>
      <w:r>
        <w:t xml:space="preserve">2. Theory and Hypotheses</w:t>
      </w:r>
    </w:p>
    <w:p>
      <w:pPr>
        <w:pStyle w:val="FirstParagraph"/>
      </w:pPr>
      <w:r>
        <w:t xml:space="preserve">Cohen, March, and Olsen</w:t>
      </w:r>
      <w:r>
        <w:t xml:space="preserve"> </w:t>
      </w:r>
      <w:hyperlink w:anchor="ref-1">
        <m:oMathPara>
          <m:oMathParaPr>
            <m:jc m:val="center"/>
          </m:oMathParaPr>
          <m:oMath>
            <m:r>
              <m:t>1</m:t>
            </m:r>
          </m:oMath>
        </m:oMathPara>
      </w:hyperlink>
      <w:r>
        <w:t xml:space="preserve"> </w:t>
      </w:r>
      <w:r>
        <w:t xml:space="preserve">argued that the rate of problem-solution coupling rises with the density of decision arenas. Translated to a magnitude question, the prediction is that a denser standing-committee structure produces a larger conditional mean cost growth because every additional arena multiplies the opportunities for problem reframing without a matching mechanism for cost discipline. Kingdon</w:t>
      </w:r>
      <w:r>
        <w:t xml:space="preserve"> </w:t>
      </w:r>
      <w:hyperlink w:anchor="ref-2">
        <m:oMathPara>
          <m:oMathParaPr>
            <m:jc m:val="center"/>
          </m:oMathParaPr>
          <m:oMath>
            <m:r>
              <m:t>2</m:t>
            </m:r>
          </m:oMath>
        </m:oMathPara>
      </w:hyperlink>
      <w:r>
        <w:t xml:space="preserve"> </w:t>
      </w:r>
      <w:r>
        <w:t xml:space="preserve">extended the framework with the language of windows and streams, again predicting larger drift the longer the program is exposed to many arenas. NASA major-project oversight populates each program with five to six standing review bodies [3, 4]. Schedule slip is included on the right-hand side not as a confounder to control away but as the operational mechanism through which standing committees translate into cost growth, since most programs that grow in cost do so because their schedule has slipped past the staffing and integration plan committed at KDP-C. Fixed-price commercial services contracting (Commercial Crew, CLPS, HLS, Gateway public-private) deliberately collapses the cost-side discretion of the acquirer [5, 6]. The hypotheses follow.</w:t>
      </w:r>
    </w:p>
    <w:p>
      <w:pPr>
        <w:pStyle w:val="FirstParagraph"/>
      </w:pPr>
      <w:r>
        <w:t xml:space="preserve">H1: The conditional mean of cost-growth percent rises with the count of standing oversight committees, with technical complexity, and with cumulative schedule slip.</w:t>
      </w:r>
    </w:p>
    <w:p>
      <w:pPr>
        <w:pStyle w:val="BodyText"/>
      </w:pPr>
      <w:r>
        <w:t xml:space="preserve">H2: Fixed-price commercial services acquisition shifts the conditional mean relative to traditional cost-plus.</w:t>
      </w:r>
    </w:p>
    <w:bookmarkEnd w:id="62"/>
    <w:bookmarkStart w:id="63" w:name="data"/>
    <w:p>
      <w:pPr>
        <w:pStyle w:val="Heading2"/>
      </w:pPr>
      <w:r>
        <w:t xml:space="preserve">3. Data</w:t>
      </w:r>
    </w:p>
    <w:p>
      <w:pPr>
        <w:pStyle w:val="FirstParagraph"/>
      </w:pPr>
      <w:r>
        <w:t xml:space="preserve">The unit of analysis is the NASA major project at its most recent GAO observation. Thirty-seven programs were compiled from the GAO Major Project Annual Assessment series across reports gao-12-207sp, gao-13-276sp, gao-14-338sp, gao-15-320sp, gao-16-309sp, gao-17-291, gao-18-280sp, gao-18-317, gao-18-385sp, gao-19-189, gao-20-121, gao-20-405, gao-21-306, gao-22-105212, gao-23-106021, gao-24-106767, gao-24-107249, and gao-25-107591, with NASA OIG audits IG-22-003 and IG-24-006 supplying the CLPS and VIPER observations [3, 4, 7, 8, 9]. Each row records cost growth percent, complexity tier, oversight committee count at KDP-C, prime contractor count, fixed-price commercial services indicator, schedule slip in months, and an explicit citation to the underlying source report.</w:t>
      </w:r>
    </w:p>
    <w:bookmarkEnd w:id="63"/>
    <w:bookmarkStart w:id="64" w:name="method"/>
    <w:p>
      <w:pPr>
        <w:pStyle w:val="Heading2"/>
      </w:pPr>
      <w:r>
        <w:t xml:space="preserve">4. Method</w:t>
      </w:r>
    </w:p>
    <w:p>
      <w:pPr>
        <w:pStyle w:val="FirstParagraph"/>
      </w:pPr>
      <w:r>
        <w:t xml:space="preserve">OLS estimates the conditional mean of cost growth percent as a linear function of the five right-hand-side variables. The model is CostGrowth = b0 + b1 Complexity + b2 Committees + b3 Primes + b4 NewSpace + b5 SchedSlip + epsilon, fit by the standard normal-equations solution implemented in the dissertation paper engine. Heteroskedasticity-consistent standard errors are reported by default in that engine, and the F-statistic, R-squared, and adjusted R-squared are reported alongside per-term Wald p-values. With N = 37 and five right-hand-side regressors plus a constant, degrees of freedom are sufficient for inference under the standard assumptions, while remaining small enough that the interpretive emphasis sits with effect sizes rather than asymptotic p-values alone.</w:t>
      </w:r>
    </w:p>
    <w:bookmarkEnd w:id="64"/>
    <w:bookmarkStart w:id="65" w:name="findings"/>
    <w:p>
      <w:pPr>
        <w:pStyle w:val="Heading2"/>
      </w:pPr>
      <w:r>
        <w:t xml:space="preserve">5. Findings</w:t>
      </w:r>
    </w:p>
    <w:p>
      <w:pPr>
        <w:pStyle w:val="FirstParagraph"/>
      </w:pPr>
      <w:r>
        <w:t xml:space="preserve">The model fit R-squared of 0.7396 and adjusted R-squared of 0.6976, with F = 7.881 and a joint p-value of 6.97e-05. The intercept of negative 30.03 is significant at p = 0.0058. The coefficient on complexity is 15.34 with p = 0.0066, indicating that each step up the GAO complexity ladder is associated with roughly fifteen percentage points of additional life-cycle cost growth in conditional mean, after partialling out the other regressors. The coefficient on standing oversight committee count is negative 2.06 with p = 0.5382, which sits against H1 and is not statistically distinguishable from zero in this sample. Prime contractor count carries a coefficient of 4.55 with p = 0.3526, again not distinguishable from zero. The fixed-price commercial services indicator carries the largest single coefficient at negative 27.28 with p effectively at zero, indicating that programs in that acquisition mode show a conditional mean cost growth roughly twenty-seven points below their cost-plus peers. Schedule slip carries a coefficient of 1.015 with p = 0.0001, indicating that each additional month of schedule slip is associated with roughly one additional percentage point of cost growth in conditional mean.</w:t>
      </w:r>
    </w:p>
    <w:bookmarkEnd w:id="65"/>
    <w:bookmarkStart w:id="66" w:name="discussion"/>
    <w:p>
      <w:pPr>
        <w:pStyle w:val="Heading2"/>
      </w:pPr>
      <w:r>
        <w:t xml:space="preserve">6. Discussion</w:t>
      </w:r>
    </w:p>
    <w:p>
      <w:pPr>
        <w:pStyle w:val="FirstParagraph"/>
      </w:pPr>
      <w:r>
        <w:t xml:space="preserve">The most defensible reading is that, once complexity and schedule slip are in the model, the standing-committee count loses the explanatory work it appeared to do in the survival formulation. Either the variation it carried is now flowing through complexity (a plausible reading because GAO complexity tiers are constructed in part from the count of integrating bodies) or it carries direction without magnitude (a plausible reading because adding a committee may accelerate the timing of a breach without enlarging its size). Schedule slip is the dominant mechanism on the magnitude side at roughly one point of cost per month of slip, a quantity that matches the rough rule of thumb used in NASA confirmation-review staff work</w:t>
      </w:r>
      <w:r>
        <w:t xml:space="preserve"> </w:t>
      </w:r>
      <w:hyperlink w:anchor="ref-4">
        <m:oMathPara>
          <m:oMathParaPr>
            <m:jc m:val="center"/>
          </m:oMathParaPr>
          <m:oMath>
            <m:r>
              <m:t>4</m:t>
            </m:r>
          </m:oMath>
        </m:oMathPara>
      </w:hyperlink>
      <w:r>
        <w:t xml:space="preserve">. The complexity coefficient is consistent with H1 directionally and magnitudinally. The fixed-price commercial services result is the most consequential single finding for acquisition policy in this sample. The negative twenty-seven point conditional mean shift is large enough that, if the sample is representative of the next decade of NASA mission starts, the cost-plus to commercial services choice carries more weight on cost-growth magnitude than the count of oversight committees, the count of prime contractors, or, conditional on slip, complexity itself. The garbage-can framework therefore receives partial support on the magnitude side: complexity and time pressure couple with cost growth as predicted, while the count of arenas does not. A follow-on study should partition new-space programs by maturity at contract award to test whether the conditional mean shift survives the sample expansion.</w:t>
      </w:r>
    </w:p>
    <w:bookmarkEnd w:id="66"/>
    <w:bookmarkStart w:id="76" w:name="references"/>
    <w:p>
      <w:pPr>
        <w:pStyle w:val="Heading2"/>
      </w:pPr>
      <w:r>
        <w:t xml:space="preserve">References</w:t>
      </w:r>
    </w:p>
    <w:p>
      <w:pPr>
        <w:pStyle w:val="FirstParagraph"/>
      </w:pPr>
      <w:bookmarkStart w:id="67" w:name="ref-1"/>
      <w:bookmarkEnd w:id="67"/>
      <w:r>
        <w:t xml:space="preserve">1. M. D. Cohen, J. G. March, and J. P. Olsen, A Garbage Can Model of Organizational Choice, Administrative Science Quarterly, 1972.</w:t>
      </w:r>
    </w:p>
    <w:p>
      <w:pPr>
        <w:pStyle w:val="BodyText"/>
      </w:pPr>
      <w:bookmarkStart w:id="68" w:name="ref-2"/>
      <w:bookmarkEnd w:id="68"/>
      <w:r>
        <w:t xml:space="preserve">2. J. W. Kingdon, Agendas, Alternatives, and Public Policies, Little, Brown, 1984.</w:t>
      </w:r>
    </w:p>
    <w:p>
      <w:pPr>
        <w:pStyle w:val="BodyText"/>
      </w:pPr>
      <w:bookmarkStart w:id="69" w:name="ref-3"/>
      <w:bookmarkEnd w:id="69"/>
      <w:r>
        <w:t xml:space="preserve">3. U.S. Government Accountability Office, NASA Major Project Annual Assessment, gao-25-107591, 2025, gao.gov/products/gao-25-107591.</w:t>
      </w:r>
    </w:p>
    <w:p>
      <w:pPr>
        <w:pStyle w:val="BodyText"/>
      </w:pPr>
      <w:bookmarkStart w:id="70" w:name="ref-4"/>
      <w:bookmarkEnd w:id="70"/>
      <w:r>
        <w:t xml:space="preserve">4. U.S. Government Accountability Office, NASA Major Project Assessment, gao-24-106767, 2024, gao.gov/products/gao-24-106767.</w:t>
      </w:r>
    </w:p>
    <w:p>
      <w:pPr>
        <w:pStyle w:val="BodyText"/>
      </w:pPr>
      <w:bookmarkStart w:id="71" w:name="ref-5"/>
      <w:bookmarkEnd w:id="71"/>
      <w:r>
        <w:t xml:space="preserve">5. U.S. Government Accountability Office, NASA Commercial Crew Program, gao-18-317, 2018, gao.gov/products/gao-18-317.</w:t>
      </w:r>
    </w:p>
    <w:p>
      <w:pPr>
        <w:pStyle w:val="BodyText"/>
      </w:pPr>
      <w:bookmarkStart w:id="72" w:name="ref-6"/>
      <w:bookmarkEnd w:id="72"/>
      <w:r>
        <w:t xml:space="preserve">6. U.S. Government Accountability Office, NASA Human Landing System, gao-24-107249, 2024, gao.gov/products/gao-24-107249.</w:t>
      </w:r>
    </w:p>
    <w:p>
      <w:pPr>
        <w:pStyle w:val="BodyText"/>
      </w:pPr>
      <w:bookmarkStart w:id="73" w:name="ref-7"/>
      <w:bookmarkEnd w:id="73"/>
      <w:r>
        <w:t xml:space="preserve">7. U.S. Government Accountability Office, NASA Major Project Assessment, gao-23-106021, 2023, gao.gov/products/gao-23-106021.</w:t>
      </w:r>
    </w:p>
    <w:p>
      <w:pPr>
        <w:pStyle w:val="BodyText"/>
      </w:pPr>
      <w:bookmarkStart w:id="74" w:name="ref-8"/>
      <w:bookmarkEnd w:id="74"/>
      <w:r>
        <w:t xml:space="preserve">8. NASA Office of Inspector General, NASA’s Commercial Lunar Payload Services Initiative, IG-22-003, 2021, oig.nasa.gov/docs/IG-22-003.pdf.</w:t>
      </w:r>
    </w:p>
    <w:p>
      <w:pPr>
        <w:pStyle w:val="BodyText"/>
      </w:pPr>
      <w:bookmarkStart w:id="75" w:name="ref-9"/>
      <w:bookmarkEnd w:id="75"/>
      <w:r>
        <w:t xml:space="preserve">9. NASA Office of Inspector General, NASA’s Volatiles Investigating Polar Exploration Rover Project, IG-24-006, 2024, oig.nasa.gov/docs/IG-24-006.pdf.</w:t>
      </w:r>
    </w:p>
    <w:bookmarkEnd w:id="76"/>
    <w:bookmarkStart w:id="77" w:name="specification"/>
    <w:p>
      <w:pPr>
        <w:pStyle w:val="Heading2"/>
      </w:pPr>
      <w:r>
        <w:t xml:space="preserve">Specification</w:t>
      </w:r>
    </w:p>
    <w:p>
      <w:pPr>
        <w:pStyle w:val="FirstParagraph"/>
      </w:pPr>
      <m:oMathPara>
        <m:oMathParaPr>
          <m:jc m:val="center"/>
        </m:oMathParaPr>
        <m:oMath>
          <m:sSub>
            <m:e>
              <m:r>
                <m:rPr>
                  <m:sty m:val="p"/>
                </m:rPr>
                <m:t>C</m:t>
              </m:r>
              <m:r>
                <m:rPr>
                  <m:sty m:val="p"/>
                </m:rPr>
                <m:t>o</m:t>
              </m:r>
              <m:r>
                <m:rPr>
                  <m:sty m:val="p"/>
                </m:rPr>
                <m:t>s</m:t>
              </m:r>
              <m:r>
                <m:rPr>
                  <m:sty m:val="p"/>
                </m:rPr>
                <m:t>t</m:t>
              </m:r>
              <m:r>
                <m:rPr>
                  <m:sty m:val="p"/>
                </m:rPr>
                <m:t>G</m:t>
              </m:r>
              <m:r>
                <m:rPr>
                  <m:sty m:val="p"/>
                </m:rPr>
                <m:t>r</m:t>
              </m:r>
              <m:r>
                <m:rPr>
                  <m:sty m:val="p"/>
                </m:rPr>
                <m:t>o</m:t>
              </m:r>
              <m:r>
                <m:rPr>
                  <m:sty m:val="p"/>
                </m:rPr>
                <m:t>w</m:t>
              </m:r>
              <m:r>
                <m:rPr>
                  <m:sty m:val="p"/>
                </m:rPr>
                <m:t>t</m:t>
              </m:r>
              <m:r>
                <m:rPr>
                  <m:sty m:val="p"/>
                </m:rPr>
                <m:t>h</m:t>
              </m:r>
            </m:e>
            <m:sub>
              <m:r>
                <m:t>i</m:t>
              </m:r>
            </m:sub>
          </m:sSub>
          <m:r>
            <m:rPr>
              <m:sty m:val="p"/>
            </m:rPr>
            <m:t>=</m:t>
          </m:r>
          <m:sSub>
            <m:e>
              <m:r>
                <m:t>β</m:t>
              </m:r>
            </m:e>
            <m:sub>
              <m:r>
                <m:t>0</m:t>
              </m:r>
            </m:sub>
          </m:sSub>
          <m:r>
            <m:rPr>
              <m:sty m:val="p"/>
            </m:rPr>
            <m:t>+</m:t>
          </m:r>
          <m:sSub>
            <m:e>
              <m:r>
                <m:t>β</m:t>
              </m:r>
            </m:e>
            <m:sub>
              <m:r>
                <m:t>1</m:t>
              </m:r>
            </m:sub>
          </m:sSub>
          <m:sSub>
            <m:e>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e>
            <m:sub>
              <m:r>
                <m:t>i</m:t>
              </m:r>
            </m:sub>
          </m:sSub>
          <m:r>
            <m:rPr>
              <m:sty m:val="p"/>
            </m:rPr>
            <m:t>+</m:t>
          </m:r>
          <m:sSub>
            <m:e>
              <m:r>
                <m:t>β</m:t>
              </m:r>
            </m:e>
            <m:sub>
              <m:r>
                <m:t>2</m:t>
              </m:r>
            </m:sub>
          </m:sSub>
          <m:sSub>
            <m:e>
              <m:r>
                <m:rPr>
                  <m:sty m:val="p"/>
                </m:rPr>
                <m:t>C</m:t>
              </m:r>
              <m:r>
                <m:rPr>
                  <m:sty m:val="p"/>
                </m:rPr>
                <m:t>o</m:t>
              </m:r>
              <m:r>
                <m:rPr>
                  <m:sty m:val="p"/>
                </m:rPr>
                <m:t>m</m:t>
              </m:r>
              <m:r>
                <m:rPr>
                  <m:sty m:val="p"/>
                </m:rPr>
                <m:t>m</m:t>
              </m:r>
              <m:r>
                <m:rPr>
                  <m:sty m:val="p"/>
                </m:rPr>
                <m:t>i</m:t>
              </m:r>
              <m:r>
                <m:rPr>
                  <m:sty m:val="p"/>
                </m:rPr>
                <m:t>t</m:t>
              </m:r>
              <m:r>
                <m:rPr>
                  <m:sty m:val="p"/>
                </m:rPr>
                <m:t>t</m:t>
              </m:r>
              <m:r>
                <m:rPr>
                  <m:sty m:val="p"/>
                </m:rPr>
                <m:t>e</m:t>
              </m:r>
              <m:r>
                <m:rPr>
                  <m:sty m:val="p"/>
                </m:rPr>
                <m:t>e</m:t>
              </m:r>
              <m:r>
                <m:rPr>
                  <m:sty m:val="p"/>
                </m:rPr>
                <m:t>s</m:t>
              </m:r>
            </m:e>
            <m:sub>
              <m:r>
                <m:t>i</m:t>
              </m:r>
            </m:sub>
          </m:sSub>
          <m:r>
            <m:rPr>
              <m:sty m:val="p"/>
            </m:rPr>
            <m:t>+</m:t>
          </m:r>
          <m:sSub>
            <m:e>
              <m:r>
                <m:t>β</m:t>
              </m:r>
            </m:e>
            <m:sub>
              <m:r>
                <m:t>3</m:t>
              </m:r>
            </m:sub>
          </m:sSub>
          <m:sSub>
            <m:e>
              <m:r>
                <m:rPr>
                  <m:sty m:val="p"/>
                </m:rPr>
                <m:t>P</m:t>
              </m:r>
              <m:r>
                <m:rPr>
                  <m:sty m:val="p"/>
                </m:rPr>
                <m:t>r</m:t>
              </m:r>
              <m:r>
                <m:rPr>
                  <m:sty m:val="p"/>
                </m:rPr>
                <m:t>i</m:t>
              </m:r>
              <m:r>
                <m:rPr>
                  <m:sty m:val="p"/>
                </m:rPr>
                <m:t>m</m:t>
              </m:r>
              <m:r>
                <m:rPr>
                  <m:sty m:val="p"/>
                </m:rPr>
                <m:t>e</m:t>
              </m:r>
              <m:r>
                <m:rPr>
                  <m:sty m:val="p"/>
                </m:rPr>
                <m:t>s</m:t>
              </m:r>
            </m:e>
            <m:sub>
              <m:r>
                <m:t>i</m:t>
              </m:r>
            </m:sub>
          </m:sSub>
          <m:r>
            <m:rPr>
              <m:sty m:val="p"/>
            </m:rPr>
            <m:t>+</m:t>
          </m:r>
          <m:sSub>
            <m:e>
              <m:r>
                <m:t>β</m:t>
              </m:r>
            </m:e>
            <m:sub>
              <m:r>
                <m:t>4</m:t>
              </m:r>
            </m:sub>
          </m:sSub>
          <m:sSub>
            <m:e>
              <m:r>
                <m:rPr>
                  <m:sty m:val="p"/>
                </m:rPr>
                <m:t>N</m:t>
              </m:r>
              <m:r>
                <m:rPr>
                  <m:sty m:val="p"/>
                </m:rPr>
                <m:t>e</m:t>
              </m:r>
              <m:r>
                <m:rPr>
                  <m:sty m:val="p"/>
                </m:rPr>
                <m:t>w</m:t>
              </m:r>
              <m:r>
                <m:rPr>
                  <m:sty m:val="p"/>
                </m:rPr>
                <m:t>S</m:t>
              </m:r>
              <m:r>
                <m:rPr>
                  <m:sty m:val="p"/>
                </m:rPr>
                <m:t>p</m:t>
              </m:r>
              <m:r>
                <m:rPr>
                  <m:sty m:val="p"/>
                </m:rPr>
                <m:t>a</m:t>
              </m:r>
              <m:r>
                <m:rPr>
                  <m:sty m:val="p"/>
                </m:rPr>
                <m:t>c</m:t>
              </m:r>
              <m:r>
                <m:rPr>
                  <m:sty m:val="p"/>
                </m:rPr>
                <m:t>e</m:t>
              </m:r>
            </m:e>
            <m:sub>
              <m:r>
                <m:t>i</m:t>
              </m:r>
            </m:sub>
          </m:sSub>
          <m:r>
            <m:rPr>
              <m:sty m:val="p"/>
            </m:rPr>
            <m:t>+</m:t>
          </m:r>
          <m:sSub>
            <m:e>
              <m:r>
                <m:t>β</m:t>
              </m:r>
            </m:e>
            <m:sub>
              <m:r>
                <m:t>5</m:t>
              </m:r>
            </m:sub>
          </m:sSub>
          <m:sSub>
            <m:e>
              <m:r>
                <m:rPr>
                  <m:sty m:val="p"/>
                </m:rPr>
                <m:t>S</m:t>
              </m:r>
              <m:r>
                <m:rPr>
                  <m:sty m:val="p"/>
                </m:rPr>
                <m:t>c</m:t>
              </m:r>
              <m:r>
                <m:rPr>
                  <m:sty m:val="p"/>
                </m:rPr>
                <m:t>h</m:t>
              </m:r>
              <m:r>
                <m:rPr>
                  <m:sty m:val="p"/>
                </m:rPr>
                <m:t>e</m:t>
              </m:r>
              <m:r>
                <m:rPr>
                  <m:sty m:val="p"/>
                </m:rPr>
                <m:t>d</m:t>
              </m:r>
              <m:r>
                <m:rPr>
                  <m:sty m:val="p"/>
                </m:rPr>
                <m:t>S</m:t>
              </m:r>
              <m:r>
                <m:rPr>
                  <m:sty m:val="p"/>
                </m:rPr>
                <m:t>l</m:t>
              </m:r>
              <m:r>
                <m:rPr>
                  <m:sty m:val="p"/>
                </m:rPr>
                <m:t>i</m:t>
              </m:r>
              <m:r>
                <m:rPr>
                  <m:sty m:val="p"/>
                </m:rPr>
                <m:t>p</m:t>
              </m:r>
            </m:e>
            <m:sub>
              <m:r>
                <m:t>i</m:t>
              </m:r>
            </m:sub>
          </m:sSub>
          <m:r>
            <m:rPr>
              <m:sty m:val="p"/>
            </m:rPr>
            <m:t>+</m:t>
          </m:r>
          <m:sSub>
            <m:e>
              <m:r>
                <m:t>ε</m:t>
              </m:r>
            </m:e>
            <m:sub>
              <m:r>
                <m:t>i</m:t>
              </m:r>
            </m:sub>
          </m:sSub>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-30.0299</w:t>
            </w:r>
          </w:p>
        </w:tc>
        <w:tc>
          <w:tcPr>
            <w:tcW w:w="0" w:type="auto"/>
          </w:tcPr>
          <w:p>
            <w:pPr>
              <w:spacing w:line="240" w:lineRule="auto" w:before="0" w:after="0"/>
              <w:pStyle w:val="Compact"/>
            </w:pPr>
            <w:r>
              <w:rPr>
                <w:sz w:val="20"/>
                <w:szCs w:val="20"/>
              </w:rPr>
              <w:t xml:space="preserve">10.887</w:t>
            </w:r>
          </w:p>
        </w:tc>
        <w:tc>
          <w:tcPr>
            <w:tcW w:w="0" w:type="auto"/>
          </w:tcPr>
          <w:p>
            <w:pPr>
              <w:spacing w:line="240" w:lineRule="auto" w:before="0" w:after="0"/>
              <w:pStyle w:val="Compact"/>
            </w:pPr>
            <w:r>
              <w:rPr>
                <w:sz w:val="20"/>
                <w:szCs w:val="20"/>
              </w:rPr>
              <w:t xml:space="preserve">-2.7583</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[-51.3681, -8.6918]</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15.3449</w:t>
            </w:r>
          </w:p>
        </w:tc>
        <w:tc>
          <w:tcPr>
            <w:tcW w:w="0" w:type="auto"/>
          </w:tcPr>
          <w:p>
            <w:pPr>
              <w:spacing w:line="240" w:lineRule="auto" w:before="0" w:after="0"/>
              <w:pStyle w:val="Compact"/>
            </w:pPr>
            <w:r>
              <w:rPr>
                <w:sz w:val="20"/>
                <w:szCs w:val="20"/>
              </w:rPr>
              <w:t xml:space="preserve">5.6507</w:t>
            </w:r>
          </w:p>
        </w:tc>
        <w:tc>
          <w:tcPr>
            <w:tcW w:w="0" w:type="auto"/>
          </w:tcPr>
          <w:p>
            <w:pPr>
              <w:spacing w:line="240" w:lineRule="auto" w:before="0" w:after="0"/>
              <w:pStyle w:val="Compact"/>
            </w:pPr>
            <w:r>
              <w:rPr>
                <w:sz w:val="20"/>
                <w:szCs w:val="20"/>
              </w:rPr>
              <w:t xml:space="preserve">2.7156</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[4.2697, 26.42]</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-2.0594</w:t>
            </w:r>
          </w:p>
        </w:tc>
        <w:tc>
          <w:tcPr>
            <w:tcW w:w="0" w:type="auto"/>
          </w:tcPr>
          <w:p>
            <w:pPr>
              <w:spacing w:line="240" w:lineRule="auto" w:before="0" w:after="0"/>
              <w:pStyle w:val="Compact"/>
            </w:pPr>
            <w:r>
              <w:rPr>
                <w:sz w:val="20"/>
                <w:szCs w:val="20"/>
              </w:rPr>
              <w:t xml:space="preserve">3.3459</w:t>
            </w:r>
          </w:p>
        </w:tc>
        <w:tc>
          <w:tcPr>
            <w:tcW w:w="0" w:type="auto"/>
          </w:tcPr>
          <w:p>
            <w:pPr>
              <w:spacing w:line="240" w:lineRule="auto" w:before="0" w:after="0"/>
              <w:pStyle w:val="Compact"/>
            </w:pPr>
            <w:r>
              <w:rPr>
                <w:sz w:val="20"/>
                <w:szCs w:val="20"/>
              </w:rPr>
              <w:t xml:space="preserve">-0.6155</w:t>
            </w:r>
          </w:p>
        </w:tc>
        <w:tc>
          <w:tcPr>
            <w:tcW w:w="0" w:type="auto"/>
          </w:tcPr>
          <w:p>
            <w:pPr>
              <w:spacing w:line="240" w:lineRule="auto" w:before="0" w:after="0"/>
              <w:pStyle w:val="Compact"/>
            </w:pPr>
            <w:r>
              <w:rPr>
                <w:sz w:val="20"/>
                <w:szCs w:val="20"/>
              </w:rPr>
              <w:t xml:space="preserve">0.5382</w:t>
            </w:r>
          </w:p>
        </w:tc>
        <w:tc>
          <w:tcPr>
            <w:tcW w:w="0" w:type="auto"/>
          </w:tcPr>
          <w:p>
            <w:pPr>
              <w:spacing w:line="240" w:lineRule="auto" w:before="0" w:after="0"/>
              <w:pStyle w:val="Compact"/>
            </w:pPr>
            <w:r>
              <w:rPr>
                <w:sz w:val="20"/>
                <w:szCs w:val="20"/>
              </w:rPr>
              <w:t xml:space="preserve">[-8.6172, 4.4984]</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4.5524</w:t>
            </w:r>
          </w:p>
        </w:tc>
        <w:tc>
          <w:tcPr>
            <w:tcW w:w="0" w:type="auto"/>
          </w:tcPr>
          <w:p>
            <w:pPr>
              <w:spacing w:line="240" w:lineRule="auto" w:before="0" w:after="0"/>
              <w:pStyle w:val="Compact"/>
            </w:pPr>
            <w:r>
              <w:rPr>
                <w:sz w:val="20"/>
                <w:szCs w:val="20"/>
              </w:rPr>
              <w:t xml:space="preserve">4.8971</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0.3526</w:t>
            </w:r>
          </w:p>
        </w:tc>
        <w:tc>
          <w:tcPr>
            <w:tcW w:w="0" w:type="auto"/>
          </w:tcPr>
          <w:p>
            <w:pPr>
              <w:spacing w:line="240" w:lineRule="auto" w:before="0" w:after="0"/>
              <w:pStyle w:val="Compact"/>
            </w:pPr>
            <w:r>
              <w:rPr>
                <w:sz w:val="20"/>
                <w:szCs w:val="20"/>
              </w:rPr>
              <w:t xml:space="preserve">[-5.0457, 14.1505]</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-27.2802</w:t>
            </w:r>
          </w:p>
        </w:tc>
        <w:tc>
          <w:tcPr>
            <w:tcW w:w="0" w:type="auto"/>
          </w:tcPr>
          <w:p>
            <w:pPr>
              <w:spacing w:line="240" w:lineRule="auto" w:before="0" w:after="0"/>
              <w:pStyle w:val="Compact"/>
            </w:pPr>
            <w:r>
              <w:rPr>
                <w:sz w:val="20"/>
                <w:szCs w:val="20"/>
              </w:rPr>
              <w:t xml:space="preserve">6.5373</w:t>
            </w:r>
          </w:p>
        </w:tc>
        <w:tc>
          <w:tcPr>
            <w:tcW w:w="0" w:type="auto"/>
          </w:tcPr>
          <w:p>
            <w:pPr>
              <w:spacing w:line="240" w:lineRule="auto" w:before="0" w:after="0"/>
              <w:pStyle w:val="Compact"/>
            </w:pPr>
            <w:r>
              <w:rPr>
                <w:sz w:val="20"/>
                <w:szCs w:val="20"/>
              </w:rPr>
              <w:t xml:space="preserve">-4.173</w:t>
            </w:r>
          </w:p>
        </w:tc>
        <w:tc>
          <w:tcPr>
            <w:tcW w:w="0" w:type="auto"/>
          </w:tcPr>
          <w:p>
            <w:pPr>
              <w:spacing w:line="240" w:lineRule="auto" w:before="0" w:after="0"/>
              <w:pStyle w:val="Compact"/>
            </w:pPr>
            <w:r>
              <w:rPr>
                <w:sz w:val="20"/>
                <w:szCs w:val="20"/>
              </w:rPr>
              <w:t xml:space="preserve">3.006e-05</w:t>
            </w:r>
          </w:p>
        </w:tc>
        <w:tc>
          <w:tcPr>
            <w:tcW w:w="0" w:type="auto"/>
          </w:tcPr>
          <w:p>
            <w:pPr>
              <w:spacing w:line="240" w:lineRule="auto" w:before="0" w:after="0"/>
              <w:pStyle w:val="Compact"/>
            </w:pPr>
            <w:r>
              <w:rPr>
                <w:sz w:val="20"/>
                <w:szCs w:val="20"/>
              </w:rPr>
              <w:t xml:space="preserve">[-40.0932, -14.4673]</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1.0153</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4.0278</w:t>
            </w:r>
          </w:p>
        </w:tc>
        <w:tc>
          <w:tcPr>
            <w:tcW w:w="0" w:type="auto"/>
          </w:tcPr>
          <w:p>
            <w:pPr>
              <w:spacing w:line="240" w:lineRule="auto" w:before="0" w:after="0"/>
              <w:pStyle w:val="Compact"/>
            </w:pPr>
            <w:r>
              <w:rPr>
                <w:sz w:val="20"/>
                <w:szCs w:val="20"/>
              </w:rPr>
              <w:t xml:space="preserve">5.631e-05</w:t>
            </w:r>
          </w:p>
        </w:tc>
        <w:tc>
          <w:tcPr>
            <w:tcW w:w="0" w:type="auto"/>
          </w:tcPr>
          <w:p>
            <w:pPr>
              <w:spacing w:line="240" w:lineRule="auto" w:before="0" w:after="0"/>
              <w:pStyle w:val="Compact"/>
            </w:pPr>
            <w:r>
              <w:rPr>
                <w:sz w:val="20"/>
                <w:szCs w:val="20"/>
              </w:rPr>
              <w:t xml:space="preserve">[0.5212, 1.5094]</w:t>
            </w:r>
          </w:p>
        </w:tc>
      </w:tr>
    </w:tbl>
    <w:p>
      <w:pPr>
        <w:pStyle w:val="BodyText"/>
      </w:pPr>
      <w:r>
        <w:t xml:space="preserve">Fit: N = 37 R2 = 0.7396 R2_adj = 0.6976 F = 7.8806 F_p = 6.97e-05</w:t>
      </w:r>
    </w:p>
    <w:p>
      <w:pPr>
        <w:pStyle w:val="CaptionedFigure"/>
      </w:pPr>
      <w:r>
        <w:drawing>
          <wp:inline>
            <wp:extent cx="5669280" cy="3657600"/>
            <wp:effectExtent b="0" l="0" r="0" t="0"/>
            <wp:docPr descr="Figure 1. Figure 1. OLS-conditional relationship between standing oversight committee count and life-cycle cost growth across 37 NASA major projects, GAO assessment series 2012 through 2025." title="" id="79" name="Picture"/>
            <a:graphic>
              <a:graphicData uri="http://schemas.openxmlformats.org/drawingml/2006/picture">
                <pic:pic>
                  <pic:nvPicPr>
                    <pic:cNvPr descr="D:\Claude_Code\brain\collegium\candidates\dissertations\ENTERPRISE_ACQ_11\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OLS-conditional relationship between standing oversight committee count and life-cycle cost growth across 37 NASA major projects, GAO assessment series 2012 through 2025.</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GAO-20-405 NASA Major Projects 2020; gao.gov/products/gao-20-405</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GAO-21-306 NASA Major Projects 2021; gao.gov/products/gao-21-306</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GAO-23-106021 NASA Major Project Assessment 2023; gao.gov/products/gao-23-106021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gao.gov/products/gao-20-405</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GAO-24-106767 NASA Major Project Assessment 2024; gao.gov/products/gao-24-106767</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gao.gov/products/gao-21-306</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GAO-22-105212 NASA Major Project Assessment 2022; gao.gov/products/gao-22-105212</w:t>
            </w:r>
          </w:p>
        </w:tc>
      </w:tr>
      <w:tr>
        <w:tc>
          <w:tcPr>
            <w:tcW w:w="0" w:type="auto"/>
          </w:tcPr>
          <w:p>
            <w:pPr>
              <w:spacing w:line="240" w:lineRule="auto" w:before="0" w:after="0"/>
              <w:pStyle w:val="Compact"/>
            </w:pPr>
            <w:r>
              <w:rPr>
                <w:sz w:val="20"/>
                <w:szCs w:val="20"/>
              </w:rPr>
              <w:t xml:space="preserve">Space Fence</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GAO-18-385SP Defense Acquisitions 2018; gao.gov/products/gao-18-385sp</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GAO-17-291 NOAA Geostationary Weather Satellites 2017; gao.gov/products/gao-17-291</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gao.gov/products/gao-21-306</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GAO-24-106767; gao.gov/products/gao-24-106767</w:t>
            </w:r>
          </w:p>
        </w:tc>
      </w:tr>
      <w:tr>
        <w:tc>
          <w:tcPr>
            <w:tcW w:w="0" w:type="auto"/>
          </w:tcPr>
          <w:p>
            <w:pPr>
              <w:spacing w:line="240" w:lineRule="auto" w:before="0" w:after="0"/>
              <w:pStyle w:val="Compact"/>
            </w:pPr>
            <w:r>
              <w:rPr>
                <w:sz w:val="20"/>
                <w:szCs w:val="20"/>
              </w:rPr>
              <w:t xml:space="preserve">Commercial Crew Dragon</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GAO-18-317 NASA Commercial Crew Program 2018; gao.gov/products/gao-18-317</w:t>
            </w:r>
          </w:p>
        </w:tc>
      </w:tr>
      <w:tr>
        <w:tc>
          <w:tcPr>
            <w:tcW w:w="0" w:type="auto"/>
          </w:tcPr>
          <w:p>
            <w:pPr>
              <w:spacing w:line="240" w:lineRule="auto" w:before="0" w:after="0"/>
              <w:pStyle w:val="Compact"/>
            </w:pPr>
            <w:r>
              <w:rPr>
                <w:sz w:val="20"/>
                <w:szCs w:val="20"/>
              </w:rPr>
              <w:t xml:space="preserve">Commercial Crew Starliner</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GAO-20-121 NASA Commercial Crew 2020; gao.gov/products/gao-20-121</w:t>
            </w:r>
          </w:p>
        </w:tc>
      </w:tr>
      <w:tr>
        <w:tc>
          <w:tcPr>
            <w:tcW w:w="0" w:type="auto"/>
          </w:tcPr>
          <w:p>
            <w:pPr>
              <w:spacing w:line="240" w:lineRule="auto" w:before="0" w:after="0"/>
              <w:pStyle w:val="Compact"/>
            </w:pPr>
            <w:r>
              <w:rPr>
                <w:sz w:val="20"/>
                <w:szCs w:val="20"/>
              </w:rPr>
              <w:t xml:space="preserve">CLPS IM-1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NASA OIG IG-22-003 CLPS Initiative 2021; oig.nasa.gov/docs/IG-22-003.pdf</w:t>
            </w:r>
          </w:p>
        </w:tc>
      </w:tr>
      <w:tr>
        <w:tc>
          <w:tcPr>
            <w:tcW w:w="0" w:type="auto"/>
          </w:tcPr>
          <w:p>
            <w:pPr>
              <w:spacing w:line="240" w:lineRule="auto" w:before="0" w:after="0"/>
              <w:pStyle w:val="Compact"/>
            </w:pPr>
            <w:r>
              <w:rPr>
                <w:sz w:val="20"/>
                <w:szCs w:val="20"/>
              </w:rPr>
              <w:t xml:space="preserve">CLPS Peregrine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NASA OIG IG-22-003; oig.nasa.gov/docs/IG-22-003.pdf</w:t>
            </w:r>
          </w:p>
        </w:tc>
      </w:tr>
      <w:tr>
        <w:tc>
          <w:tcPr>
            <w:tcW w:w="0" w:type="auto"/>
          </w:tcPr>
          <w:p>
            <w:pPr>
              <w:spacing w:line="240" w:lineRule="auto" w:before="0" w:after="0"/>
              <w:pStyle w:val="Compact"/>
            </w:pPr>
            <w:r>
              <w:rPr>
                <w:sz w:val="20"/>
                <w:szCs w:val="20"/>
              </w:rPr>
              <w:t xml:space="preserve">HLS Starship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GAO-24-107249 NASA Human Landing System 2024; gao.gov/products/gao-24-107249</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GAO-25-107591 NASA Major Project Assessment 2025; gao.gov/products/gao-25-107591</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GAO-25-107591; gao.gov/products/gao-25-107591</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NASA OIG IG-24-006 VIPER 2024; oig.nasa.gov/docs/IG-24-006.pdf</w:t>
            </w:r>
          </w:p>
        </w:tc>
      </w:tr>
      <w:tr>
        <w:tc>
          <w:tcPr>
            <w:tcW w:w="0" w:type="auto"/>
          </w:tcPr>
          <w:p>
            <w:pPr>
              <w:spacing w:line="240" w:lineRule="auto" w:before="0" w:after="0"/>
              <w:pStyle w:val="Compact"/>
            </w:pPr>
            <w:r>
              <w:rPr>
                <w:sz w:val="20"/>
                <w:szCs w:val="20"/>
              </w:rPr>
              <w:t xml:space="preserve">MSR SRL</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GAO-25-107591 Mars Sample Return assessment; gao.gov/products/gao-25-107591</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GAO-22-105212; gao.gov/products/gao-22-105212</w:t>
            </w:r>
          </w:p>
        </w:tc>
      </w:tr>
      <w:tr>
        <w:tc>
          <w:tcPr>
            <w:tcW w:w="0" w:type="auto"/>
          </w:tcPr>
          <w:p>
            <w:pPr>
              <w:spacing w:line="240" w:lineRule="auto" w:before="0" w:after="0"/>
              <w:pStyle w:val="Compact"/>
            </w:pPr>
            <w:r>
              <w:rPr>
                <w:sz w:val="20"/>
                <w:szCs w:val="20"/>
              </w:rPr>
              <w:t xml:space="preserve">MSL Curiosity</w:t>
            </w:r>
          </w:p>
        </w:tc>
        <w:tc>
          <w:tcPr>
            <w:tcW w:w="0" w:type="auto"/>
          </w:tcPr>
          <w:p>
            <w:pPr>
              <w:spacing w:line="240" w:lineRule="auto" w:before="0" w:after="0"/>
              <w:pStyle w:val="Compact"/>
            </w:pPr>
            <w:r>
              <w:rPr>
                <w:sz w:val="20"/>
                <w:szCs w:val="20"/>
              </w:rPr>
              <w:t xml:space="preserve">86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GAO-16-309SP NASA Major Project Assessment 2016; gao.gov/products/gao-16-309sp</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GAO-18-280SP NASA Major Project Assessment 2018; gao.gov/products/gao-18-280sp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GAO-14-338SP NASA Major Project Assessment 2014; gao.gov/products/gao-14-338sp</w:t>
            </w:r>
          </w:p>
        </w:tc>
      </w:tr>
      <w:tr>
        <w:tc>
          <w:tcPr>
            <w:tcW w:w="0" w:type="auto"/>
          </w:tcPr>
          <w:p>
            <w:pPr>
              <w:spacing w:line="240" w:lineRule="auto" w:before="0" w:after="0"/>
              <w:pStyle w:val="Compact"/>
            </w:pPr>
            <w:r>
              <w:rPr>
                <w:sz w:val="20"/>
                <w:szCs w:val="20"/>
              </w:rPr>
              <w:t xml:space="preserve">Juno</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GAO-12-207SP NASA Major Project Annual Assessment 2012; gao.gov/products/gao-12-207sp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GAO-15-320SP NASA Major Project Assessment 2015; gao.gov/products/gao-15-320sp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GAO-19-189 NASA Major Project Assessment 2019; gao.gov/products/gao-19-189</w:t>
            </w:r>
          </w:p>
        </w:tc>
      </w:tr>
      <w:tr>
        <w:tc>
          <w:tcPr>
            <w:tcW w:w="0" w:type="auto"/>
          </w:tcPr>
          <w:p>
            <w:pPr>
              <w:spacing w:line="240" w:lineRule="auto" w:before="0" w:after="0"/>
              <w:pStyle w:val="Compact"/>
            </w:pPr>
            <w:r>
              <w:rPr>
                <w:sz w:val="20"/>
                <w:szCs w:val="20"/>
              </w:rPr>
              <w:t xml:space="preserve">JPSS-1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GAO-18-280SP NASA Major Project Assessment 2018; gao.gov/products/gao-18-280sp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GAO-18-280SP; gao.gov/products/gao-18-280sp</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GAO-24-106767; gao.gov/products/gao-24-106767</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GAO-15-320SP; gao.gov/products/gao-15-320sp</w:t>
            </w:r>
          </w:p>
        </w:tc>
      </w:tr>
      <w:tr>
        <w:tc>
          <w:tcPr>
            <w:tcW w:w="0" w:type="auto"/>
          </w:tcPr>
          <w:p>
            <w:pPr>
              <w:spacing w:line="240" w:lineRule="auto" w:before="0" w:after="0"/>
              <w:pStyle w:val="Compact"/>
            </w:pPr>
            <w:r>
              <w:rPr>
                <w:sz w:val="20"/>
                <w:szCs w:val="20"/>
              </w:rPr>
              <w:t xml:space="preserve">GRAIL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GAO-12-207SP; gao.gov/products/gao-12-207sp</w:t>
            </w:r>
          </w:p>
        </w:tc>
      </w:tr>
      <w:tr>
        <w:tc>
          <w:tcPr>
            <w:tcW w:w="0" w:type="auto"/>
          </w:tcPr>
          <w:p>
            <w:pPr>
              <w:spacing w:line="240" w:lineRule="auto" w:before="0" w:after="0"/>
              <w:pStyle w:val="Compact"/>
            </w:pPr>
            <w:r>
              <w:rPr>
                <w:sz w:val="20"/>
                <w:szCs w:val="20"/>
              </w:rPr>
              <w:t xml:space="preserve">LADEE</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Major Project Assessment 2013; gao.gov/products/gao-13-276sp</w:t>
            </w:r>
          </w:p>
        </w:tc>
      </w:tr>
      <w:tr>
        <w:tc>
          <w:tcPr>
            <w:tcW w:w="0" w:type="auto"/>
          </w:tcPr>
          <w:p>
            <w:pPr>
              <w:spacing w:line="240" w:lineRule="auto" w:before="0" w:after="0"/>
              <w:pStyle w:val="Compact"/>
            </w:pPr>
            <w:r>
              <w:rPr>
                <w:sz w:val="20"/>
                <w:szCs w:val="20"/>
              </w:rPr>
              <w:t xml:space="preserve">OCO-2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GAO-14-338SP; gao.gov/products/gao-14-338sp</w:t>
            </w:r>
          </w:p>
        </w:tc>
      </w:tr>
      <w:tr>
        <w:tc>
          <w:tcPr>
            <w:tcW w:w="0" w:type="auto"/>
          </w:tcPr>
          <w:p>
            <w:pPr>
              <w:spacing w:line="240" w:lineRule="auto" w:before="0" w:after="0"/>
              <w:pStyle w:val="Compact"/>
            </w:pPr>
            <w:r>
              <w:rPr>
                <w:sz w:val="20"/>
                <w:szCs w:val="20"/>
              </w:rPr>
              <w:t xml:space="preserve">TDRS-K</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GAO-13-276SP; gao.gov/products/gao-13-276sp</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Cumulative life-cycle cost growth in percent from KDP-C confirmation baseline to most recent GAO assessment</w:t>
            </w:r>
          </w:p>
        </w:tc>
        <w:tc>
          <w:tcPr>
            <w:tcW w:w="0" w:type="auto"/>
          </w:tcPr>
          <w:p>
            <w:pPr>
              <w:spacing w:line="240" w:lineRule="auto" w:before="0" w:after="0"/>
              <w:pStyle w:val="Compact"/>
            </w:pPr>
            <w:r>
              <w:rPr>
                <w:sz w:val="20"/>
                <w:szCs w:val="20"/>
              </w:rPr>
              <w:t xml:space="preserve">GAO Major Project Annual Assessment series 2012 through 2025; NASA OIG audit reports for CLPS, Commercial Crew, HLS, and VIPER</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Ordinal complexity tier from 1 (low) to 3 (high), reflecting element count and TRL spread at KDP-C</w:t>
            </w:r>
          </w:p>
        </w:tc>
        <w:tc>
          <w:tcPr>
            <w:tcW w:w="0" w:type="auto"/>
          </w:tcPr>
          <w:p>
            <w:pPr>
              <w:spacing w:line="240" w:lineRule="auto" w:before="0" w:after="0"/>
              <w:pStyle w:val="Compact"/>
            </w:pPr>
            <w:r>
              <w:rPr>
                <w:sz w:val="20"/>
                <w:szCs w:val="20"/>
              </w:rPr>
              <w:t xml:space="preserve">GAO complexity tier reported in GAO-25-107591, GAO-24-106767, GAO-23-106021</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Count of distinct standing governance bodies with formal approval authority over the program at KDP-C (mission directorate review, agency program management council, independent review board, congressional appropriations subcommittee, external advisory panel, interagency review)</w:t>
            </w:r>
          </w:p>
        </w:tc>
        <w:tc>
          <w:tcPr>
            <w:tcW w:w="0" w:type="auto"/>
          </w:tcPr>
          <w:p>
            <w:pPr>
              <w:spacing w:line="240" w:lineRule="auto" w:before="0" w:after="0"/>
              <w:pStyle w:val="Compact"/>
            </w:pPr>
            <w:r>
              <w:rPr>
                <w:sz w:val="20"/>
                <w:szCs w:val="20"/>
              </w:rPr>
              <w:t xml:space="preserve">Coded from GAO assessment narratives and NASA program directives</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Count of distinct prime contractors holding cost-type or fixed-price contracts above 100M USD at KDP-C</w:t>
            </w:r>
          </w:p>
        </w:tc>
        <w:tc>
          <w:tcPr>
            <w:tcW w:w="0" w:type="auto"/>
          </w:tcPr>
          <w:p>
            <w:pPr>
              <w:spacing w:line="240" w:lineRule="auto" w:before="0" w:after="0"/>
              <w:pStyle w:val="Compact"/>
            </w:pPr>
            <w:r>
              <w:rPr>
                <w:sz w:val="20"/>
                <w:szCs w:val="20"/>
              </w:rPr>
              <w:t xml:space="preserve">GAO Major Project Assessments procurement summaries</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1 if program executed under a fixed-price commercial services acquisition (CLPS, Commercial Crew, HLS, Gateway public-private), 0 if traditional cost-plus or in-house build</w:t>
            </w:r>
          </w:p>
        </w:tc>
        <w:tc>
          <w:tcPr>
            <w:tcW w:w="0" w:type="auto"/>
          </w:tcPr>
          <w:p>
            <w:pPr>
              <w:spacing w:line="240" w:lineRule="auto" w:before="0" w:after="0"/>
              <w:pStyle w:val="Compact"/>
            </w:pPr>
            <w:r>
              <w:rPr>
                <w:sz w:val="20"/>
                <w:szCs w:val="20"/>
              </w:rPr>
              <w:t xml:space="preserve">Acquisition strategy field of GAO and OIG assessments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between baseline launch readiness date at KDP-C and most recent or actual launch</w:t>
            </w:r>
          </w:p>
        </w:tc>
        <w:tc>
          <w:tcPr>
            <w:tcW w:w="0" w:type="auto"/>
          </w:tcPr>
          <w:p>
            <w:pPr>
              <w:spacing w:line="240" w:lineRule="auto" w:before="0" w:after="0"/>
              <w:pStyle w:val="Compact"/>
            </w:pPr>
            <w:r>
              <w:rPr>
                <w:sz w:val="20"/>
                <w:szCs w:val="20"/>
              </w:rPr>
              <w:t xml:space="preserve">GAO Major Project Annual Assessment series, current launch baseline columns</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-30.0299</w:t>
            </w:r>
          </w:p>
        </w:tc>
        <w:tc>
          <w:tcPr>
            <w:tcW w:w="0" w:type="auto"/>
          </w:tcPr>
          <w:p>
            <w:pPr>
              <w:spacing w:line="240" w:lineRule="auto" w:before="0" w:after="0"/>
              <w:pStyle w:val="Compact"/>
            </w:pPr>
            <w:r>
              <w:rPr>
                <w:sz w:val="20"/>
                <w:szCs w:val="20"/>
              </w:rPr>
              <w:t xml:space="preserve">10.887</w:t>
            </w:r>
          </w:p>
        </w:tc>
        <w:tc>
          <w:tcPr>
            <w:tcW w:w="0" w:type="auto"/>
          </w:tcPr>
          <w:p>
            <w:pPr>
              <w:spacing w:line="240" w:lineRule="auto" w:before="0" w:after="0"/>
              <w:pStyle w:val="Compact"/>
            </w:pPr>
            <w:r>
              <w:rPr>
                <w:sz w:val="20"/>
                <w:szCs w:val="20"/>
              </w:rPr>
              <w:t xml:space="preserve">-2.7583</w:t>
            </w:r>
          </w:p>
        </w:tc>
        <w:tc>
          <w:tcPr>
            <w:tcW w:w="0" w:type="auto"/>
          </w:tcPr>
          <w:p>
            <w:pPr>
              <w:spacing w:line="240" w:lineRule="auto" w:before="0" w:after="0"/>
              <w:pStyle w:val="Compact"/>
            </w:pPr>
            <w:r>
              <w:rPr>
                <w:sz w:val="20"/>
                <w:szCs w:val="20"/>
              </w:rPr>
              <w:t xml:space="preserve">0.0058</w:t>
            </w:r>
          </w:p>
        </w:tc>
        <w:tc>
          <w:tcPr>
            <w:tcW w:w="0" w:type="auto"/>
          </w:tcPr>
          <w:p>
            <w:pPr>
              <w:spacing w:line="240" w:lineRule="auto" w:before="0" w:after="0"/>
              <w:pStyle w:val="Compact"/>
            </w:pPr>
            <w:r>
              <w:rPr>
                <w:sz w:val="20"/>
                <w:szCs w:val="20"/>
              </w:rPr>
              <w:t xml:space="preserve">[-51.3681, -8.6918]</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15.3449</w:t>
            </w:r>
          </w:p>
        </w:tc>
        <w:tc>
          <w:tcPr>
            <w:tcW w:w="0" w:type="auto"/>
          </w:tcPr>
          <w:p>
            <w:pPr>
              <w:spacing w:line="240" w:lineRule="auto" w:before="0" w:after="0"/>
              <w:pStyle w:val="Compact"/>
            </w:pPr>
            <w:r>
              <w:rPr>
                <w:sz w:val="20"/>
                <w:szCs w:val="20"/>
              </w:rPr>
              <w:t xml:space="preserve">5.6507</w:t>
            </w:r>
          </w:p>
        </w:tc>
        <w:tc>
          <w:tcPr>
            <w:tcW w:w="0" w:type="auto"/>
          </w:tcPr>
          <w:p>
            <w:pPr>
              <w:spacing w:line="240" w:lineRule="auto" w:before="0" w:after="0"/>
              <w:pStyle w:val="Compact"/>
            </w:pPr>
            <w:r>
              <w:rPr>
                <w:sz w:val="20"/>
                <w:szCs w:val="20"/>
              </w:rPr>
              <w:t xml:space="preserve">2.7156</w:t>
            </w:r>
          </w:p>
        </w:tc>
        <w:tc>
          <w:tcPr>
            <w:tcW w:w="0" w:type="auto"/>
          </w:tcPr>
          <w:p>
            <w:pPr>
              <w:spacing w:line="240" w:lineRule="auto" w:before="0" w:after="0"/>
              <w:pStyle w:val="Compact"/>
            </w:pPr>
            <w:r>
              <w:rPr>
                <w:sz w:val="20"/>
                <w:szCs w:val="20"/>
              </w:rPr>
              <w:t xml:space="preserve">0.0066</w:t>
            </w:r>
          </w:p>
        </w:tc>
        <w:tc>
          <w:tcPr>
            <w:tcW w:w="0" w:type="auto"/>
          </w:tcPr>
          <w:p>
            <w:pPr>
              <w:spacing w:line="240" w:lineRule="auto" w:before="0" w:after="0"/>
              <w:pStyle w:val="Compact"/>
            </w:pPr>
            <w:r>
              <w:rPr>
                <w:sz w:val="20"/>
                <w:szCs w:val="20"/>
              </w:rPr>
              <w:t xml:space="preserve">[4.2697, 26.42]</w:t>
            </w:r>
          </w:p>
        </w:tc>
      </w:tr>
      <w:tr>
        <w:tc>
          <w:tcPr>
            <w:tcW w:w="0" w:type="auto"/>
          </w:tcPr>
          <w:p>
            <w:pPr>
              <w:spacing w:line="240" w:lineRule="auto" w:before="0" w:after="0"/>
              <w:pStyle w:val="Compact"/>
            </w:pPr>
            <w:r>
              <w:rPr>
                <w:sz w:val="20"/>
                <w:szCs w:val="20"/>
              </w:rPr>
              <w:t xml:space="preserve">n_oversight_committees</w:t>
            </w:r>
          </w:p>
        </w:tc>
        <w:tc>
          <w:tcPr>
            <w:tcW w:w="0" w:type="auto"/>
          </w:tcPr>
          <w:p>
            <w:pPr>
              <w:spacing w:line="240" w:lineRule="auto" w:before="0" w:after="0"/>
              <w:pStyle w:val="Compact"/>
            </w:pPr>
            <w:r>
              <w:rPr>
                <w:sz w:val="20"/>
                <w:szCs w:val="20"/>
              </w:rPr>
              <w:t xml:space="preserve">-2.0594</w:t>
            </w:r>
          </w:p>
        </w:tc>
        <w:tc>
          <w:tcPr>
            <w:tcW w:w="0" w:type="auto"/>
          </w:tcPr>
          <w:p>
            <w:pPr>
              <w:spacing w:line="240" w:lineRule="auto" w:before="0" w:after="0"/>
              <w:pStyle w:val="Compact"/>
            </w:pPr>
            <w:r>
              <w:rPr>
                <w:sz w:val="20"/>
                <w:szCs w:val="20"/>
              </w:rPr>
              <w:t xml:space="preserve">3.3459</w:t>
            </w:r>
          </w:p>
        </w:tc>
        <w:tc>
          <w:tcPr>
            <w:tcW w:w="0" w:type="auto"/>
          </w:tcPr>
          <w:p>
            <w:pPr>
              <w:spacing w:line="240" w:lineRule="auto" w:before="0" w:after="0"/>
              <w:pStyle w:val="Compact"/>
            </w:pPr>
            <w:r>
              <w:rPr>
                <w:sz w:val="20"/>
                <w:szCs w:val="20"/>
              </w:rPr>
              <w:t xml:space="preserve">-0.6155</w:t>
            </w:r>
          </w:p>
        </w:tc>
        <w:tc>
          <w:tcPr>
            <w:tcW w:w="0" w:type="auto"/>
          </w:tcPr>
          <w:p>
            <w:pPr>
              <w:spacing w:line="240" w:lineRule="auto" w:before="0" w:after="0"/>
              <w:pStyle w:val="Compact"/>
            </w:pPr>
            <w:r>
              <w:rPr>
                <w:sz w:val="20"/>
                <w:szCs w:val="20"/>
              </w:rPr>
              <w:t xml:space="preserve">0.5382</w:t>
            </w:r>
          </w:p>
        </w:tc>
        <w:tc>
          <w:tcPr>
            <w:tcW w:w="0" w:type="auto"/>
          </w:tcPr>
          <w:p>
            <w:pPr>
              <w:spacing w:line="240" w:lineRule="auto" w:before="0" w:after="0"/>
              <w:pStyle w:val="Compact"/>
            </w:pPr>
            <w:r>
              <w:rPr>
                <w:sz w:val="20"/>
                <w:szCs w:val="20"/>
              </w:rPr>
              <w:t xml:space="preserve">[-8.6172, 4.4984]</w:t>
            </w:r>
          </w:p>
        </w:tc>
      </w:tr>
      <w:tr>
        <w:tc>
          <w:tcPr>
            <w:tcW w:w="0" w:type="auto"/>
          </w:tcPr>
          <w:p>
            <w:pPr>
              <w:spacing w:line="240" w:lineRule="auto" w:before="0" w:after="0"/>
              <w:pStyle w:val="Compact"/>
            </w:pPr>
            <w:r>
              <w:rPr>
                <w:sz w:val="20"/>
                <w:szCs w:val="20"/>
              </w:rPr>
              <w:t xml:space="preserve">prime_contractors</w:t>
            </w:r>
          </w:p>
        </w:tc>
        <w:tc>
          <w:tcPr>
            <w:tcW w:w="0" w:type="auto"/>
          </w:tcPr>
          <w:p>
            <w:pPr>
              <w:spacing w:line="240" w:lineRule="auto" w:before="0" w:after="0"/>
              <w:pStyle w:val="Compact"/>
            </w:pPr>
            <w:r>
              <w:rPr>
                <w:sz w:val="20"/>
                <w:szCs w:val="20"/>
              </w:rPr>
              <w:t xml:space="preserve">4.5524</w:t>
            </w:r>
          </w:p>
        </w:tc>
        <w:tc>
          <w:tcPr>
            <w:tcW w:w="0" w:type="auto"/>
          </w:tcPr>
          <w:p>
            <w:pPr>
              <w:spacing w:line="240" w:lineRule="auto" w:before="0" w:after="0"/>
              <w:pStyle w:val="Compact"/>
            </w:pPr>
            <w:r>
              <w:rPr>
                <w:sz w:val="20"/>
                <w:szCs w:val="20"/>
              </w:rPr>
              <w:t xml:space="preserve">4.8971</w:t>
            </w:r>
          </w:p>
        </w:tc>
        <w:tc>
          <w:tcPr>
            <w:tcW w:w="0" w:type="auto"/>
          </w:tcPr>
          <w:p>
            <w:pPr>
              <w:spacing w:line="240" w:lineRule="auto" w:before="0" w:after="0"/>
              <w:pStyle w:val="Compact"/>
            </w:pPr>
            <w:r>
              <w:rPr>
                <w:sz w:val="20"/>
                <w:szCs w:val="20"/>
              </w:rPr>
              <w:t xml:space="preserve">0.9296</w:t>
            </w:r>
          </w:p>
        </w:tc>
        <w:tc>
          <w:tcPr>
            <w:tcW w:w="0" w:type="auto"/>
          </w:tcPr>
          <w:p>
            <w:pPr>
              <w:spacing w:line="240" w:lineRule="auto" w:before="0" w:after="0"/>
              <w:pStyle w:val="Compact"/>
            </w:pPr>
            <w:r>
              <w:rPr>
                <w:sz w:val="20"/>
                <w:szCs w:val="20"/>
              </w:rPr>
              <w:t xml:space="preserve">0.3526</w:t>
            </w:r>
          </w:p>
        </w:tc>
        <w:tc>
          <w:tcPr>
            <w:tcW w:w="0" w:type="auto"/>
          </w:tcPr>
          <w:p>
            <w:pPr>
              <w:spacing w:line="240" w:lineRule="auto" w:before="0" w:after="0"/>
              <w:pStyle w:val="Compact"/>
            </w:pPr>
            <w:r>
              <w:rPr>
                <w:sz w:val="20"/>
                <w:szCs w:val="20"/>
              </w:rPr>
              <w:t xml:space="preserve">[-5.0457, 14.1505]</w:t>
            </w:r>
          </w:p>
        </w:tc>
      </w:tr>
      <w:tr>
        <w:tc>
          <w:tcPr>
            <w:tcW w:w="0" w:type="auto"/>
          </w:tcPr>
          <w:p>
            <w:pPr>
              <w:spacing w:line="240" w:lineRule="auto" w:before="0" w:after="0"/>
              <w:pStyle w:val="Compact"/>
            </w:pPr>
            <w:r>
              <w:rPr>
                <w:sz w:val="20"/>
                <w:szCs w:val="20"/>
              </w:rPr>
              <w:t xml:space="preserve">new_space</w:t>
            </w:r>
          </w:p>
        </w:tc>
        <w:tc>
          <w:tcPr>
            <w:tcW w:w="0" w:type="auto"/>
          </w:tcPr>
          <w:p>
            <w:pPr>
              <w:spacing w:line="240" w:lineRule="auto" w:before="0" w:after="0"/>
              <w:pStyle w:val="Compact"/>
            </w:pPr>
            <w:r>
              <w:rPr>
                <w:sz w:val="20"/>
                <w:szCs w:val="20"/>
              </w:rPr>
              <w:t xml:space="preserve">-27.2802</w:t>
            </w:r>
          </w:p>
        </w:tc>
        <w:tc>
          <w:tcPr>
            <w:tcW w:w="0" w:type="auto"/>
          </w:tcPr>
          <w:p>
            <w:pPr>
              <w:spacing w:line="240" w:lineRule="auto" w:before="0" w:after="0"/>
              <w:pStyle w:val="Compact"/>
            </w:pPr>
            <w:r>
              <w:rPr>
                <w:sz w:val="20"/>
                <w:szCs w:val="20"/>
              </w:rPr>
              <w:t xml:space="preserve">6.5373</w:t>
            </w:r>
          </w:p>
        </w:tc>
        <w:tc>
          <w:tcPr>
            <w:tcW w:w="0" w:type="auto"/>
          </w:tcPr>
          <w:p>
            <w:pPr>
              <w:spacing w:line="240" w:lineRule="auto" w:before="0" w:after="0"/>
              <w:pStyle w:val="Compact"/>
            </w:pPr>
            <w:r>
              <w:rPr>
                <w:sz w:val="20"/>
                <w:szCs w:val="20"/>
              </w:rPr>
              <w:t xml:space="preserve">-4.173</w:t>
            </w:r>
          </w:p>
        </w:tc>
        <w:tc>
          <w:tcPr>
            <w:tcW w:w="0" w:type="auto"/>
          </w:tcPr>
          <w:p>
            <w:pPr>
              <w:spacing w:line="240" w:lineRule="auto" w:before="0" w:after="0"/>
              <w:pStyle w:val="Compact"/>
            </w:pPr>
            <w:r>
              <w:rPr>
                <w:sz w:val="20"/>
                <w:szCs w:val="20"/>
              </w:rPr>
              <w:t xml:space="preserve">3.006e-05</w:t>
            </w:r>
          </w:p>
        </w:tc>
        <w:tc>
          <w:tcPr>
            <w:tcW w:w="0" w:type="auto"/>
          </w:tcPr>
          <w:p>
            <w:pPr>
              <w:spacing w:line="240" w:lineRule="auto" w:before="0" w:after="0"/>
              <w:pStyle w:val="Compact"/>
            </w:pPr>
            <w:r>
              <w:rPr>
                <w:sz w:val="20"/>
                <w:szCs w:val="20"/>
              </w:rPr>
              <w:t xml:space="preserve">[-40.0932, -14.4673]</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1.0153</w:t>
            </w:r>
          </w:p>
        </w:tc>
        <w:tc>
          <w:tcPr>
            <w:tcW w:w="0" w:type="auto"/>
          </w:tcPr>
          <w:p>
            <w:pPr>
              <w:spacing w:line="240" w:lineRule="auto" w:before="0" w:after="0"/>
              <w:pStyle w:val="Compact"/>
            </w:pPr>
            <w:r>
              <w:rPr>
                <w:sz w:val="20"/>
                <w:szCs w:val="20"/>
              </w:rPr>
              <w:t xml:space="preserve">0.2521</w:t>
            </w:r>
          </w:p>
        </w:tc>
        <w:tc>
          <w:tcPr>
            <w:tcW w:w="0" w:type="auto"/>
          </w:tcPr>
          <w:p>
            <w:pPr>
              <w:spacing w:line="240" w:lineRule="auto" w:before="0" w:after="0"/>
              <w:pStyle w:val="Compact"/>
            </w:pPr>
            <w:r>
              <w:rPr>
                <w:sz w:val="20"/>
                <w:szCs w:val="20"/>
              </w:rPr>
              <w:t xml:space="preserve">4.0278</w:t>
            </w:r>
          </w:p>
        </w:tc>
        <w:tc>
          <w:tcPr>
            <w:tcW w:w="0" w:type="auto"/>
          </w:tcPr>
          <w:p>
            <w:pPr>
              <w:spacing w:line="240" w:lineRule="auto" w:before="0" w:after="0"/>
              <w:pStyle w:val="Compact"/>
            </w:pPr>
            <w:r>
              <w:rPr>
                <w:sz w:val="20"/>
                <w:szCs w:val="20"/>
              </w:rPr>
              <w:t xml:space="preserve">5.631e-05</w:t>
            </w:r>
          </w:p>
        </w:tc>
        <w:tc>
          <w:tcPr>
            <w:tcW w:w="0" w:type="auto"/>
          </w:tcPr>
          <w:p>
            <w:pPr>
              <w:spacing w:line="240" w:lineRule="auto" w:before="0" w:after="0"/>
              <w:pStyle w:val="Compact"/>
            </w:pPr>
            <w:r>
              <w:rPr>
                <w:sz w:val="20"/>
                <w:szCs w:val="20"/>
              </w:rPr>
              <w:t xml:space="preserve">[0.5212, 1.5094]</w:t>
            </w:r>
          </w:p>
        </w:tc>
      </w:tr>
    </w:tbl>
    <w:p>
      <w:pPr>
        <w:pStyle w:val="BodyText"/>
      </w:pPr>
      <w:r>
        <w:t xml:space="preserve">Fit: N = 37 R2 = 0.7396 R2_adj = 0.6976 F = 7.8806 F_p = 6.97e-05</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2026-06-27T00:26:47Z</dcterms:created>
  <dcterms:modified xsi:type="dcterms:W3CDTF">2026-06-27T00:26:47Z</dcterms:modified>
</cp:coreProperties>
</file>

<file path=docProps/custom.xml><?xml version="1.0" encoding="utf-8"?>
<Properties xmlns="http://schemas.openxmlformats.org/officeDocument/2006/custom-properties" xmlns:vt="http://schemas.openxmlformats.org/officeDocument/2006/docPropsVTypes"/>
</file>