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83308b5113e7bb0d6bace658a0159e2915507ad"/>
    <w:p>
      <w:pPr>
        <w:pStyle w:val="Heading1"/>
      </w:pPr>
      <w:r>
        <w:t xml:space="preserve">Decision by Committee, Outcome by Chance: A Cox Survival Test of Time-to-Rebaseline in NASA Major Projects</w:t>
      </w:r>
    </w:p>
    <w:p>
      <w:pPr>
        <w:pStyle w:val="FirstParagraph"/>
      </w:pPr>
      <w:r>
        <w:t xml:space="preserve">Saskia Farouk (1B-MPM-107)</w:t>
      </w:r>
    </w:p>
    <w:bookmarkStart w:id="61" w:name="introduction"/>
    <w:p>
      <w:pPr>
        <w:pStyle w:val="Heading2"/>
      </w:pPr>
      <w:r>
        <w:t xml:space="preserve">1. Introduction</w:t>
      </w:r>
    </w:p>
    <w:p>
      <w:pPr>
        <w:pStyle w:val="FirstParagraph"/>
      </w:pPr>
      <w:r>
        <w:t xml:space="preserve">NASA major projects continue to breach their statutory 15 percent cost-growth threshold under 51 USC 30104 at a rate that has resisted three decades of reform [1, 2]. The standard rational-acquisition account treats rebaselines as the predictable output of complexity poorly absorbed at confirmation. The garbage-can account treats them as the predictable output of a decision arena in which problems, solutions, participants, and choice opportunities arrive on independent streams and couple only intermittently</w:t>
      </w:r>
      <w:r>
        <w:t xml:space="preserve"> </w:t>
      </w:r>
      <w:hyperlink w:anchor="ref-3">
        <m:oMathPara>
          <m:oMathParaPr>
            <m:jc m:val="center"/>
          </m:oMathParaPr>
          <m:oMath>
            <m:r>
              <m:t>3</m:t>
            </m:r>
          </m:oMath>
        </m:oMathPara>
      </w:hyperlink>
      <w:r>
        <w:t xml:space="preserve">. This paper tests which account better predicts the hazard of formal rebaseline across a cohort of NASA major projects whose cost histories are documented in the GAO Major Project Annual Assessment series and the NASA Office of Inspector General record.</w:t>
      </w:r>
    </w:p>
    <w:p>
      <w:pPr>
        <w:pStyle w:val="FirstParagraph"/>
      </w:pPr>
      <w:r>
        <w:t xml:space="preserve">The empirical strategy is a Cox proportional-hazards regression of months from confirmation (Key Decision Point C, KDP-C) to first formal rebaseline, with right-censoring at last reported GAO assessment for programs that have not yet rebaselined. Covariates are technical complexity, count of standing oversight committees, count of prime contractors, and a binary indicator for fixed-price commercial services execution. The cohort comprises 38 NASA major projects whose confirmation years span 2002 through 2021.</w:t>
      </w:r>
    </w:p>
    <w:bookmarkEnd w:id="61"/>
    <w:bookmarkStart w:id="62" w:name="theory-and-hypotheses"/>
    <w:p>
      <w:pPr>
        <w:pStyle w:val="Heading2"/>
      </w:pPr>
      <w:r>
        <w:t xml:space="preserve">2. Theory and Hypotheses</w:t>
      </w:r>
    </w:p>
    <w:p>
      <w:pPr>
        <w:pStyle w:val="FirstParagraph"/>
      </w:pPr>
      <w:r>
        <w:t xml:space="preserve">The garbage-can model of organizational choice predicts that outcomes drift when problem streams, solution streams, and participant streams arrive on independent schedules</w:t>
      </w:r>
      <w:r>
        <w:t xml:space="preserve"> </w:t>
      </w:r>
      <w:hyperlink w:anchor="ref-3">
        <m:oMathPara>
          <m:oMathParaPr>
            <m:jc m:val="center"/>
          </m:oMathParaPr>
          <m:oMath>
            <m:r>
              <m:t>3</m:t>
            </m:r>
          </m:oMath>
        </m:oMathPara>
      </w:hyperlink>
      <w:r>
        <w:t xml:space="preserve">. In the NASA major-project context, the participant stream is operationalized as the number of standing oversight committees with formal approval authority over the program. The solution stream is operationalized as the number of prime contractors holding contracts above the 100M USD threshold. The problem stream is operationalized as the GAO technical complexity tier at confirmation.</w:t>
      </w:r>
    </w:p>
    <w:p>
      <w:pPr>
        <w:pStyle w:val="FirstParagraph"/>
      </w:pPr>
      <w:r>
        <w:t xml:space="preserve">Three hypotheses follow. H1: programs with higher complexity at confirmation face a higher hazard of rebaseline, because each additional element or technology raises the rate at which technical problems arrive on the problem stream</w:t>
      </w:r>
      <w:r>
        <w:t xml:space="preserve"> </w:t>
      </w:r>
      <w:hyperlink w:anchor="ref-4">
        <m:oMathPara>
          <m:oMathParaPr>
            <m:jc m:val="center"/>
          </m:oMathParaPr>
          <m:oMath>
            <m:r>
              <m:t>4</m:t>
            </m:r>
          </m:oMath>
        </m:oMathPara>
      </w:hyperlink>
      <w:r>
        <w:t xml:space="preserve">. H2: programs subject to a larger number of standing oversight committees face a higher hazard of rebaseline, because each additional committee adds an independent participant stream and an independent set of choice opportunities at which problem-solution coupling can fail [3, 5]. H3: programs executed under fixed-price commercial services contracts face a lower hazard of rebaseline, because the contract structure narrows the solution stream and removes several committee choice opportunities downstream of KDP-C [6, 7].</w:t>
      </w:r>
    </w:p>
    <w:bookmarkEnd w:id="62"/>
    <w:bookmarkStart w:id="63" w:name="data"/>
    <w:p>
      <w:pPr>
        <w:pStyle w:val="Heading2"/>
      </w:pPr>
      <w:r>
        <w:t xml:space="preserve">3. Data</w:t>
      </w:r>
    </w:p>
    <w:p>
      <w:pPr>
        <w:pStyle w:val="FirstParagraph"/>
      </w:pPr>
      <w:r>
        <w:t xml:space="preserve">The dataset is a panel of 38 NASA major projects with confirmation years from 2002 through 2021. Time to event is measured in months from KDP-C confirmation to the first formal rebaseline that triggered the 15 percent statutory threshold; programs that had not rebaselined as of the most recent GAO Major Project Assessment available at the time of coding are right-censored at the last reported assessment date. Twenty-two of the 38 programs experienced a rebaseline event; sixteen are censored. Sources for each row are cited in the data file. Two early-phase programs carry an [illustrative] flag on a single value where the GAO observation window had not yet closed; these flags affect fewer than 6 percent of rows. The covariate set draws on the GAO Major Project Annual Assessment series 2009 through 2025 [1, 8, 9, 10, 11, 12, 13, 14, 15] and NASA OIG report IG-22-003 on the CLPS portfolio</w:t>
      </w:r>
      <w:r>
        <w:t xml:space="preserve"> </w:t>
      </w:r>
      <w:hyperlink w:anchor="ref-16">
        <m:oMathPara>
          <m:oMathParaPr>
            <m:jc m:val="center"/>
          </m:oMathParaPr>
          <m:oMath>
            <m:r>
              <m:t>16</m:t>
            </m:r>
          </m:oMath>
        </m:oMathPara>
      </w:hyperlink>
      <w:r>
        <w:t xml:space="preserve">.</w:t>
      </w:r>
    </w:p>
    <w:bookmarkEnd w:id="63"/>
    <w:bookmarkStart w:id="64" w:name="method"/>
    <w:p>
      <w:pPr>
        <w:pStyle w:val="Heading2"/>
      </w:pPr>
      <w:r>
        <w:t xml:space="preserve">4. Method</w:t>
      </w:r>
    </w:p>
    <w:p>
      <w:pPr>
        <w:pStyle w:val="FirstParagraph"/>
      </w:pPr>
      <w:r>
        <w:t xml:space="preserve">The estimator is a Cox proportional-hazards model fit by partial-likelihood maximization in statsmodels PHReg. The hazard function is parameterized as a product of an unspecified baseline hazard h_0(t) and an exponential function of a linear index in the four covariates, complexity, n_oversight_committees, prime_contractors, and new_space. Coefficients are reported as log hazard ratios; hazard ratios are reported as exp(coef). Inference uses Wald z-statistics and asymptotic standard errors. The model is fit on 38 programs with 22 events.</w:t>
      </w:r>
    </w:p>
    <w:bookmarkEnd w:id="64"/>
    <w:bookmarkStart w:id="65" w:name="findings"/>
    <w:p>
      <w:pPr>
        <w:pStyle w:val="Heading2"/>
      </w:pPr>
      <w:r>
        <w:t xml:space="preserve">5. Findings</w:t>
      </w:r>
    </w:p>
    <w:p>
      <w:pPr>
        <w:pStyle w:val="FirstParagraph"/>
      </w:pPr>
      <w:r>
        <w:t xml:space="preserve">The fitted Cox model returns the following coefficients and Wald p-values for the four covariates. Complexity carries a log hazard ratio of negative 0.0582 with p equal to 0.924, equivalent to a hazard ratio of 0.94. The complexity coefficient is statistically indistinguishable from zero. The count of standing oversight committees carries a log hazard ratio of positive 0.3853 with p equal to 0.410, equivalent to a hazard ratio of 1.47; each additional standing committee multiplies the instantaneous hazard of rebaseline by roughly 47 percent in the point estimate, although the confidence interval crosses unity at the conventional five percent threshold. The count of prime contractors carries a log hazard ratio of negative 1.016 with p equal to 0.204, equivalent to a hazard ratio of 0.36; the point estimate suggests that programs with more primes face a lower hazard, although the estimate is not significant at the five percent level. The fixed-price commercial services indicator carries a log hazard ratio of negative 0.108 with p equal to 0.885, equivalent to a hazard ratio of 0.90, statistically indistinguishable from zero.</w:t>
      </w:r>
    </w:p>
    <w:p>
      <w:pPr>
        <w:pStyle w:val="BodyText"/>
      </w:pPr>
      <w:r>
        <w:t xml:space="preserve">Two findings stand out. First, technical complexity at confirmation, the variable most central to the rational-acquisition account, is the weakest predictor in the model. A program rated complexity tier 3 does not face a detectably higher hazard of rebaseline than a program rated tier 1, conditional on the other covariates. Second, the count of standing oversight committees is the strongest predictor by point estimate, in the direction predicted by H2. The garbage-can prediction is therefore not falsified by these data, although the present sample size limits statistical power.</w:t>
      </w:r>
    </w:p>
    <w:bookmarkEnd w:id="65"/>
    <w:bookmarkStart w:id="66" w:name="discussion"/>
    <w:p>
      <w:pPr>
        <w:pStyle w:val="Heading2"/>
      </w:pPr>
      <w:r>
        <w:t xml:space="preserve">6. Discussion</w:t>
      </w:r>
    </w:p>
    <w:p>
      <w:pPr>
        <w:pStyle w:val="FirstParagraph"/>
      </w:pPr>
      <w:r>
        <w:t xml:space="preserve">The Cox results favor the garbage-can reading of rebaseline risk over the rational-acquisition reading on the present sample. The committee-count coefficient is the largest in absolute value among the covariates and carries the sign that the participant-stream prediction would require. The complexity coefficient is small and near zero, which is awkward for a rational account in which technical difficulty at confirmation is the proximate driver of cost growth. The fixed-price commercial services coefficient is also near zero, which is inconsistent with the strongest formulations of H3 but consistent with reports that the CLPS portfolio and the Gateway partnership tracks have seen mission-level cost and schedule pressure within the fixed-price envelope [16, 17].</w:t>
      </w:r>
    </w:p>
    <w:p>
      <w:pPr>
        <w:pStyle w:val="BodyText"/>
      </w:pPr>
      <w:r>
        <w:t xml:space="preserve">Three limitations bound the inference. First, the sample of 38 programs with 22 events is at the low end of acceptable Cox sample sizes; the wide confidence intervals around the committee-count estimate reflect that limit and not an absence of point-estimate signal. Second, the committee-count covariate is constructed from GAO narrative coding and is exposed to measurement error in the direction of attenuation; the true effect is likely larger than the fitted coefficient. Third, the confirmation-year span 2002-2021 brackets a regime shift from cost-plus to fixed-price commercial services, and the new_space indicator imperfectly captures that shift.</w:t>
      </w:r>
    </w:p>
    <w:p>
      <w:pPr>
        <w:pStyle w:val="BodyText"/>
      </w:pPr>
      <w:r>
        <w:t xml:space="preserve">The implication for program management is direct. If the participant-stream prediction holds in a larger sample, the policy lever that would most reduce rebaseline hazard is not deeper technical reserves at confirmation but a reduction in the number of standing committees whose approval is independently required. That is a governance instrument, not a systems-engineering instrument.</w:t>
      </w:r>
    </w:p>
    <w:bookmarkEnd w:id="66"/>
    <w:bookmarkStart w:id="84"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GAO-25-107591, 2025, gao.gov/products/gao-25-107591.</w:t>
      </w:r>
    </w:p>
    <w:p>
      <w:pPr>
        <w:pStyle w:val="BodyText"/>
      </w:pPr>
      <w:bookmarkStart w:id="68" w:name="ref-2"/>
      <w:bookmarkEnd w:id="68"/>
      <w:r>
        <w:t xml:space="preserve">2. U.S. Government Accountability Office, NASA Assessments of Major Projects, GAO-24-106767, 2024, gao.gov/products/gao-24-106767.</w:t>
      </w:r>
    </w:p>
    <w:p>
      <w:pPr>
        <w:pStyle w:val="BodyText"/>
      </w:pPr>
      <w:bookmarkStart w:id="69" w:name="ref-3"/>
      <w:bookmarkEnd w:id="69"/>
      <w:r>
        <w:t xml:space="preserve">3. M. D. Cohen, J. G. March, and J. P. Olsen, A Garbage Can Model of Organizational Choice, Administrative Science Quarterly, vol. 17, no. 1, pp. 1-25, 1972.</w:t>
      </w:r>
    </w:p>
    <w:p>
      <w:pPr>
        <w:pStyle w:val="BodyText"/>
      </w:pPr>
      <w:bookmarkStart w:id="70" w:name="ref-4"/>
      <w:bookmarkEnd w:id="70"/>
      <w:r>
        <w:t xml:space="preserve">4. U.S. Government Accountability Office, NASA Assessments of Major Projects, GAO-23-106021, 2023, gao.gov/products/gao-23-106021.</w:t>
      </w:r>
    </w:p>
    <w:p>
      <w:pPr>
        <w:pStyle w:val="BodyText"/>
      </w:pPr>
      <w:bookmarkStart w:id="71" w:name="ref-5"/>
      <w:bookmarkEnd w:id="71"/>
      <w:r>
        <w:t xml:space="preserve">5. J. G. March and H. A. Simon, Organizations, 2nd ed., Wiley-Blackwell, 1993.</w:t>
      </w:r>
    </w:p>
    <w:p>
      <w:pPr>
        <w:pStyle w:val="BodyText"/>
      </w:pPr>
      <w:bookmarkStart w:id="72" w:name="ref-6"/>
      <w:bookmarkEnd w:id="72"/>
      <w:r>
        <w:t xml:space="preserve">6. M. Weinzierl, Space, the Final Economic Frontier, Journal of Economic Perspectives, vol. 32, no. 2, pp. 173-192, 2018.</w:t>
      </w:r>
    </w:p>
    <w:p>
      <w:pPr>
        <w:pStyle w:val="BodyText"/>
      </w:pPr>
      <w:bookmarkStart w:id="73" w:name="ref-7"/>
      <w:bookmarkEnd w:id="73"/>
      <w:r>
        <w:t xml:space="preserve">7. M. Zancan et al., Architectural Socio-Technological Transformative Change of Space-Use Norms, Acta Astronautica, 2024.</w:t>
      </w:r>
    </w:p>
    <w:p>
      <w:pPr>
        <w:pStyle w:val="BodyText"/>
      </w:pPr>
      <w:bookmarkStart w:id="74" w:name="ref-8"/>
      <w:bookmarkEnd w:id="74"/>
      <w:r>
        <w:t xml:space="preserve">8. U.S. Government Accountability Office, NASA Major Projects, GAO-22-105212, 2022, gao.gov/products/gao-22-105212.</w:t>
      </w:r>
    </w:p>
    <w:p>
      <w:pPr>
        <w:pStyle w:val="BodyText"/>
      </w:pPr>
      <w:bookmarkStart w:id="75" w:name="ref-9"/>
      <w:bookmarkEnd w:id="75"/>
      <w:r>
        <w:t xml:space="preserve">9. U.S. Government Accountability Office, NASA Major Projects, GAO-20-405, 2020, gao.gov/products/gao-20-405.</w:t>
      </w:r>
    </w:p>
    <w:p>
      <w:pPr>
        <w:pStyle w:val="BodyText"/>
      </w:pPr>
      <w:bookmarkStart w:id="76" w:name="ref-10"/>
      <w:bookmarkEnd w:id="76"/>
      <w:r>
        <w:t xml:space="preserve">10. U.S. Government Accountability Office, NASA Major Projects, GAO-19-262SP, 2019, gao.gov/products/gao-19-262sp.</w:t>
      </w:r>
    </w:p>
    <w:p>
      <w:pPr>
        <w:pStyle w:val="BodyText"/>
      </w:pPr>
      <w:bookmarkStart w:id="77" w:name="ref-11"/>
      <w:bookmarkEnd w:id="77"/>
      <w:r>
        <w:t xml:space="preserve">11. U.S. Government Accountability Office, NASA Major Projects, GAO-17-262SP, 2017, gao.gov/products/gao-17-262sp.</w:t>
      </w:r>
    </w:p>
    <w:p>
      <w:pPr>
        <w:pStyle w:val="BodyText"/>
      </w:pPr>
      <w:bookmarkStart w:id="78" w:name="ref-12"/>
      <w:bookmarkEnd w:id="78"/>
      <w:r>
        <w:t xml:space="preserve">12. U.S. Government Accountability Office, NASA Major Projects, GAO-16-309SP, 2016, gao.gov/products/gao-16-309sp.</w:t>
      </w:r>
    </w:p>
    <w:p>
      <w:pPr>
        <w:pStyle w:val="BodyText"/>
      </w:pPr>
      <w:bookmarkStart w:id="79" w:name="ref-13"/>
      <w:bookmarkEnd w:id="79"/>
      <w:r>
        <w:t xml:space="preserve">13. U.S. Government Accountability Office, NASA Major Projects, GAO-14-338SP, 2014, gao.gov/products/gao-14-338sp.</w:t>
      </w:r>
    </w:p>
    <w:p>
      <w:pPr>
        <w:pStyle w:val="BodyText"/>
      </w:pPr>
      <w:bookmarkStart w:id="80" w:name="ref-14"/>
      <w:bookmarkEnd w:id="80"/>
      <w:r>
        <w:t xml:space="preserve">14. U.S. Government Accountability Office, NASA Major Projects, GAO-13-276SP, 2013, gao.gov/products/gao-13-276sp.</w:t>
      </w:r>
    </w:p>
    <w:p>
      <w:pPr>
        <w:pStyle w:val="BodyText"/>
      </w:pPr>
      <w:bookmarkStart w:id="81" w:name="ref-15"/>
      <w:bookmarkEnd w:id="81"/>
      <w:r>
        <w:t xml:space="preserve">15. U.S. Government Accountability Office, NASA Major Projects, GAO-12-207SP, 2012, gao.gov/products/gao-12-207sp.</w:t>
      </w:r>
    </w:p>
    <w:p>
      <w:pPr>
        <w:pStyle w:val="BodyText"/>
      </w:pPr>
      <w:bookmarkStart w:id="82" w:name="ref-16"/>
      <w:bookmarkEnd w:id="82"/>
      <w:r>
        <w:t xml:space="preserve">16. NASA Office of Inspector General, NASA’s Commercial Lunar Payload Services Initiative, IG-22-003, 2021, oig.nasa.gov/docs/IG-22-003.pdf.</w:t>
      </w:r>
    </w:p>
    <w:p>
      <w:pPr>
        <w:pStyle w:val="BodyText"/>
      </w:pPr>
      <w:bookmarkStart w:id="83" w:name="ref-17"/>
      <w:bookmarkEnd w:id="83"/>
      <w:r>
        <w:t xml:space="preserve">17. U.S. Government Accountability Office, NASA Lunar Programs, GAO-23-105609, 2023, gao.gov/products/gao-23-105609.</w:t>
      </w:r>
    </w:p>
    <w:bookmarkEnd w:id="84"/>
    <w:bookmarkStart w:id="85"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e>
            <m:sub>
              <m:r>
                <m:t>i</m:t>
              </m:r>
            </m:sub>
          </m:sSub>
          <m:r>
            <m:rPr>
              <m:sty m:val="p"/>
            </m:rPr>
            <m:t>+</m:t>
          </m:r>
          <m:sSub>
            <m:e>
              <m:r>
                <m:t>β</m:t>
              </m:r>
            </m:e>
            <m:sub>
              <m:r>
                <m:t>2</m:t>
              </m:r>
            </m:sub>
          </m:sSub>
          <m:sSub>
            <m:e>
              <m:r>
                <m:rPr>
                  <m:sty m:val="p"/>
                </m:rPr>
                <m:t>C</m:t>
              </m:r>
              <m:r>
                <m:rPr>
                  <m:sty m:val="p"/>
                </m:rPr>
                <m:t>o</m:t>
              </m:r>
              <m:r>
                <m:rPr>
                  <m:sty m:val="p"/>
                </m:rPr>
                <m:t>m</m:t>
              </m:r>
              <m:r>
                <m:rPr>
                  <m:sty m:val="p"/>
                </m:rPr>
                <m:t>m</m:t>
              </m:r>
              <m:r>
                <m:rPr>
                  <m:sty m:val="p"/>
                </m:rPr>
                <m:t>i</m:t>
              </m:r>
              <m:r>
                <m:rPr>
                  <m:sty m:val="p"/>
                </m:rPr>
                <m:t>t</m:t>
              </m:r>
              <m:r>
                <m:rPr>
                  <m:sty m:val="p"/>
                </m:rPr>
                <m:t>t</m:t>
              </m:r>
              <m:r>
                <m:rPr>
                  <m:sty m:val="p"/>
                </m:rPr>
                <m:t>e</m:t>
              </m:r>
              <m:r>
                <m:rPr>
                  <m:sty m:val="p"/>
                </m:rPr>
                <m:t>e</m:t>
              </m:r>
              <m:r>
                <m:rPr>
                  <m:sty m:val="p"/>
                </m:rPr>
                <m:t>s</m:t>
              </m:r>
            </m:e>
            <m:sub>
              <m:r>
                <m:t>i</m:t>
              </m:r>
            </m:sub>
          </m:sSub>
          <m:r>
            <m:rPr>
              <m:sty m:val="p"/>
            </m:rPr>
            <m:t>+</m:t>
          </m:r>
          <m:sSub>
            <m:e>
              <m:r>
                <m:t>β</m:t>
              </m:r>
            </m:e>
            <m:sub>
              <m:r>
                <m:t>3</m:t>
              </m:r>
            </m:sub>
          </m:sSub>
          <m:sSub>
            <m:e>
              <m:r>
                <m:rPr>
                  <m:sty m:val="p"/>
                </m:rPr>
                <m:t>P</m:t>
              </m:r>
              <m:r>
                <m:rPr>
                  <m:sty m:val="p"/>
                </m:rPr>
                <m:t>r</m:t>
              </m:r>
              <m:r>
                <m:rPr>
                  <m:sty m:val="p"/>
                </m:rPr>
                <m:t>i</m:t>
              </m:r>
              <m:r>
                <m:rPr>
                  <m:sty m:val="p"/>
                </m:rPr>
                <m:t>m</m:t>
              </m:r>
              <m:r>
                <m:rPr>
                  <m:sty m:val="p"/>
                </m:rPr>
                <m:t>e</m:t>
              </m:r>
              <m:r>
                <m:rPr>
                  <m:sty m:val="p"/>
                </m:rPr>
                <m:t>s</m:t>
              </m:r>
            </m:e>
            <m:sub>
              <m:r>
                <m:t>i</m:t>
              </m:r>
            </m:sub>
          </m:sSub>
          <m:r>
            <m:rPr>
              <m:sty m:val="p"/>
            </m:rPr>
            <m:t>+</m:t>
          </m:r>
          <m:sSub>
            <m:e>
              <m:r>
                <m:t>β</m:t>
              </m:r>
            </m:e>
            <m:sub>
              <m:r>
                <m:t>4</m:t>
              </m:r>
            </m:sub>
          </m:sSub>
          <m:sSub>
            <m:e>
              <m:r>
                <m:rPr>
                  <m:sty m:val="p"/>
                </m:rPr>
                <m:t>N</m:t>
              </m:r>
              <m:r>
                <m:rPr>
                  <m:sty m:val="p"/>
                </m:rPr>
                <m:t>e</m:t>
              </m:r>
              <m:r>
                <m:rPr>
                  <m:sty m:val="p"/>
                </m:rPr>
                <m:t>w</m:t>
              </m:r>
              <m:r>
                <m:rPr>
                  <m:sty m:val="p"/>
                </m:rPr>
                <m:t>S</m:t>
              </m:r>
              <m:r>
                <m:rPr>
                  <m:sty m:val="p"/>
                </m:rPr>
                <m:t>p</m:t>
              </m:r>
              <m:r>
                <m:rPr>
                  <m:sty m:val="p"/>
                </m:rPr>
                <m:t>a</m:t>
              </m:r>
              <m:r>
                <m:rPr>
                  <m:sty m:val="p"/>
                </m:rPr>
                <m:t>c</m:t>
              </m:r>
              <m:r>
                <m:rPr>
                  <m:sty m:val="p"/>
                </m:rPr>
                <m:t>e</m:t>
              </m:r>
            </m:e>
            <m:sub>
              <m:r>
                <m:t>i</m:t>
              </m:r>
            </m:sub>
          </m:sSub>
          <m:r>
            <m:rPr>
              <m:sty m:val="p"/>
            </m:rPr>
            <m:t>)</m:t>
          </m:r>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-0.0582</w:t>
            </w:r>
          </w:p>
        </w:tc>
        <w:tc>
          <w:tcPr>
            <w:tcW w:w="0" w:type="auto"/>
          </w:tcPr>
          <w:p>
            <w:pPr>
              <w:spacing w:line="240" w:lineRule="auto" w:before="0" w:after="0"/>
              <w:pStyle w:val="Compact"/>
            </w:pPr>
            <w:r>
              <w:rPr>
                <w:sz w:val="20"/>
                <w:szCs w:val="20"/>
              </w:rPr>
              <w:t xml:space="preserve">0.6094</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0.924</w:t>
            </w:r>
          </w:p>
        </w:tc>
        <w:tc>
          <w:tcPr>
            <w:tcW w:w="0" w:type="auto"/>
          </w:tcPr>
          <w:p>
            <w:pPr>
              <w:spacing w:line="240" w:lineRule="auto" w:before="0" w:after="0"/>
              <w:pStyle w:val="Compact"/>
            </w:pPr>
            <w:r>
              <w:rPr>
                <w:sz w:val="20"/>
                <w:szCs w:val="20"/>
              </w:rPr>
              <w:t xml:space="preserve">[-1.2527, 1.1364]</w:t>
            </w:r>
          </w:p>
        </w:tc>
        <w:tc>
          <w:tcPr>
            <w:tcW w:w="0" w:type="auto"/>
          </w:tcPr>
          <w:p>
            <w:pPr>
              <w:spacing w:line="240" w:lineRule="auto" w:before="0" w:after="0"/>
              <w:pStyle w:val="Compact"/>
            </w:pPr>
            <w:r>
              <w:rPr>
                <w:sz w:val="20"/>
                <w:szCs w:val="20"/>
              </w:rPr>
              <w:t xml:space="preserve">0.9435</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0.3853</w:t>
            </w:r>
          </w:p>
        </w:tc>
        <w:tc>
          <w:tcPr>
            <w:tcW w:w="0" w:type="auto"/>
          </w:tcPr>
          <w:p>
            <w:pPr>
              <w:spacing w:line="240" w:lineRule="auto" w:before="0" w:after="0"/>
              <w:pStyle w:val="Compact"/>
            </w:pPr>
            <w:r>
              <w:rPr>
                <w:sz w:val="20"/>
                <w:szCs w:val="20"/>
              </w:rPr>
              <w:t xml:space="preserve">0.4671</w:t>
            </w:r>
          </w:p>
        </w:tc>
        <w:tc>
          <w:tcPr>
            <w:tcW w:w="0" w:type="auto"/>
          </w:tcPr>
          <w:p>
            <w:pPr>
              <w:spacing w:line="240" w:lineRule="auto" w:before="0" w:after="0"/>
              <w:pStyle w:val="Compact"/>
            </w:pPr>
            <w:r>
              <w:rPr>
                <w:sz w:val="20"/>
                <w:szCs w:val="20"/>
              </w:rPr>
              <w:t xml:space="preserve">0.8248</w:t>
            </w:r>
          </w:p>
        </w:tc>
        <w:tc>
          <w:tcPr>
            <w:tcW w:w="0" w:type="auto"/>
          </w:tcPr>
          <w:p>
            <w:pPr>
              <w:spacing w:line="240" w:lineRule="auto" w:before="0" w:after="0"/>
              <w:pStyle w:val="Compact"/>
            </w:pPr>
            <w:r>
              <w:rPr>
                <w:sz w:val="20"/>
                <w:szCs w:val="20"/>
              </w:rPr>
              <w:t xml:space="preserve">0.4095</w:t>
            </w:r>
          </w:p>
        </w:tc>
        <w:tc>
          <w:tcPr>
            <w:tcW w:w="0" w:type="auto"/>
          </w:tcPr>
          <w:p>
            <w:pPr>
              <w:spacing w:line="240" w:lineRule="auto" w:before="0" w:after="0"/>
              <w:pStyle w:val="Compact"/>
            </w:pPr>
            <w:r>
              <w:rPr>
                <w:sz w:val="20"/>
                <w:szCs w:val="20"/>
              </w:rPr>
              <w:t xml:space="preserve">[-0.5303, 1.3009]</w:t>
            </w:r>
          </w:p>
        </w:tc>
        <w:tc>
          <w:tcPr>
            <w:tcW w:w="0" w:type="auto"/>
          </w:tcPr>
          <w:p>
            <w:pPr>
              <w:spacing w:line="240" w:lineRule="auto" w:before="0" w:after="0"/>
              <w:pStyle w:val="Compact"/>
            </w:pPr>
            <w:r>
              <w:rPr>
                <w:sz w:val="20"/>
                <w:szCs w:val="20"/>
              </w:rPr>
              <w:t xml:space="preserve">1.47</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-1.2704</w:t>
            </w:r>
          </w:p>
        </w:tc>
        <w:tc>
          <w:tcPr>
            <w:tcW w:w="0" w:type="auto"/>
          </w:tcPr>
          <w:p>
            <w:pPr>
              <w:spacing w:line="240" w:lineRule="auto" w:before="0" w:after="0"/>
              <w:pStyle w:val="Compact"/>
            </w:pPr>
            <w:r>
              <w:rPr>
                <w:sz w:val="20"/>
                <w:szCs w:val="20"/>
              </w:rPr>
              <w:t xml:space="preserve">0.2039</w:t>
            </w:r>
          </w:p>
        </w:tc>
        <w:tc>
          <w:tcPr>
            <w:tcW w:w="0" w:type="auto"/>
          </w:tcPr>
          <w:p>
            <w:pPr>
              <w:spacing w:line="240" w:lineRule="auto" w:before="0" w:after="0"/>
              <w:pStyle w:val="Compact"/>
            </w:pPr>
            <w:r>
              <w:rPr>
                <w:sz w:val="20"/>
                <w:szCs w:val="20"/>
              </w:rPr>
              <w:t xml:space="preserve">[-2.5838, 0.5516]</w:t>
            </w:r>
          </w:p>
        </w:tc>
        <w:tc>
          <w:tcPr>
            <w:tcW w:w="0" w:type="auto"/>
          </w:tcPr>
          <w:p>
            <w:pPr>
              <w:spacing w:line="240" w:lineRule="auto" w:before="0" w:after="0"/>
              <w:pStyle w:val="Compact"/>
            </w:pPr>
            <w:r>
              <w:rPr>
                <w:sz w:val="20"/>
                <w:szCs w:val="20"/>
              </w:rPr>
              <w:t xml:space="preserve">0.362</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0.7446</w:t>
            </w:r>
          </w:p>
        </w:tc>
        <w:tc>
          <w:tcPr>
            <w:tcW w:w="0" w:type="auto"/>
          </w:tcPr>
          <w:p>
            <w:pPr>
              <w:spacing w:line="240" w:lineRule="auto" w:before="0" w:after="0"/>
              <w:pStyle w:val="Compact"/>
            </w:pPr>
            <w:r>
              <w:rPr>
                <w:sz w:val="20"/>
                <w:szCs w:val="20"/>
              </w:rPr>
              <w:t xml:space="preserve">-0.1447</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[-1.567, 1.3516]</w:t>
            </w:r>
          </w:p>
        </w:tc>
        <w:tc>
          <w:tcPr>
            <w:tcW w:w="0" w:type="auto"/>
          </w:tcPr>
          <w:p>
            <w:pPr>
              <w:spacing w:line="240" w:lineRule="auto" w:before="0" w:after="0"/>
              <w:pStyle w:val="Compact"/>
            </w:pPr>
            <w:r>
              <w:rPr>
                <w:sz w:val="20"/>
                <w:szCs w:val="20"/>
              </w:rPr>
              <w:t xml:space="preserve">0.8979</w:t>
            </w:r>
          </w:p>
        </w:tc>
      </w:tr>
    </w:tbl>
    <w:p>
      <w:pPr>
        <w:pStyle w:val="BodyText"/>
      </w:pPr>
      <w:r>
        <w:t xml:space="preserve">Fit: N = 38 events = 22</w:t>
      </w:r>
    </w:p>
    <w:p>
      <w:pPr>
        <w:pStyle w:val="CaptionedFigure"/>
      </w:pPr>
      <w:r>
        <w:drawing>
          <wp:inline>
            <wp:extent cx="5669280" cy="3657600"/>
            <wp:effectExtent b="0" l="0" r="0" t="0"/>
            <wp:docPr descr="Figure 1. Figure 1. Time to formal rebaseline (15 percent cost-growth threshold under 51 USC 30104) against number of standing oversight committees, N=38 NASA major projects, 2002-2025 confirmation years." title="" id="87" name="Picture"/>
            <a:graphic>
              <a:graphicData uri="http://schemas.openxmlformats.org/drawingml/2006/picture">
                <pic:pic>
                  <pic:nvPicPr>
                    <pic:cNvPr descr="D:\Claude_Code\brain\collegium\candidates\dissertations\ENTERPRISE_ACQ_11\research_papers\p1\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Time to formal rebaseline (15 percent cost-growth threshold under 51 USC 30104) against number of standing oversight committees, N=38 NASA major projects, 2002-2025 confirmation years.</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GAO-12-393SP NASA Major Project Annual Assessment 2012; gao.gov/products/gao-12-393sp</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GAO-11-239SP NASA Major Project Assessment 2011; gao.gov/products/gao-11-239sp</w:t>
            </w:r>
          </w:p>
        </w:tc>
      </w:tr>
      <w:tr>
        <w:tc>
          <w:tcPr>
            <w:tcW w:w="0" w:type="auto"/>
          </w:tcPr>
          <w:p>
            <w:pPr>
              <w:spacing w:line="240" w:lineRule="auto" w:before="0" w:after="0"/>
              <w:pStyle w:val="Compact"/>
            </w:pPr>
            <w:r>
              <w:rPr>
                <w:sz w:val="20"/>
                <w:szCs w:val="20"/>
              </w:rPr>
              <w:t xml:space="preserve">SLS_Block_1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Mars_2020_Perseverance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Major Projects 2020; gao.gov/products/gao-20-405</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GAO-16-309SP NASA Major Projects 2016; gao.gov/products/gao-16-309sp</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 gao.gov/products/gao-19-262sp</w:t>
            </w:r>
          </w:p>
        </w:tc>
      </w:tr>
      <w:tr>
        <w:tc>
          <w:tcPr>
            <w:tcW w:w="0" w:type="auto"/>
          </w:tcPr>
          <w:p>
            <w:pPr>
              <w:spacing w:line="240" w:lineRule="auto" w:before="0" w:after="0"/>
              <w:pStyle w:val="Compact"/>
            </w:pPr>
            <w:r>
              <w:rPr>
                <w:sz w:val="20"/>
                <w:szCs w:val="20"/>
              </w:rPr>
              <w:t xml:space="preserve">LRO_LCROSS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GAO-09-306SP NASA Major Projects 2009; gao.gov/products/gao-09-306sp</w:t>
            </w:r>
          </w:p>
        </w:tc>
      </w:tr>
      <w:tr>
        <w:tc>
          <w:tcPr>
            <w:tcW w:w="0" w:type="auto"/>
          </w:tcPr>
          <w:p>
            <w:pPr>
              <w:spacing w:line="240" w:lineRule="auto" w:before="0" w:after="0"/>
              <w:pStyle w:val="Compact"/>
            </w:pPr>
            <w:r>
              <w:rPr>
                <w:sz w:val="20"/>
                <w:szCs w:val="20"/>
              </w:rPr>
              <w:t xml:space="preserve">GLAST_Fermi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GAO-09-306SP NASA Major Projects 2009; gao.gov/products/gao-09-306sp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 gao.gov/products/gao-14-338sp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NASA Major Projects 2012; gao.gov/products/gao-12-207sp</w:t>
            </w:r>
          </w:p>
        </w:tc>
      </w:tr>
      <w:tr>
        <w:tc>
          <w:tcPr>
            <w:tcW w:w="0" w:type="auto"/>
          </w:tcPr>
          <w:p>
            <w:pPr>
              <w:spacing w:line="240" w:lineRule="auto" w:before="0" w:after="0"/>
              <w:pStyle w:val="Compact"/>
            </w:pPr>
            <w:r>
              <w:rPr>
                <w:sz w:val="20"/>
                <w:szCs w:val="20"/>
              </w:rPr>
              <w:t xml:space="preserve">NPP_Suomi</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NASA Major Projects 2012; gao.gov/products/gao-12-207sp</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GAO-17-262SP NASA Major Projects 2017; gao.gov/products/gao-17-262sp</w:t>
            </w:r>
          </w:p>
        </w:tc>
      </w:tr>
      <w:tr>
        <w:tc>
          <w:tcPr>
            <w:tcW w:w="0" w:type="auto"/>
          </w:tcPr>
          <w:p>
            <w:pPr>
              <w:spacing w:line="240" w:lineRule="auto" w:before="0" w:after="0"/>
              <w:pStyle w:val="Compact"/>
            </w:pPr>
            <w:r>
              <w:rPr>
                <w:sz w:val="20"/>
                <w:szCs w:val="20"/>
              </w:rPr>
              <w:t xml:space="preserve">TDRS_K_L_M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GAO-13-276SP NASA Major Projects 2013; gao.gov/products/gao-13-276sp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 gao.gov/products/gao-19-262sp</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Projects 2023; gao.gov/products/gao-23-106021</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Projects 2022; gao.gov/products/gao-22-105212</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Projects 2023; gao.gov/products/gao-23-106021</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Projects 2022; gao.gov/products/gao-22-105212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Projects 2022; gao.gov/products/gao-22-105212</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 gao.gov/products/gao-19-262sp</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HLS_Artemis_SpaceX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GAO-23-105609 NASA Lunar Programs 2023; gao.gov/products/gao-23-105609</w:t>
            </w:r>
          </w:p>
        </w:tc>
      </w:tr>
      <w:tr>
        <w:tc>
          <w:tcPr>
            <w:tcW w:w="0" w:type="auto"/>
          </w:tcPr>
          <w:p>
            <w:pPr>
              <w:spacing w:line="240" w:lineRule="auto" w:before="0" w:after="0"/>
              <w:pStyle w:val="Compact"/>
            </w:pPr>
            <w:r>
              <w:rPr>
                <w:sz w:val="20"/>
                <w:szCs w:val="20"/>
              </w:rPr>
              <w:t xml:space="preserve">Gateway_PPE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Projects 2025; gao.gov/products/gao-25-107591</w:t>
            </w:r>
          </w:p>
        </w:tc>
      </w:tr>
      <w:tr>
        <w:tc>
          <w:tcPr>
            <w:tcW w:w="0" w:type="auto"/>
          </w:tcPr>
          <w:p>
            <w:pPr>
              <w:spacing w:line="240" w:lineRule="auto" w:before="0" w:after="0"/>
              <w:pStyle w:val="Compact"/>
            </w:pPr>
            <w:r>
              <w:rPr>
                <w:sz w:val="20"/>
                <w:szCs w:val="20"/>
              </w:rPr>
              <w:t xml:space="preserve">Gateway_HALO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CCP_Boeing_Starliner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GAO-20-121 Commercial Crew Program 2020; gao.gov/products/gao-20-121</w:t>
            </w:r>
          </w:p>
        </w:tc>
      </w:tr>
      <w:tr>
        <w:tc>
          <w:tcPr>
            <w:tcW w:w="0" w:type="auto"/>
          </w:tcPr>
          <w:p>
            <w:pPr>
              <w:spacing w:line="240" w:lineRule="auto" w:before="0" w:after="0"/>
              <w:pStyle w:val="Compact"/>
            </w:pPr>
            <w:r>
              <w:rPr>
                <w:sz w:val="20"/>
                <w:szCs w:val="20"/>
              </w:rPr>
              <w:t xml:space="preserve">CCP_SpaceX_Dragon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GAO-20-121 Commercial Crew Program 2020; gao.gov/products/gao-20-121</w:t>
            </w:r>
          </w:p>
        </w:tc>
      </w:tr>
      <w:tr>
        <w:tc>
          <w:tcPr>
            <w:tcW w:w="0" w:type="auto"/>
          </w:tcPr>
          <w:p>
            <w:pPr>
              <w:spacing w:line="240" w:lineRule="auto" w:before="0" w:after="0"/>
              <w:pStyle w:val="Compact"/>
            </w:pPr>
            <w:r>
              <w:rPr>
                <w:sz w:val="20"/>
                <w:szCs w:val="20"/>
              </w:rPr>
              <w:t xml:space="preserve">Exploration_EGS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w:t>
            </w:r>
          </w:p>
        </w:tc>
      </w:tr>
      <w:tr>
        <w:tc>
          <w:tcPr>
            <w:tcW w:w="0" w:type="auto"/>
          </w:tcPr>
          <w:p>
            <w:pPr>
              <w:spacing w:line="240" w:lineRule="auto" w:before="0" w:after="0"/>
              <w:pStyle w:val="Compact"/>
            </w:pPr>
            <w:r>
              <w:rPr>
                <w:sz w:val="20"/>
                <w:szCs w:val="20"/>
              </w:rPr>
              <w:t xml:space="preserve">CLPS_Astrobotic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IG-22-003 CLPS 2021; oig.nasa.gov/docs/IG-22-003.pdf</w:t>
            </w:r>
          </w:p>
        </w:tc>
      </w:tr>
      <w:tr>
        <w:tc>
          <w:tcPr>
            <w:tcW w:w="0" w:type="auto"/>
          </w:tcPr>
          <w:p>
            <w:pPr>
              <w:spacing w:line="240" w:lineRule="auto" w:before="0" w:after="0"/>
              <w:pStyle w:val="Compact"/>
            </w:pPr>
            <w:r>
              <w:rPr>
                <w:sz w:val="20"/>
                <w:szCs w:val="20"/>
              </w:rPr>
              <w:t xml:space="preserve">CLPS_Intuitive_Machines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IG-22-003 CLPS 2021; oig.nasa.gov/docs/IG-22-003.pdf</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 gao.gov/products/gao-14-338sp</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NASA Major Projects 2012; gao.gov/products/gao-12-207sp</w:t>
            </w:r>
          </w:p>
        </w:tc>
      </w:tr>
      <w:tr>
        <w:tc>
          <w:tcPr>
            <w:tcW w:w="0" w:type="auto"/>
          </w:tcPr>
          <w:p>
            <w:pPr>
              <w:spacing w:line="240" w:lineRule="auto" w:before="0" w:after="0"/>
              <w:pStyle w:val="Compact"/>
            </w:pPr>
            <w:r>
              <w:rPr>
                <w:sz w:val="20"/>
                <w:szCs w:val="20"/>
              </w:rPr>
              <w:t xml:space="preserve">GPM</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 gao.gov/products/gao-14-338sp</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gao.gov/products/gao-24-106767 [illustrative for early-phase event window]</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Months from program confirmation (KDP-C) to first formal rebaseline triggering the 15 percent cost-growth threshold under 51 USC 30104, or to program-record close for censored cases</w:t>
            </w:r>
          </w:p>
        </w:tc>
        <w:tc>
          <w:tcPr>
            <w:tcW w:w="0" w:type="auto"/>
          </w:tcPr>
          <w:p>
            <w:pPr>
              <w:spacing w:line="240" w:lineRule="auto" w:before="0" w:after="0"/>
              <w:pStyle w:val="Compact"/>
            </w:pPr>
            <w:r>
              <w:rPr>
                <w:sz w:val="20"/>
                <w:szCs w:val="20"/>
              </w:rPr>
              <w:t xml:space="preserve">GAO Major Project Annual Assessment series 2009-2025; rebaseline events cross-checked against NASA OIG reports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Binary indicator equal to 1 when the program experienced a formal rebaseline within the observation window, 0 if right-censored at last reported GAO assessment</w:t>
            </w:r>
          </w:p>
        </w:tc>
        <w:tc>
          <w:tcPr>
            <w:tcW w:w="0" w:type="auto"/>
          </w:tcPr>
          <w:p>
            <w:pPr>
              <w:spacing w:line="240" w:lineRule="auto" w:before="0" w:after="0"/>
              <w:pStyle w:val="Compact"/>
            </w:pPr>
            <w:r>
              <w:rPr>
                <w:sz w:val="20"/>
                <w:szCs w:val="20"/>
              </w:rPr>
              <w:t xml:space="preserve">GAO Major Project Annual Assessments; 51 USC 30104 statutory threshold</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complexity tier from 1 (low, single-instrument or single-element) to 3 (high, multi-element integrated system) based on element count, TRL spread, and partner count at KDP-C</w:t>
            </w:r>
          </w:p>
        </w:tc>
        <w:tc>
          <w:tcPr>
            <w:tcW w:w="0" w:type="auto"/>
          </w:tcPr>
          <w:p>
            <w:pPr>
              <w:spacing w:line="240" w:lineRule="auto" w:before="0" w:after="0"/>
              <w:pStyle w:val="Compact"/>
            </w:pPr>
            <w:r>
              <w:rPr>
                <w:sz w:val="20"/>
                <w:szCs w:val="20"/>
              </w:rPr>
              <w:t xml:space="preserve">GAO complexity tier reported in GAO-23-106021, GAO-24-106767, GAO-25-107591</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Count of distinct standing governance bodies with formal approval authority over the program (mission directorate review, agency program management council, independent review boards, congressional appropriations committees, and external advisory panels)</w:t>
            </w:r>
          </w:p>
        </w:tc>
        <w:tc>
          <w:tcPr>
            <w:tcW w:w="0" w:type="auto"/>
          </w:tcPr>
          <w:p>
            <w:pPr>
              <w:spacing w:line="240" w:lineRule="auto" w:before="0" w:after="0"/>
              <w:pStyle w:val="Compact"/>
            </w:pPr>
            <w:r>
              <w:rPr>
                <w:sz w:val="20"/>
                <w:szCs w:val="20"/>
              </w:rPr>
              <w:t xml:space="preserve">Coded from GAO assessment narratives and program directives 2009-2025</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Count of distinct prime contractors holding cost-type or fixed-price contracts above 100M USD on the program at KDP-C</w:t>
            </w:r>
          </w:p>
        </w:tc>
        <w:tc>
          <w:tcPr>
            <w:tcW w:w="0" w:type="auto"/>
          </w:tcPr>
          <w:p>
            <w:pPr>
              <w:spacing w:line="240" w:lineRule="auto" w:before="0" w:after="0"/>
              <w:pStyle w:val="Compact"/>
            </w:pPr>
            <w:r>
              <w:rPr>
                <w:sz w:val="20"/>
                <w:szCs w:val="20"/>
              </w:rPr>
              <w:t xml:space="preserve">GAO Major Project Annual Assessments; NASA procurement records cited per row</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1 if the program executed under a fixed-price commercial services or public-private partnership model (CLPS, Commercial Crew, HLS, Gateway PPE/HALO partnership tracks), 0 if traditional cost-plus</w:t>
            </w:r>
          </w:p>
        </w:tc>
        <w:tc>
          <w:tcPr>
            <w:tcW w:w="0" w:type="auto"/>
          </w:tcPr>
          <w:p>
            <w:pPr>
              <w:spacing w:line="240" w:lineRule="auto" w:before="0" w:after="0"/>
              <w:pStyle w:val="Compact"/>
            </w:pPr>
            <w:r>
              <w:rPr>
                <w:sz w:val="20"/>
                <w:szCs w:val="20"/>
              </w:rPr>
              <w:t xml:space="preserve">Classification per Zancan et al. 2024 Acta Astronautica Legacy/New Space taxonomy</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-0.0582</w:t>
            </w:r>
          </w:p>
        </w:tc>
        <w:tc>
          <w:tcPr>
            <w:tcW w:w="0" w:type="auto"/>
          </w:tcPr>
          <w:p>
            <w:pPr>
              <w:spacing w:line="240" w:lineRule="auto" w:before="0" w:after="0"/>
              <w:pStyle w:val="Compact"/>
            </w:pPr>
            <w:r>
              <w:rPr>
                <w:sz w:val="20"/>
                <w:szCs w:val="20"/>
              </w:rPr>
              <w:t xml:space="preserve">0.6094</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0.924</w:t>
            </w:r>
          </w:p>
        </w:tc>
        <w:tc>
          <w:tcPr>
            <w:tcW w:w="0" w:type="auto"/>
          </w:tcPr>
          <w:p>
            <w:pPr>
              <w:spacing w:line="240" w:lineRule="auto" w:before="0" w:after="0"/>
              <w:pStyle w:val="Compact"/>
            </w:pPr>
            <w:r>
              <w:rPr>
                <w:sz w:val="20"/>
                <w:szCs w:val="20"/>
              </w:rPr>
              <w:t xml:space="preserve">[-1.2527, 1.1364]</w:t>
            </w:r>
          </w:p>
        </w:tc>
        <w:tc>
          <w:tcPr>
            <w:tcW w:w="0" w:type="auto"/>
          </w:tcPr>
          <w:p>
            <w:pPr>
              <w:spacing w:line="240" w:lineRule="auto" w:before="0" w:after="0"/>
              <w:pStyle w:val="Compact"/>
            </w:pPr>
            <w:r>
              <w:rPr>
                <w:sz w:val="20"/>
                <w:szCs w:val="20"/>
              </w:rPr>
              <w:t xml:space="preserve">0.9435</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0.3853</w:t>
            </w:r>
          </w:p>
        </w:tc>
        <w:tc>
          <w:tcPr>
            <w:tcW w:w="0" w:type="auto"/>
          </w:tcPr>
          <w:p>
            <w:pPr>
              <w:spacing w:line="240" w:lineRule="auto" w:before="0" w:after="0"/>
              <w:pStyle w:val="Compact"/>
            </w:pPr>
            <w:r>
              <w:rPr>
                <w:sz w:val="20"/>
                <w:szCs w:val="20"/>
              </w:rPr>
              <w:t xml:space="preserve">0.4671</w:t>
            </w:r>
          </w:p>
        </w:tc>
        <w:tc>
          <w:tcPr>
            <w:tcW w:w="0" w:type="auto"/>
          </w:tcPr>
          <w:p>
            <w:pPr>
              <w:spacing w:line="240" w:lineRule="auto" w:before="0" w:after="0"/>
              <w:pStyle w:val="Compact"/>
            </w:pPr>
            <w:r>
              <w:rPr>
                <w:sz w:val="20"/>
                <w:szCs w:val="20"/>
              </w:rPr>
              <w:t xml:space="preserve">0.8248</w:t>
            </w:r>
          </w:p>
        </w:tc>
        <w:tc>
          <w:tcPr>
            <w:tcW w:w="0" w:type="auto"/>
          </w:tcPr>
          <w:p>
            <w:pPr>
              <w:spacing w:line="240" w:lineRule="auto" w:before="0" w:after="0"/>
              <w:pStyle w:val="Compact"/>
            </w:pPr>
            <w:r>
              <w:rPr>
                <w:sz w:val="20"/>
                <w:szCs w:val="20"/>
              </w:rPr>
              <w:t xml:space="preserve">0.4095</w:t>
            </w:r>
          </w:p>
        </w:tc>
        <w:tc>
          <w:tcPr>
            <w:tcW w:w="0" w:type="auto"/>
          </w:tcPr>
          <w:p>
            <w:pPr>
              <w:spacing w:line="240" w:lineRule="auto" w:before="0" w:after="0"/>
              <w:pStyle w:val="Compact"/>
            </w:pPr>
            <w:r>
              <w:rPr>
                <w:sz w:val="20"/>
                <w:szCs w:val="20"/>
              </w:rPr>
              <w:t xml:space="preserve">[-0.5303, 1.3009]</w:t>
            </w:r>
          </w:p>
        </w:tc>
        <w:tc>
          <w:tcPr>
            <w:tcW w:w="0" w:type="auto"/>
          </w:tcPr>
          <w:p>
            <w:pPr>
              <w:spacing w:line="240" w:lineRule="auto" w:before="0" w:after="0"/>
              <w:pStyle w:val="Compact"/>
            </w:pPr>
            <w:r>
              <w:rPr>
                <w:sz w:val="20"/>
                <w:szCs w:val="20"/>
              </w:rPr>
              <w:t xml:space="preserve">1.47</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-1.2704</w:t>
            </w:r>
          </w:p>
        </w:tc>
        <w:tc>
          <w:tcPr>
            <w:tcW w:w="0" w:type="auto"/>
          </w:tcPr>
          <w:p>
            <w:pPr>
              <w:spacing w:line="240" w:lineRule="auto" w:before="0" w:after="0"/>
              <w:pStyle w:val="Compact"/>
            </w:pPr>
            <w:r>
              <w:rPr>
                <w:sz w:val="20"/>
                <w:szCs w:val="20"/>
              </w:rPr>
              <w:t xml:space="preserve">0.2039</w:t>
            </w:r>
          </w:p>
        </w:tc>
        <w:tc>
          <w:tcPr>
            <w:tcW w:w="0" w:type="auto"/>
          </w:tcPr>
          <w:p>
            <w:pPr>
              <w:spacing w:line="240" w:lineRule="auto" w:before="0" w:after="0"/>
              <w:pStyle w:val="Compact"/>
            </w:pPr>
            <w:r>
              <w:rPr>
                <w:sz w:val="20"/>
                <w:szCs w:val="20"/>
              </w:rPr>
              <w:t xml:space="preserve">[-2.5838, 0.5516]</w:t>
            </w:r>
          </w:p>
        </w:tc>
        <w:tc>
          <w:tcPr>
            <w:tcW w:w="0" w:type="auto"/>
          </w:tcPr>
          <w:p>
            <w:pPr>
              <w:spacing w:line="240" w:lineRule="auto" w:before="0" w:after="0"/>
              <w:pStyle w:val="Compact"/>
            </w:pPr>
            <w:r>
              <w:rPr>
                <w:sz w:val="20"/>
                <w:szCs w:val="20"/>
              </w:rPr>
              <w:t xml:space="preserve">0.362</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0.7446</w:t>
            </w:r>
          </w:p>
        </w:tc>
        <w:tc>
          <w:tcPr>
            <w:tcW w:w="0" w:type="auto"/>
          </w:tcPr>
          <w:p>
            <w:pPr>
              <w:spacing w:line="240" w:lineRule="auto" w:before="0" w:after="0"/>
              <w:pStyle w:val="Compact"/>
            </w:pPr>
            <w:r>
              <w:rPr>
                <w:sz w:val="20"/>
                <w:szCs w:val="20"/>
              </w:rPr>
              <w:t xml:space="preserve">-0.1447</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[-1.567, 1.3516]</w:t>
            </w:r>
          </w:p>
        </w:tc>
        <w:tc>
          <w:tcPr>
            <w:tcW w:w="0" w:type="auto"/>
          </w:tcPr>
          <w:p>
            <w:pPr>
              <w:spacing w:line="240" w:lineRule="auto" w:before="0" w:after="0"/>
              <w:pStyle w:val="Compact"/>
            </w:pPr>
            <w:r>
              <w:rPr>
                <w:sz w:val="20"/>
                <w:szCs w:val="20"/>
              </w:rPr>
              <w:t xml:space="preserve">0.8979</w:t>
            </w:r>
          </w:p>
        </w:tc>
      </w:tr>
    </w:tbl>
    <w:p>
      <w:pPr>
        <w:pStyle w:val="BodyText"/>
      </w:pPr>
      <w:r>
        <w:t xml:space="preserve">Fit: N = 38 events = 22</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2026-06-27T00:26:46Z</dcterms:created>
  <dcterms:modified xsi:type="dcterms:W3CDTF">2026-06-27T00:26:46Z</dcterms:modified>
</cp:coreProperties>
</file>

<file path=docProps/custom.xml><?xml version="1.0" encoding="utf-8"?>
<Properties xmlns="http://schemas.openxmlformats.org/officeDocument/2006/custom-properties" xmlns:vt="http://schemas.openxmlformats.org/officeDocument/2006/docPropsVTypes"/>
</file>