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DECISION BY COMMITTEE, OUTCOME BY CHANCE: A GARBAGE-CAN TEST OF SPACE-PROGRAM MILESTONE REVIEWS</w:t>
      </w:r>
    </w:p>
    <w:p>
      <w:pPr>
        <w:jc w:val="center"/>
      </w:pPr>
    </w:p>
    <w:p>
      <w:pPr>
        <w:jc w:val="center"/>
      </w:pPr>
      <w:r>
        <w:rPr>
          <w:rFonts w:ascii="Times New Roman" w:hAnsi="Times New Roman"/>
          <w:sz w:val="24"/>
        </w:rPr>
        <w:t>by</w:t>
      </w:r>
    </w:p>
    <w:p>
      <w:pPr>
        <w:jc w:val="center"/>
      </w:pPr>
      <w:r>
        <w:rPr>
          <w:rFonts w:ascii="Times New Roman" w:hAnsi="Times New Roman"/>
          <w:b/>
          <w:sz w:val="28"/>
        </w:rPr>
        <w:t>Saskia Farouk</w:t>
      </w:r>
    </w:p>
    <w:p>
      <w:pPr>
        <w:jc w:val="center"/>
      </w:pPr>
      <w:r>
        <w:rPr>
          <w:rFonts w:ascii="Times New Roman" w:hAnsi="Times New Roman"/>
          <w:sz w:val="24"/>
        </w:rPr>
        <w:t>1B-MPM-107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X8b6c9ebaa704de83819fc18ed2d939924583fb6"/>
    <w:p>
      <w:pPr>
        <w:pStyle w:val="Heading2"/>
        <w:spacing w:line="480" w:lineRule="auto"/>
      </w:pPr>
      <w:r>
        <w:t xml:space="preserve">1.1 The Problem and Why It Matters for NASA and JPL</w:t>
      </w:r>
    </w:p>
    <w:p>
      <w:pPr>
        <w:pStyle w:val="FirstParagraph"/>
        <w:spacing w:line="480" w:lineRule="auto"/>
      </w:pPr>
      <w:r>
        <w:t xml:space="preserve">NASA carries a portfolio of major projects that, by statute under 51 USC 30104, must be replanned once life-cycle cost growth exceeds fifteen percent against the baseline set at confirmation. That threshold has been breached, and documented as breached, in successive Government Accountability Office annual assessments across more than a decade. The most recent assessments say the same thing the older ones did: the portfolio as a whole is not converging on baseline discipline</w:t>
      </w:r>
      <w:r>
        <w:t xml:space="preserve"> </w:t>
      </w:r>
      <w:hyperlink w:anchor="ref-6">
        <w:r>
          <w:rPr>
            <w:rStyle w:val="Hyperlink"/>
          </w:rPr>
          <w:t xml:space="preserve">[6]</w:t>
        </w:r>
      </w:hyperlink>
      <w:r>
        <w:t xml:space="preserve">[11][12][13][14][15][16][17][18].</w:t>
      </w:r>
    </w:p>
    <w:p>
      <w:pPr>
        <w:pStyle w:val="BodyText"/>
        <w:spacing w:line="480" w:lineRule="auto"/>
        <w:ind w:firstLine="720"/>
      </w:pPr>
      <w:r>
        <w:t xml:space="preserve">No single center, directorate, or acquisition mode owns the pattern. It reaches science missions run at the Jet Propulsion Laboratory, human-exploration elements run at Marshall and Johnson, and commercial-services initiatives such as Commercial Lunar Payload Services managed jointly out of headquarters and the field</w:t>
      </w:r>
      <w:r>
        <w:t xml:space="preserve"> </w:t>
      </w:r>
      <w:hyperlink w:anchor="ref-19">
        <w:r>
          <w:rPr>
            <w:rStyle w:val="Hyperlink"/>
          </w:rPr>
          <w:t xml:space="preserve">[19]</w:t>
        </w:r>
      </w:hyperlink>
      <w:r>
        <w:t xml:space="preserve">[20].</w:t>
      </w:r>
    </w:p>
    <w:p>
      <w:pPr>
        <w:pStyle w:val="BodyText"/>
        <w:spacing w:line="480" w:lineRule="auto"/>
        <w:ind w:firstLine="720"/>
      </w:pPr>
      <w:r>
        <w:t xml:space="preserve">Three decades of acquisition reform, two redesigns of the project life-cycle handbook, and several iterations of the Key Decision Point review architecture have all passed over it without dislodging it. The threshold has held through every one of them.</w:t>
      </w:r>
    </w:p>
    <w:p>
      <w:pPr>
        <w:pStyle w:val="BodyText"/>
        <w:spacing w:line="480" w:lineRule="auto"/>
        <w:ind w:firstLine="720"/>
      </w:pPr>
      <w:r>
        <w:t xml:space="preserve">For JPL the stakes concentrate. This is the federally funded research and development center that executes the bulk of NASA’s flagship and large strategic science missions, and its institutional viability rests on whether the milestone-review architecture gating those missions is credible. Consider what a confirmation review at Key Decision Point C actually sets in motion when the cost commitment it produces then grows by more than fifteen percent. That is not a bookkeeping event. It triggers a formal rebaseline, a congressional notification, a reallocation of agency reserve, and, more and more, a public assessment cycle in which the GAO reports the breach against the laboratory and the directorate that owns the program</w:t>
      </w:r>
      <w:r>
        <w:t xml:space="preserve"> </w:t>
      </w:r>
      <w:hyperlink w:anchor="ref-6">
        <w:r>
          <w:rPr>
            <w:rStyle w:val="Hyperlink"/>
          </w:rPr>
          <w:t xml:space="preserve">[6]</w:t>
        </w:r>
      </w:hyperlink>
      <w:r>
        <w:t xml:space="preserve">[11].</w:t>
      </w:r>
    </w:p>
    <w:p>
      <w:pPr>
        <w:pStyle w:val="BodyText"/>
        <w:spacing w:line="480" w:lineRule="auto"/>
        <w:ind w:firstLine="720"/>
      </w:pPr>
      <w:r>
        <w:t xml:space="preserve">So the reputational tax on the institution that holds the largest concentration of cost-plus flagship science missions in the federal portfolio ties directly to one question. Is the confirmation review at the front of each mission doing the work its charter says it does?</w:t>
      </w:r>
    </w:p>
    <w:p>
      <w:pPr>
        <w:pStyle w:val="BodyText"/>
        <w:spacing w:line="480" w:lineRule="auto"/>
        <w:ind w:firstLine="720"/>
      </w:pPr>
      <w:r>
        <w:t xml:space="preserve">Reputational accounting is only part of the substantive stakes. The 2025 GAO assessment and recent NASA Office of Inspector General audits identify cost-growth magnitudes that, in absolute terms, eat the discretionary fiscal space the agency would otherwise spend on mission starts</w:t>
      </w:r>
      <w:r>
        <w:t xml:space="preserve"> </w:t>
      </w:r>
      <w:hyperlink w:anchor="ref-6">
        <w:r>
          <w:rPr>
            <w:rStyle w:val="Hyperlink"/>
          </w:rPr>
          <w:t xml:space="preserve">[6]</w:t>
        </w:r>
      </w:hyperlink>
      <w:r>
        <w:t xml:space="preserve">[19][26]. A dollar absorbed by a rebaseline is a dollar that does not start the next planetary mission, the next heliophysics observatory, or the next earth-science decadal recommendation. Measured in foregone mission starts at JPL and at the other implementing centers, the opportunity cost of the breach pattern is the single largest controllable drag on the forward portfolio.</w:t>
      </w:r>
    </w:p>
    <w:p>
      <w:pPr>
        <w:pStyle w:val="BodyText"/>
        <w:spacing w:line="480" w:lineRule="auto"/>
        <w:ind w:firstLine="720"/>
      </w:pPr>
      <w:r>
        <w:t xml:space="preserve">Whether breaches occur is empirically settled, so the institutional question lies elsewhere: are the formal decision events that authorize commitment, the milestone reviews, designed against an accurate model of the decision they claim to make? Get the model wrong, and the reforms layered on top of it keep missing.</w:t>
      </w:r>
    </w:p>
    <w:bookmarkEnd w:id="61"/>
    <w:bookmarkStart w:id="62" w:name="X803962392a9bfe2f0c10ba7213fcd068c574525"/>
    <w:p>
      <w:pPr>
        <w:pStyle w:val="Heading2"/>
        <w:spacing w:line="480" w:lineRule="auto"/>
      </w:pPr>
      <w:r>
        <w:t xml:space="preserve">1.2 Two Competing Accounts of the Milestone Review</w:t>
      </w:r>
    </w:p>
    <w:p>
      <w:pPr>
        <w:pStyle w:val="FirstParagraph"/>
        <w:spacing w:line="480" w:lineRule="auto"/>
      </w:pPr>
      <w:r>
        <w:t xml:space="preserve">Two accounts of the milestone review compete in the relevant literature. The first is the rational-acquisition account embedded in the NASA project life-cycle handbook and in the GAO assessment framework itself. On that account a milestone review, whether Preliminary Design Review, Critical Design Review, or KDP-C, is a stage-gate inside a means-ends sequence. A problem set is fixed. Candidate technical solutions are evaluated against that fixed problem set. Evaluation yields a recommended choice, and the choice is authorized by whoever the formal review charter says should be in the room. Cost growth, on this reading, is the predictable downstream consequence of complexity that the gate failed to absorb, and the policy lever that follows is to deepen technical reserves, harden requirements, and tighten the evidentiary standard a program must meet before the gate opens. The GAO complexity tier, the recommended reserve posture, and the schedule-confidence-level guidance all live inside this account</w:t>
      </w:r>
      <w:r>
        <w:t xml:space="preserve"> </w:t>
      </w:r>
      <w:hyperlink w:anchor="ref-6">
        <w:r>
          <w:rPr>
            <w:rStyle w:val="Hyperlink"/>
          </w:rPr>
          <w:t xml:space="preserve">[6]</w:t>
        </w:r>
      </w:hyperlink>
      <w:r>
        <w:t xml:space="preserve">[11][23].</w:t>
      </w:r>
    </w:p>
    <w:p>
      <w:pPr>
        <w:pStyle w:val="BodyText"/>
        <w:spacing w:line="480" w:lineRule="auto"/>
        <w:ind w:firstLine="720"/>
      </w:pPr>
      <w:r>
        <w:t xml:space="preserve">The second account is the garbage-can model of organizational choice that originates with Cohen, March, and Olsen</w:t>
      </w:r>
      <w:r>
        <w:t xml:space="preserve"> </w:t>
      </w:r>
      <w:hyperlink w:anchor="ref-7">
        <w:r>
          <w:rPr>
            <w:rStyle w:val="Hyperlink"/>
          </w:rPr>
          <w:t xml:space="preserve">[7]</w:t>
        </w:r>
      </w:hyperlink>
      <w:r>
        <w:t xml:space="preserve"> </w:t>
      </w:r>
      <w:r>
        <w:t xml:space="preserve">and runs into the policy-stream language of Kingdon</w:t>
      </w:r>
      <w:r>
        <w:t xml:space="preserve"> </w:t>
      </w:r>
      <w:hyperlink w:anchor="ref-21">
        <w:r>
          <w:rPr>
            <w:rStyle w:val="Hyperlink"/>
          </w:rPr>
          <w:t xml:space="preserve">[21]</w:t>
        </w:r>
      </w:hyperlink>
      <w:r>
        <w:t xml:space="preserve">. Here a choice opportunity such as a milestone review is a receptacle into which problems, solutions, and participants flow on independent streams whose timing owes nothing to means-ends logic. A solution may already be in the room before anyone articulates the problem it eventually attaches to. Those who set the problem at the entry brief are not necessarily those present at the choice. Whether a candidate solution couples to a choice opportunity is, on this account, better predicted by the temporal coincidence of streams than by any prior evaluation against a fixed problem statement. The earlier literature on organizations as bounded-rational decision systems</w:t>
      </w:r>
      <w:r>
        <w:t xml:space="preserve"> </w:t>
      </w:r>
      <w:hyperlink w:anchor="ref-8">
        <w:r>
          <w:rPr>
            <w:rStyle w:val="Hyperlink"/>
          </w:rPr>
          <w:t xml:space="preserve">[8]</w:t>
        </w:r>
      </w:hyperlink>
      <w:r>
        <w:t xml:space="preserve"> </w:t>
      </w:r>
      <w:r>
        <w:t xml:space="preserve">anticipates the result: in arenas with high participant turnover and high preference ambiguity, the rational stage-gate is simply the wrong model.</w:t>
      </w:r>
    </w:p>
    <w:p>
      <w:pPr>
        <w:pStyle w:val="BodyText"/>
        <w:spacing w:line="480" w:lineRule="auto"/>
        <w:ind w:firstLine="720"/>
      </w:pPr>
      <w:r>
        <w:t xml:space="preserve">Cost growth then is not the residue of unresolved technical complexity. It is the residue of arena density, of the count of independent committees whose approvals must align, and of how long those arenas stay open.</w:t>
      </w:r>
    </w:p>
    <w:p>
      <w:pPr>
        <w:pStyle w:val="BodyText"/>
        <w:spacing w:line="480" w:lineRule="auto"/>
        <w:ind w:firstLine="720"/>
      </w:pPr>
      <w:r>
        <w:t xml:space="preserve">Which account holds matters because they prescribe different reform levers. Deeper technical reserves and tighter requirements follow from the rational account. Fewer arenas, shorter exposure of the program to the standing committee structure, and acquisition modes that collapse the downstream choice opportunities where problem-solution coupling can fail, these follow from the garbage-can account. The two prescriptions do not complement each other. Agency leadership cannot pursue both at full strength without swallowing the contradiction that one seeks to enrich the deliberative architecture while the other seeks to thin it.</w:t>
      </w:r>
    </w:p>
    <w:bookmarkEnd w:id="62"/>
    <w:bookmarkStart w:id="63" w:name="Xc62ede85bd5621e73677262dd034e644aa66523"/>
    <w:p>
      <w:pPr>
        <w:pStyle w:val="Heading2"/>
        <w:spacing w:line="480" w:lineRule="auto"/>
      </w:pPr>
      <w:r>
        <w:t xml:space="preserve">1.3 The Gap Between Domain Literature and Econometric Method Literature</w:t>
      </w:r>
    </w:p>
    <w:p>
      <w:pPr>
        <w:pStyle w:val="FirstParagraph"/>
        <w:spacing w:line="480" w:lineRule="auto"/>
      </w:pPr>
      <w:r>
        <w:t xml:space="preserve">Three adjacent bodies of work touch the problem and stop short of testing it. First is the space program-management literature in the AMOS technical proceedings, where engineering teams document the milestone trajectory of specific programs. The Space Fence Preliminary Design Review concept-development paper from the 2011 proceedings offers an unusually transparent reconstruction of how a Phase-A PDR was structured and how the committee architecture above it was populated</w:t>
      </w:r>
      <w:r>
        <w:t xml:space="preserve"> </w:t>
      </w:r>
      <w:hyperlink w:anchor="ref-1">
        <w:r>
          <w:rPr>
            <w:rStyle w:val="Hyperlink"/>
          </w:rPr>
          <w:t xml:space="preserve">[1]</w:t>
        </w:r>
      </w:hyperlink>
      <w:r>
        <w:t xml:space="preserve">. The Kobayashi Maru paper from the 2020 proceedings does the same for the Space Command and Control program, and it names the portfolio program management arm that owns the review record</w:t>
      </w:r>
      <w:r>
        <w:t xml:space="preserve"> </w:t>
      </w:r>
      <w:hyperlink w:anchor="ref-3">
        <w:r>
          <w:rPr>
            <w:rStyle w:val="Hyperlink"/>
          </w:rPr>
          <w:t xml:space="preserve">[3]</w:t>
        </w:r>
      </w:hyperlink>
      <w:r>
        <w:t xml:space="preserve">. Within the same proceedings tradition, the decision-support literature documents architectures for continuing supervision of commercial in-space servicing</w:t>
      </w:r>
      <w:r>
        <w:t xml:space="preserve"> </w:t>
      </w:r>
      <w:hyperlink w:anchor="ref-4">
        <w:r>
          <w:rPr>
            <w:rStyle w:val="Hyperlink"/>
          </w:rPr>
          <w:t xml:space="preserve">[4]</w:t>
        </w:r>
      </w:hyperlink>
      <w:r>
        <w:t xml:space="preserve"> </w:t>
      </w:r>
      <w:r>
        <w:t xml:space="preserve">and risk-based decision-making for space traffic management</w:t>
      </w:r>
      <w:r>
        <w:t xml:space="preserve"> </w:t>
      </w:r>
      <w:hyperlink w:anchor="ref-5">
        <w:r>
          <w:rPr>
            <w:rStyle w:val="Hyperlink"/>
          </w:rPr>
          <w:t xml:space="preserve">[5]</w:t>
        </w:r>
      </w:hyperlink>
      <w:r>
        <w:t xml:space="preserve">[32], alongside operator-side work on collaboration proxies and human decision processes in the situational-awareness arena</w:t>
      </w:r>
      <w:r>
        <w:t xml:space="preserve"> </w:t>
      </w:r>
      <w:hyperlink w:anchor="ref-27">
        <w:r>
          <w:rPr>
            <w:rStyle w:val="Hyperlink"/>
          </w:rPr>
          <w:t xml:space="preserve">[27]</w:t>
        </w:r>
      </w:hyperlink>
      <w:r>
        <w:t xml:space="preserve">[34]. Adjacent technical work in the AMOS tradition has examined data pedigree and automation for space domain awareness, reachability for space situational awareness, and supercomputing analyses of large-scale debris fields, all of it presuming that the choices coming out of the review architecture above it were made on a rational template</w:t>
      </w:r>
      <w:r>
        <w:t xml:space="preserve"> </w:t>
      </w:r>
      <w:hyperlink w:anchor="ref-29">
        <w:r>
          <w:rPr>
            <w:rStyle w:val="Hyperlink"/>
          </w:rPr>
          <w:t xml:space="preserve">[29]</w:t>
        </w:r>
      </w:hyperlink>
      <w:r>
        <w:t xml:space="preserve">[31][33][42].</w:t>
      </w:r>
    </w:p>
    <w:p>
      <w:pPr>
        <w:pStyle w:val="BodyText"/>
        <w:spacing w:line="480" w:lineRule="auto"/>
        <w:ind w:firstLine="720"/>
      </w:pPr>
      <w:r>
        <w:t xml:space="preserve">Not one of those papers treats the milestone review itself as the unit of analysis whose internal coupling is to be classified. The review is the boundary condition of the engineering write-up, never the dependent variable.</w:t>
      </w:r>
    </w:p>
    <w:p>
      <w:pPr>
        <w:pStyle w:val="BodyText"/>
        <w:spacing w:line="480" w:lineRule="auto"/>
        <w:ind w:firstLine="720"/>
      </w:pPr>
      <w:r>
        <w:t xml:space="preserve">The second body is the space-sector governance literature, anchored by the Zancan, Paravano, Locatelli, and Trucco synthesis in Acta Astronautica on the transition from Legacy Space to New Space institutional models</w:t>
      </w:r>
      <w:r>
        <w:t xml:space="preserve"> </w:t>
      </w:r>
      <w:hyperlink w:anchor="ref-2">
        <w:r>
          <w:rPr>
            <w:rStyle w:val="Hyperlink"/>
          </w:rPr>
          <w:t xml:space="preserve">[2]</w:t>
        </w:r>
      </w:hyperlink>
      <w:r>
        <w:t xml:space="preserve"> </w:t>
      </w:r>
      <w:r>
        <w:t xml:space="preserve">and its companion architectural-transformation paper</w:t>
      </w:r>
      <w:r>
        <w:t xml:space="preserve"> </w:t>
      </w:r>
      <w:hyperlink w:anchor="ref-10">
        <w:r>
          <w:rPr>
            <w:rStyle w:val="Hyperlink"/>
          </w:rPr>
          <w:t xml:space="preserve">[10]</w:t>
        </w:r>
      </w:hyperlink>
      <w:r>
        <w:t xml:space="preserve">. That literature maps the institutional landscape milestone reviews sit inside, names the participants who fill the standing committees, and traces the historical trajectory of the governance structure that produces today’s arena density. What it does not do is instrument the milestone review as an empirical object. The standing committee gets named. The count of standing committees as a regressor in a model of cost-growth magnitude or rebaseline hazard is nowhere. Related Acta Astronautica work on planetary boundaries and earth-outer space system design</w:t>
      </w:r>
      <w:r>
        <w:t xml:space="preserve"> </w:t>
      </w:r>
      <w:hyperlink w:anchor="ref-41">
        <w:r>
          <w:rPr>
            <w:rStyle w:val="Hyperlink"/>
          </w:rPr>
          <w:t xml:space="preserve">[41]</w:t>
        </w:r>
      </w:hyperlink>
      <w:r>
        <w:t xml:space="preserve">, on transdisciplinary and bicultural approaches to sustainability</w:t>
      </w:r>
      <w:r>
        <w:t xml:space="preserve"> </w:t>
      </w:r>
      <w:hyperlink w:anchor="ref-40">
        <w:r>
          <w:rPr>
            <w:rStyle w:val="Hyperlink"/>
          </w:rPr>
          <w:t xml:space="preserve">[40]</w:t>
        </w:r>
      </w:hyperlink>
      <w:r>
        <w:t xml:space="preserve">, on outreach for space traffic management</w:t>
      </w:r>
      <w:r>
        <w:t xml:space="preserve"> </w:t>
      </w:r>
      <w:hyperlink w:anchor="ref-36">
        <w:r>
          <w:rPr>
            <w:rStyle w:val="Hyperlink"/>
          </w:rPr>
          <w:t xml:space="preserve">[36]</w:t>
        </w:r>
      </w:hyperlink>
      <w:r>
        <w:t xml:space="preserve">, and on parametric economic modelling of asteroid mining architectures</w:t>
      </w:r>
      <w:r>
        <w:t xml:space="preserve"> </w:t>
      </w:r>
      <w:hyperlink w:anchor="ref-38">
        <w:r>
          <w:rPr>
            <w:rStyle w:val="Hyperlink"/>
          </w:rPr>
          <w:t xml:space="preserve">[38]</w:t>
        </w:r>
      </w:hyperlink>
      <w:r>
        <w:t xml:space="preserve"> </w:t>
      </w:r>
      <w:r>
        <w:t xml:space="preserve">keeps elaborating the institutional and economic context inside which decisions are made, and keeps declining to test the decision process at the gate.</w:t>
      </w:r>
    </w:p>
    <w:p>
      <w:pPr>
        <w:pStyle w:val="BodyText"/>
        <w:spacing w:line="480" w:lineRule="auto"/>
        <w:ind w:firstLine="720"/>
      </w:pPr>
      <w:r>
        <w:t xml:space="preserve">Third is the econometric method literature, including the survival-analysis and conditional-mean tradition that supports the empirical strategy pursued here. The Cox proportional-hazards model and the ordinary-least-squares conditional-mean estimator are mature methods whose assumptions and limitations are textbook. The economic-perspective literature on space, including Weinzierl’s analysis of the sector as an economic frontier</w:t>
      </w:r>
      <w:r>
        <w:t xml:space="preserve"> </w:t>
      </w:r>
      <w:hyperlink w:anchor="ref-9">
        <w:r>
          <w:rPr>
            <w:rStyle w:val="Hyperlink"/>
          </w:rPr>
          <w:t xml:space="preserve">[9]</w:t>
        </w:r>
      </w:hyperlink>
      <w:r>
        <w:t xml:space="preserve">, supplies the framing under which acquisition-mode shifts toward fixed-price commercial services have been theorized. Recent technical work on multi-objective decision-making for flexible facility design on the lunar surface formalizes how decision-makers handle uncertainty in mission-design choices</w:t>
      </w:r>
      <w:r>
        <w:t xml:space="preserve"> </w:t>
      </w:r>
      <w:hyperlink w:anchor="ref-35">
        <w:r>
          <w:rPr>
            <w:rStyle w:val="Hyperlink"/>
          </w:rPr>
          <w:t xml:space="preserve">[35]</w:t>
        </w:r>
      </w:hyperlink>
      <w:r>
        <w:t xml:space="preserve">, and lessons-from-mission accounts such as the Dawn narrative document how operational decisions accumulate across the life cycle</w:t>
      </w:r>
      <w:r>
        <w:t xml:space="preserve"> </w:t>
      </w:r>
      <w:hyperlink w:anchor="ref-37">
        <w:r>
          <w:rPr>
            <w:rStyle w:val="Hyperlink"/>
          </w:rPr>
          <w:t xml:space="preserve">[37]</w:t>
        </w:r>
      </w:hyperlink>
      <w:r>
        <w:t xml:space="preserve">. Yet the textbook econometric methods are rarely applied to NASA major-project rebaseline events as the dependent variable, and when they are, the right-hand-side covariates typically stop at technical complexity rather than arena density. Nobody has brought the garbage-can framework and the Cox or OLS estimator together on a single, replicable panel of NASA major projects in which the count of standing oversight committees enters the regressor list directly, separately from technical complexity, and is tested against the conditional mean of cost growth and against the hazard of formal rebaseline.</w:t>
      </w:r>
    </w:p>
    <w:p>
      <w:pPr>
        <w:pStyle w:val="BodyText"/>
        <w:spacing w:line="480" w:lineRule="auto"/>
        <w:ind w:firstLine="720"/>
      </w:pPr>
      <w:r>
        <w:t xml:space="preserve">So the gap is not a gap in any single literature. It falls between literatures. The domain literature documents the milestone architecture and its participants and treats the review as a black box. The governance literature names the participants and does not instrument them. The econometric method literature supplies the estimator and is not routinely turned on this dependent variable with this covariate set. This dissertation occupies that gap.</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advances one falsifiable contribution, stated precisely as follows. On a defined cohort of NASA major projects whose confirmation years span 2002 through 2021, whose cost histories are documented in the GAO Major Project Annual Assessment series</w:t>
      </w:r>
      <w:r>
        <w:t xml:space="preserve"> </w:t>
      </w:r>
      <w:hyperlink w:anchor="ref-6">
        <w:r>
          <w:rPr>
            <w:rStyle w:val="Hyperlink"/>
          </w:rPr>
          <w:t xml:space="preserve">[6]</w:t>
        </w:r>
      </w:hyperlink>
      <w:r>
        <w:t xml:space="preserve">[11][12][13][14][15][16][17][18][22][23] and in the NASA Office of Inspector General audit record</w:t>
      </w:r>
      <w:r>
        <w:t xml:space="preserve"> </w:t>
      </w:r>
      <w:hyperlink w:anchor="ref-19">
        <w:r>
          <w:rPr>
            <w:rStyle w:val="Hyperlink"/>
          </w:rPr>
          <w:t xml:space="preserve">[19]</w:t>
        </w:r>
      </w:hyperlink>
      <w:r>
        <w:t xml:space="preserve">[26], the count of standing oversight committees with formal approval authority at Key Decision Point C predicts subsequent cost-growth behavior more strongly than the GAO technical complexity tier at the same review. Two complementary outcome axes operationalize the contribution. On the survival axis, a Cox proportional-hazards regression models the hazard of first formal rebaseline against the statutory fifteen percent threshold, right-censored at the most recent GAO assessment, with the count of standing oversight committees, technical complexity, the count of prime contractors, and a binary indicator for fixed-price commercial services execution on the right-hand side. On the magnitude axis, an ordinary-least-squares regression models the conditional mean of life-cycle cost-growth percent at the most recent GAO observation, on the same covariate set augmented by cumulative schedule slip.</w:t>
      </w:r>
    </w:p>
    <w:p>
      <w:pPr>
        <w:pStyle w:val="BodyText"/>
        <w:spacing w:line="480" w:lineRule="auto"/>
        <w:ind w:firstLine="720"/>
      </w:pPr>
      <w:r>
        <w:t xml:space="preserve">Three features make the contribution falsifiable in the strict sense. The cohort is fixed and finite, drawn from a public documentary record whose source for each row is cited in the data file. The operationalization of the four garbage-can streams is fixed before estimation: the participant stream is the count of standing committees; the solution stream is the count of prime contractors and the binary acquisition-mode indicator; the problem stream is the GAO complexity tier; and the choice opportunity is the KDP-C event itself. And the statistical decision criterion is fixed before estimation. The contribution is supported if and only if the standing-committee covariate carries a coefficient of larger absolute magnitude than the complexity covariate on at least one of the two outcome axes, with the predicted sign. Should neither axis return the predicted ordering, the contribution is falsified, the garbage-can reading finds no support on this sample, and the rational-acquisition account keeps the field.</w:t>
      </w:r>
    </w:p>
    <w:p>
      <w:pPr>
        <w:pStyle w:val="BodyText"/>
        <w:spacing w:line="480" w:lineRule="auto"/>
        <w:ind w:firstLine="720"/>
      </w:pPr>
      <w:r>
        <w:t xml:space="preserve">A corroborating qualitative arm, sketched in the prospectus</w:t>
      </w:r>
      <w:r>
        <w:t xml:space="preserve"> </w:t>
      </w:r>
      <w:hyperlink w:anchor="ref-1">
        <w:r>
          <w:rPr>
            <w:rStyle w:val="Hyperlink"/>
          </w:rPr>
          <w:t xml:space="preserve">[1]</w:t>
        </w:r>
      </w:hyperlink>
      <w:r>
        <w:t xml:space="preserve">[2][3][4][5], reconstructs the documentary trace of named milestone reviews as a check on the quantitative result. It classifies each reconstructed review against an a priori operational definition of garbage-can coupling, with two-coder overlap on twenty-five percent of the sample and published inter-coder agreement. That arm corroborates rather than decides. The dissertation’s single falsifiable contribution is the econometric one specified in the preceding paragraph.</w:t>
      </w:r>
    </w:p>
    <w:bookmarkEnd w:id="64"/>
    <w:bookmarkStart w:id="65" w:name="roadmap"/>
    <w:p>
      <w:pPr>
        <w:pStyle w:val="Heading2"/>
        <w:spacing w:line="480" w:lineRule="auto"/>
      </w:pPr>
      <w:r>
        <w:t xml:space="preserve">1.5 Roadmap</w:t>
      </w:r>
    </w:p>
    <w:p>
      <w:pPr>
        <w:pStyle w:val="FirstParagraph"/>
        <w:spacing w:line="480" w:lineRule="auto"/>
      </w:pPr>
      <w:r>
        <w:t xml:space="preserve">Nine further chapters follow. Chapter 2 reviews the three adjacent literatures identified in section 1.3 and builds the theoretical bridge from the garbage-can model into a regression specification whose right-hand-side variables are observable in the NASA major-project record. It draws on the foundational organizational-choice literature</w:t>
      </w:r>
      <w:r>
        <w:t xml:space="preserve"> </w:t>
      </w:r>
      <w:hyperlink w:anchor="ref-7">
        <w:r>
          <w:rPr>
            <w:rStyle w:val="Hyperlink"/>
          </w:rPr>
          <w:t xml:space="preserve">[7]</w:t>
        </w:r>
      </w:hyperlink>
      <w:r>
        <w:t xml:space="preserve">[8][21], on the AMOS milestone-program-management record</w:t>
      </w:r>
      <w:r>
        <w:t xml:space="preserve"> </w:t>
      </w:r>
      <w:hyperlink w:anchor="ref-1">
        <w:r>
          <w:rPr>
            <w:rStyle w:val="Hyperlink"/>
          </w:rPr>
          <w:t xml:space="preserve">[1]</w:t>
        </w:r>
      </w:hyperlink>
      <w:r>
        <w:t xml:space="preserve">[3], on the Acta Astronautica governance synthesis</w:t>
      </w:r>
      <w:r>
        <w:t xml:space="preserve"> </w:t>
      </w:r>
      <w:hyperlink w:anchor="ref-2">
        <w:r>
          <w:rPr>
            <w:rStyle w:val="Hyperlink"/>
          </w:rPr>
          <w:t xml:space="preserve">[2]</w:t>
        </w:r>
      </w:hyperlink>
      <w:r>
        <w:t xml:space="preserve">[10][40][41], and on the surrounding decision-support and economic-modeling tradition</w:t>
      </w:r>
      <w:r>
        <w:t xml:space="preserve"> </w:t>
      </w:r>
      <w:hyperlink w:anchor="ref-4">
        <w:r>
          <w:rPr>
            <w:rStyle w:val="Hyperlink"/>
          </w:rPr>
          <w:t xml:space="preserve">[4]</w:t>
        </w:r>
      </w:hyperlink>
      <w:r>
        <w:t xml:space="preserve">[5][9][27][32][34][35][38] to motivate the operational definition of the participant, solution, and problem streams.</w:t>
      </w:r>
    </w:p>
    <w:p>
      <w:pPr>
        <w:pStyle w:val="BodyText"/>
        <w:spacing w:line="480" w:lineRule="auto"/>
        <w:ind w:firstLine="720"/>
      </w:pPr>
      <w:r>
        <w:t xml:space="preserve">Chapter 3 specifies the data. It defines the cohort of NASA major projects, documents the source citation for every row drawn from the GAO Major Project Annual Assessment series and from the NASA OIG audit record</w:t>
      </w:r>
      <w:r>
        <w:t xml:space="preserve"> </w:t>
      </w:r>
      <w:hyperlink w:anchor="ref-6">
        <w:r>
          <w:rPr>
            <w:rStyle w:val="Hyperlink"/>
          </w:rPr>
          <w:t xml:space="preserve">[6]</w:t>
        </w:r>
      </w:hyperlink>
      <w:r>
        <w:t xml:space="preserve">[11][12][13][14][15][16][17][18][19][22][23][25][26], states the coding rules for the standing-committee count and the prime-contractor count, defines the fixed-price commercial services indicator against the Commercial Crew, CLPS, Human Landing System, and Gateway acquisition tracks</w:t>
      </w:r>
      <w:r>
        <w:t xml:space="preserve"> </w:t>
      </w:r>
      <w:hyperlink w:anchor="ref-19">
        <w:r>
          <w:rPr>
            <w:rStyle w:val="Hyperlink"/>
          </w:rPr>
          <w:t xml:space="preserve">[19]</w:t>
        </w:r>
      </w:hyperlink>
      <w:r>
        <w:t xml:space="preserve">[20][24][25], and reports descriptive statistics and missing-data treatment.</w:t>
      </w:r>
    </w:p>
    <w:p>
      <w:pPr>
        <w:pStyle w:val="BodyText"/>
        <w:spacing w:line="480" w:lineRule="auto"/>
        <w:ind w:firstLine="720"/>
      </w:pPr>
      <w:r>
        <w:t xml:space="preserve">Chapter 4 specifies the empirical strategy: the Cox proportional-hazards specification, the OLS specification, the standard-error treatment, the assumptions under which each estimator is consistent, and the diagnostic tests to be reported. It is explicit about the limits of the sample size and about the boundary the small sample places around asymptotic inference.</w:t>
      </w:r>
    </w:p>
    <w:p>
      <w:pPr>
        <w:pStyle w:val="BodyText"/>
        <w:spacing w:line="480" w:lineRule="auto"/>
        <w:ind w:firstLine="720"/>
      </w:pPr>
      <w:r>
        <w:t xml:space="preserve">Chapter 5 reports the Cox survival results on time from KDP-C confirmation to first formal rebaseline. Chapter 6 reports the OLS conditional-mean results on cost-growth magnitude. Sharing a covariate set, the two chapters report the standing-committee versus complexity comparison that operationalizes the dissertation’s falsifiable contribution.</w:t>
      </w:r>
    </w:p>
    <w:p>
      <w:pPr>
        <w:pStyle w:val="BodyText"/>
        <w:spacing w:line="480" w:lineRule="auto"/>
        <w:ind w:firstLine="720"/>
      </w:pPr>
      <w:r>
        <w:t xml:space="preserve">Chapter 7 reports the qualitative corroborating arm. It reconstructs a defined sample of milestone reviews from the public record, applies the a priori coding manual, reports inter-coder agreement, and classifies each review against the operational definition of garbage-can coupling.</w:t>
      </w:r>
    </w:p>
    <w:p>
      <w:pPr>
        <w:pStyle w:val="BodyText"/>
        <w:spacing w:line="480" w:lineRule="auto"/>
        <w:ind w:firstLine="720"/>
      </w:pPr>
      <w:r>
        <w:t xml:space="preserve">Chapter 8 discusses the integrated result. It states whether the quantitative falsifiable contribution is supported, falsified, or indeterminate on this sample, reports the qualitative classification, and reads the two arms together. It stays explicit about the bounds on inference imposed by sample size, by the documentary nature of the record, and by the small set of contextual anchors in the governance literature</w:t>
      </w:r>
      <w:r>
        <w:t xml:space="preserve"> </w:t>
      </w:r>
      <w:hyperlink w:anchor="ref-2">
        <w:r>
          <w:rPr>
            <w:rStyle w:val="Hyperlink"/>
          </w:rPr>
          <w:t xml:space="preserve">[2]</w:t>
        </w:r>
      </w:hyperlink>
      <w:r>
        <w:t xml:space="preserve">[10].</w:t>
      </w:r>
    </w:p>
    <w:p>
      <w:pPr>
        <w:pStyle w:val="BodyText"/>
        <w:spacing w:line="480" w:lineRule="auto"/>
        <w:ind w:firstLine="720"/>
      </w:pPr>
      <w:r>
        <w:t xml:space="preserve">Chapter 9 develops the policy implications for NASA and for JPL. It separates the policy levers prescribed by the rational-acquisition account from those prescribed by the garbage-can account, traces the consequences of the empirical result for the standing committee structure that currently sits above NASA major projects, and identifies the acquisition-mode choices whose implications shift under the garbage-can reading</w:t>
      </w:r>
      <w:r>
        <w:t xml:space="preserve"> </w:t>
      </w:r>
      <w:hyperlink w:anchor="ref-9">
        <w:r>
          <w:rPr>
            <w:rStyle w:val="Hyperlink"/>
          </w:rPr>
          <w:t xml:space="preserve">[9]</w:t>
        </w:r>
      </w:hyperlink>
      <w:r>
        <w:t xml:space="preserve">[19][20][24][25].</w:t>
      </w:r>
    </w:p>
    <w:p>
      <w:pPr>
        <w:pStyle w:val="BodyText"/>
        <w:spacing w:line="480" w:lineRule="auto"/>
        <w:ind w:firstLine="720"/>
      </w:pPr>
      <w:r>
        <w:t xml:space="preserve">Chapter 10 concludes. It states the contribution, names the limits, and identifies the follow-on study that would partition the cohort by acquisition-mode maturity at contract award and test whether the conditional-mean shift survives a sample expansion. The dissertation closes by returning to the institutional stakes for JPL set out in this introduction. If the count of standing oversight committees is the dominant driver of cost-growth behavior in the modern portfolio, then the reform agenda that would most reduce the laboratory’s exposure to rebaseline events is a governance instrument, not a systems-engineering instrument, and the agency-level decision required to deploy it is one that current acquisition reform has not yet placed on the table.</w:t>
      </w:r>
    </w:p>
    <w:bookmarkEnd w:id="65"/>
    <w:bookmarkEnd w:id="66"/>
    <w:bookmarkStart w:id="80" w:name="chapter-2.-literature-review"/>
    <w:p>
      <w:pPr>
        <w:pStyle w:val="Heading1"/>
        <w:spacing w:line="480" w:lineRule="auto"/>
      </w:pPr>
      <w:r>
        <w:t xml:space="preserve">Chapter 2. Literature Review</w:t>
      </w:r>
    </w:p>
    <w:bookmarkStart w:id="67" w:name="Xccd9f24bdf9dfa07c15664d190ff40e61ebbed5"/>
    <w:p>
      <w:pPr>
        <w:pStyle w:val="Heading2"/>
        <w:spacing w:line="480" w:lineRule="auto"/>
      </w:pPr>
      <w:r>
        <w:t xml:space="preserve">2.1 Introduction: Two Literatures That Do Not Speak to Each Other</w:t>
      </w:r>
    </w:p>
    <w:p>
      <w:pPr>
        <w:pStyle w:val="FirstParagraph"/>
        <w:spacing w:line="480" w:lineRule="auto"/>
      </w:pPr>
      <w:r>
        <w:t xml:space="preserve">Why do U.S. space-program milestone reviews keep throwing off rebaselines, cost growth, and schedule slip at rates three decades of reform have failed to bend? That puzzle sits in an odd spot on the shelf. The two bodies of scholarship closest to it have spent most of two decades talking past each other. One side is the domain-technical writing on how space programs run, how milestones are built, and how decisions are supported, much of it lodged in the Advanced Maui Optical and Space Surveillance Technologies (AMOS) proceedings and in Acta Astronautica. The other side is the cliometric and econometric writing on organizational decision-making in big public buys, rooted in the garbage-can tradition that runs down from Cohen, March, and Olsen</w:t>
      </w:r>
      <w:r>
        <w:t xml:space="preserve"> </w:t>
      </w:r>
      <w:hyperlink w:anchor="ref-7">
        <w:r>
          <w:rPr>
            <w:rStyle w:val="Hyperlink"/>
          </w:rPr>
          <w:t xml:space="preserve">[7]</w:t>
        </w:r>
      </w:hyperlink>
      <w:r>
        <w:t xml:space="preserve"> </w:t>
      </w:r>
      <w:r>
        <w:t xml:space="preserve">and Kingdon</w:t>
      </w:r>
      <w:r>
        <w:t xml:space="preserve"> </w:t>
      </w:r>
      <w:hyperlink w:anchor="ref-21">
        <w:r>
          <w:rPr>
            <w:rStyle w:val="Hyperlink"/>
          </w:rPr>
          <w:t xml:space="preserve">[21]</w:t>
        </w:r>
      </w:hyperlink>
      <w:r>
        <w:t xml:space="preserve"> </w:t>
      </w:r>
      <w:r>
        <w:t xml:space="preserve">and worked out in the survival-analysis and conditional-mean toolkit any public-program evaluator knows. The first side owns the milestones, the artifacts, and the engineering words.</w:t>
      </w:r>
    </w:p>
    <w:p>
      <w:pPr>
        <w:pStyle w:val="BodyText"/>
        <w:spacing w:line="480" w:lineRule="auto"/>
        <w:ind w:firstLine="720"/>
      </w:pPr>
      <w:r>
        <w:t xml:space="preserve">The second owns the estimators, the identification logic, and the breakable decision-theoretic priors. Almost never have the two been aimed at one shared dataset of milestone reviews.</w:t>
      </w:r>
    </w:p>
    <w:p>
      <w:pPr>
        <w:pStyle w:val="BodyText"/>
        <w:spacing w:line="480" w:lineRule="auto"/>
        <w:ind w:firstLine="720"/>
      </w:pPr>
      <w:r>
        <w:t xml:space="preserve">This chapter takes each side in turn, marks where each quits before it reaches the question this dissertation asks, and then names the crack between them the dissertation is built to seal. The synthesis makes two charges. The domain side has piled up a rich descriptive record of reviews and support architectures while refusing to model the review as a coupled-stream arena. The cliometric side has piled up a rich machinery for testing coupled-stream claims while refusing to root those tests in the paper trail of a fixed set of space-program milestones. The dissertation works the crack.</w:t>
      </w:r>
    </w:p>
    <w:bookmarkEnd w:id="67"/>
    <w:bookmarkStart w:id="72" w:name="Xaa3027c67c004469e92025b557309d12fab40ba"/>
    <w:p>
      <w:pPr>
        <w:pStyle w:val="Heading2"/>
        <w:spacing w:line="480" w:lineRule="auto"/>
      </w:pPr>
      <w:r>
        <w:t xml:space="preserve">2.2 The Domain-Technical Literature on Space-Program Execution</w:t>
      </w:r>
    </w:p>
    <w:bookmarkStart w:id="68" w:name="X8c6a6e49e3e0539698e0005d5f3091a144bab9d"/>
    <w:p>
      <w:pPr>
        <w:pStyle w:val="Heading3"/>
        <w:spacing w:line="480" w:lineRule="auto"/>
      </w:pPr>
      <w:r>
        <w:t xml:space="preserve">2.2.1 Milestone Architecture as Documented Practice</w:t>
      </w:r>
    </w:p>
    <w:p>
      <w:pPr>
        <w:pStyle w:val="FirstParagraph"/>
        <w:spacing w:line="480" w:lineRule="auto"/>
      </w:pPr>
      <w:r>
        <w:t xml:space="preserve">Haines and Phu hand us the most direct open-literature record of a modern space-program milestone review going: the Space Fence Phase-A Preliminary Design Review (PDR) Concept Development Phase account</w:t>
      </w:r>
      <w:r>
        <w:t xml:space="preserve"> </w:t>
      </w:r>
      <w:hyperlink w:anchor="ref-1">
        <w:r>
          <w:rPr>
            <w:rStyle w:val="Hyperlink"/>
          </w:rPr>
          <w:t xml:space="preserve">[1]</w:t>
        </w:r>
      </w:hyperlink>
      <w:r>
        <w:t xml:space="preserve">. Among AMOS papers it stands out for laying the PDR bare, the entry brief, the problem of record, the candidate solutions on the table walking in, and the program-management arms that carried the jump from Phase A to Phase B. Most execution write-ups leave the milestone a shut box whose one visible output is pass or fail. Against that grain, the Space Fence record cracks the box far enough to glimpse the machinery inside. And yet the paper reads the review as a settled stage in an orderly buy, problem framing before solution weighing, solution weighing before choice, not as an arena where streams show up on their own.</w:t>
      </w:r>
    </w:p>
    <w:p>
      <w:pPr>
        <w:pStyle w:val="BodyText"/>
        <w:spacing w:line="480" w:lineRule="auto"/>
        <w:ind w:firstLine="720"/>
      </w:pPr>
      <w:r>
        <w:t xml:space="preserve">Krolikowski and colleagues give us the second such case, the Kobayashi Maru portfolio-program-management record of the Space Command and Control Program</w:t>
      </w:r>
      <w:r>
        <w:t xml:space="preserve"> </w:t>
      </w:r>
      <w:hyperlink w:anchor="ref-3">
        <w:r>
          <w:rPr>
            <w:rStyle w:val="Hyperlink"/>
          </w:rPr>
          <w:t xml:space="preserve">[3]</w:t>
        </w:r>
      </w:hyperlink>
      <w:r>
        <w:t xml:space="preserve">. Their paper lays out a portfolio arm herding several parallel acquisition tracks under one shared command-and-control roof, and it names the standing committees, the prime-contractor lineup, and the beat of integrated milestones across the portfolio. Like the Space Fence account, this one takes an orderly-sequencing template for granted in the decisions it walks through. It is generous with what it records and mute on what it withholds: whether the tie of solutions to problems inside any one portfolio milestone actually tracks the orderly template the charter lays down.</w:t>
      </w:r>
    </w:p>
    <w:p>
      <w:pPr>
        <w:pStyle w:val="BodyText"/>
        <w:spacing w:line="480" w:lineRule="auto"/>
        <w:ind w:firstLine="720"/>
      </w:pPr>
      <w:r>
        <w:t xml:space="preserve">The decision-support writing ringed around these cases carries the orderly presumption forward rather than shaking it. Smith, Jah, and Wood</w:t>
      </w:r>
      <w:r>
        <w:t xml:space="preserve"> </w:t>
      </w:r>
      <w:hyperlink w:anchor="ref-4">
        <w:r>
          <w:rPr>
            <w:rStyle w:val="Hyperlink"/>
          </w:rPr>
          <w:t xml:space="preserve">[4]</w:t>
        </w:r>
      </w:hyperlink>
      <w:r>
        <w:t xml:space="preserve"> </w:t>
      </w:r>
      <w:r>
        <w:t xml:space="preserve">pitch a decision-support architecture for keeping watch over commercial in-space servicing, casting the arena as a line of well-formed regulatory choices fed curated evidence in a set order. Hussein and colleagues</w:t>
      </w:r>
      <w:r>
        <w:t xml:space="preserve"> </w:t>
      </w:r>
      <w:hyperlink w:anchor="ref-5">
        <w:r>
          <w:rPr>
            <w:rStyle w:val="Hyperlink"/>
          </w:rPr>
          <w:t xml:space="preserve">[5]</w:t>
        </w:r>
      </w:hyperlink>
      <w:r>
        <w:t xml:space="preserve">[32] lay out a risk-based framework for space traffic management where the choice is the regulator’s call to clear or hold a maneuver and the feed is the curated risk output of an upstream space situational awareness chain. Schultz and colleagues</w:t>
      </w:r>
      <w:r>
        <w:t xml:space="preserve"> </w:t>
      </w:r>
      <w:hyperlink w:anchor="ref-33">
        <w:r>
          <w:rPr>
            <w:rStyle w:val="Hyperlink"/>
          </w:rPr>
          <w:t xml:space="preserve">[33]</w:t>
        </w:r>
      </w:hyperlink>
      <w:r>
        <w:t xml:space="preserve"> </w:t>
      </w:r>
      <w:r>
        <w:t xml:space="preserve">sketch the data-insight, pedigree, and automation layer that stokes such chains. Picciano</w:t>
      </w:r>
      <w:r>
        <w:t xml:space="preserve"> </w:t>
      </w:r>
      <w:hyperlink w:anchor="ref-27">
        <w:r>
          <w:rPr>
            <w:rStyle w:val="Hyperlink"/>
          </w:rPr>
          <w:t xml:space="preserve">[27]</w:t>
        </w:r>
      </w:hyperlink>
      <w:r>
        <w:t xml:space="preserve"> </w:t>
      </w:r>
      <w:r>
        <w:t xml:space="preserve">and Picciano, Schurr, and Ganberg</w:t>
      </w:r>
      <w:r>
        <w:t xml:space="preserve"> </w:t>
      </w:r>
      <w:hyperlink w:anchor="ref-34">
        <w:r>
          <w:rPr>
            <w:rStyle w:val="Hyperlink"/>
          </w:rPr>
          <w:t xml:space="preserve">[34]</w:t>
        </w:r>
      </w:hyperlink>
      <w:r>
        <w:t xml:space="preserve"> </w:t>
      </w:r>
      <w:r>
        <w:t xml:space="preserve">read out what those tools do to the human decision process for space situational awareness operators. Every one of these takes for granted that the choke point in space-domain deciding is the quality and timing of the evidence handed to a rational decider, not the accident of streams meeting in that decider’s own arena.</w:t>
      </w:r>
    </w:p>
    <w:bookmarkEnd w:id="68"/>
    <w:bookmarkStart w:id="69" w:name="X1a8db072a2e7c2753f823915c79da20bc9814a6"/>
    <w:p>
      <w:pPr>
        <w:pStyle w:val="Heading3"/>
        <w:spacing w:line="480" w:lineRule="auto"/>
      </w:pPr>
      <w:r>
        <w:t xml:space="preserve">2.2.2 Governance Frameworks and the Black-Boxed Milestone</w:t>
      </w:r>
    </w:p>
    <w:p>
      <w:pPr>
        <w:pStyle w:val="FirstParagraph"/>
        <w:spacing w:line="480" w:lineRule="auto"/>
      </w:pPr>
      <w:r>
        <w:t xml:space="preserve">The Acta Astronautica governance writing has yielded the boldest recent synthesis of the institutional swing from Legacy Space to New Space structures. Zancan, Paravano, Locatelli, and Trucco</w:t>
      </w:r>
      <w:r>
        <w:t xml:space="preserve"> </w:t>
      </w:r>
      <w:hyperlink w:anchor="ref-2">
        <w:r>
          <w:rPr>
            <w:rStyle w:val="Hyperlink"/>
          </w:rPr>
          <w:t xml:space="preserve">[2]</w:t>
        </w:r>
      </w:hyperlink>
      <w:r>
        <w:t xml:space="preserve"> </w:t>
      </w:r>
      <w:r>
        <w:t xml:space="preserve">read the sector as passing through a long reshaping in which decision authority slides from a handful of vertically integrated national prime relationships toward a wider, mixed set of commercial-service relationships, with authority spread across buying agency, service provider, and end user. The synthesis carries weight because it furnishes the backdrop any modern study of space-program deciding has to stand against. What it withholds is any look at the milestone review as a decision object. It treats the review as one of several institutional artifacts that ride out the Legacy-to-New swing while their participant mix turns over, and it stops before asking whether the internal tie of problems to solutions inside the surviving milestone tracks the orderly template the charters lay down.</w:t>
      </w:r>
    </w:p>
    <w:p>
      <w:pPr>
        <w:pStyle w:val="BodyText"/>
        <w:spacing w:line="480" w:lineRule="auto"/>
        <w:ind w:firstLine="720"/>
      </w:pPr>
      <w:r>
        <w:t xml:space="preserve">A sister thread in Acta Astronautica traces the social and normative reworking of space use. Zancan and colleagues</w:t>
      </w:r>
      <w:r>
        <w:t xml:space="preserve"> </w:t>
      </w:r>
      <w:hyperlink w:anchor="ref-10">
        <w:r>
          <w:rPr>
            <w:rStyle w:val="Hyperlink"/>
          </w:rPr>
          <w:t xml:space="preserve">[10]</w:t>
        </w:r>
      </w:hyperlink>
      <w:r>
        <w:t xml:space="preserve"> </w:t>
      </w:r>
      <w:r>
        <w:t xml:space="preserve">take up the architectural socio-technological reworking of space-use norms, and Varughese and colleagues</w:t>
      </w:r>
      <w:r>
        <w:t xml:space="preserve"> </w:t>
      </w:r>
      <w:hyperlink w:anchor="ref-40">
        <w:r>
          <w:rPr>
            <w:rStyle w:val="Hyperlink"/>
          </w:rPr>
          <w:t xml:space="preserve">[40]</w:t>
        </w:r>
      </w:hyperlink>
      <w:r>
        <w:t xml:space="preserve"> </w:t>
      </w:r>
      <w:r>
        <w:t xml:space="preserve">take up the transdisciplinary and bi-cultural crossing of space and sustainability, both planting milestone deciding in a wider normative field where problems no longer arrive from engineering alone. Cirkovic and Wood</w:t>
      </w:r>
      <w:r>
        <w:t xml:space="preserve"> </w:t>
      </w:r>
      <w:hyperlink w:anchor="ref-41">
        <w:r>
          <w:rPr>
            <w:rStyle w:val="Hyperlink"/>
          </w:rPr>
          <w:t xml:space="preserve">[41]</w:t>
        </w:r>
      </w:hyperlink>
      <w:r>
        <w:t xml:space="preserve"> </w:t>
      </w:r>
      <w:r>
        <w:t xml:space="preserve">stretch the frame to folding planetary boundaries into sustainable space exploration, where the problem stream feeding any given review hauls in constraints whose very definition is up for grabs. Sánchez-Ortíz and colleagues</w:t>
      </w:r>
      <w:r>
        <w:t xml:space="preserve"> </w:t>
      </w:r>
      <w:hyperlink w:anchor="ref-36">
        <w:r>
          <w:rPr>
            <w:rStyle w:val="Hyperlink"/>
          </w:rPr>
          <w:t xml:space="preserve">[36]</w:t>
        </w:r>
      </w:hyperlink>
      <w:r>
        <w:t xml:space="preserve"> </w:t>
      </w:r>
      <w:r>
        <w:t xml:space="preserve">log outreach on space traffic management as one case of an outside normative push reshaping the participant stream feeding an arena.</w:t>
      </w:r>
    </w:p>
    <w:p>
      <w:pPr>
        <w:pStyle w:val="BodyText"/>
        <w:spacing w:line="480" w:lineRule="auto"/>
        <w:ind w:firstLine="720"/>
      </w:pPr>
      <w:r>
        <w:t xml:space="preserve">This thread matters here because it signals that the problem stream feeding modern reviews is itself shaky in a way the orderly template cannot house. It does not sink to the level of the documented milestone, and it runs no test of coupling.</w:t>
      </w:r>
    </w:p>
    <w:bookmarkEnd w:id="69"/>
    <w:bookmarkStart w:id="70" w:name="Xd446e9c1c721513e1a900a290db6790b282f955"/>
    <w:p>
      <w:pPr>
        <w:pStyle w:val="Heading3"/>
        <w:spacing w:line="480" w:lineRule="auto"/>
      </w:pPr>
      <w:r>
        <w:t xml:space="preserve">2.2.3 Technical-Risk Studies and the Limits of Complexity Accounting</w:t>
      </w:r>
    </w:p>
    <w:p>
      <w:pPr>
        <w:pStyle w:val="FirstParagraph"/>
        <w:spacing w:line="480" w:lineRule="auto"/>
      </w:pPr>
      <w:r>
        <w:t xml:space="preserve">A third strand of the domain writing runs at the grain of technical-risk modeling for particular mission classes. Buehler and colleagues</w:t>
      </w:r>
      <w:r>
        <w:t xml:space="preserve"> </w:t>
      </w:r>
      <w:hyperlink w:anchor="ref-31">
        <w:r>
          <w:rPr>
            <w:rStyle w:val="Hyperlink"/>
          </w:rPr>
          <w:t xml:space="preserve">[31]</w:t>
        </w:r>
      </w:hyperlink>
      <w:r>
        <w:t xml:space="preserve"> </w:t>
      </w:r>
      <w:r>
        <w:t xml:space="preserve">turn supercomputing on the risk of emergent large-scale debris in low Earth orbit, a case where the technical load of the decision runs high and exogenous events, not program convenience, fix when the choice arrives. Tarantino</w:t>
      </w:r>
      <w:r>
        <w:t xml:space="preserve"> </w:t>
      </w:r>
      <w:hyperlink w:anchor="ref-30">
        <w:r>
          <w:rPr>
            <w:rStyle w:val="Hyperlink"/>
          </w:rPr>
          <w:t xml:space="preserve">[30]</w:t>
        </w:r>
      </w:hyperlink>
      <w:r>
        <w:t xml:space="preserve"> </w:t>
      </w:r>
      <w:r>
        <w:t xml:space="preserve">logs the policy-memo reply to the Space Debris Summit and the active-debris-removal portfolio, which lays bare how one exogenous problem arrival reshapes the participant stream at the next milestone across several programs. Holzinger and Scheeres</w:t>
      </w:r>
      <w:r>
        <w:t xml:space="preserve"> </w:t>
      </w:r>
      <w:hyperlink w:anchor="ref-29">
        <w:r>
          <w:rPr>
            <w:rStyle w:val="Hyperlink"/>
          </w:rPr>
          <w:t xml:space="preserve">[29]</w:t>
        </w:r>
      </w:hyperlink>
      <w:r>
        <w:t xml:space="preserve"> </w:t>
      </w:r>
      <w:r>
        <w:t xml:space="preserve">build reachability analysis for space situational awareness, a technical output that then feeds several separate downstream arenas. Kazemi and colleagues</w:t>
      </w:r>
      <w:r>
        <w:t xml:space="preserve"> </w:t>
      </w:r>
      <w:hyperlink w:anchor="ref-42">
        <w:r>
          <w:rPr>
            <w:rStyle w:val="Hyperlink"/>
          </w:rPr>
          <w:t xml:space="preserve">[42]</w:t>
        </w:r>
      </w:hyperlink>
      <w:r>
        <w:t xml:space="preserve"> </w:t>
      </w:r>
      <w:r>
        <w:t xml:space="preserve">survey orbit determination for space situational awareness, again a technical feed to arenas elsewhere. Reed, Stilwell, Weeden, Dailey, and Tsamis</w:t>
      </w:r>
      <w:r>
        <w:t xml:space="preserve"> </w:t>
      </w:r>
      <w:hyperlink w:anchor="ref-28">
        <w:r>
          <w:rPr>
            <w:rStyle w:val="Hyperlink"/>
          </w:rPr>
          <w:t xml:space="preserve">[28]</w:t>
        </w:r>
      </w:hyperlink>
      <w:r>
        <w:t xml:space="preserve"> </w:t>
      </w:r>
      <w:r>
        <w:t xml:space="preserve">describe the operational risk-information-sharing apparatus that carries technical risk products into governance arenas, a rare entry in the domain writing because it looks head-on at the cross-stream flow from technical risk to normative decision.</w:t>
      </w:r>
    </w:p>
    <w:p>
      <w:pPr>
        <w:pStyle w:val="BodyText"/>
        <w:spacing w:line="480" w:lineRule="auto"/>
        <w:ind w:firstLine="720"/>
      </w:pPr>
      <w:r>
        <w:t xml:space="preserve">The mission-class cases anchoring this strand earn their keep here because they log the sorts of problems and solutions that turn up at modern reviews. Rayman</w:t>
      </w:r>
      <w:r>
        <w:t xml:space="preserve"> </w:t>
      </w:r>
      <w:hyperlink w:anchor="ref-37">
        <w:r>
          <w:rPr>
            <w:rStyle w:val="Hyperlink"/>
          </w:rPr>
          <w:t xml:space="preserve">[37]</w:t>
        </w:r>
      </w:hyperlink>
      <w:r>
        <w:t xml:space="preserve"> </w:t>
      </w:r>
      <w:r>
        <w:t xml:space="preserve">on Dawn, Ikeya and colleagues</w:t>
      </w:r>
      <w:r>
        <w:t xml:space="preserve"> </w:t>
      </w:r>
      <w:hyperlink w:anchor="ref-35">
        <w:r>
          <w:rPr>
            <w:rStyle w:val="Hyperlink"/>
          </w:rPr>
          <w:t xml:space="preserve">[35]</w:t>
        </w:r>
      </w:hyperlink>
      <w:r>
        <w:t xml:space="preserve"> </w:t>
      </w:r>
      <w:r>
        <w:t xml:space="preserve">on multi-objective deciding for lunar oxygen production, and Dorrington and Olsen</w:t>
      </w:r>
      <w:r>
        <w:t xml:space="preserve"> </w:t>
      </w:r>
      <w:hyperlink w:anchor="ref-38">
        <w:r>
          <w:rPr>
            <w:rStyle w:val="Hyperlink"/>
          </w:rPr>
          <w:t xml:space="preserve">[38]</w:t>
        </w:r>
      </w:hyperlink>
      <w:r>
        <w:t xml:space="preserve"> </w:t>
      </w:r>
      <w:r>
        <w:t xml:space="preserve">on parametric economic modeling of asteroid mining each hand over the engineering flesh of an arena the cliometric writing treats in the abstract. Makreli and Charidemou</w:t>
      </w:r>
      <w:r>
        <w:t xml:space="preserve"> </w:t>
      </w:r>
      <w:hyperlink w:anchor="ref-39">
        <w:r>
          <w:rPr>
            <w:rStyle w:val="Hyperlink"/>
          </w:rPr>
          <w:t xml:space="preserve">[39]</w:t>
        </w:r>
      </w:hyperlink>
      <w:r>
        <w:t xml:space="preserve"> </w:t>
      </w:r>
      <w:r>
        <w:t xml:space="preserve">carry the point into the gut-microbiome arena under simulated space conditions, a case of technical problems on long horizons showing up at milestones never built to house them. In short, the mission-class writing stocks the raw material of problem and solution streams for any cliometric test of milestone coupling. What it never does is run the test.</w:t>
      </w:r>
    </w:p>
    <w:bookmarkEnd w:id="70"/>
    <w:bookmarkStart w:id="71" w:name="Xd46e7a544f050c5846c6c97994703e971c12baa"/>
    <w:p>
      <w:pPr>
        <w:pStyle w:val="Heading3"/>
        <w:spacing w:line="480" w:lineRule="auto"/>
      </w:pPr>
      <w:r>
        <w:t xml:space="preserve">2.2.4 GAO and OIG Audit Records as Quasi-Cliometric Evidence</w:t>
      </w:r>
    </w:p>
    <w:p>
      <w:pPr>
        <w:pStyle w:val="FirstParagraph"/>
        <w:spacing w:line="480" w:lineRule="auto"/>
      </w:pPr>
      <w:r>
        <w:t xml:space="preserve">The most cliometric stock of evidence in the domain-adjacent writing is the U.S. Government Accountability Office Major Project Annual Assessment run, now unbroken for over a decade. Its 2025</w:t>
      </w:r>
      <w:r>
        <w:t xml:space="preserve"> </w:t>
      </w:r>
      <w:hyperlink w:anchor="ref-6">
        <w:r>
          <w:rPr>
            <w:rStyle w:val="Hyperlink"/>
          </w:rPr>
          <w:t xml:space="preserve">[6]</w:t>
        </w:r>
      </w:hyperlink>
      <w:r>
        <w:t xml:space="preserve">[22], 2024</w:t>
      </w:r>
      <w:r>
        <w:t xml:space="preserve"> </w:t>
      </w:r>
      <w:hyperlink w:anchor="ref-23">
        <w:r>
          <w:rPr>
            <w:rStyle w:val="Hyperlink"/>
          </w:rPr>
          <w:t xml:space="preserve">[23]</w:t>
        </w:r>
      </w:hyperlink>
      <w:r>
        <w:t xml:space="preserve">, 2023 [7 in p1 context], 2022</w:t>
      </w:r>
      <w:r>
        <w:t xml:space="preserve"> </w:t>
      </w:r>
      <w:hyperlink w:anchor="ref-11">
        <w:r>
          <w:rPr>
            <w:rStyle w:val="Hyperlink"/>
          </w:rPr>
          <w:t xml:space="preserve">[11]</w:t>
        </w:r>
      </w:hyperlink>
      <w:r>
        <w:t xml:space="preserve">, 2020</w:t>
      </w:r>
      <w:r>
        <w:t xml:space="preserve"> </w:t>
      </w:r>
      <w:hyperlink w:anchor="ref-12">
        <w:r>
          <w:rPr>
            <w:rStyle w:val="Hyperlink"/>
          </w:rPr>
          <w:t xml:space="preserve">[12]</w:t>
        </w:r>
      </w:hyperlink>
      <w:r>
        <w:t xml:space="preserve">, 2019</w:t>
      </w:r>
      <w:r>
        <w:t xml:space="preserve"> </w:t>
      </w:r>
      <w:hyperlink w:anchor="ref-13">
        <w:r>
          <w:rPr>
            <w:rStyle w:val="Hyperlink"/>
          </w:rPr>
          <w:t xml:space="preserve">[13]</w:t>
        </w:r>
      </w:hyperlink>
      <w:r>
        <w:t xml:space="preserve">, 2017</w:t>
      </w:r>
      <w:r>
        <w:t xml:space="preserve"> </w:t>
      </w:r>
      <w:hyperlink w:anchor="ref-14">
        <w:r>
          <w:rPr>
            <w:rStyle w:val="Hyperlink"/>
          </w:rPr>
          <w:t xml:space="preserve">[14]</w:t>
        </w:r>
      </w:hyperlink>
      <w:r>
        <w:t xml:space="preserve">, 2016</w:t>
      </w:r>
      <w:r>
        <w:t xml:space="preserve"> </w:t>
      </w:r>
      <w:hyperlink w:anchor="ref-15">
        <w:r>
          <w:rPr>
            <w:rStyle w:val="Hyperlink"/>
          </w:rPr>
          <w:t xml:space="preserve">[15]</w:t>
        </w:r>
      </w:hyperlink>
      <w:r>
        <w:t xml:space="preserve">, 2014</w:t>
      </w:r>
      <w:r>
        <w:t xml:space="preserve"> </w:t>
      </w:r>
      <w:hyperlink w:anchor="ref-16">
        <w:r>
          <w:rPr>
            <w:rStyle w:val="Hyperlink"/>
          </w:rPr>
          <w:t xml:space="preserve">[16]</w:t>
        </w:r>
      </w:hyperlink>
      <w:r>
        <w:t xml:space="preserve">, 2013</w:t>
      </w:r>
      <w:r>
        <w:t xml:space="preserve"> </w:t>
      </w:r>
      <w:hyperlink w:anchor="ref-17">
        <w:r>
          <w:rPr>
            <w:rStyle w:val="Hyperlink"/>
          </w:rPr>
          <w:t xml:space="preserve">[17]</w:t>
        </w:r>
      </w:hyperlink>
      <w:r>
        <w:t xml:space="preserve">, and 2012</w:t>
      </w:r>
      <w:r>
        <w:t xml:space="preserve"> </w:t>
      </w:r>
      <w:hyperlink w:anchor="ref-18">
        <w:r>
          <w:rPr>
            <w:rStyle w:val="Hyperlink"/>
          </w:rPr>
          <w:t xml:space="preserve">[18]</w:t>
        </w:r>
      </w:hyperlink>
      <w:r>
        <w:t xml:space="preserve"> </w:t>
      </w:r>
      <w:r>
        <w:t xml:space="preserve">editions come nearest, of anything in the open literature, to a longitudinal panel of NASA major-project execution. The companion NASA Office of Inspector General audits, IG-22-003 on the Commercial Lunar Payload Services initiative</w:t>
      </w:r>
      <w:r>
        <w:t xml:space="preserve"> </w:t>
      </w:r>
      <w:hyperlink w:anchor="ref-19">
        <w:r>
          <w:rPr>
            <w:rStyle w:val="Hyperlink"/>
          </w:rPr>
          <w:t xml:space="preserve">[19]</w:t>
        </w:r>
      </w:hyperlink>
      <w:r>
        <w:t xml:space="preserve"> </w:t>
      </w:r>
      <w:r>
        <w:t xml:space="preserve">and IG-24-006 on the Volatiles Investigating Polar Exploration Rover among them, back the GAO run with program-level deep dives. Program-class GAO reports thicken the structural picture, the Commercial Crew Program assessment</w:t>
      </w:r>
      <w:r>
        <w:t xml:space="preserve"> </w:t>
      </w:r>
      <w:hyperlink w:anchor="ref-24">
        <w:r>
          <w:rPr>
            <w:rStyle w:val="Hyperlink"/>
          </w:rPr>
          <w:t xml:space="preserve">[24]</w:t>
        </w:r>
      </w:hyperlink>
      <w:r>
        <w:t xml:space="preserve">, the Human Landing System assessment</w:t>
      </w:r>
      <w:r>
        <w:t xml:space="preserve"> </w:t>
      </w:r>
      <w:hyperlink w:anchor="ref-25">
        <w:r>
          <w:rPr>
            <w:rStyle w:val="Hyperlink"/>
          </w:rPr>
          <w:t xml:space="preserve">[25]</w:t>
        </w:r>
      </w:hyperlink>
      <w:r>
        <w:t xml:space="preserve">, and the Lunar Programs cross-cut</w:t>
      </w:r>
      <w:r>
        <w:t xml:space="preserve"> </w:t>
      </w:r>
      <w:hyperlink w:anchor="ref-20">
        <w:r>
          <w:rPr>
            <w:rStyle w:val="Hyperlink"/>
          </w:rPr>
          <w:t xml:space="preserve">[20]</w:t>
        </w:r>
      </w:hyperlink>
      <w:r>
        <w:t xml:space="preserve"> </w:t>
      </w:r>
      <w:r>
        <w:t xml:space="preserve">among them.</w:t>
      </w:r>
    </w:p>
    <w:p>
      <w:pPr>
        <w:pStyle w:val="BodyText"/>
        <w:spacing w:line="480" w:lineRule="auto"/>
        <w:ind w:firstLine="720"/>
      </w:pPr>
      <w:r>
        <w:t xml:space="preserve">These audit files are indispensable here. They are the lone public source of the longitudinal cost-growth and schedule-slip evidence on which any cliometric test of milestone behavior can stand. They are also hemmed in as cliometric evidence three ways. They are narrative audits, not designed datasets, so the covariates in question have to be coded out of prose. They come from an oversight body charged with catching statutory-threshold breaches rather than with mapping the internal coupling of arenas, so their remit picks the evidence they expose. And they log the milestone as a recorded outcome, not a process, disclosing the decision and its fallout while rarely disclosing the arrival order inside the arena.</w:t>
      </w:r>
    </w:p>
    <w:p>
      <w:pPr>
        <w:pStyle w:val="BodyText"/>
        <w:spacing w:line="480" w:lineRule="auto"/>
        <w:ind w:firstLine="720"/>
      </w:pPr>
      <w:r>
        <w:t xml:space="preserve">The GAO run thus lends the dissertation a panel of outcomes to fit cliometric models against. On its own it is no test of the garbage-can hypothesis.</w:t>
      </w:r>
    </w:p>
    <w:bookmarkEnd w:id="71"/>
    <w:bookmarkEnd w:id="72"/>
    <w:bookmarkStart w:id="77" w:name="X07fe73e594277fc276c6392b9242153367417e1"/>
    <w:p>
      <w:pPr>
        <w:pStyle w:val="Heading2"/>
        <w:spacing w:line="480" w:lineRule="auto"/>
      </w:pPr>
      <w:r>
        <w:t xml:space="preserve">2.3 The Cliometric and Econometric Methodology Literature</w:t>
      </w:r>
    </w:p>
    <w:bookmarkStart w:id="73" w:name="Xcc7d99be72c73cb8c487846ed29c425fa8455e9"/>
    <w:p>
      <w:pPr>
        <w:pStyle w:val="Heading3"/>
        <w:spacing w:line="480" w:lineRule="auto"/>
      </w:pPr>
      <w:r>
        <w:t xml:space="preserve">2.3.1 The Garbage-Can Tradition and Its Operational Vocabulary</w:t>
      </w:r>
    </w:p>
    <w:p>
      <w:pPr>
        <w:pStyle w:val="FirstParagraph"/>
        <w:spacing w:line="480" w:lineRule="auto"/>
      </w:pPr>
      <w:r>
        <w:t xml:space="preserve">The cliometric writing that matters here opens with the original garbage-can model of organizational choice from Cohen, March, and Olsen</w:t>
      </w:r>
      <w:r>
        <w:t xml:space="preserve"> </w:t>
      </w:r>
      <w:hyperlink w:anchor="ref-7">
        <w:r>
          <w:rPr>
            <w:rStyle w:val="Hyperlink"/>
          </w:rPr>
          <w:t xml:space="preserve">[7]</w:t>
        </w:r>
      </w:hyperlink>
      <w:r>
        <w:t xml:space="preserve">. It holds that organizational decisions under loose preferences, murky technology, and fluid participation are best read as the tie-up of four independent streams: problems, solutions, participants, and choice opportunities. The streams keep their own schedules, and what binds them is when they overlap and who can reach the room, not any ends-means march. This is no theory of botched decisions. It is a theory of how decisions get made where the orderly template simply cannot run.</w:t>
      </w:r>
    </w:p>
    <w:p>
      <w:pPr>
        <w:pStyle w:val="BodyText"/>
        <w:spacing w:line="480" w:lineRule="auto"/>
        <w:ind w:firstLine="720"/>
      </w:pPr>
      <w:r>
        <w:t xml:space="preserve">March and Simon</w:t>
      </w:r>
      <w:r>
        <w:t xml:space="preserve"> </w:t>
      </w:r>
      <w:hyperlink w:anchor="ref-8">
        <w:r>
          <w:rPr>
            <w:rStyle w:val="Hyperlink"/>
          </w:rPr>
          <w:t xml:space="preserve">[8]</w:t>
        </w:r>
      </w:hyperlink>
      <w:r>
        <w:t xml:space="preserve"> </w:t>
      </w:r>
      <w:r>
        <w:t xml:space="preserve">lay the institutional footings the model stands on, above all the bounded-rationality result that fully rational sequencing of problem, evaluation, and choice loads more onto a real decider than the decider can bear, plus the paired claim that organizations swap satisficing search and standard operating procedures in for the orderly template. Kingdon</w:t>
      </w:r>
      <w:r>
        <w:t xml:space="preserve"> </w:t>
      </w:r>
      <w:hyperlink w:anchor="ref-21">
        <w:r>
          <w:rPr>
            <w:rStyle w:val="Hyperlink"/>
          </w:rPr>
          <w:t xml:space="preserve">[21]</w:t>
        </w:r>
      </w:hyperlink>
      <w:r>
        <w:t xml:space="preserve"> </w:t>
      </w:r>
      <w:r>
        <w:t xml:space="preserve">carries the model into policy-process writing with the windows-and-streams vocabulary in which problem, policy, and political streams couple at scattered windows of opportunity. That vocabulary earns its place here for two reasons. It is the dialect most modern empirical uses of the garbage-can model in public-program settings are written in, and it hands over the working language in which the dissertation’s three streams, problem, solution, participant, become observable covariates of an estimating equation.</w:t>
      </w:r>
    </w:p>
    <w:p>
      <w:pPr>
        <w:pStyle w:val="BodyText"/>
        <w:spacing w:line="480" w:lineRule="auto"/>
        <w:ind w:firstLine="720"/>
      </w:pPr>
      <w:r>
        <w:t xml:space="preserve">The tradition’s working vocabulary hangs on three claims open to test. First, the rate of problem-solution tie-up climbs with the density of arenas: each added standing committee, review body, or oversight venue is one more spot where problems and solutions can bind, and the marginal pull of arena density on the rate of outcomes is testable</w:t>
      </w:r>
      <w:r>
        <w:t xml:space="preserve"> </w:t>
      </w:r>
      <w:hyperlink w:anchor="ref-7">
        <w:r>
          <w:rPr>
            <w:rStyle w:val="Hyperlink"/>
          </w:rPr>
          <w:t xml:space="preserve">[7]</w:t>
        </w:r>
      </w:hyperlink>
      <w:r>
        <w:t xml:space="preserve">[8]. Second, when choice opportunities arrive is partly outside the problem stream’s control, set by statute, fiscal cycle, or house convention rather than by the problem stream’s readiness, and the marginal pull of that timing on the coupling pattern is testable</w:t>
      </w:r>
      <w:r>
        <w:t xml:space="preserve"> </w:t>
      </w:r>
      <w:hyperlink w:anchor="ref-21">
        <w:r>
          <w:rPr>
            <w:rStyle w:val="Hyperlink"/>
          </w:rPr>
          <w:t xml:space="preserve">[21]</w:t>
        </w:r>
      </w:hyperlink>
      <w:r>
        <w:t xml:space="preserve">. Third, the roster at choice need not match the roster at problem framing, and the marginal pull of that roster gap on the outcome is testable. The dissertation renders the first claim as the count of standing oversight committees, the second as schedule slip plus confirmation-year fixed effects, and the third as the paper-trail record of roster turnover between milestone entry and milestone choice.</w:t>
      </w:r>
    </w:p>
    <w:bookmarkEnd w:id="73"/>
    <w:bookmarkStart w:id="74" w:name="X941938b2de70aca6d0a442d7090ad12fe70a971"/>
    <w:p>
      <w:pPr>
        <w:pStyle w:val="Heading3"/>
        <w:spacing w:line="480" w:lineRule="auto"/>
      </w:pPr>
      <w:r>
        <w:t xml:space="preserve">2.3.2 Survival Analysis and the Time-to-Rebaseline Estimand</w:t>
      </w:r>
    </w:p>
    <w:p>
      <w:pPr>
        <w:pStyle w:val="FirstParagraph"/>
        <w:spacing w:line="480" w:lineRule="auto"/>
      </w:pPr>
      <w:r>
        <w:t xml:space="preserve">For a claim about how fast an organizational decision event arrives, the estimator that fits best is the Cox proportional-hazards model. It writes the instantaneous hazard of the event as an unspecified baseline hazard times an exponential of a linear index in the covariates, and it recovers the coefficients by partial-likelihood maximization with no parametric form pinned on the baseline. The companion paper [1B-MPM-107 p1] turns this estimator on a cohort of NASA major projects confirmed 2002 through 2021, clocking time from KDP-C to first formal rebaseline and right-censoring at the last reported GAO assessment for programs still short of rebaseline. Its hypothesis frame follows the garbage-can dialect: H1 calls for a positive hazard ratio on technical complexity, H2 for a positive hazard ratio on the count of standing oversight committees, and H3 for a negative hazard ratio on fixed-price commercial services execution.</w:t>
      </w:r>
    </w:p>
    <w:p>
      <w:pPr>
        <w:pStyle w:val="BodyText"/>
        <w:spacing w:line="480" w:lineRule="auto"/>
        <w:ind w:firstLine="720"/>
      </w:pPr>
      <w:r>
        <w:t xml:space="preserve">The Cox form is the right tool for the timing question on three counts. It pins no parametric shape on the baseline hazard. It handles right-censoring without bias. And it yields coefficients that read straight off in the garbage-can dialect. The companion paper logs a hazard ratio of 1.47 on the count of standing oversight committees, so each added committee lifts the instantaneous rebaseline hazard by roughly forty-seven percent at the point estimate, though the confidence interval at this sample size straddles unity. The same paper logs a hazard ratio of 0.94 on technical complexity, an estimate no different from zero to the eye and awkward for the orderly account, under which technical difficulty at confirmation is the near cause of cost growth. The Cox form thus delivers the timing-side test the dissertation needs, and today’s sample-size squeeze is a known trait of the estimator that a later, larger sample can loosen.</w:t>
      </w:r>
    </w:p>
    <w:bookmarkEnd w:id="74"/>
    <w:bookmarkStart w:id="75" w:name="X65ecf3e75c83b46b2c3bb88116f7352c2083997"/>
    <w:p>
      <w:pPr>
        <w:pStyle w:val="Heading3"/>
        <w:spacing w:line="480" w:lineRule="auto"/>
      </w:pPr>
      <w:r>
        <w:t xml:space="preserve">2.3.3 Ordinary Least Squares and the Conditional-Mean Estimand</w:t>
      </w:r>
    </w:p>
    <w:p>
      <w:pPr>
        <w:pStyle w:val="FirstParagraph"/>
        <w:spacing w:line="480" w:lineRule="auto"/>
      </w:pPr>
      <w:r>
        <w:t xml:space="preserve">The survival estimand throws away everything about how big the breach runs once it lands. A program ending five percent over its KDP-C baseline and one ending ninety-five percent over look the same to the Cox model the moment both cross the statutory line. For the size question the fitting estimator is ordinary least squares of the continuous cost-growth percent on the same covariates, conditional on the program reaching its most recent GAO observation. The companion size paper [1B-MPM-107 p2] runs this on thirty-seven programs and logs an R-squared of 0.7396 and an adjusted R-squared of 0.6976, with the biggest single coefficient on the fixed-price commercial services indicator at negative 27.28 percentage points and a coefficient on schedule slip of 1.015 percentage points per month.</w:t>
      </w:r>
    </w:p>
    <w:p>
      <w:pPr>
        <w:pStyle w:val="BodyText"/>
        <w:spacing w:line="480" w:lineRule="auto"/>
        <w:ind w:firstLine="720"/>
      </w:pPr>
      <w:r>
        <w:t xml:space="preserve">OLS is the right tool for the size question. The outcome runs continuous, the covariate space is small enough against the sample to carry inference under standard assumptions, and the conditional mean is the policy quantity in play. The size paper’s result that committee count sheds its explanatory weight in the OLS run once complexity and schedule slip come in is a methodological catch worth keeping. It says the participant-stream variable rides along with the timing variable, schedule slip, and that the timing variable is the near route through which the participant stream turns into size. The result squares with the Kingdon dialect</w:t>
      </w:r>
      <w:r>
        <w:t xml:space="preserve"> </w:t>
      </w:r>
      <w:hyperlink w:anchor="ref-21">
        <w:r>
          <w:rPr>
            <w:rStyle w:val="Hyperlink"/>
          </w:rPr>
          <w:t xml:space="preserve">[21]</w:t>
        </w:r>
      </w:hyperlink>
      <w:r>
        <w:t xml:space="preserve">, in which the participant stream ties to an outcome’s size through the timing of the choice rather than by a direct route, and it shows the survival and OLS estimators as partners, not rivals. The Cox model tells which programs breach and when. The OLS model tells how far they breach, given the timing.</w:t>
      </w:r>
    </w:p>
    <w:bookmarkEnd w:id="75"/>
    <w:bookmarkStart w:id="76" w:name="Xbac60620974265b7d025bd1bc8148c3b8786325"/>
    <w:p>
      <w:pPr>
        <w:pStyle w:val="Heading3"/>
        <w:spacing w:line="480" w:lineRule="auto"/>
      </w:pPr>
      <w:r>
        <w:t xml:space="preserve">2.3.4 Qualitative Coding as a Cliometric Companion</w:t>
      </w:r>
    </w:p>
    <w:p>
      <w:pPr>
        <w:pStyle w:val="FirstParagraph"/>
        <w:spacing w:line="480" w:lineRule="auto"/>
      </w:pPr>
      <w:r>
        <w:t xml:space="preserve">The cliometric writing also runs a long tradition of qualitative coding as a partner to formal estimation. Interpretive coding of a paper trail against an a priori definition is the only workable method when the unit of analysis is the arena itself and not the program-level outcome. The garbage-can tradition is odd among formal decision theories in that its working vocabulary drops straight into observable markers in a paper trail: whether entry problem equals exit problem, whether the picked solution sat in the entry slate, whether the choice-time roster nests inside the entry roster. These are claims about an arena, not a program, and no panel of program-level outcomes can yield them. They need the milestone document itself.</w:t>
      </w:r>
    </w:p>
    <w:p>
      <w:pPr>
        <w:pStyle w:val="BodyText"/>
        <w:spacing w:line="480" w:lineRule="auto"/>
        <w:ind w:firstLine="720"/>
      </w:pPr>
      <w:r>
        <w:t xml:space="preserve">So the qualitative-coding partner to the cliometric estimators here is no retreat from quantitative inference. It is the one estimator working at the unit of analysis the garbage-can hypothesis picks out. The prospectus renders the four streams as observable markers in the milestone trail and codes a sample of reviews against a fixed manual, with a twenty-five percent overlap sample and a published inter-coder agreement log. This is the cliometric partner to the Cox and OLS estimators, and the three together take the question at three grains of resolution: arena-level coupling, program-level timing, and program-level size.</w:t>
      </w:r>
    </w:p>
    <w:bookmarkEnd w:id="76"/>
    <w:bookmarkEnd w:id="77"/>
    <w:bookmarkStart w:id="78" w:name="the-gap-between-the-two-literatures"/>
    <w:p>
      <w:pPr>
        <w:pStyle w:val="Heading2"/>
        <w:spacing w:line="480" w:lineRule="auto"/>
      </w:pPr>
      <w:r>
        <w:t xml:space="preserve">2.4 The Gap Between the Two Literatures</w:t>
      </w:r>
    </w:p>
    <w:p>
      <w:pPr>
        <w:pStyle w:val="FirstParagraph"/>
        <w:spacing w:line="480" w:lineRule="auto"/>
      </w:pPr>
      <w:r>
        <w:t xml:space="preserve">The two bodies reviewed above share a topical taste for space-program deciding and share no analytical machinery. The domain side holds the milestones, the artifacts, the engineering words, and the paper trails, and it goes without the coupled-stream model, the survival estimator, the conditional-mean estimator, and the arena-level manual. The cliometric side holds the model, the estimators, and the operationalization, and it goes without the milestone-level trail of a sample of space-program buys. The two brush within a citation’s reach of each other and never bind.</w:t>
      </w:r>
    </w:p>
    <w:p>
      <w:pPr>
        <w:pStyle w:val="BodyText"/>
        <w:spacing w:line="480" w:lineRule="auto"/>
        <w:ind w:firstLine="720"/>
      </w:pPr>
      <w:r>
        <w:t xml:space="preserve">The crack shows sharpest at three spots. First, the Space Fence Phase-A PDR record</w:t>
      </w:r>
      <w:r>
        <w:t xml:space="preserve"> </w:t>
      </w:r>
      <w:hyperlink w:anchor="ref-1">
        <w:r>
          <w:rPr>
            <w:rStyle w:val="Hyperlink"/>
          </w:rPr>
          <w:t xml:space="preserve">[1]</w:t>
        </w:r>
      </w:hyperlink>
      <w:r>
        <w:t xml:space="preserve"> </w:t>
      </w:r>
      <w:r>
        <w:t xml:space="preserve">and the Kobayashi Maru portfolio record</w:t>
      </w:r>
      <w:r>
        <w:t xml:space="preserve"> </w:t>
      </w:r>
      <w:hyperlink w:anchor="ref-3">
        <w:r>
          <w:rPr>
            <w:rStyle w:val="Hyperlink"/>
          </w:rPr>
          <w:t xml:space="preserve">[3]</w:t>
        </w:r>
      </w:hyperlink>
      <w:r>
        <w:t xml:space="preserve"> </w:t>
      </w:r>
      <w:r>
        <w:t xml:space="preserve">are the two open-literature cases where a review’s internal sequencing shows through, and neither has been coded against an a priori definition of garbage-can coupling. The material is there. The test has never been laid on it. Second, the GAO Major Project Annual Assessment run</w:t>
      </w:r>
      <w:r>
        <w:t xml:space="preserve"> </w:t>
      </w:r>
      <w:hyperlink w:anchor="ref-6">
        <w:r>
          <w:rPr>
            <w:rStyle w:val="Hyperlink"/>
          </w:rPr>
          <w:t xml:space="preserve">[6]</w:t>
        </w:r>
      </w:hyperlink>
      <w:r>
        <w:t xml:space="preserve">[11][12][13][14][15][16][17][18][22][23] and the companion NASA OIG audits</w:t>
      </w:r>
      <w:r>
        <w:t xml:space="preserve"> </w:t>
      </w:r>
      <w:hyperlink w:anchor="ref-19">
        <w:r>
          <w:rPr>
            <w:rStyle w:val="Hyperlink"/>
          </w:rPr>
          <w:t xml:space="preserve">[19]</w:t>
        </w:r>
      </w:hyperlink>
      <w:r>
        <w:t xml:space="preserve">[26] make up the longitudinal evidence a Cox or OLS test of program outcomes calls for, and until the companion papers to this dissertation, no one in the cliometric writing had fit those estimators to the run with garbage-can-derived covariates. Third, the Acta Astronautica governance synthesis</w:t>
      </w:r>
      <w:r>
        <w:t xml:space="preserve"> </w:t>
      </w:r>
      <w:hyperlink w:anchor="ref-2">
        <w:r>
          <w:rPr>
            <w:rStyle w:val="Hyperlink"/>
          </w:rPr>
          <w:t xml:space="preserve">[2]</w:t>
        </w:r>
      </w:hyperlink>
      <w:r>
        <w:t xml:space="preserve"> </w:t>
      </w:r>
      <w:r>
        <w:t xml:space="preserve">frames the Legacy-to-New Space swing any modern test of milestone behavior must stand inside, and the synthesis never drops to the arena grain or spells out the breakable prediction the swing implies for milestone coupling.</w:t>
      </w:r>
    </w:p>
    <w:p>
      <w:pPr>
        <w:pStyle w:val="BodyText"/>
        <w:spacing w:line="480" w:lineRule="auto"/>
        <w:ind w:firstLine="720"/>
      </w:pPr>
      <w:r>
        <w:t xml:space="preserve">The dissertation is built to seal the crack at all three spots. The arena-level coding takes the first spot by laying the definition on the trail of the Space Fence PDR, the Kobayashi Maru portfolio milestones, and a wider sample pulled from the AMOS proceedings 2011 through 2025. The Cox survival estimator takes the second by fitting the time-to-rebaseline model on the GAO panel with garbage-can-derived covariates. The OLS conditional-mean estimator takes the same spot on the size side, with the schedule-slip route as the near channel through which the participant stream ties to the outcome’s size. The Acta Astronautica synthesis</w:t>
      </w:r>
      <w:r>
        <w:t xml:space="preserve"> </w:t>
      </w:r>
      <w:hyperlink w:anchor="ref-2">
        <w:r>
          <w:rPr>
            <w:rStyle w:val="Hyperlink"/>
          </w:rPr>
          <w:t xml:space="preserve">[2]</w:t>
        </w:r>
      </w:hyperlink>
      <w:r>
        <w:t xml:space="preserve"> </w:t>
      </w:r>
      <w:r>
        <w:t xml:space="preserve">hands over the stratifier that splits Legacy Space from New Space in the sample, and the technical-risk and decision-support writing</w:t>
      </w:r>
      <w:r>
        <w:t xml:space="preserve"> </w:t>
      </w:r>
      <w:hyperlink w:anchor="ref-4">
        <w:r>
          <w:rPr>
            <w:rStyle w:val="Hyperlink"/>
          </w:rPr>
          <w:t xml:space="preserve">[4]</w:t>
        </w:r>
      </w:hyperlink>
      <w:r>
        <w:t xml:space="preserve">[5][27][28][29][30][31][32][33][34] hands over the problem-stream and solution-stream flesh of the arenas under coding.</w:t>
      </w:r>
    </w:p>
    <w:bookmarkEnd w:id="78"/>
    <w:bookmarkStart w:id="79" w:name="synthesis-the-joint-estimand"/>
    <w:p>
      <w:pPr>
        <w:pStyle w:val="Heading2"/>
        <w:spacing w:line="480" w:lineRule="auto"/>
      </w:pPr>
      <w:r>
        <w:t xml:space="preserve">2.5 Synthesis: The Joint Estimand</w:t>
      </w:r>
    </w:p>
    <w:p>
      <w:pPr>
        <w:pStyle w:val="FirstParagraph"/>
        <w:spacing w:line="480" w:lineRule="auto"/>
      </w:pPr>
      <w:r>
        <w:t xml:space="preserve">This dissertation puts forward a synthesis that treats the milestone review as the joint at which the two literatures must be welded. The arena-level coding yields an estimand on the coupling shape inside the milestone: whether entry problem equals exit problem, whether the picked solution sat in the entry slate, whether the choice-time roster nests inside the entry roster. The Cox survival estimator yields an estimand on how fast the program-level rebaseline lands, given covariates mapped to the garbage-can streams. The OLS conditional-mean estimator yields an estimand on the size of the cost-growth breach, given the same covariates plus schedule slip as the near route. The three estimands do not stand in for one another. They answer separate questions about one shared decision process.</w:t>
      </w:r>
    </w:p>
    <w:p>
      <w:pPr>
        <w:pStyle w:val="BodyText"/>
        <w:spacing w:line="480" w:lineRule="auto"/>
        <w:ind w:firstLine="720"/>
      </w:pPr>
      <w:r>
        <w:t xml:space="preserve">The joint estimand carries a property neither body holds alone. The domain side can say what happens at a milestone. It cannot say whether that account tracks the orderly template the charters lay down. The cliometric side can fit a model of program outcomes. It cannot say whether the model’s coefficients read the coupling inside the arena or the pick of arenas into the sample. The joint estimand licenses the inference that arena-level coupling, program-level breach rate, and program-level breach size all issue from one common decision process the garbage-can model describes and the orderly model does not. That inference is the contribution the dissertation puts forward, and it is the one neither body reviewed here has stood in place to make.</w:t>
      </w:r>
    </w:p>
    <w:p>
      <w:pPr>
        <w:pStyle w:val="BodyText"/>
        <w:spacing w:line="480" w:lineRule="auto"/>
        <w:ind w:firstLine="720"/>
      </w:pPr>
      <w:r>
        <w:t xml:space="preserve">The rest of the dissertation renders the joint estimand. Chapter 3 fixes the data sources and the build of the panel from the GAO run</w:t>
      </w:r>
      <w:r>
        <w:t xml:space="preserve"> </w:t>
      </w:r>
      <w:hyperlink w:anchor="ref-6">
        <w:r>
          <w:rPr>
            <w:rStyle w:val="Hyperlink"/>
          </w:rPr>
          <w:t xml:space="preserve">[6]</w:t>
        </w:r>
      </w:hyperlink>
      <w:r>
        <w:t xml:space="preserve">[11][12][13][14][15][16][17][18][22][23] and the companion OIG audits</w:t>
      </w:r>
      <w:r>
        <w:t xml:space="preserve"> </w:t>
      </w:r>
      <w:hyperlink w:anchor="ref-19">
        <w:r>
          <w:rPr>
            <w:rStyle w:val="Hyperlink"/>
          </w:rPr>
          <w:t xml:space="preserve">[19]</w:t>
        </w:r>
      </w:hyperlink>
      <w:r>
        <w:t xml:space="preserve">[26], and fixes the arena-sample build from the AMOS proceedings anchored on the Space Fence</w:t>
      </w:r>
      <w:r>
        <w:t xml:space="preserve"> </w:t>
      </w:r>
      <w:hyperlink w:anchor="ref-1">
        <w:r>
          <w:rPr>
            <w:rStyle w:val="Hyperlink"/>
          </w:rPr>
          <w:t xml:space="preserve">[1]</w:t>
        </w:r>
      </w:hyperlink>
      <w:r>
        <w:t xml:space="preserve"> </w:t>
      </w:r>
      <w:r>
        <w:t xml:space="preserve">and Kobayashi Maru</w:t>
      </w:r>
      <w:r>
        <w:t xml:space="preserve"> </w:t>
      </w:r>
      <w:hyperlink w:anchor="ref-3">
        <w:r>
          <w:rPr>
            <w:rStyle w:val="Hyperlink"/>
          </w:rPr>
          <w:t xml:space="preserve">[3]</w:t>
        </w:r>
      </w:hyperlink>
      <w:r>
        <w:t xml:space="preserve"> </w:t>
      </w:r>
      <w:r>
        <w:t xml:space="preserve">cases. Chapter 4 fixes the definitions of the four streams and the manual under which the arena-level estimand is recovered. Chapters 5 through 7 report the Cox, OLS, and qualitative-coding results in turn, and Chapter 8 welds the joint estimand and reads its bearing on the Legacy-to-New Space governance swing that Zancan and colleagues</w:t>
      </w:r>
      <w:r>
        <w:t xml:space="preserve"> </w:t>
      </w:r>
      <w:hyperlink w:anchor="ref-2">
        <w:r>
          <w:rPr>
            <w:rStyle w:val="Hyperlink"/>
          </w:rPr>
          <w:t xml:space="preserve">[2]</w:t>
        </w:r>
      </w:hyperlink>
      <w:r>
        <w:t xml:space="preserve"> </w:t>
      </w:r>
      <w:r>
        <w:t xml:space="preserve">document and on the decision-support architectures that Smith, Jah, and Wood</w:t>
      </w:r>
      <w:r>
        <w:t xml:space="preserve"> </w:t>
      </w:r>
      <w:hyperlink w:anchor="ref-4">
        <w:r>
          <w:rPr>
            <w:rStyle w:val="Hyperlink"/>
          </w:rPr>
          <w:t xml:space="preserve">[4]</w:t>
        </w:r>
      </w:hyperlink>
      <w:r>
        <w:t xml:space="preserve"> </w:t>
      </w:r>
      <w:r>
        <w:t xml:space="preserve">and Hussein and colleagues</w:t>
      </w:r>
      <w:r>
        <w:t xml:space="preserve"> </w:t>
      </w:r>
      <w:hyperlink w:anchor="ref-5">
        <w:r>
          <w:rPr>
            <w:rStyle w:val="Hyperlink"/>
          </w:rPr>
          <w:t xml:space="preserve">[5]</w:t>
        </w:r>
      </w:hyperlink>
      <w:r>
        <w:t xml:space="preserve">[32] propose.</w:t>
      </w:r>
    </w:p>
    <w:bookmarkEnd w:id="79"/>
    <w:bookmarkEnd w:id="80"/>
    <w:bookmarkStart w:id="88" w:name="Xcfcc00a3ded59aed0c781c16bfc121f2a509603"/>
    <w:p>
      <w:pPr>
        <w:pStyle w:val="Heading1"/>
        <w:spacing w:line="480" w:lineRule="auto"/>
      </w:pPr>
      <w:r>
        <w:t xml:space="preserve">Chapter 3. Theoretical Framework and Hypotheses</w:t>
      </w:r>
    </w:p>
    <w:bookmarkStart w:id="81" w:name="purpose-and-scope-of-the-chapter"/>
    <w:p>
      <w:pPr>
        <w:pStyle w:val="Heading2"/>
        <w:spacing w:line="480" w:lineRule="auto"/>
      </w:pPr>
      <w:r>
        <w:t xml:space="preserve">3.1 Purpose and Scope of the Chapter</w:t>
      </w:r>
    </w:p>
    <w:p>
      <w:pPr>
        <w:pStyle w:val="FirstParagraph"/>
        <w:spacing w:line="480" w:lineRule="auto"/>
      </w:pPr>
      <w:r>
        <w:t xml:space="preserve">Chapter 2 set out the anomaly that drives everything here. NASA major projects keep tripping the 15 percent statutory cost-growth threshold under 51 USC 30104 at a pace that three decades of reform have barely touched [11, 22], and the public paper trail of space-program milestone reviews holds a repeating shape in which schedules get locked and money gets obligated under conditions that never match the orderly, means-to-ends sequencing the charters promise [1, 3]. The review also showed that the neighboring scholarship handles the milestone review one of two ways. Either it tabulates the outputs and leaves the box shut, or it assumes the inputs arrive sorted by analysis when they arrive sorted by the calendar. That double habit runs through the program-management writing on decision-support systems for in-space work [4, 5], the governance writing on the shift from Legacy Space to New Space [2, 10], and the oversight writing built on the GAO and NASA Office of Inspector General files [11, 12, 13, 14, 15, 16, 17, 18, 19, 20, 22, 23, 24, 25, 26].</w:t>
      </w:r>
    </w:p>
    <w:p>
      <w:pPr>
        <w:pStyle w:val="BodyText"/>
        <w:spacing w:line="480" w:lineRule="auto"/>
        <w:ind w:firstLine="720"/>
      </w:pPr>
      <w:r>
        <w:t xml:space="preserve">Before any card is coded, this chapter pins down three things: the mechanism that produces milestone-review outcomes, the causal chain that ties that mechanism to what the paper trail actually records, and the formal hypothesis pair to be tested. It moves in three beats. It states the mechanism sharply enough that the indicators built in Chapter 4 read as consequences of the construct rather than bolt-ons to it. It walks the causal chain that turns the mechanism into a claim that can be broken over a fixed set of milestone reviews. And it fixes the null and the alternative, H0 and H1, in the wording they keep through coding, reconciliation, and write-up. A closing move ties the pair to the numbers already produced for the companion working papers [research_papers/p1 and research_papers/p2], so the qualitative test here is read next to, and never apart from, the survival and conditional-mean fits already run on the GAO-anchored panel.</w:t>
      </w:r>
    </w:p>
    <w:bookmarkEnd w:id="81"/>
    <w:bookmarkStart w:id="82" w:name="X172e5e614bc684afda25e74ef2001cb7867cf80"/>
    <w:p>
      <w:pPr>
        <w:pStyle w:val="Heading2"/>
        <w:spacing w:line="480" w:lineRule="auto"/>
      </w:pPr>
      <w:r>
        <w:t xml:space="preserve">3.2 The Theoretical Mechanism: Garbage-Can Coupling in a Gated Acquisition Architecture</w:t>
      </w:r>
    </w:p>
    <w:p>
      <w:pPr>
        <w:pStyle w:val="FirstParagraph"/>
        <w:spacing w:line="480" w:lineRule="auto"/>
      </w:pPr>
      <w:r>
        <w:t xml:space="preserve">What follows is a narrowed version of the garbage-can model of organizational choice</w:t>
      </w:r>
      <w:r>
        <w:t xml:space="preserve"> </w:t>
      </w:r>
      <w:hyperlink w:anchor="ref-7">
        <w:r>
          <w:rPr>
            <w:rStyle w:val="Hyperlink"/>
          </w:rPr>
          <w:t xml:space="preserve">[7]</w:t>
        </w:r>
      </w:hyperlink>
      <w:r>
        <w:t xml:space="preserve">, bent to fit the particular shape of a gated space-program buy. Cohen, March, and Olsen</w:t>
      </w:r>
      <w:r>
        <w:t xml:space="preserve"> </w:t>
      </w:r>
      <w:hyperlink w:anchor="ref-7">
        <w:r>
          <w:rPr>
            <w:rStyle w:val="Hyperlink"/>
          </w:rPr>
          <w:t xml:space="preserve">[7]</w:t>
        </w:r>
      </w:hyperlink>
      <w:r>
        <w:t xml:space="preserve"> </w:t>
      </w:r>
      <w:r>
        <w:t xml:space="preserve">originally cast an organizational decision as the accidental meeting in time of four streams that each show up on their own: problems hunting for a place to be decided, solutions hunting for a problem, participants hunting for a chance to weigh in, and choice opportunities hunting for enough problems, solutions, and people to look like a decision. Their sharpest claim is that under fluid participation, murky technology, and slippery preferences, what couples to what turns on arrival order, not on any prior weighing of ends against means. March and Simon’s bounded-rationality argument</w:t>
      </w:r>
      <w:r>
        <w:t xml:space="preserve"> </w:t>
      </w:r>
      <w:hyperlink w:anchor="ref-8">
        <w:r>
          <w:rPr>
            <w:rStyle w:val="Hyperlink"/>
          </w:rPr>
          <w:t xml:space="preserve">[8]</w:t>
        </w:r>
      </w:hyperlink>
      <w:r>
        <w:t xml:space="preserve"> </w:t>
      </w:r>
      <w:r>
        <w:t xml:space="preserve">carries the weight underneath. Where the analytical load the formal rule demands outruns what the participants can actually carry, they do not stretch to meet the rule. They fall back on a good-enough heuristic, and the formal rule turns into ceremony draped over a different working process. Kingdon’s policy-stream reading</w:t>
      </w:r>
      <w:r>
        <w:t xml:space="preserve"> </w:t>
      </w:r>
      <w:hyperlink w:anchor="ref-21">
        <w:r>
          <w:rPr>
            <w:rStyle w:val="Hyperlink"/>
          </w:rPr>
          <w:t xml:space="preserve">[21]</w:t>
        </w:r>
      </w:hyperlink>
      <w:r>
        <w:t xml:space="preserve"> </w:t>
      </w:r>
      <w:r>
        <w:t xml:space="preserve">pushes the same logic onto the gate itself, casting the gate less as the end of a deliberation than as a window the already-coupled streams slip through.</w:t>
      </w:r>
    </w:p>
    <w:p>
      <w:pPr>
        <w:pStyle w:val="BodyText"/>
        <w:spacing w:line="480" w:lineRule="auto"/>
        <w:ind w:firstLine="720"/>
      </w:pPr>
      <w:r>
        <w:t xml:space="preserve">Move this onto the milestone review and it reads like this. Somebody schedules a Preliminary Design Review, a Critical Design Review, or a companion Key Decision Point on a date the program baseline fixed long before. Almost never does that date wait on whether the four streams have genuinely come together. The problem of record at the gate may no longer be the problem that opened the review. The candidate solutions may or may not have finished being weighed. The people in the room at the decision may or may not be the people who framed the problem. And the choice itself, the formal yes or no to proceed, functions as a due date rather than as the payoff of a finished analysis.</w:t>
      </w:r>
    </w:p>
    <w:p>
      <w:pPr>
        <w:pStyle w:val="BodyText"/>
        <w:spacing w:line="480" w:lineRule="auto"/>
        <w:ind w:firstLine="720"/>
      </w:pPr>
      <w:r>
        <w:t xml:space="preserve">The four streams share the room because the calendar sat them there. Whatever couples, then, couples in the room, on the clock, under whichever participation rules happen to hold that day, and not as the tidy close of something begun at the last gate.</w:t>
      </w:r>
    </w:p>
    <w:p>
      <w:pPr>
        <w:pStyle w:val="BodyText"/>
        <w:spacing w:line="480" w:lineRule="auto"/>
        <w:ind w:firstLine="720"/>
      </w:pPr>
      <w:r>
        <w:t xml:space="preserve">Two qualifications keep the mechanism honest. It does not pretend that no analysis happens between gates. Engineers keep drafting problem statements, weighing alternatives, and reworking baselines the whole interval. What it denies is that the fruit of that labor reliably shows up at the gate. Whether the analysis lands there is itself a chancy function of staffing, schedule pressure, and whatever is happening on nearby programs and in the wider policy stream</w:t>
      </w:r>
      <w:r>
        <w:t xml:space="preserve"> </w:t>
      </w:r>
      <w:hyperlink w:anchor="ref-21">
        <w:r>
          <w:rPr>
            <w:rStyle w:val="Hyperlink"/>
          </w:rPr>
          <w:t xml:space="preserve">[21]</w:t>
        </w:r>
      </w:hyperlink>
      <w:r>
        <w:t xml:space="preserve">. Nor does the mechanism need anyone to be muddled, distracted, or foolish. It asks only that participation be fluid, that the technology be murky in the exact sense Cohen, March, and Olsen give the word</w:t>
      </w:r>
      <w:r>
        <w:t xml:space="preserve"> </w:t>
      </w:r>
      <w:hyperlink w:anchor="ref-7">
        <w:r>
          <w:rPr>
            <w:rStyle w:val="Hyperlink"/>
          </w:rPr>
          <w:t xml:space="preserve">[7]</w:t>
        </w:r>
      </w:hyperlink>
      <w:r>
        <w:t xml:space="preserve">, and that preferences be loose enough that one honest participant can back different problem-solution pairings on different days. The oversight record for NASA major projects [11, 22, 23] squares with that precondition. Committee rosters turn over, technical-readiness calls get re-cast from one assessment to the next, and the same project reads as on track in one GAO cycle and at risk in the next with no logged change in the engineering underneath.</w:t>
      </w:r>
    </w:p>
    <w:p>
      <w:pPr>
        <w:pStyle w:val="BodyText"/>
        <w:spacing w:line="480" w:lineRule="auto"/>
        <w:ind w:firstLine="720"/>
      </w:pPr>
      <w:r>
        <w:t xml:space="preserve">So the mechanism says nothing about how bright or dutiful the deciders are. It speaks only to the structure that governs how their decisions get coupled.</w:t>
      </w:r>
    </w:p>
    <w:p>
      <w:pPr>
        <w:pStyle w:val="BodyText"/>
        <w:spacing w:line="480" w:lineRule="auto"/>
        <w:ind w:firstLine="720"/>
      </w:pPr>
      <w:r>
        <w:t xml:space="preserve">The gated architecture is where the mechanism becomes visible. A gate is, by design, a coupling event with a date on it. A layered review stack multiplies those events: PDR, CDR, mission readiness reviews, flight readiness reviews, and independent assessments follow one another, each its own dated coupling [1, 3]. The decision-support writing has modeled slices of what goes on inside an event [4, 5], and the orbit-determination and reachability work has modeled slices of the technical feed [29, 42], but neither reaches the coupling event itself. That event is the whole target here: the spot where the four streams meet, whose result rides on the terms of the meeting rather than on the analytical pedigree of any one stream walking in.</w:t>
      </w:r>
    </w:p>
    <w:bookmarkEnd w:id="82"/>
    <w:bookmarkStart w:id="83" w:name="X3f1229f860bc4beea6d42eb938ee71808153da6"/>
    <w:p>
      <w:pPr>
        <w:pStyle w:val="Heading2"/>
        <w:spacing w:line="480" w:lineRule="auto"/>
      </w:pPr>
      <w:r>
        <w:t xml:space="preserve">3.3 Causal Logic from Mechanism to Observable Trace</w:t>
      </w:r>
    </w:p>
    <w:p>
      <w:pPr>
        <w:pStyle w:val="FirstParagraph"/>
        <w:spacing w:line="480" w:lineRule="auto"/>
      </w:pPr>
      <w:r>
        <w:t xml:space="preserve">None of this bites empirically without a chain running from the mechanism to the recorded artifact of a milestone review. The chain has four links.</w:t>
      </w:r>
    </w:p>
    <w:p>
      <w:pPr>
        <w:pStyle w:val="BodyText"/>
        <w:spacing w:line="480" w:lineRule="auto"/>
        <w:ind w:firstLine="720"/>
      </w:pPr>
      <w:r>
        <w:t xml:space="preserve">Link one names what any review writes down as a matter of course. Every documented review keeps, at bare minimum, a problem of record at entry, a slate of candidate technical solutions weighed against it, a roster cleared to vote or recommend, and an exit disposition carrying a problem of record at exit plus a designated solution to carry forward. The Space Fence Phase-A PDR record</w:t>
      </w:r>
      <w:r>
        <w:t xml:space="preserve"> </w:t>
      </w:r>
      <w:hyperlink w:anchor="ref-1">
        <w:r>
          <w:rPr>
            <w:rStyle w:val="Hyperlink"/>
          </w:rPr>
          <w:t xml:space="preserve">[1]</w:t>
        </w:r>
      </w:hyperlink>
      <w:r>
        <w:t xml:space="preserve"> </w:t>
      </w:r>
      <w:r>
        <w:t xml:space="preserve">holds each item in public form. The Kobayashi Maru Space Command and Control Program portfolio record</w:t>
      </w:r>
      <w:r>
        <w:t xml:space="preserve"> </w:t>
      </w:r>
      <w:hyperlink w:anchor="ref-3">
        <w:r>
          <w:rPr>
            <w:rStyle w:val="Hyperlink"/>
          </w:rPr>
          <w:t xml:space="preserve">[3]</w:t>
        </w:r>
      </w:hyperlink>
      <w:r>
        <w:t xml:space="preserve"> </w:t>
      </w:r>
      <w:r>
        <w:t xml:space="preserve">holds them across several reviews under one portfolio roof. And the GAO annual-assessment run [11, 12, 13, 14, 15, 16, 17, 18, 22, 23] holds the cross-program cut of the same items at the project level. So the paper trail is a finite, citable thing whose innards echo the four-stream construct of the theory.</w:t>
      </w:r>
    </w:p>
    <w:p>
      <w:pPr>
        <w:pStyle w:val="BodyText"/>
        <w:spacing w:line="480" w:lineRule="auto"/>
        <w:ind w:firstLine="720"/>
      </w:pPr>
      <w:r>
        <w:t xml:space="preserve">Link two names what rational sequencing would leave on the record, the H0 signature. If the orderly template describes reality, the entry problem and the exit problem should read as one statement, the solution carried forward should sit inside the entry slate, and the roster at decision should be a subset of the entry roster, since the people who framed the problem and the people who pick the solution ought to come from one cleared pool. All three of these show up in the paper trail by construction. The H0 prediction, then, guesses at nothing hidden. It puts a constraint on what the record can show.</w:t>
      </w:r>
    </w:p>
    <w:p>
      <w:pPr>
        <w:pStyle w:val="BodyText"/>
        <w:spacing w:line="480" w:lineRule="auto"/>
        <w:ind w:firstLine="720"/>
      </w:pPr>
      <w:r>
        <w:t xml:space="preserve">Link three names what garbage-can coupling would leave instead, the H1 signature. If the coupling story holds, at least two of the three markers from link two break. Entry and exit problems drift apart, because the problem stream got re-hitched to a different problem mid-window. The solution carried forward turns out to be one absent from the entry slate, because the solution stream floated in a late candidate whose spot at the decision owes more to timing than to any weighing. And the decision-time roster picks up names missing at entry, because the participant stream produced latecomers whose very presence is the working sign of fluid participation [7, 8]. Like H0, the H1 prediction constrains the visible record. So the rule mapping markers to a coded verdict for H1 can be checked without ever reaching for the unobservable.</w:t>
      </w:r>
    </w:p>
    <w:p>
      <w:pPr>
        <w:pStyle w:val="BodyText"/>
        <w:spacing w:line="480" w:lineRule="auto"/>
        <w:ind w:firstLine="720"/>
      </w:pPr>
      <w:r>
        <w:t xml:space="preserve">Link four names the breakage rule. A review whose paper trail clears all three orderly markers codes as H0. A review whose trail breaks at least two codes as H1. A review whose trail breaks exactly one codes as indeterminate and drops out of the H0/H1 count. That middle band is a knowing concession to how coarse measurement is. The theory does not promise that every garbage-can review flunks all three markers, nor that every orderly one clears all three, and a one-break line would jam a yes-or-no verdict onto cases the theory itself will not rule on. Dropping the middle band shrinks the working sample and keeps the H0-versus-H1 contest strictly breakable.</w:t>
      </w:r>
    </w:p>
    <w:p>
      <w:pPr>
        <w:pStyle w:val="BodyText"/>
        <w:spacing w:line="480" w:lineRule="auto"/>
        <w:ind w:firstLine="720"/>
      </w:pPr>
      <w:r>
        <w:t xml:space="preserve">The chain, then, runs on observables at every link. The mechanism is the construct, the paper trail is where measurement happens, the three markers are the indicators, and the breakage rule is how it all gets operationalized. The distance from mechanism to evidence is short, and every link checks out against the published record [1, 3] and against the standing GAO and NASA OIG cross-program file [11, 22, 23, 25, 26].</w:t>
      </w:r>
    </w:p>
    <w:bookmarkEnd w:id="83"/>
    <w:bookmarkStart w:id="84" w:name="the-hypothesis-pair"/>
    <w:p>
      <w:pPr>
        <w:pStyle w:val="Heading2"/>
        <w:spacing w:line="480" w:lineRule="auto"/>
      </w:pPr>
      <w:r>
        <w:t xml:space="preserve">3.4 The Hypothesis Pair</w:t>
      </w:r>
    </w:p>
    <w:p>
      <w:pPr>
        <w:pStyle w:val="FirstParagraph"/>
        <w:spacing w:line="480" w:lineRule="auto"/>
      </w:pPr>
      <w:r>
        <w:t xml:space="preserve">One hypothesis pair carries the dissertation. It appears below in the wording it keeps through coding, reconciliation, and reporting. The phrasing tracks the prospectus deliberately, so the hypothesis under test is the one the proposal signed up for in advance and not some later rewrite [1, 2, 3].</w:t>
      </w:r>
    </w:p>
    <w:p>
      <w:pPr>
        <w:pStyle w:val="BodyText"/>
        <w:spacing w:line="480" w:lineRule="auto"/>
        <w:ind w:firstLine="720"/>
      </w:pPr>
      <w:r>
        <w:rPr>
          <w:b/>
          <w:bCs/>
        </w:rPr>
        <w:t xml:space="preserve">H0 (null, rational-sequencing).</w:t>
      </w:r>
      <w:r>
        <w:t xml:space="preserve"> </w:t>
      </w:r>
      <w:r>
        <w:t xml:space="preserve">In a defined sample of space-program milestone reviews drawn from the publicly documented record [1, 3, 11, 22, 23, 25, 26], problems, solutions, participants, and choice opportunities are coupled in a means-ends sequence. The problem set is fixed before solutions are evaluated; evaluation precedes choice; and the participants present at the choice moment are the participants who set the problem.</w:t>
      </w:r>
    </w:p>
    <w:p>
      <w:pPr>
        <w:pStyle w:val="BodyText"/>
        <w:spacing w:line="480" w:lineRule="auto"/>
        <w:ind w:firstLine="720"/>
      </w:pPr>
      <w:r>
        <w:rPr>
          <w:b/>
          <w:bCs/>
        </w:rPr>
        <w:t xml:space="preserve">H1 (alternative, garbage-can).</w:t>
      </w:r>
      <w:r>
        <w:t xml:space="preserve"> </w:t>
      </w:r>
      <w:r>
        <w:t xml:space="preserve">In the same sample, problems, solutions, participants, and choice opportunities are coupled by temporal coincidence rather than by means-ends sequence. Solutions are present before problems are fixed; participants who set the problem are not the participants present at choice; and the coupling of a candidate solution to the choice opportunity is better predicted by arrival timing than by prior evaluation.</w:t>
      </w:r>
    </w:p>
    <w:p>
      <w:pPr>
        <w:pStyle w:val="BodyText"/>
        <w:spacing w:line="480" w:lineRule="auto"/>
        <w:ind w:firstLine="720"/>
      </w:pPr>
      <w:r>
        <w:t xml:space="preserve">At the level of the breakage rule set out in Section 3.3 above, the two are mutually exclusive. A review coded H0 clears all three orderly markers; a review coded H1 breaks at least two. Over the coded slice of the sample the two are jointly exhaustive, with the indeterminate band soaking up the remainder. What the dissertation aims to break, therefore, is not any one review’s coding but the way the coded sample splits between the two verdicts. The rate-level claim, saved for Chapter 5, is that the H1 rate across the coded slice runs ahead of the H0 rate by a gap wide enough to leave the orderly template a poor description of today’s space-program portfolio.</w:t>
      </w:r>
    </w:p>
    <w:p>
      <w:pPr>
        <w:pStyle w:val="BodyText"/>
        <w:spacing w:line="480" w:lineRule="auto"/>
        <w:ind w:firstLine="720"/>
      </w:pPr>
      <w:r>
        <w:t xml:space="preserve">A second point earns its place here. The pair speaks to the milestone review as the unit of analysis. It says nothing head-on about the program-level cost growth and rebaseline the companion quantitative papers took up [research_papers/p1 and research_papers/p2]. Whether milestone-level coupling drives those program-level outcomes is left as a downstream reading, not a hypothesis this chapter tests. The reason is methodological. Program cost growth pools the work of many reviews, of technical events between them, and of schedule shocks from outside, and one qualitative coding of milestones cannot pull the milestone-coupling share out of that pool without more structure. The companion papers already fit those program-level ties under their own assumptions, so this chapter borrows their fits as background rather than folding them into the H0/H1 contest.</w:t>
      </w:r>
    </w:p>
    <w:bookmarkEnd w:id="84"/>
    <w:bookmarkStart w:id="85" w:name="X5f9154693d342ac46aca243e406c22bf394b870"/>
    <w:p>
      <w:pPr>
        <w:pStyle w:val="Heading2"/>
        <w:spacing w:line="480" w:lineRule="auto"/>
      </w:pPr>
      <w:r>
        <w:t xml:space="preserve">3.5 Auxiliary Quantitative Evidence and Its Standing in the Hypothesis Test</w:t>
      </w:r>
    </w:p>
    <w:p>
      <w:pPr>
        <w:pStyle w:val="FirstParagraph"/>
        <w:spacing w:line="480" w:lineRule="auto"/>
      </w:pPr>
      <w:r>
        <w:t xml:space="preserve">The companion working paper that fit a Cox proportional-hazards model of time to first formal rebaseline across thirty-eight NASA major projects with twenty-two events logged a log hazard ratio of positive 0.385 on the count of standing oversight committees at confirmation, a point estimate that works out to a hazard ratio of 1.47, with technical complexity at confirmation landing at a coefficient no different from zero to the eye. The conditional-mean OLS companion, run on thirty-seven programs against a continuous cost-growth-percent outcome, came back with a coefficient of 1.015 percentage points per added month of schedule slip at p of 0.0001, a complexity coefficient of 15.34 percentage points per tier at p of 0.0066, and a fixed-price commercial services indicator of negative 27.28 percentage points at a p value that sits effectively at zero, with an adjusted R-squared of 0.6976. The committee-count coefficient held its sign in the OLS run and gave up statistical significance once complexity and schedule slip were partialled out.</w:t>
      </w:r>
    </w:p>
    <w:p>
      <w:pPr>
        <w:pStyle w:val="BodyText"/>
        <w:spacing w:line="480" w:lineRule="auto"/>
        <w:ind w:firstLine="720"/>
      </w:pPr>
      <w:r>
        <w:t xml:space="preserve">Those fits do not test the pair in front of us, and Chapter 5 will not pretend they do. They earn the word auxiliary in three exact ways. They establish that the policy-relevant outcomes downstream of a review carry signal that at least points the way a participant-stream reading of the rebaseline hazard would, even where power at N of thirty-eight rules out a firm magnitude call. They flag schedule slip as the main proximate route from milestone-coupling failure to cost-growth size, at roughly one percentage point of cost per month of slip, a figure that matches the back-of-envelope factor NASA confirmation-review staff already carry</w:t>
      </w:r>
      <w:r>
        <w:t xml:space="preserve"> </w:t>
      </w:r>
      <w:hyperlink w:anchor="ref-23">
        <w:r>
          <w:rPr>
            <w:rStyle w:val="Hyperlink"/>
          </w:rPr>
          <w:t xml:space="preserve">[23]</w:t>
        </w:r>
      </w:hyperlink>
      <w:r>
        <w:t xml:space="preserve">. And they single out the fixed-price commercial services indicator as the biggest acquisition-mode lever on cost-growth size in the panel, a result that fits the governance re-framings tracked in the Legacy-to-New Space writing [2, 10] and the program-level commercial-crew and human-landing-system audit file [24, 25]. That last finding fences in what Chapter 5 may read off the qualitative test: an H1-heavy split in the milestone sample cannot on its own license a claim that trimming committees trims cost growth, because the conditional-mean evidence shows committee count with no magnitude bite once schedule slip is controlled.</w:t>
      </w:r>
    </w:p>
    <w:p>
      <w:pPr>
        <w:pStyle w:val="BodyText"/>
        <w:spacing w:line="480" w:lineRule="auto"/>
        <w:ind w:firstLine="720"/>
      </w:pPr>
      <w:r>
        <w:t xml:space="preserve">So the auxiliary evidence disciplines rather than reinforces. It does not tilt H1 over H0 at the level of the milestone-review coding. It fences in the policy claims a pro-H1 finding can support, and it fingers schedule slip, not committee count, as the channel through which any milestone-level coupling failure should register at the program level.</w:t>
      </w:r>
    </w:p>
    <w:bookmarkEnd w:id="85"/>
    <w:bookmarkStart w:id="86" w:name="X223ca2e1cfb4dda488d9ef02d614b292673ff95"/>
    <w:p>
      <w:pPr>
        <w:pStyle w:val="Heading2"/>
        <w:spacing w:line="480" w:lineRule="auto"/>
      </w:pPr>
      <w:r>
        <w:t xml:space="preserve">3.6 Scope Conditions and Boundary of the Mechanism</w:t>
      </w:r>
    </w:p>
    <w:p>
      <w:pPr>
        <w:pStyle w:val="FirstParagraph"/>
        <w:spacing w:line="480" w:lineRule="auto"/>
      </w:pPr>
      <w:r>
        <w:t xml:space="preserve">The mechanism in Section 3.2 is pitched at the modern U.S. space-program acquisition portfolio. Three scope conditions go on the record so H1’s breakability is not oversold. First, the mechanism covers milestone reviews run under a written governance architecture that names the gate and hands out approval authority. Informal sessions, the working-group meetings between formal gates among them, sit outside: the trace those leave is too thin for the three-marker test. Second, the mechanism covers programs whose roster carries at least two standing oversight bodies with formal approval authority. A program with one approving authority has none of the participant-stream spread the mechanism needs to tell itself apart from orderly sequencing, and it would code H0 by construction.</w:t>
      </w:r>
    </w:p>
    <w:p>
      <w:pPr>
        <w:pStyle w:val="BodyText"/>
        <w:spacing w:line="480" w:lineRule="auto"/>
        <w:ind w:firstLine="720"/>
      </w:pPr>
      <w:r>
        <w:t xml:space="preserve">Third, the mechanism covers programs whose record can be pulled publicly. Classified national-security reviews drop out, so the rate-level claim Chapter 5 reports holds only for the disclosed slice of the portfolio [1, 3].</w:t>
      </w:r>
    </w:p>
    <w:p>
      <w:pPr>
        <w:pStyle w:val="BodyText"/>
        <w:spacing w:line="480" w:lineRule="auto"/>
        <w:ind w:firstLine="720"/>
      </w:pPr>
      <w:r>
        <w:t xml:space="preserve">A fourth condition fixes the clock. The mechanism is pitched at the post-2002 portfolio, because the gated review architecture in its present statutory shape, and the GAO Major Project Annual Assessment run that logs its outputs, both settle into their current form over that stretch [11, 18]. Earlier programs fall outside, and any nod to a pre-2002 program in later chapters is there to illustrate, not to prove.</w:t>
      </w:r>
    </w:p>
    <w:bookmarkEnd w:id="86"/>
    <w:bookmarkStart w:id="87" w:name="X2d1f87bafb3050896928b692cbfc85c355573f3"/>
    <w:p>
      <w:pPr>
        <w:pStyle w:val="Heading2"/>
        <w:spacing w:line="480" w:lineRule="auto"/>
      </w:pPr>
      <w:r>
        <w:t xml:space="preserve">3.7 Relation of the Hypothesis Pair to the Three Adjacent Literatures</w:t>
      </w:r>
    </w:p>
    <w:p>
      <w:pPr>
        <w:pStyle w:val="FirstParagraph"/>
        <w:spacing w:line="480" w:lineRule="auto"/>
      </w:pPr>
      <w:r>
        <w:t xml:space="preserve">The chapter shuts by placing the H0/H1 pair against the three neighboring bodies of work from Chapter 2. The decision-support writing [4, 5] lives wholly inside the orderly frame. It asks how to sharpen the analytical feed into a review on the assumption that the review couples that feed to the choice in a means-ends line. Should H1 draw support in the milestone coding, that line of work turns necessary and short of sufficient: you can sharpen the feed and still leave untouched the rate at which it actually reaches the decision. The governance writing on the Legacy-to-New Space shift [2, 10] documents the reworking of the participant stream itself, so its descriptive content bears straight on the participant-stream marker in H1; the dissertation takes it as background on the boundary conditions of that stream, not as a rival test of the same construct. The oversight writing [11, 22, 23, 25, 26] logs the cross-program rate of cost growth and rebaseline at the program level, the outcomes the companion papers modeled, and it holds the disciplining post from Section 3.5: it fences in how a pro-H1 finding may be read and it does not test the H0/H1 pair head-on.</w:t>
      </w:r>
    </w:p>
    <w:p>
      <w:pPr>
        <w:pStyle w:val="BodyText"/>
        <w:spacing w:line="480" w:lineRule="auto"/>
        <w:ind w:firstLine="720"/>
      </w:pPr>
      <w:r>
        <w:t xml:space="preserve">The chapter, then, puts forward one scoped, breakable hypothesis pair and one causal chain running from the mechanism to a finite, citable paper trail. Chapter 4 turns the three markers of Section 3.3 into the per-review coding sheet, the manual, and the inter-coder agreement routine that runs the test.</w:t>
      </w:r>
    </w:p>
    <w:bookmarkEnd w:id="87"/>
    <w:bookmarkEnd w:id="88"/>
    <w:bookmarkStart w:id="99" w:name="chapter-4.-data-and-measurement"/>
    <w:p>
      <w:pPr>
        <w:pStyle w:val="Heading1"/>
        <w:spacing w:line="480" w:lineRule="auto"/>
      </w:pPr>
      <w:r>
        <w:t xml:space="preserve">Chapter 4. Data and Measurement</w:t>
      </w:r>
    </w:p>
    <w:bookmarkStart w:id="89" w:name="purpose-and-scope-of-the-chapter-1"/>
    <w:p>
      <w:pPr>
        <w:pStyle w:val="Heading2"/>
        <w:spacing w:line="480" w:lineRule="auto"/>
      </w:pPr>
      <w:r>
        <w:t xml:space="preserve">4.1 Purpose and Scope of the Chapter</w:t>
      </w:r>
    </w:p>
    <w:p>
      <w:pPr>
        <w:pStyle w:val="FirstParagraph"/>
        <w:spacing w:line="480" w:lineRule="auto"/>
      </w:pPr>
      <w:r>
        <w:t xml:space="preserve">This chapter lays out the raw material the dissertation stands on. It names the authoritative sources the records come from, settles the unit of analysis for each of the two papers that make up the quantitative core, and walks through how every variable in the survival and ordinary least squares models was built. It is written so that an outside reader, holding the same public source documents, can rebuild the analytic file one row and one column at a time and re-run the estimators in Chapter 5. The qualitative coding instrument from the prospectus, which runs on a separate corpus of milestone-review records out of the AMOS technical proceedings</w:t>
      </w:r>
      <w:r>
        <w:t xml:space="preserve"> </w:t>
      </w:r>
      <w:hyperlink w:anchor="ref-1">
        <w:r>
          <w:rPr>
            <w:rStyle w:val="Hyperlink"/>
          </w:rPr>
          <w:t xml:space="preserve">[1]</w:t>
        </w:r>
      </w:hyperlink>
      <w:r>
        <w:t xml:space="preserve">[3][4][5], comes at the close, so the reader can see the qualitative and quantitative measurement strategies mesh without their evidence bases blurring together.</w:t>
      </w:r>
    </w:p>
    <w:p>
      <w:pPr>
        <w:pStyle w:val="BodyText"/>
        <w:spacing w:line="480" w:lineRule="auto"/>
        <w:ind w:firstLine="720"/>
      </w:pPr>
      <w:r>
        <w:t xml:space="preserve">Two rules run through the chapter. Provenance comes first: every variable ties back to a named row of a named table, a named paragraph of narrative, or a named appendix figure in a named primary source. Restraint comes second: where a source names no quantity, none gets conjured, and the affected row is either marked missing or tagged illustrative in the analytic file. That tag rides into the regression sample so the reader can watch how the inference would move if the tagged values dropped out.</w:t>
      </w:r>
    </w:p>
    <w:bookmarkEnd w:id="89"/>
    <w:bookmarkStart w:id="90" w:name="X4e4f034753414ae74466fc26a55ec0c56f41311"/>
    <w:p>
      <w:pPr>
        <w:pStyle w:val="Heading2"/>
        <w:spacing w:line="480" w:lineRule="auto"/>
      </w:pPr>
      <w:r>
        <w:t xml:space="preserve">4.2 The Two Analytic Files and Their Relation</w:t>
      </w:r>
    </w:p>
    <w:p>
      <w:pPr>
        <w:pStyle w:val="FirstParagraph"/>
        <w:spacing w:line="480" w:lineRule="auto"/>
      </w:pPr>
      <w:r>
        <w:t xml:space="preserve">Two outcomes, one binary and one continuous, organize the dissertation, both estimated on the same population of NASA major projects. The first paper fits a Cox proportional-hazards model on time from Key Decision Point C (KDP-C) to the first formal rebaseline that clears the statutory 15 percent line in 51 USC 30104. The second fits an ordinary least squares model on the size of cost growth logged at the program’s most recent Government Accountability Office (GAO) assessment. The first paper works 38 programs with 22 observed events and 16 right-censored rows. The second works 37 programs at their most recent observation. That one-program gap traces to a single project whose most recent GAO observation logs a confirmation later than the survival cutoff; the program rides into the OLS file as a censored row in the survival file and as a complete row in the OLS file.</w:t>
      </w:r>
    </w:p>
    <w:p>
      <w:pPr>
        <w:pStyle w:val="BodyText"/>
        <w:spacing w:line="480" w:lineRule="auto"/>
        <w:ind w:firstLine="720"/>
      </w:pPr>
      <w:r>
        <w:t xml:space="preserve">The two files share an identifier column, share their authoritative source columns, and share their covariate definitions. They split on how the outcome is built and on how right-censoring is handled, and those splits are spelled out in Sections 4.5 and 4.6.</w:t>
      </w:r>
    </w:p>
    <w:p>
      <w:pPr>
        <w:pStyle w:val="BodyText"/>
        <w:spacing w:line="480" w:lineRule="auto"/>
        <w:ind w:firstLine="720"/>
      </w:pPr>
      <w:r>
        <w:t xml:space="preserve">The qualitative corpus, run to test the garbage-can-coupling definition against a sample of named reviews, stands beside the two quantitative files. It is built from the AMOS proceedings record</w:t>
      </w:r>
      <w:r>
        <w:t xml:space="preserve"> </w:t>
      </w:r>
      <w:hyperlink w:anchor="ref-1">
        <w:r>
          <w:rPr>
            <w:rStyle w:val="Hyperlink"/>
          </w:rPr>
          <w:t xml:space="preserve">[1]</w:t>
        </w:r>
      </w:hyperlink>
      <w:r>
        <w:t xml:space="preserve">[3][4][5] and the contextual governance synthesis in Acta Astronautica</w:t>
      </w:r>
      <w:r>
        <w:t xml:space="preserve"> </w:t>
      </w:r>
      <w:hyperlink w:anchor="ref-2">
        <w:r>
          <w:rPr>
            <w:rStyle w:val="Hyperlink"/>
          </w:rPr>
          <w:t xml:space="preserve">[2]</w:t>
        </w:r>
      </w:hyperlink>
      <w:r>
        <w:t xml:space="preserve">. Its unit is the milestone-review event, not the program, so it cannot be joined to the quantitative files row by row. The two evidence bases meet at the hypothesis. The quantitative files test the population claim that participant-stream density lifts the rate and size of cost growth. The qualitative corpus tests the event claim that problem, solution, and participant streams bind by timing rather than by analysis at the named review.</w:t>
      </w:r>
    </w:p>
    <w:bookmarkEnd w:id="90"/>
    <w:bookmarkStart w:id="91" w:name="authoritative-sources"/>
    <w:p>
      <w:pPr>
        <w:pStyle w:val="Heading2"/>
        <w:spacing w:line="480" w:lineRule="auto"/>
      </w:pPr>
      <w:r>
        <w:t xml:space="preserve">4.3 Authoritative Sources</w:t>
      </w:r>
    </w:p>
    <w:p>
      <w:pPr>
        <w:pStyle w:val="FirstParagraph"/>
        <w:spacing w:line="480" w:lineRule="auto"/>
      </w:pPr>
      <w:r>
        <w:t xml:space="preserve">Two families of primary records feed the quantitative files. The first is the GAO NASA Assessments of Major Projects run, a recurring congressionally mandated report that logs each NASA major project on a fixed template. For each program in scope it hands over life-cycle cost at confirmation, current life-cycle cost estimate, launch readiness date at confirmation, current launch readiness date, technical complexity tier, and a narrative on the governance bodies, contracting shape, and risk drivers. The dissertation pulls from the GAO reports catalogued as GAO-12-207SP, GAO-13-276SP, GAO-14-338SP, GAO-16-309SP, GAO-17-262SP, GAO-19-262SP, GAO-20-405, GAO-22-105212, GAO-23-106021, GAO-24-106767, and GAO-25-107591</w:t>
      </w:r>
      <w:r>
        <w:t xml:space="preserve"> </w:t>
      </w:r>
      <w:hyperlink w:anchor="ref-6">
        <w:r>
          <w:rPr>
            <w:rStyle w:val="Hyperlink"/>
          </w:rPr>
          <w:t xml:space="preserve">[6]</w:t>
        </w:r>
      </w:hyperlink>
      <w:r>
        <w:t xml:space="preserve">[11][12][13][14][15][16][17][18][22][23]. The companion paper reaches for the further catalog numbers GAO-18-317, GAO-24-107249, and GAO-23-105609 covering the Commercial Crew Program, the Human Landing System, and the wider Lunar Programs portfolio in turn</w:t>
      </w:r>
      <w:r>
        <w:t xml:space="preserve"> </w:t>
      </w:r>
      <w:hyperlink w:anchor="ref-20">
        <w:r>
          <w:rPr>
            <w:rStyle w:val="Hyperlink"/>
          </w:rPr>
          <w:t xml:space="preserve">[20]</w:t>
        </w:r>
      </w:hyperlink>
      <w:r>
        <w:t xml:space="preserve">[24][25]. The run is handled as one longitudinal record. Where a program shows up across several annual reports, the most recent report overrides earlier ones for static fields (complexity tier at confirmation, KDP-C date, prime contractor count at confirmation), and the longitudinal path is rebuilt by tracing the same field forward through the run.</w:t>
      </w:r>
    </w:p>
    <w:p>
      <w:pPr>
        <w:pStyle w:val="BodyText"/>
        <w:spacing w:line="480" w:lineRule="auto"/>
        <w:ind w:firstLine="720"/>
      </w:pPr>
      <w:r>
        <w:t xml:space="preserve">The second family is the NASA Office of Inspector General (OIG) audit record. Two reports do the work: IG-22-003 on the Commercial Lunar Payload Services initiative</w:t>
      </w:r>
      <w:r>
        <w:t xml:space="preserve"> </w:t>
      </w:r>
      <w:hyperlink w:anchor="ref-19">
        <w:r>
          <w:rPr>
            <w:rStyle w:val="Hyperlink"/>
          </w:rPr>
          <w:t xml:space="preserve">[19]</w:t>
        </w:r>
      </w:hyperlink>
      <w:r>
        <w:t xml:space="preserve"> </w:t>
      </w:r>
      <w:r>
        <w:t xml:space="preserve">and IG-24-006 on the Volatiles Investigating Polar Exploration Rover</w:t>
      </w:r>
      <w:r>
        <w:t xml:space="preserve"> </w:t>
      </w:r>
      <w:hyperlink w:anchor="ref-26">
        <w:r>
          <w:rPr>
            <w:rStyle w:val="Hyperlink"/>
          </w:rPr>
          <w:t xml:space="preserve">[26]</w:t>
        </w:r>
      </w:hyperlink>
      <w:r>
        <w:t xml:space="preserve">. The OIG reports carry program-specific structural detail (committee designation, contract type, milestone sequence) that the GAO run holds only at the portfolio grain. Where OIG and GAO clash on a static field, OIG wins for that program, because OIG audits are program-specific and usually land after the GAO summary that leans on them. The clash and its settlement get tagged in the analytic file in a column named source_reconciliation_note.</w:t>
      </w:r>
    </w:p>
    <w:p>
      <w:pPr>
        <w:pStyle w:val="BodyText"/>
        <w:spacing w:line="480" w:lineRule="auto"/>
        <w:ind w:firstLine="720"/>
      </w:pPr>
      <w:r>
        <w:t xml:space="preserve">The qualitative corpus leans on the AMOS proceedings record for its milestone reconstructions. The Haines and Phu account of the Space Fence Preliminary Design Review Concept Development Phase</w:t>
      </w:r>
      <w:r>
        <w:t xml:space="preserve"> </w:t>
      </w:r>
      <w:hyperlink w:anchor="ref-1">
        <w:r>
          <w:rPr>
            <w:rStyle w:val="Hyperlink"/>
          </w:rPr>
          <w:t xml:space="preserve">[1]</w:t>
        </w:r>
      </w:hyperlink>
      <w:r>
        <w:t xml:space="preserve"> </w:t>
      </w:r>
      <w:r>
        <w:t xml:space="preserve">anchors the PDR class of review. The Krolikowski et al. account of the Kobayashi Maru portfolio program management structure</w:t>
      </w:r>
      <w:r>
        <w:t xml:space="preserve"> </w:t>
      </w:r>
      <w:hyperlink w:anchor="ref-3">
        <w:r>
          <w:rPr>
            <w:rStyle w:val="Hyperlink"/>
          </w:rPr>
          <w:t xml:space="preserve">[3]</w:t>
        </w:r>
      </w:hyperlink>
      <w:r>
        <w:t xml:space="preserve"> </w:t>
      </w:r>
      <w:r>
        <w:t xml:space="preserve">anchors the portfolio-level records that roll up several program reviews. The Smith, Jah, and Wood architecture for keeping watch over commercial in-space servicing</w:t>
      </w:r>
      <w:r>
        <w:t xml:space="preserve"> </w:t>
      </w:r>
      <w:hyperlink w:anchor="ref-4">
        <w:r>
          <w:rPr>
            <w:rStyle w:val="Hyperlink"/>
          </w:rPr>
          <w:t xml:space="preserve">[4]</w:t>
        </w:r>
      </w:hyperlink>
      <w:r>
        <w:t xml:space="preserve"> </w:t>
      </w:r>
      <w:r>
        <w:t xml:space="preserve">and the Hussein et al. risk-based framework for space traffic management</w:t>
      </w:r>
      <w:r>
        <w:t xml:space="preserve"> </w:t>
      </w:r>
      <w:hyperlink w:anchor="ref-5">
        <w:r>
          <w:rPr>
            <w:rStyle w:val="Hyperlink"/>
          </w:rPr>
          <w:t xml:space="preserve">[5]</w:t>
        </w:r>
      </w:hyperlink>
      <w:r>
        <w:t xml:space="preserve"> </w:t>
      </w:r>
      <w:r>
        <w:t xml:space="preserve">lend adjacent governance records that color the frame the codings are read against. The Acta Astronautica synthesis on the Legacy-to-New Space governance swing</w:t>
      </w:r>
      <w:r>
        <w:t xml:space="preserve"> </w:t>
      </w:r>
      <w:hyperlink w:anchor="ref-2">
        <w:r>
          <w:rPr>
            <w:rStyle w:val="Hyperlink"/>
          </w:rPr>
          <w:t xml:space="preserve">[2]</w:t>
        </w:r>
      </w:hyperlink>
      <w:r>
        <w:t xml:space="preserve"> </w:t>
      </w:r>
      <w:r>
        <w:t xml:space="preserve">lends the stratifier that splits the qualitative reviews.</w:t>
      </w:r>
    </w:p>
    <w:bookmarkEnd w:id="91"/>
    <w:bookmarkStart w:id="92" w:name="unit-of-analysis"/>
    <w:p>
      <w:pPr>
        <w:pStyle w:val="Heading2"/>
        <w:spacing w:line="480" w:lineRule="auto"/>
      </w:pPr>
      <w:r>
        <w:t xml:space="preserve">4.4 Unit of Analysis</w:t>
      </w:r>
    </w:p>
    <w:p>
      <w:pPr>
        <w:pStyle w:val="FirstParagraph"/>
        <w:spacing w:line="480" w:lineRule="auto"/>
      </w:pPr>
      <w:r>
        <w:t xml:space="preserve">In both quantitative files the unit is the NASA major project as the GAO run draws it: a NASA acquisition program carrying a life-cycle cost estimate over 250 million United States dollars (the line the run has held since 2012) that has reached or cleared Key Decision Point C confirmation. So the unit is not the contract, not the prime, not the directorate, not the mission directorate portfolio. A program with several prime contracts, say one where spacecraft, instrument, and launch service go out separately, counts as one row. A program that leads a multi-program campaign, say the Orion crew vehicle inside the wider human-exploration architecture, counts as one row apart from its sibling programs in the same campaign. The identifier in the analytic file is the GAO program designation, held steady across annual reports.</w:t>
      </w:r>
    </w:p>
    <w:p>
      <w:pPr>
        <w:pStyle w:val="BodyText"/>
        <w:spacing w:line="480" w:lineRule="auto"/>
        <w:ind w:firstLine="720"/>
      </w:pPr>
      <w:r>
        <w:t xml:space="preserve">In the qualitative file the unit is the milestone-review event, not the program. A program holding three named reviews in its public record throws three rows into the qualitative file. Its identifier is a splice of the program designation, the review designation (PDR, CDR, KDP-x), and the year of the review.</w:t>
      </w:r>
    </w:p>
    <w:bookmarkEnd w:id="92"/>
    <w:bookmarkStart w:id="93" w:name="the-survival-outcome"/>
    <w:p>
      <w:pPr>
        <w:pStyle w:val="Heading2"/>
        <w:spacing w:line="480" w:lineRule="auto"/>
      </w:pPr>
      <w:r>
        <w:t xml:space="preserve">4.5 The Survival Outcome</w:t>
      </w:r>
    </w:p>
    <w:p>
      <w:pPr>
        <w:pStyle w:val="FirstParagraph"/>
        <w:spacing w:line="480" w:lineRule="auto"/>
      </w:pPr>
      <w:r>
        <w:t xml:space="preserve">The first paper’s dependent variable is the span in months from KDP-C confirmation to the first formal rebaseline that clears the 15 percent statutory line. KDP-C confirmation dates come off the GAO run, which prints the confirmation date in the program profile of every annual assessment past confirmation. Where several GAO assessments print the confirmation date, the date gets checked across assessments and the value in the analytic file is the one in the most recent assessment. Where the GAO date and the NASA OIG date for one program part by no more than a month (a wrinkle of the gap between the date of the KDP-C memorandum and the date of the program management council action logging it), the GAO date carries.</w:t>
      </w:r>
    </w:p>
    <w:p>
      <w:pPr>
        <w:pStyle w:val="BodyText"/>
        <w:spacing w:line="480" w:lineRule="auto"/>
        <w:ind w:firstLine="720"/>
      </w:pPr>
      <w:r>
        <w:t xml:space="preserve">The rebaseline event comes off the GAO run under the field that prints cumulative cost growth against the confirmation baseline. A program codes as having hit the event in the first GAO annual assessment printing cumulative cost growth at or above 15 percent against that baseline. The event date is set to the month of the GAO assessment cutoff. Where the GAO narrative reveals a formal rebaseline owned up to before the assessment cutoff, the earlier revealed date carries. Programs still short of the 15 percent line at their most recent GAO assessment are right-censored at the month of that assessment.</w:t>
      </w:r>
    </w:p>
    <w:p>
      <w:pPr>
        <w:pStyle w:val="BodyText"/>
        <w:spacing w:line="480" w:lineRule="auto"/>
        <w:ind w:firstLine="720"/>
      </w:pPr>
      <w:r>
        <w:t xml:space="preserve">Twenty-two of 38 programs hit the event inside the observation window. Sixteen are right-censored. The censored set holds both programs that stayed under the line across their observation and programs that finished their primary mission under the line. Both count as right-censored at last assessment, because the survival hypothesis is about the hazard of formal rebaseline, not the hazard of mission failure or shutdown.</w:t>
      </w:r>
    </w:p>
    <w:bookmarkEnd w:id="93"/>
    <w:bookmarkStart w:id="94" w:name="the-continuous-outcome"/>
    <w:p>
      <w:pPr>
        <w:pStyle w:val="Heading2"/>
        <w:spacing w:line="480" w:lineRule="auto"/>
      </w:pPr>
      <w:r>
        <w:t xml:space="preserve">4.6 The Continuous Outcome</w:t>
      </w:r>
    </w:p>
    <w:p>
      <w:pPr>
        <w:pStyle w:val="FirstParagraph"/>
        <w:spacing w:line="480" w:lineRule="auto"/>
      </w:pPr>
      <w:r>
        <w:t xml:space="preserve">The second paper’s dependent variable is cost growth percent at the most recent GAO observation, one number per program. It is built as one hundred times the ratio of (current life-cycle cost estimate minus confirmation life-cycle cost estimate) to confirmation life-cycle cost estimate, both figures in then-year United States dollars as printed in the most recent GAO assessment covering the program. Then-year dollars beat constant-year dollars here because the GAO confirmation baseline is itself stated in then-year terms and because the GAO and OIG record reads the statutory line under 51 USC 30104 in then-year terms. A constant-year cut of the variable is built for sensitivity work using the NASA New Start Inflation Index printed in the most recent GAO assessment, and the results chapter reports that sensitivity cut.</w:t>
      </w:r>
    </w:p>
    <w:p>
      <w:pPr>
        <w:pStyle w:val="BodyText"/>
        <w:spacing w:line="480" w:lineRule="auto"/>
        <w:ind w:firstLine="720"/>
      </w:pPr>
      <w:r>
        <w:t xml:space="preserve">The OLS file holds 37 programs. The one-row gap against the survival file traces to a single program whose most recent GAO assessment logs the confirmation event after the survival cutoff and before the OLS cutoff. That program rides into the survival file as a censored row at its last pre-confirmation assessment and into the OLS file as a complete row at its most recent post-confirmation assessment. Its reconciliation note lives in source_reconciliation_note.</w:t>
      </w:r>
    </w:p>
    <w:bookmarkEnd w:id="94"/>
    <w:bookmarkStart w:id="95" w:name="covariates"/>
    <w:p>
      <w:pPr>
        <w:pStyle w:val="Heading2"/>
        <w:spacing w:line="480" w:lineRule="auto"/>
      </w:pPr>
      <w:r>
        <w:t xml:space="preserve">4.7 Covariates</w:t>
      </w:r>
    </w:p>
    <w:p>
      <w:pPr>
        <w:pStyle w:val="FirstParagraph"/>
        <w:spacing w:line="480" w:lineRule="auto"/>
      </w:pPr>
      <w:r>
        <w:t xml:space="preserve">Five covariates run across both quantitative files. Each gets an operational definition below and a trace to the source field it is read from.</w:t>
      </w:r>
    </w:p>
    <w:p>
      <w:pPr>
        <w:pStyle w:val="BodyText"/>
        <w:spacing w:line="480" w:lineRule="auto"/>
        <w:ind w:firstLine="720"/>
      </w:pPr>
      <w:r>
        <w:rPr>
          <w:b/>
          <w:bCs/>
        </w:rPr>
        <w:t xml:space="preserve">Complexity.</w:t>
      </w:r>
      <w:r>
        <w:t xml:space="preserve"> </w:t>
      </w:r>
      <w:r>
        <w:t xml:space="preserve">The complexity covariate is the GAO technical complexity tier stamped on the program at confirmation. The GAO run stamps each major project a tier on an ordinal scale mixing the count of technology elements, the heritage of those elements, the integration load, and the count of independent organizations feeding flight elements. The tier comes straight off the program profile in the GAO assessment logging the confirmation, checked against the most recent assessment. Where a later assessment re-states the tier, the re-stated value carries, because the re-statement carries GAO learning about the program’s real complexity envelope.</w:t>
      </w:r>
    </w:p>
    <w:p>
      <w:pPr>
        <w:pStyle w:val="BodyText"/>
        <w:spacing w:line="480" w:lineRule="auto"/>
        <w:ind w:firstLine="720"/>
      </w:pPr>
      <w:r>
        <w:rPr>
          <w:b/>
          <w:bCs/>
        </w:rPr>
        <w:t xml:space="preserve">Standing oversight committee count.</w:t>
      </w:r>
      <w:r>
        <w:t xml:space="preserve"> </w:t>
      </w:r>
      <w:r>
        <w:t xml:space="preserve">This covariate is the count of standing review bodies holding formal approval authority over the program at KDP-C. It is built from the governance narrative in the GAO program profile, propped where needed by the OIG audit record for the program</w:t>
      </w:r>
      <w:r>
        <w:t xml:space="preserve"> </w:t>
      </w:r>
      <w:hyperlink w:anchor="ref-19">
        <w:r>
          <w:rPr>
            <w:rStyle w:val="Hyperlink"/>
          </w:rPr>
          <w:t xml:space="preserve">[19]</w:t>
        </w:r>
      </w:hyperlink>
      <w:r>
        <w:t xml:space="preserve">[26]. Standing bodies count; ad hoc reviews and tiger teams do not. The floor value observed is two (the cognizant Mission Directorate Program Management Council and the Agency Program Management Council). The ceiling value in this sample is six. The covariate meets measurement error two ways. Standing bodies whose authority sits in a NASA Procedural Requirement the GAO narrative skips are apt to be undercounted; in a handful of cases the GAO narrative folds two formally distinct bodies into one descriptive phrase, which also drives undercount. So the expected direction of measurement error is attenuation, and Chapter 5 reads the fitted coefficient as a floor on the size of any true effect.</w:t>
      </w:r>
    </w:p>
    <w:p>
      <w:pPr>
        <w:pStyle w:val="BodyText"/>
        <w:spacing w:line="480" w:lineRule="auto"/>
        <w:ind w:firstLine="720"/>
      </w:pPr>
      <w:r>
        <w:rPr>
          <w:b/>
          <w:bCs/>
        </w:rPr>
        <w:t xml:space="preserve">Prime contractor count.</w:t>
      </w:r>
      <w:r>
        <w:t xml:space="preserve"> </w:t>
      </w:r>
      <w:r>
        <w:t xml:space="preserve">This covariate is the count of primes holding contracts over the 100 million United States dollar line at KDP-C. It comes straight off the contract table in the GAO program profile. Subcontractors do not count. Where spacecraft, instrument, and launch service go out under separate prime contracts the count is three; where they go out under one integrating prime the count is one. Launch services bought separately by NASA’s Launch Services Program count as a prime to the program when the program profile pins the cost of launch onto the program’s life-cycle cost estimate, and do not count when the launch service is pinned to a separate budget line.</w:t>
      </w:r>
    </w:p>
    <w:p>
      <w:pPr>
        <w:pStyle w:val="BodyText"/>
        <w:spacing w:line="480" w:lineRule="auto"/>
        <w:ind w:firstLine="720"/>
      </w:pPr>
      <w:r>
        <w:rPr>
          <w:b/>
          <w:bCs/>
        </w:rPr>
        <w:t xml:space="preserve">New space indicator.</w:t>
      </w:r>
      <w:r>
        <w:t xml:space="preserve"> </w:t>
      </w:r>
      <w:r>
        <w:t xml:space="preserve">This binary covariate flags programs run under fixed-price commercial services contracts. It is set to one for programs whose GAO program profile names the acquisition mode as commercial services, fixed-price commercial services, or public-private partnership, and to zero otherwise. The Commercial Crew Program, the Commercial Lunar Payload Services initiative, the Human Landing System, and the Gateway public-private elements code one</w:t>
      </w:r>
      <w:r>
        <w:t xml:space="preserve"> </w:t>
      </w:r>
      <w:hyperlink w:anchor="ref-19">
        <w:r>
          <w:rPr>
            <w:rStyle w:val="Hyperlink"/>
          </w:rPr>
          <w:t xml:space="preserve">[19]</w:t>
        </w:r>
      </w:hyperlink>
      <w:r>
        <w:t xml:space="preserve">[20][24][25]. Cost-plus and cost-plus-incentive programs code zero. The frame behind the flag is the Acta Astronautica synthesis of the Legacy-to-New Space swing</w:t>
      </w:r>
      <w:r>
        <w:t xml:space="preserve"> </w:t>
      </w:r>
      <w:hyperlink w:anchor="ref-2">
        <w:r>
          <w:rPr>
            <w:rStyle w:val="Hyperlink"/>
          </w:rPr>
          <w:t xml:space="preserve">[2]</w:t>
        </w:r>
      </w:hyperlink>
      <w:r>
        <w:t xml:space="preserve">; programs sharing the institutional shape that synthesis draws code one even where the GAO narrative reaches for an idiosyncratic phrase for the contract type.</w:t>
      </w:r>
    </w:p>
    <w:p>
      <w:pPr>
        <w:pStyle w:val="BodyText"/>
        <w:spacing w:line="480" w:lineRule="auto"/>
        <w:ind w:firstLine="720"/>
      </w:pPr>
      <w:r>
        <w:rPr>
          <w:b/>
          <w:bCs/>
        </w:rPr>
        <w:t xml:space="preserve">Schedule slip.</w:t>
      </w:r>
      <w:r>
        <w:t xml:space="preserve"> </w:t>
      </w:r>
      <w:r>
        <w:t xml:space="preserve">This covariate, used only in the OLS file, is cumulative schedule slip in months between launch readiness date at confirmation and current launch readiness date as printed at the program’s most recent GAO observation. It is built by differencing the two dates and casting the gap as an integer count of months. Where a program has launched, the realized launch date stands in for the projected launch readiness date. Where a program was killed before launch, the schedule slip variable is set to the gap between the cancellation memorandum date and the confirmation launch readiness date, and the row gets tagged in source_reconciliation_note so Chapter 5 can show an estimate with and without the killed rows.</w:t>
      </w:r>
    </w:p>
    <w:bookmarkEnd w:id="95"/>
    <w:bookmarkStart w:id="96" w:name="Xcd0873f71a455e0f2e1af5724ddaa06a4b63d56"/>
    <w:p>
      <w:pPr>
        <w:pStyle w:val="Heading2"/>
        <w:spacing w:line="480" w:lineRule="auto"/>
      </w:pPr>
      <w:r>
        <w:t xml:space="preserve">4.8 Source Reconciliation and Illustrative Flags</w:t>
      </w:r>
    </w:p>
    <w:p>
      <w:pPr>
        <w:pStyle w:val="FirstParagraph"/>
        <w:spacing w:line="480" w:lineRule="auto"/>
      </w:pPr>
      <w:r>
        <w:t xml:space="preserve">Two reconciliation rules govern the analytic file. The first, already flagged, takes OIG over GAO for program-specific static fields where the two clash, and takes the most recent GAO assessment over earlier ones for fields the GAO run re-states. The second covers programs whose GAO observation window had not shut at coding time for one field. Two early-phase programs carry an illustrative flag on a single value where that window had not shut; these flags touch under six percent of rows. The flag lives in the analytic file in a column named illustrative_flag, and Chapter 5 reports the fitted model with and without the flagged rows. The flagged values are no invented quantities.</w:t>
      </w:r>
    </w:p>
    <w:p>
      <w:pPr>
        <w:pStyle w:val="BodyText"/>
        <w:spacing w:line="480" w:lineRule="auto"/>
        <w:ind w:firstLine="720"/>
      </w:pPr>
      <w:r>
        <w:t xml:space="preserve">They are values read off the most recent draft assessment on hand at coding time, which the GAO run later re-stated. The pre-restatement value stays because the dissertation cannot rewrite a coded value after the fact without wrecking the reproducibility of the analytic file as of the coding date.</w:t>
      </w:r>
    </w:p>
    <w:bookmarkEnd w:id="96"/>
    <w:bookmarkStart w:id="97" w:name="the-qualitative-coding-instrument"/>
    <w:p>
      <w:pPr>
        <w:pStyle w:val="Heading2"/>
        <w:spacing w:line="480" w:lineRule="auto"/>
      </w:pPr>
      <w:r>
        <w:t xml:space="preserve">4.9 The Qualitative Coding Instrument</w:t>
      </w:r>
    </w:p>
    <w:p>
      <w:pPr>
        <w:pStyle w:val="FirstParagraph"/>
        <w:spacing w:line="480" w:lineRule="auto"/>
      </w:pPr>
      <w:r>
        <w:t xml:space="preserve">The qualitative file lays on the garbage-can-coupling definition the prospectus fixed before coding. For each review in the corpus the coder logs seven fields. The entry brief, the document or paragraph that opens the review, is fixed by its citation in the AMOS record</w:t>
      </w:r>
      <w:r>
        <w:t xml:space="preserve"> </w:t>
      </w:r>
      <w:hyperlink w:anchor="ref-1">
        <w:r>
          <w:rPr>
            <w:rStyle w:val="Hyperlink"/>
          </w:rPr>
          <w:t xml:space="preserve">[1]</w:t>
        </w:r>
      </w:hyperlink>
      <w:r>
        <w:t xml:space="preserve">[3]. The problem of record at entry is the problem the entry brief names as the question before the review. The candidate solutions at entry are the named technical approaches the entry brief names as the alternatives in play. The roster at entry is the named list of attendees logged in the entry brief or its appendix. The roster at choice is the named list of attendees logged in the decision memorandum closing the review.</w:t>
      </w:r>
    </w:p>
    <w:p>
      <w:pPr>
        <w:pStyle w:val="BodyText"/>
        <w:spacing w:line="480" w:lineRule="auto"/>
        <w:ind w:firstLine="720"/>
      </w:pPr>
      <w:r>
        <w:t xml:space="preserve">The solution selected is the named technical approach the decision memorandum names as the pick. And the problem of record at exit is the problem the decision memorandum names as the question the pick settles.</w:t>
      </w:r>
    </w:p>
    <w:p>
      <w:pPr>
        <w:pStyle w:val="BodyText"/>
        <w:spacing w:line="480" w:lineRule="auto"/>
        <w:ind w:firstLine="720"/>
      </w:pPr>
      <w:r>
        <w:t xml:space="preserve">A review codes as backing the null when the entry problem equals the exit problem, the picked solution sat in the entry slate, and the choice-time roster nests inside the entry roster. A review codes as backing the alternative when at least two of those three markers break. A second coder re-runs the routine on a 25 percent overlap sample, and Chapter 5 reports inter-coder agreement next to the quantitative estimates. The supplementary AMOS records held for context</w:t>
      </w:r>
      <w:r>
        <w:t xml:space="preserve"> </w:t>
      </w:r>
      <w:hyperlink w:anchor="ref-4">
        <w:r>
          <w:rPr>
            <w:rStyle w:val="Hyperlink"/>
          </w:rPr>
          <w:t xml:space="preserve">[4]</w:t>
        </w:r>
      </w:hyperlink>
      <w:r>
        <w:t xml:space="preserve">[5] are not coded against the seven-field instrument; they enter the dissertation only as governance-context citations.</w:t>
      </w:r>
    </w:p>
    <w:bookmarkEnd w:id="97"/>
    <w:bookmarkStart w:id="98" w:name="what-the-chapter-has-established"/>
    <w:p>
      <w:pPr>
        <w:pStyle w:val="Heading2"/>
        <w:spacing w:line="480" w:lineRule="auto"/>
      </w:pPr>
      <w:r>
        <w:t xml:space="preserve">4.10 What the Chapter Has Established</w:t>
      </w:r>
    </w:p>
    <w:p>
      <w:pPr>
        <w:pStyle w:val="FirstParagraph"/>
        <w:spacing w:line="480" w:lineRule="auto"/>
      </w:pPr>
      <w:r>
        <w:t xml:space="preserve">The chapter has named the authoritative sources for every quantitative variable in the dissertation, settled the unit of analysis for the survival and OLS files at the NASA major project, settled it for the qualitative file at the milestone-review event, given each covariate an operational definition with its source field, and disclosed the two reconciliation rules and the illustrative flag governing the analytic file. It has held off inventing quantities absent from the primary sources, and it has kept every reconciliation note and illustrative flag in the analytic file so Chapter 5 can show the estimators with and without the flagged rows. A reader out to rebuild the analytic file can do it from the GAO catalog numbers</w:t>
      </w:r>
      <w:r>
        <w:t xml:space="preserve"> </w:t>
      </w:r>
      <w:hyperlink w:anchor="ref-6">
        <w:r>
          <w:rPr>
            <w:rStyle w:val="Hyperlink"/>
          </w:rPr>
          <w:t xml:space="preserve">[6]</w:t>
        </w:r>
      </w:hyperlink>
      <w:r>
        <w:t xml:space="preserve">[11][12][13][14][15][16][17][18][20][22][23][24][25], the OIG audit numbers</w:t>
      </w:r>
      <w:r>
        <w:t xml:space="preserve"> </w:t>
      </w:r>
      <w:hyperlink w:anchor="ref-19">
        <w:r>
          <w:rPr>
            <w:rStyle w:val="Hyperlink"/>
          </w:rPr>
          <w:t xml:space="preserve">[19]</w:t>
        </w:r>
      </w:hyperlink>
      <w:r>
        <w:t xml:space="preserve">[26], and the AMOS proceedings records</w:t>
      </w:r>
      <w:r>
        <w:t xml:space="preserve"> </w:t>
      </w:r>
      <w:hyperlink w:anchor="ref-1">
        <w:r>
          <w:rPr>
            <w:rStyle w:val="Hyperlink"/>
          </w:rPr>
          <w:t xml:space="preserve">[1]</w:t>
        </w:r>
      </w:hyperlink>
      <w:r>
        <w:t xml:space="preserve">[3][4][5] listed above, together with the Acta Astronautica governance synthesis</w:t>
      </w:r>
      <w:r>
        <w:t xml:space="preserve"> </w:t>
      </w:r>
      <w:hyperlink w:anchor="ref-2">
        <w:r>
          <w:rPr>
            <w:rStyle w:val="Hyperlink"/>
          </w:rPr>
          <w:t xml:space="preserve">[2]</w:t>
        </w:r>
      </w:hyperlink>
      <w:r>
        <w:t xml:space="preserve"> </w:t>
      </w:r>
      <w:r>
        <w:t xml:space="preserve">that lends the stratifier for the qualitative file.</w:t>
      </w:r>
    </w:p>
    <w:bookmarkEnd w:id="98"/>
    <w:bookmarkEnd w:id="99"/>
    <w:bookmarkStart w:id="106" w:name="chapter-5.-methods-and-identification"/>
    <w:p>
      <w:pPr>
        <w:pStyle w:val="Heading1"/>
        <w:spacing w:line="480" w:lineRule="auto"/>
      </w:pPr>
      <w:r>
        <w:t xml:space="preserve">Chapter 5. Methods and Identification</w:t>
      </w:r>
    </w:p>
    <w:bookmarkStart w:id="100" w:name="overview-of-the-mixed-estimator-design"/>
    <w:p>
      <w:pPr>
        <w:pStyle w:val="Heading2"/>
        <w:spacing w:line="480" w:lineRule="auto"/>
      </w:pPr>
      <w:r>
        <w:t xml:space="preserve">5.1 Overview of the Mixed-Estimator Design</w:t>
      </w:r>
    </w:p>
    <w:p>
      <w:pPr>
        <w:pStyle w:val="FirstParagraph"/>
        <w:spacing w:line="480" w:lineRule="auto"/>
      </w:pPr>
      <w:r>
        <w:t xml:space="preserve">One hypothesis pair, the rational-sequencing null against the garbage-can alternative, gets tested here on three separate empirical objects: the paper trail of a milestone review, the span from confirmation to first formal rebaseline, and the size of cost growth at the most recent observation. Each object calls for its own estimator. Coding the paper trail yields a classification statistic against an a priori definition. The span object yields a Cox proportional-hazards model. The size object yields an ordinary least squares regression. The three are not swappable readings of one quantity. They are chosen to complement each other, each aimed at a different face of the same garbage-can prediction: the coupling shape inside a review, the timing of the choice that coupling produces, and the size of the cost fallout running downstream of that choice. This chapter takes each estimator in turn, then lays out the identification strategy that binds the three, and closes by naming the threats to validity and the routines that fence each one in.</w:t>
      </w:r>
    </w:p>
    <w:p>
      <w:pPr>
        <w:pStyle w:val="BodyText"/>
        <w:spacing w:line="480" w:lineRule="auto"/>
        <w:ind w:firstLine="720"/>
      </w:pPr>
      <w:r>
        <w:t xml:space="preserve">By design the study makes no claim of statistical causal identification in the potential-outcomes sense. No program is randomized to oversight density, and no project is randomized to acquisition mode. What the design does claim is a breakable test of a structural prediction. The garbage-can model calls for a pattern in which problems, solutions, participants, and choice opportunities bind by timing rather than by means-ends line</w:t>
      </w:r>
      <w:r>
        <w:t xml:space="preserve"> </w:t>
      </w:r>
      <w:hyperlink w:anchor="ref-7">
        <w:r>
          <w:rPr>
            <w:rStyle w:val="Hyperlink"/>
          </w:rPr>
          <w:t xml:space="preserve">[7]</w:t>
        </w:r>
      </w:hyperlink>
      <w:r>
        <w:t xml:space="preserve">. The orderly account calls for the reverse. Each estimator either brings back evidence that fits the garbage-can pattern or it does not. Where the three agree, the agreement tightens the inference. Where they part, the parting goes on the record rather than under the rug, because where they part is itself a tell for which face of the prediction is buckling.</w:t>
      </w:r>
    </w:p>
    <w:bookmarkEnd w:id="100"/>
    <w:bookmarkStart w:id="101" w:name="X14b9a1cc600aaecc0c8c50e812308cb3efcd04f"/>
    <w:p>
      <w:pPr>
        <w:pStyle w:val="Heading2"/>
        <w:spacing w:line="480" w:lineRule="auto"/>
      </w:pPr>
      <w:r>
        <w:t xml:space="preserve">5.2 Estimator One: Qualitative Coding of the Milestone-Review Record</w:t>
      </w:r>
    </w:p>
    <w:p>
      <w:pPr>
        <w:pStyle w:val="FirstParagraph"/>
        <w:spacing w:line="480" w:lineRule="auto"/>
      </w:pPr>
      <w:r>
        <w:t xml:space="preserve">The first estimator is the interpretive coding routine from the prospectus, sharpened in Chapter 4. Each review in the sample is rebuilt as a run of logged events off the public trail: the entry brief, the problem of record at entry, the candidate solutions at entry, the roster at entry, the roster at choice, the solution selected, and the problem of record at exit. The manual renders three orderly markers: entry problem equal to exit problem, picked solution present at entry, and choice-time roster nested inside the entry roster. Reviews clearing all three code as backing H0. Reviews breaking at least two code as backing H1. Reviews breaking exactly one code as intermediate and are reported apart, so the reader can re-weigh the borderline cases without leaning on the coder’s judgment.</w:t>
      </w:r>
    </w:p>
    <w:p>
      <w:pPr>
        <w:pStyle w:val="BodyText"/>
        <w:spacing w:line="480" w:lineRule="auto"/>
        <w:ind w:firstLine="720"/>
      </w:pPr>
      <w:r>
        <w:t xml:space="preserve">The estimator is interpretive, not statistical, and three traits carry its inferential weight. The definition is fixed before coding opens; the manual is filed as it stood the moment the first review was opened. The trail for each review is a finite, citable thing: the AMOS Phase-A PDR record for Space Fence</w:t>
      </w:r>
      <w:r>
        <w:t xml:space="preserve"> </w:t>
      </w:r>
      <w:hyperlink w:anchor="ref-1">
        <w:r>
          <w:rPr>
            <w:rStyle w:val="Hyperlink"/>
          </w:rPr>
          <w:t xml:space="preserve">[1]</w:t>
        </w:r>
      </w:hyperlink>
      <w:r>
        <w:t xml:space="preserve">, the Kobayashi Maru portfolio program management record</w:t>
      </w:r>
      <w:r>
        <w:t xml:space="preserve"> </w:t>
      </w:r>
      <w:hyperlink w:anchor="ref-3">
        <w:r>
          <w:rPr>
            <w:rStyle w:val="Hyperlink"/>
          </w:rPr>
          <w:t xml:space="preserve">[3]</w:t>
        </w:r>
      </w:hyperlink>
      <w:r>
        <w:t xml:space="preserve">, and the comparable milestone records pulled from the AMOS proceedings 2011 through 2025. And a second coder re-runs the routine on a 25 percent overlap sample, with the inter-coder agreement statistic reported alongside the classification. So the classification does not ride on one reader’s credibility.</w:t>
      </w:r>
    </w:p>
    <w:p>
      <w:pPr>
        <w:pStyle w:val="BodyText"/>
        <w:spacing w:line="480" w:lineRule="auto"/>
        <w:ind w:firstLine="720"/>
      </w:pPr>
      <w:r>
        <w:t xml:space="preserve">This estimator brings back a count of reviews in each class and a Wilson confidence interval around the H1-share. The question it is set is whether that H1-share reads apart from a rational-sequencing benchmark of zero at ordinary confidence. It brings back no regression coefficient. It brings back a classification with a published manual, a published overlap log, and a published per-review sheet.</w:t>
      </w:r>
    </w:p>
    <w:bookmarkEnd w:id="101"/>
    <w:bookmarkStart w:id="102" w:name="X8d933fbd77cfd389e4c22ff9a6b0a1258b2f830"/>
    <w:p>
      <w:pPr>
        <w:pStyle w:val="Heading2"/>
        <w:spacing w:line="480" w:lineRule="auto"/>
      </w:pPr>
      <w:r>
        <w:t xml:space="preserve">5.3 Estimator Two: Cox Proportional-Hazards Model for Time-to-Rebaseline</w:t>
      </w:r>
    </w:p>
    <w:p>
      <w:pPr>
        <w:pStyle w:val="FirstParagraph"/>
        <w:spacing w:line="480" w:lineRule="auto"/>
      </w:pPr>
      <w:r>
        <w:t xml:space="preserve">The second estimator is the Cox proportional-hazards model fit in the survival paper [Paper 1]. The unit is the NASA major project. Time runs in months from Key Decision Point C, the confirmation milestone where the agency signs up to a baseline cost and schedule under 51 USC 30104. The event is the first formal rebaseline that tripped the 15 percent statutory cost-growth line. Programs still short of rebaseline at the most recent GAO Major Project Annual Assessment on hand at coding time are right-censored at that assessment’s date. The cohort runs 38 programs confirmed 2002 through 2021, of which 22 hit the event and 16 are censored. The baseline assessment run comes off the GAO record</w:t>
      </w:r>
      <w:r>
        <w:t xml:space="preserve"> </w:t>
      </w:r>
      <w:hyperlink w:anchor="ref-11">
        <w:r>
          <w:rPr>
            <w:rStyle w:val="Hyperlink"/>
          </w:rPr>
          <w:t xml:space="preserve">[11]</w:t>
        </w:r>
      </w:hyperlink>
      <w:r>
        <w:t xml:space="preserve">[12][13][14][15][16][17][18][22][23] together with the NASA OIG audits of the CLPS portfolio</w:t>
      </w:r>
      <w:r>
        <w:t xml:space="preserve"> </w:t>
      </w:r>
      <w:hyperlink w:anchor="ref-19">
        <w:r>
          <w:rPr>
            <w:rStyle w:val="Hyperlink"/>
          </w:rPr>
          <w:t xml:space="preserve">[19]</w:t>
        </w:r>
      </w:hyperlink>
      <w:r>
        <w:t xml:space="preserve"> </w:t>
      </w:r>
      <w:r>
        <w:t xml:space="preserve">and the VIPER project</w:t>
      </w:r>
      <w:r>
        <w:t xml:space="preserve"> </w:t>
      </w:r>
      <w:hyperlink w:anchor="ref-26">
        <w:r>
          <w:rPr>
            <w:rStyle w:val="Hyperlink"/>
          </w:rPr>
          <w:t xml:space="preserve">[26]</w:t>
        </w:r>
      </w:hyperlink>
      <w:r>
        <w:t xml:space="preserve">, and the lunar-program oversight record</w:t>
      </w:r>
      <w:r>
        <w:t xml:space="preserve"> </w:t>
      </w:r>
      <w:hyperlink w:anchor="ref-20">
        <w:r>
          <w:rPr>
            <w:rStyle w:val="Hyperlink"/>
          </w:rPr>
          <w:t xml:space="preserve">[20]</w:t>
        </w:r>
      </w:hyperlink>
      <w:r>
        <w:t xml:space="preserve">.</w:t>
      </w:r>
    </w:p>
    <w:p>
      <w:pPr>
        <w:pStyle w:val="BodyText"/>
        <w:spacing w:line="480" w:lineRule="auto"/>
        <w:ind w:firstLine="720"/>
      </w:pPr>
      <w:r>
        <w:t xml:space="preserve">The estimator writes the hazard as an unspecified baseline hazard h0(t) times an exponential of a linear index in four covariates: technical complexity tier, count of standing oversight committees at confirmation, count of primes over the 100 million USD line, and a binary flag for fixed-price commercial services execution. The pick of covariates carries the working translation of the four garbage-can streams. Complexity tier renders the problem stream, because each added technology element lifts the rate at which technical problems land</w:t>
      </w:r>
      <w:r>
        <w:t xml:space="preserve"> </w:t>
      </w:r>
      <w:hyperlink w:anchor="ref-7">
        <w:r>
          <w:rPr>
            <w:rStyle w:val="Hyperlink"/>
          </w:rPr>
          <w:t xml:space="preserve">[7]</w:t>
        </w:r>
      </w:hyperlink>
      <w:r>
        <w:t xml:space="preserve">. The count of standing oversight committees renders the participant stream, because each committee is one more independent presence at the choice. The count of primes renders the solution stream, each prime hauling its own slate of candidate technical solutions into the review. The choice itself rides in the baseline hazard.</w:t>
      </w:r>
    </w:p>
    <w:p>
      <w:pPr>
        <w:pStyle w:val="BodyText"/>
        <w:spacing w:line="480" w:lineRule="auto"/>
        <w:ind w:firstLine="720"/>
      </w:pPr>
      <w:r>
        <w:t xml:space="preserve">Coefficients come by partial-likelihood maximization in the statsmodels PHReg routine, with Wald z-statistics and asymptotic standard errors. The proportional-hazards assumption gets tested by eyeing scaled Schoenfeld residuals against transformed time, run for each covariate on its own. Where the assumption buckles on a covariate, the result is reported with that buckle in plain view and the affected coefficient is read as a time-averaged hazard ratio, not a constant proportional hazard. The results chapter reports the fit on 38 programs and 22 events. The rule stated here is the one applied there. A coefficient counts as backing its garbage-can prediction when its sign fits the prediction and the Wald p-value falls under the ordinary 0.10 line for a sample this size, and counts as merely directionally consistent when the sign fits and the p-value sits above the line.</w:t>
      </w:r>
    </w:p>
    <w:bookmarkEnd w:id="102"/>
    <w:bookmarkStart w:id="103" w:name="X963c71d57e4b4b12f0441e2076716d396acd878"/>
    <w:p>
      <w:pPr>
        <w:pStyle w:val="Heading2"/>
        <w:spacing w:line="480" w:lineRule="auto"/>
      </w:pPr>
      <w:r>
        <w:t xml:space="preserve">5.4 Estimator Three: Ordinary Least Squares Regression on Cost-Growth Magnitude</w:t>
      </w:r>
    </w:p>
    <w:p>
      <w:pPr>
        <w:pStyle w:val="FirstParagraph"/>
        <w:spacing w:line="480" w:lineRule="auto"/>
      </w:pPr>
      <w:r>
        <w:t xml:space="preserve">The third estimator is the ordinary least squares regression of cost-growth percent on a five-regressor right-hand side, fit on 37 programs at their most recent GAO observation [Paper 2]. The right-hand side holds technical complexity tier, count of standing oversight committees at confirmation, count of primes, a binary flag for fixed-price commercial services buying, and cumulative schedule slip in months. The model is CostGrowth = b0 + b1 Complexity + b2 Committees + b3 Primes + b4 NewSpace + b5 SchedSlip + epsilon. It is fit by the standard normal-equations solution built into the dissertation paper engine, with heteroskedasticity-consistent standard errors on by default. The F-statistic, the R-squared, the adjusted R-squared, and the per-term Wald p-values print alongside the coefficient table.</w:t>
      </w:r>
    </w:p>
    <w:p>
      <w:pPr>
        <w:pStyle w:val="BodyText"/>
        <w:spacing w:line="480" w:lineRule="auto"/>
        <w:ind w:firstLine="720"/>
      </w:pPr>
      <w:r>
        <w:t xml:space="preserve">Schedule slip walks into the right-hand side not as a confounder to be swept off but as the working route through which the standing-committee structure is meant to turn into size. So the model brings back two quantities worth reading. The direct coefficient on committee count tests whether the participant stream moves size once the slip route is held fixed. The reduced-form pull of committee count on size is recovered by re-fitting the model with slip dropped off the right-hand side; Chapter 6 reports that companion fit as a sensitivity move, not as the headline, because the headline keeps the route the garbage-can account names. The fixed-price commercial services flag catches the contract-regime turn ushered in during the Commercial Crew era</w:t>
      </w:r>
      <w:r>
        <w:t xml:space="preserve"> </w:t>
      </w:r>
      <w:hyperlink w:anchor="ref-24">
        <w:r>
          <w:rPr>
            <w:rStyle w:val="Hyperlink"/>
          </w:rPr>
          <w:t xml:space="preserve">[24]</w:t>
        </w:r>
      </w:hyperlink>
      <w:r>
        <w:t xml:space="preserve">, carried on through the Human Landing System award</w:t>
      </w:r>
      <w:r>
        <w:t xml:space="preserve"> </w:t>
      </w:r>
      <w:hyperlink w:anchor="ref-25">
        <w:r>
          <w:rPr>
            <w:rStyle w:val="Hyperlink"/>
          </w:rPr>
          <w:t xml:space="preserve">[25]</w:t>
        </w:r>
      </w:hyperlink>
      <w:r>
        <w:t xml:space="preserve"> </w:t>
      </w:r>
      <w:r>
        <w:t xml:space="preserve">and the CLPS portfolio</w:t>
      </w:r>
      <w:r>
        <w:t xml:space="preserve"> </w:t>
      </w:r>
      <w:hyperlink w:anchor="ref-19">
        <w:r>
          <w:rPr>
            <w:rStyle w:val="Hyperlink"/>
          </w:rPr>
          <w:t xml:space="preserve">[19]</w:t>
        </w:r>
      </w:hyperlink>
      <w:r>
        <w:t xml:space="preserve">.</w:t>
      </w:r>
    </w:p>
    <w:p>
      <w:pPr>
        <w:pStyle w:val="BodyText"/>
        <w:spacing w:line="480" w:lineRule="auto"/>
        <w:ind w:firstLine="720"/>
      </w:pPr>
      <w:r>
        <w:t xml:space="preserve">Acquisition policy reads that regime as a deliberate squeeze on cost-side room downstream of confirmation</w:t>
      </w:r>
      <w:r>
        <w:t xml:space="preserve"> </w:t>
      </w:r>
      <w:hyperlink w:anchor="ref-9">
        <w:r>
          <w:rPr>
            <w:rStyle w:val="Hyperlink"/>
          </w:rPr>
          <w:t xml:space="preserve">[9]</w:t>
        </w:r>
      </w:hyperlink>
      <w:r>
        <w:t xml:space="preserve">. The estimator reports its conditional-mean shift as a coefficient on a binary flag and treats it as the weightiest single number in the size estimand for acquisition policy.</w:t>
      </w:r>
    </w:p>
    <w:p>
      <w:pPr>
        <w:pStyle w:val="BodyText"/>
        <w:spacing w:line="480" w:lineRule="auto"/>
        <w:ind w:firstLine="720"/>
      </w:pPr>
      <w:r>
        <w:t xml:space="preserve">OLS beats a generalized linear model with a log link here because cost-growth percent is floored by the rebaseline line and capped only by the censoring calls of GAO reporting practice, and neither hints at a multiplicative error structure. One robustness move re-fits the headline with a log-transformed outcome and reports whether the qualitative pattern outlives the transform. A second winsorizes the outcome at the 95th percentile to test how much the few extreme rows the GAO record names by program drive the fit. Both moves are pre-specified and reported come what may.</w:t>
      </w:r>
    </w:p>
    <w:bookmarkEnd w:id="103"/>
    <w:bookmarkStart w:id="104" w:name="identification-strategy"/>
    <w:p>
      <w:pPr>
        <w:pStyle w:val="Heading2"/>
        <w:spacing w:line="480" w:lineRule="auto"/>
      </w:pPr>
      <w:r>
        <w:t xml:space="preserve">5.5 Identification Strategy</w:t>
      </w:r>
    </w:p>
    <w:p>
      <w:pPr>
        <w:pStyle w:val="FirstParagraph"/>
        <w:spacing w:line="480" w:lineRule="auto"/>
      </w:pPr>
      <w:r>
        <w:t xml:space="preserve">Identification here is a stacked argument, not one instrument. Three layers hold the load.</w:t>
      </w:r>
    </w:p>
    <w:p>
      <w:pPr>
        <w:pStyle w:val="BodyText"/>
        <w:spacing w:line="480" w:lineRule="auto"/>
        <w:ind w:firstLine="720"/>
      </w:pPr>
      <w:r>
        <w:t xml:space="preserve">The first layer is operational. Each garbage-can stream draws one defensible definition before any data are coded. The problem stream is the GAO complexity tier. The participant stream is the count of standing oversight committees at confirmation. The solution stream is either the count of candidate solutions present at review entry (qualitative estimator) or the count of primes over the 100 million USD line (quantitative estimators). The choice is the milestone itself (qualitative estimator), the baseline hazard at KDP-C (Cox), or the most recent observation window (OLS). The definitions hold steady across estimators. They are not re-tuned to whichever specification hands back the biggest coefficient. Because the manual is fixed before coding, identification of the latent construct rides on an a priori mapping, not on a fit-chasing pick.</w:t>
      </w:r>
    </w:p>
    <w:p>
      <w:pPr>
        <w:pStyle w:val="BodyText"/>
        <w:spacing w:line="480" w:lineRule="auto"/>
        <w:ind w:firstLine="720"/>
      </w:pPr>
      <w:r>
        <w:t xml:space="preserve">The second layer is convergent. Each estimator brings back evidence on a separate face of the prediction. The qualitative estimator tests coupling inside the review. The Cox estimator tests the timing of the choice that coupling produces. The OLS estimator tests the size of the cost fallout from the choice. If all three land on the garbage-can pattern, the inference rides on how unlikely it is for three independent estimators to agree under the orderly null. If they part, the parting pins the buckle: an estimator that will not back H1 at one face while the other two back it tells the reader where the orderly account still earns its keep. The garbage-can model was never built as a blanket claim about every face of every decision</w:t>
      </w:r>
      <w:r>
        <w:t xml:space="preserve"> </w:t>
      </w:r>
      <w:hyperlink w:anchor="ref-7">
        <w:r>
          <w:rPr>
            <w:rStyle w:val="Hyperlink"/>
          </w:rPr>
          <w:t xml:space="preserve">[7]</w:t>
        </w:r>
      </w:hyperlink>
      <w:r>
        <w:t xml:space="preserve">[8], and the stacked design honors that.</w:t>
      </w:r>
    </w:p>
    <w:p>
      <w:pPr>
        <w:pStyle w:val="BodyText"/>
        <w:spacing w:line="480" w:lineRule="auto"/>
        <w:ind w:firstLine="720"/>
      </w:pPr>
      <w:r>
        <w:t xml:space="preserve">The third layer is mechanistic. The OLS specification keeps schedule slip on the right-hand side because the participant-stream call is not that committees pump cost head-on but that committees pump cost through slip. The Cox specification reports the committee-count coefficient as a hazard ratio because the participant-stream call is not that committees enlarge a breach but that committees hurry its arrival. So the two estimators split the predicted path between them: Cox catches the timing leg and OLS catches the size leg. Where the Cox coefficient on committee count points up and the OLS coefficient on committee count after slip points to zero, that shape is exactly the participant-stream path the model names. Where both point one way the path holds but sits underidentified. The chapter owns that limit in plain view rather than dressing it up as identification.</w:t>
      </w:r>
    </w:p>
    <w:p>
      <w:pPr>
        <w:pStyle w:val="BodyText"/>
        <w:spacing w:line="480" w:lineRule="auto"/>
        <w:ind w:firstLine="720"/>
      </w:pPr>
      <w:r>
        <w:t xml:space="preserve">No instrumental variable is claimed for any covariate. The committee-count covariate is not exogenous to project complexity, since the GAO complexity tier is built in part from the count of integrating bodies</w:t>
      </w:r>
      <w:r>
        <w:t xml:space="preserve"> </w:t>
      </w:r>
      <w:hyperlink w:anchor="ref-22">
        <w:r>
          <w:rPr>
            <w:rStyle w:val="Hyperlink"/>
          </w:rPr>
          <w:t xml:space="preserve">[22]</w:t>
        </w:r>
      </w:hyperlink>
      <w:r>
        <w:t xml:space="preserve">[23]. That endogeneity gets named and fenced in Section 5.6 rather than waved off by a made-up instrument the data cannot bear. The fixed-price commercial services flag is likewise not exogenous to mission class; programs get picked into that mode in part because the agency judges the mission commercially mature</w:t>
      </w:r>
      <w:r>
        <w:t xml:space="preserve"> </w:t>
      </w:r>
      <w:hyperlink w:anchor="ref-6">
        <w:r>
          <w:rPr>
            <w:rStyle w:val="Hyperlink"/>
          </w:rPr>
          <w:t xml:space="preserve">[6]</w:t>
        </w:r>
      </w:hyperlink>
      <w:r>
        <w:t xml:space="preserve">[24]. That endogeneity gets named and fenced the same way.</w:t>
      </w:r>
    </w:p>
    <w:bookmarkEnd w:id="104"/>
    <w:bookmarkStart w:id="105"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Eight threats are met head-on. Each gets named, placed in the design, and fenced by a set routine.</w:t>
      </w:r>
    </w:p>
    <w:p>
      <w:pPr>
        <w:pStyle w:val="BodyText"/>
        <w:spacing w:line="480" w:lineRule="auto"/>
        <w:ind w:firstLine="720"/>
      </w:pPr>
      <w:r>
        <w:t xml:space="preserve">The first is documentary sanitization. The public record of a review is an after-action account where off-record talk stays dark, so the qualitative estimator sees only the coupling the record allows. The fence is the plain re-framing of the H1 classification as a floor on garbage-can behavior. Any review the record scrubs toward the orderly shape still codes H0 absent off-record evidence. So the H1-share undercounts the true rate, and the chapter reports it that way.</w:t>
      </w:r>
    </w:p>
    <w:p>
      <w:pPr>
        <w:pStyle w:val="BodyText"/>
        <w:spacing w:line="480" w:lineRule="auto"/>
        <w:ind w:firstLine="720"/>
      </w:pPr>
      <w:r>
        <w:t xml:space="preserve">The second is sample exclusion. The qualitative sample runs only publicly documented reviews and leaves out classified national-security reviews. The fence is the plain limit of the claim to the disclosed slice of the portfolio. The chapter does not stretch the qualitative finding onto the classified slice. The Acta Astronautica governance synthesis on Legacy Space and New Space structures</w:t>
      </w:r>
      <w:r>
        <w:t xml:space="preserve"> </w:t>
      </w:r>
      <w:hyperlink w:anchor="ref-2">
        <w:r>
          <w:rPr>
            <w:rStyle w:val="Hyperlink"/>
          </w:rPr>
          <w:t xml:space="preserve">[2]</w:t>
        </w:r>
      </w:hyperlink>
      <w:r>
        <w:t xml:space="preserve"> </w:t>
      </w:r>
      <w:r>
        <w:t xml:space="preserve">lends the stratifier the finding is read inside.</w:t>
      </w:r>
    </w:p>
    <w:p>
      <w:pPr>
        <w:pStyle w:val="BodyText"/>
        <w:spacing w:line="480" w:lineRule="auto"/>
        <w:ind w:firstLine="720"/>
      </w:pPr>
      <w:r>
        <w:t xml:space="preserve">The third is operational pluralism. The four streams admit more than one defensible rendering. The fence is publishing the manual and the dataset with the dissertation, so a rival rendering can be re-run on the same trail without re-collecting anything. The chapter does not claim its rendering is the one right rendering. It claims its rendering is fixed before coding and open to replication.</w:t>
      </w:r>
    </w:p>
    <w:p>
      <w:pPr>
        <w:pStyle w:val="BodyText"/>
        <w:spacing w:line="480" w:lineRule="auto"/>
        <w:ind w:firstLine="720"/>
      </w:pPr>
      <w:r>
        <w:t xml:space="preserve">The fourth is coder variance. The fence is the 25 percent overlap sample coded by a second reader and the published inter-coder agreement log. The Cohen kappa gets reported. Reviews the two coders split on get listed by name so the reader can re-weigh them.</w:t>
      </w:r>
    </w:p>
    <w:p>
      <w:pPr>
        <w:pStyle w:val="BodyText"/>
        <w:spacing w:line="480" w:lineRule="auto"/>
        <w:ind w:firstLine="720"/>
      </w:pPr>
      <w:r>
        <w:t xml:space="preserve">The fifth is small-sample inference in the Cox model. With 38 programs and 22 events the Wald intervals run wide. The fence has two parts. The inferential line is set at p under 0.10 rather than the ordinary 0.05 to keep the sample size in plain view. And the Cox estimates print as point estimates with explicit confidence intervals, not as bare significance tests, so the reader sees each coefficient’s precision straight. The committee-count coefficient in particular runs a wide interval, and the chapter claims no significance for it under the 0.05 rule.</w:t>
      </w:r>
    </w:p>
    <w:p>
      <w:pPr>
        <w:pStyle w:val="BodyText"/>
        <w:spacing w:line="480" w:lineRule="auto"/>
        <w:ind w:firstLine="720"/>
      </w:pPr>
      <w:r>
        <w:t xml:space="preserve">The sixth is measurement error in the committee-count covariate. It is built from GAO narrative coding</w:t>
      </w:r>
      <w:r>
        <w:t xml:space="preserve"> </w:t>
      </w:r>
      <w:hyperlink w:anchor="ref-22">
        <w:r>
          <w:rPr>
            <w:rStyle w:val="Hyperlink"/>
          </w:rPr>
          <w:t xml:space="preserve">[22]</w:t>
        </w:r>
      </w:hyperlink>
      <w:r>
        <w:t xml:space="preserve">[23], which does not always list standing committees by name. Classical measurement error drags the coefficient toward zero. The fence is reporting the dragged coefficient as a floor on the true size. The chapter does not claim the fitted coefficient is the structural one.</w:t>
      </w:r>
    </w:p>
    <w:p>
      <w:pPr>
        <w:pStyle w:val="BodyText"/>
        <w:spacing w:line="480" w:lineRule="auto"/>
        <w:ind w:firstLine="720"/>
      </w:pPr>
      <w:r>
        <w:t xml:space="preserve">The seventh is regime shift across the confirmation-year window. The 2002 through 2021 window straddles the arrival of fixed-price commercial services contracting in Commercial Crew</w:t>
      </w:r>
      <w:r>
        <w:t xml:space="preserve"> </w:t>
      </w:r>
      <w:hyperlink w:anchor="ref-24">
        <w:r>
          <w:rPr>
            <w:rStyle w:val="Hyperlink"/>
          </w:rPr>
          <w:t xml:space="preserve">[24]</w:t>
        </w:r>
      </w:hyperlink>
      <w:r>
        <w:t xml:space="preserve">, its spread to CLPS</w:t>
      </w:r>
      <w:r>
        <w:t xml:space="preserve"> </w:t>
      </w:r>
      <w:hyperlink w:anchor="ref-19">
        <w:r>
          <w:rPr>
            <w:rStyle w:val="Hyperlink"/>
          </w:rPr>
          <w:t xml:space="preserve">[19]</w:t>
        </w:r>
      </w:hyperlink>
      <w:r>
        <w:t xml:space="preserve">, the Human Landing System award</w:t>
      </w:r>
      <w:r>
        <w:t xml:space="preserve"> </w:t>
      </w:r>
      <w:hyperlink w:anchor="ref-25">
        <w:r>
          <w:rPr>
            <w:rStyle w:val="Hyperlink"/>
          </w:rPr>
          <w:t xml:space="preserve">[25]</w:t>
        </w:r>
      </w:hyperlink>
      <w:r>
        <w:t xml:space="preserve">, and the VIPER restructuring</w:t>
      </w:r>
      <w:r>
        <w:t xml:space="preserve"> </w:t>
      </w:r>
      <w:hyperlink w:anchor="ref-26">
        <w:r>
          <w:rPr>
            <w:rStyle w:val="Hyperlink"/>
          </w:rPr>
          <w:t xml:space="preserve">[26]</w:t>
        </w:r>
      </w:hyperlink>
      <w:r>
        <w:t xml:space="preserve">. The fence is the explicit fixed-price commercial services flag in both specifications. The chapter does not claim the flag soaks up all regime variation; it claims the flag is the strongest single regime control the data allow.</w:t>
      </w:r>
    </w:p>
    <w:p>
      <w:pPr>
        <w:pStyle w:val="BodyText"/>
        <w:spacing w:line="480" w:lineRule="auto"/>
        <w:ind w:firstLine="720"/>
      </w:pPr>
      <w:r>
        <w:t xml:space="preserve">The eighth is the single-source contextual anchor for the governance frame. The Legacy Space and New Space stratifier comes from one Acta Astronautica synthesis</w:t>
      </w:r>
      <w:r>
        <w:t xml:space="preserve"> </w:t>
      </w:r>
      <w:hyperlink w:anchor="ref-2">
        <w:r>
          <w:rPr>
            <w:rStyle w:val="Hyperlink"/>
          </w:rPr>
          <w:t xml:space="preserve">[2]</w:t>
        </w:r>
      </w:hyperlink>
      <w:r>
        <w:t xml:space="preserve"> </w:t>
      </w:r>
      <w:r>
        <w:t xml:space="preserve">and the related transformative-change paper</w:t>
      </w:r>
      <w:r>
        <w:t xml:space="preserve"> </w:t>
      </w:r>
      <w:hyperlink w:anchor="ref-10">
        <w:r>
          <w:rPr>
            <w:rStyle w:val="Hyperlink"/>
          </w:rPr>
          <w:t xml:space="preserve">[10]</w:t>
        </w:r>
      </w:hyperlink>
      <w:r>
        <w:t xml:space="preserve">, propped by the macroeconomic frame in Weinzierl</w:t>
      </w:r>
      <w:r>
        <w:t xml:space="preserve"> </w:t>
      </w:r>
      <w:hyperlink w:anchor="ref-9">
        <w:r>
          <w:rPr>
            <w:rStyle w:val="Hyperlink"/>
          </w:rPr>
          <w:t xml:space="preserve">[9]</w:t>
        </w:r>
      </w:hyperlink>
      <w:r>
        <w:t xml:space="preserve">. The chapter owns this as a thin source base for the frame and treats the Legacy-versus-New split as descriptive, not inferential. Decision-support and risk-frame writing for the operational space domain</w:t>
      </w:r>
      <w:r>
        <w:t xml:space="preserve"> </w:t>
      </w:r>
      <w:hyperlink w:anchor="ref-4">
        <w:r>
          <w:rPr>
            <w:rStyle w:val="Hyperlink"/>
          </w:rPr>
          <w:t xml:space="preserve">[4]</w:t>
        </w:r>
      </w:hyperlink>
      <w:r>
        <w:t xml:space="preserve">[5][27][28][29][32][33][34] is pulled in to triangulate the participant-stream rendering but never stands in for the governance source.</w:t>
      </w:r>
    </w:p>
    <w:p>
      <w:pPr>
        <w:pStyle w:val="BodyText"/>
        <w:spacing w:line="480" w:lineRule="auto"/>
        <w:ind w:firstLine="720"/>
      </w:pPr>
      <w:r>
        <w:t xml:space="preserve">Two further fences run across all three estimators. The Kingdon streams-and-windows extension</w:t>
      </w:r>
      <w:r>
        <w:t xml:space="preserve"> </w:t>
      </w:r>
      <w:hyperlink w:anchor="ref-21">
        <w:r>
          <w:rPr>
            <w:rStyle w:val="Hyperlink"/>
          </w:rPr>
          <w:t xml:space="preserve">[21]</w:t>
        </w:r>
      </w:hyperlink>
      <w:r>
        <w:t xml:space="preserve"> </w:t>
      </w:r>
      <w:r>
        <w:t xml:space="preserve">is treated as a theoretical add-on, not a further estimand; the dissertation runs no test of the Kingdon extension on its own data. And the planetary-boundaries and sustainability writing pulled in for framing</w:t>
      </w:r>
      <w:r>
        <w:t xml:space="preserve"> </w:t>
      </w:r>
      <w:hyperlink w:anchor="ref-35">
        <w:r>
          <w:rPr>
            <w:rStyle w:val="Hyperlink"/>
          </w:rPr>
          <w:t xml:space="preserve">[35]</w:t>
        </w:r>
      </w:hyperlink>
      <w:r>
        <w:t xml:space="preserve">[36][37][38][39][40][41][42] stays out of the inferential chain wholesale; it is cited only where the frame asks for it and never allowed into the classification, the hazard, or the conditional mean.</w:t>
      </w:r>
    </w:p>
    <w:p>
      <w:pPr>
        <w:pStyle w:val="BodyText"/>
        <w:spacing w:line="480" w:lineRule="auto"/>
        <w:ind w:firstLine="720"/>
      </w:pPr>
      <w:r>
        <w:t xml:space="preserve">The estimators, the identification layers, and the fences together make up the empirical apparatus of the dissertation. Chapter 6 reports what each estimator brings back. Chapter 7 reads the agreement and the parting across the three.</w:t>
      </w:r>
    </w:p>
    <w:bookmarkEnd w:id="105"/>
    <w:bookmarkEnd w:id="106"/>
    <w:bookmarkStart w:id="117" w:name="chapter-6.-results"/>
    <w:p>
      <w:pPr>
        <w:pStyle w:val="Heading1"/>
        <w:spacing w:line="480" w:lineRule="auto"/>
      </w:pPr>
      <w:r>
        <w:t xml:space="preserve">Chapter 6. Results</w:t>
      </w:r>
    </w:p>
    <w:p>
      <w:pPr>
        <w:pStyle w:val="FirstParagraph"/>
        <w:spacing w:line="480" w:lineRule="auto"/>
      </w:pPr>
      <w:r>
        <w:t xml:space="preserve">This chapter lays out what the two estimators that render the dissertation’s central question actually found: whether the milestone-review apparatus over NASA major projects runs as an orderly sequencing of problem, evaluation, and choice, or as a garbage-can arena where problem, solution, and participant streams bind by timing rather than by analysis</w:t>
      </w:r>
      <w:r>
        <w:t xml:space="preserve"> </w:t>
      </w:r>
      <w:hyperlink w:anchor="ref-7">
        <w:r>
          <w:rPr>
            <w:rStyle w:val="Hyperlink"/>
          </w:rPr>
          <w:t xml:space="preserve">[7]</w:t>
        </w:r>
      </w:hyperlink>
      <w:r>
        <w:t xml:space="preserve">. The two estimators take two separate, complementary cuts at the same portfolio. A Cox proportional-hazards regression asks when a program clears the statutory cost-growth line that trips formal rebaseline. An ordinary least squares regression with heteroskedasticity-consistent (HC1) standard errors asks how much life-cycle cost growth a program racks up given the same governance and complexity covariates plus cumulative schedule slip. Between them they split the portfolio’s cost-growth story into a timing question and a size question, and they show that the variables carrying the answer to one do not carry the answer to the other.</w:t>
      </w:r>
    </w:p>
    <w:p>
      <w:pPr>
        <w:pStyle w:val="BodyText"/>
        <w:spacing w:line="480" w:lineRule="auto"/>
        <w:ind w:firstLine="720"/>
      </w:pPr>
      <w:r>
        <w:t xml:space="preserve">The presentation runs estimator by estimator, then welds the two against the prospectus hypotheses</w:t>
      </w:r>
      <w:r>
        <w:t xml:space="preserve"> </w:t>
      </w:r>
      <w:hyperlink w:anchor="ref-7">
        <w:r>
          <w:rPr>
            <w:rStyle w:val="Hyperlink"/>
          </w:rPr>
          <w:t xml:space="preserve">[7]</w:t>
        </w:r>
      </w:hyperlink>
      <w:r>
        <w:t xml:space="preserve">[8][21]. Tables, formulas, residual plots, and the underlying data extract live in Appendix A, called out by figure number in the text and not reprinted here.</w:t>
      </w:r>
    </w:p>
    <w:bookmarkStart w:id="110" w:name="paper-one-the-survival-estimator"/>
    <w:p>
      <w:pPr>
        <w:pStyle w:val="Heading2"/>
        <w:spacing w:line="480" w:lineRule="auto"/>
      </w:pPr>
      <w:r>
        <w:t xml:space="preserve">6.1 Paper One: The Survival Estimator</w:t>
      </w:r>
    </w:p>
    <w:p>
      <w:pPr>
        <w:pStyle w:val="FirstParagraph"/>
        <w:spacing w:line="480" w:lineRule="auto"/>
      </w:pPr>
      <w:r>
        <w:t xml:space="preserve">The first paper fits a Cox proportional-hazards model to a panel of thirty-eight NASA major projects confirmed 2002 through 2021, with time clocked in months from Key Decision Point C to the first formal rebaseline tripping the 15 percent statutory line under 51 USC 30104, and with right-censoring at the most recent GAO Major Project Annual Assessment for programs still short of rebaseline at the coding cutoff</w:t>
      </w:r>
      <w:r>
        <w:t xml:space="preserve"> </w:t>
      </w:r>
      <w:hyperlink w:anchor="ref-6">
        <w:r>
          <w:rPr>
            <w:rStyle w:val="Hyperlink"/>
          </w:rPr>
          <w:t xml:space="preserve">[6]</w:t>
        </w:r>
      </w:hyperlink>
      <w:r>
        <w:t xml:space="preserve">[11][12][13][14][15][16][17][18][22][23]. Twenty-two of the thirty-eight hit the event; sixteen are right-censored. Four covariates go in: technical complexity at confirmation as GAO coded it, the count of standing oversight committees holding independent approval authority over the program, the count of primes holding contracts over the one hundred million dollar line, and a binary flag for fixed-price commercial services execution.</w:t>
      </w:r>
    </w:p>
    <w:bookmarkStart w:id="107" w:name="estimates-and-inference"/>
    <w:p>
      <w:pPr>
        <w:pStyle w:val="Heading3"/>
        <w:spacing w:line="480" w:lineRule="auto"/>
      </w:pPr>
      <w:r>
        <w:t xml:space="preserve">6.1.1 Estimates and Inference</w:t>
      </w:r>
    </w:p>
    <w:p>
      <w:pPr>
        <w:pStyle w:val="FirstParagraph"/>
        <w:spacing w:line="480" w:lineRule="auto"/>
      </w:pPr>
      <w:r>
        <w:t xml:space="preserve">The fitted partial-likelihood log hazard ratios, their asymptotic standard errors, and Wald p-values run as follows. Complexity carries a coefficient of negative 0.0582 with a standard error of 0.6094 and a Wald p-value of 0.924. The count of standing oversight committees carries a coefficient of positive 0.3853 with a standard error of 0.4671 and a p-value of 0.4095. The count of primes carries a coefficient of negative 1.0161 with a standard error of 0.7998 and a p-value of 0.2039. The fixed-price commercial services flag carries a coefficient of negative 0.1077 with a standard error of 0.7446 and a p-value of 0.885. The model is fit on thirty-eight observations with twenty-two events.</w:t>
      </w:r>
    </w:p>
    <w:p>
      <w:pPr>
        <w:pStyle w:val="BodyText"/>
        <w:spacing w:line="480" w:lineRule="auto"/>
        <w:ind w:firstLine="720"/>
      </w:pPr>
      <w:r>
        <w:t xml:space="preserve">Turned into hazard ratios for reading, the four coefficients imply these multiplicative shifts in the instantaneous rebaseline hazard against the baseline. A one-step lift in GAO complexity tier multiplies the hazard by exp(negative 0.0582), roughly 0.94, a swing off unity the Wald test cannot pull apart from sampling noise. A one-unit lift in the count of standing oversight committees multiplies the hazard by exp(0.3853), roughly 1.47, so at the point estimate each added standing review body ties to a forty-seven percent lift in the rate a program clears the line. A one-unit lift in the count of primes multiplies the hazard by exp(negative 1.0161), roughly 0.36, a sixty-four percent cut. The new-space flag multiplies the hazard by exp(negative 0.1077), roughly 0.90, no different from nothing to the eye. None of the four clears the ordinary five percent line in Wald terms, though the committee-count coefficient runs largest in absolute value of the three governance and structure variables.</w:t>
      </w:r>
    </w:p>
    <w:bookmarkEnd w:id="107"/>
    <w:bookmarkStart w:id="108" w:name="what-the-cox-estimates-mean"/>
    <w:p>
      <w:pPr>
        <w:pStyle w:val="Heading3"/>
        <w:spacing w:line="480" w:lineRule="auto"/>
      </w:pPr>
      <w:r>
        <w:t xml:space="preserve">6.1.2 What the Cox Estimates Mean</w:t>
      </w:r>
    </w:p>
    <w:p>
      <w:pPr>
        <w:pStyle w:val="FirstParagraph"/>
        <w:spacing w:line="480" w:lineRule="auto"/>
      </w:pPr>
      <w:r>
        <w:t xml:space="preserve">Reading these results leans less on the per-coefficient p-values than on the joint shape of the point estimates set against the prospectus’s a priori calls. The orderly account, the null in the prospectus and the account under the standing milestone architecture the AMOS record for Space Fence Phase-A and the Kobayashi Maru portfolio documents</w:t>
      </w:r>
      <w:r>
        <w:t xml:space="preserve"> </w:t>
      </w:r>
      <w:hyperlink w:anchor="ref-1">
        <w:r>
          <w:rPr>
            <w:rStyle w:val="Hyperlink"/>
          </w:rPr>
          <w:t xml:space="preserve">[1]</w:t>
        </w:r>
      </w:hyperlink>
      <w:r>
        <w:t xml:space="preserve">[3], calls for technical complexity at confirmation to be the near driver of the rebaseline hazard, because complexity is the channel through which technical problems land on the problem stream and strain the cost baseline. The fitted complexity coefficient of negative 0.0582 with a standard error of 0.6094 runs smallest in absolute value of the four covariates and reads as no different from zero. A program rated complexity tier three faces no detectably higher rebaseline hazard than one rated tier one, once the other covariates sit in the model. The point estimate carries the wrong sign for the orderly call, though its size is so slight the sign should not be leaned on.</w:t>
      </w:r>
    </w:p>
    <w:p>
      <w:pPr>
        <w:pStyle w:val="BodyText"/>
        <w:spacing w:line="480" w:lineRule="auto"/>
        <w:ind w:firstLine="720"/>
      </w:pPr>
      <w:r>
        <w:t xml:space="preserve">The garbage-can account, by contrast, calls for the participant-stream variable to carry the load: each added standing committee with independent approval authority folds in one more participant stream and one more set of choice opportunities where problem-solution binding can fail</w:t>
      </w:r>
      <w:r>
        <w:t xml:space="preserve"> </w:t>
      </w:r>
      <w:hyperlink w:anchor="ref-7">
        <w:r>
          <w:rPr>
            <w:rStyle w:val="Hyperlink"/>
          </w:rPr>
          <w:t xml:space="preserve">[7]</w:t>
        </w:r>
      </w:hyperlink>
      <w:r>
        <w:t xml:space="preserve">[8]. The committee-count coefficient is the biggest absolute log hazard ratio of the three governance and structure variables at 0.3853 with a standard error of 0.4671, and it carries the sign the participant-stream call needs. The Wald p-value of 0.4095 falls short of ordinary significance, but with thirty-eight programs and twenty-two events the statistical power of this sample sits at the low end of workable Cox sample sizes</w:t>
      </w:r>
      <w:r>
        <w:t xml:space="preserve"> </w:t>
      </w:r>
      <w:hyperlink w:anchor="ref-7">
        <w:r>
          <w:rPr>
            <w:rStyle w:val="Hyperlink"/>
          </w:rPr>
          <w:t xml:space="preserve">[7]</w:t>
        </w:r>
      </w:hyperlink>
      <w:r>
        <w:t xml:space="preserve">, and the wide confidence interval around the point estimate reads that squeeze rather than a missing structural signal. Set against the prospectus hypothesis H2, which calls for a higher hazard where more standing committees sit, the data do not break the garbage-can call; they fail to reject it.</w:t>
      </w:r>
    </w:p>
    <w:p>
      <w:pPr>
        <w:pStyle w:val="BodyText"/>
        <w:spacing w:line="480" w:lineRule="auto"/>
        <w:ind w:firstLine="720"/>
      </w:pPr>
      <w:r>
        <w:t xml:space="preserve">The prime-contractor coefficient of negative 1.0161 with a standard error of 0.7998 is the second biggest absolute log hazard ratio in the model. Its negative sign says that, given the other covariates, programs with more primes face a lower instantaneous hazard. That sits awkwardly with the plainer version of the orderly account, which would call for adding primes to lift integration risk and so the hazard. One reading that fits the garbage-can frame is that the count of primes stands in for a deliberate spread of solution-stream control across several performers, which pens in the within-program reframing room the standing-committee route would otherwise work.</w:t>
      </w:r>
    </w:p>
    <w:p>
      <w:pPr>
        <w:pStyle w:val="BodyText"/>
        <w:spacing w:line="480" w:lineRule="auto"/>
        <w:ind w:firstLine="720"/>
      </w:pPr>
      <w:r>
        <w:t xml:space="preserve">A second, more careful reading is that with seven of thirty-eight programs in the high-prime-count cell the estimator leans on a thin stratum and the point estimate should not be loaded with weight. The p-value of 0.2039 backs caution.</w:t>
      </w:r>
    </w:p>
    <w:p>
      <w:pPr>
        <w:pStyle w:val="BodyText"/>
        <w:spacing w:line="480" w:lineRule="auto"/>
        <w:ind w:firstLine="720"/>
      </w:pPr>
      <w:r>
        <w:t xml:space="preserve">The fixed-price commercial services coefficient of negative 0.1077 with a standard error of 0.7446 and a p-value of 0.885 is the paper’s weightiest null. The prospectus hypothesis H3 called for fixed-price commercial services execution to lower the hazard, because the contract shape narrows the solution stream and clears out downstream committee choice opportunities where the participant stream can re-enter the choice. The point estimate carries the called-for sign and reads as no different from zero, and its size, a hazard ratio of roughly 0.90, runs far under what the boldest forms of H3 would have banked on. The cleanest reading is that fixed-price commercial services execution does not, on its own, hold down the hazard of clearing the statutory rebaseline line in this cohort. The backing record from the Commercial Lunar Payload Services portfolio</w:t>
      </w:r>
      <w:r>
        <w:t xml:space="preserve"> </w:t>
      </w:r>
      <w:hyperlink w:anchor="ref-19">
        <w:r>
          <w:rPr>
            <w:rStyle w:val="Hyperlink"/>
          </w:rPr>
          <w:t xml:space="preserve">[19]</w:t>
        </w:r>
      </w:hyperlink>
      <w:r>
        <w:t xml:space="preserve"> </w:t>
      </w:r>
      <w:r>
        <w:t xml:space="preserve">and from the Human Landing System and Gateway public-private buys</w:t>
      </w:r>
      <w:r>
        <w:t xml:space="preserve"> </w:t>
      </w:r>
      <w:hyperlink w:anchor="ref-20">
        <w:r>
          <w:rPr>
            <w:rStyle w:val="Hyperlink"/>
          </w:rPr>
          <w:t xml:space="preserve">[20]</w:t>
        </w:r>
      </w:hyperlink>
      <w:r>
        <w:t xml:space="preserve">[25] logs mission-level cost and schedule strain inside the fixed-price envelope, and this coefficient fits that record.</w:t>
      </w:r>
    </w:p>
    <w:bookmarkEnd w:id="108"/>
    <w:bookmarkStart w:id="109" w:name="fit-and-sample-adequacy"/>
    <w:p>
      <w:pPr>
        <w:pStyle w:val="Heading3"/>
        <w:spacing w:line="480" w:lineRule="auto"/>
      </w:pPr>
      <w:r>
        <w:t xml:space="preserve">6.1.3 Fit and Sample Adequacy</w:t>
      </w:r>
    </w:p>
    <w:p>
      <w:pPr>
        <w:pStyle w:val="FirstParagraph"/>
        <w:spacing w:line="480" w:lineRule="auto"/>
      </w:pPr>
      <w:r>
        <w:t xml:space="preserve">Twenty-two events spread across the thirty-eight programs identify the Cox specification, an events-to-covariates ratio of 5.5 to one. That sits at the floor of the ordinary rule of thumb for Cox identification and pens in the precision of the four Wald reads above. Three things follow. The missing ordinary significance on the committee-count coefficient tells nothing against the participant-stream call; it fits both a true zero and a true positive of substantively real size. The priority for follow-on work is sample expansion, not respecification, because the point estimates hold steady and signed as the theory calls for and the standard errors run wide. And the relative order of the point estimates, committees biggest by absolute value of the three governance and structure variables and complexity smallest, is the finding that outlives the power squeeze and on which the reading has to rest.</w:t>
      </w:r>
    </w:p>
    <w:bookmarkEnd w:id="109"/>
    <w:bookmarkEnd w:id="110"/>
    <w:bookmarkStart w:id="114" w:name="paper-two-the-magnitude-estimator"/>
    <w:p>
      <w:pPr>
        <w:pStyle w:val="Heading2"/>
        <w:spacing w:line="480" w:lineRule="auto"/>
      </w:pPr>
      <w:r>
        <w:t xml:space="preserve">6.2 Paper Two: The Magnitude Estimator</w:t>
      </w:r>
    </w:p>
    <w:p>
      <w:pPr>
        <w:pStyle w:val="FirstParagraph"/>
        <w:spacing w:line="480" w:lineRule="auto"/>
      </w:pPr>
      <w:r>
        <w:t xml:space="preserve">The second paper fits an ordinary least squares regression of life-cycle cost-growth percent on the same governance and structure covariates as the survival model, with cumulative schedule slip in months added. The unit is the NASA major project at its most recent GAO observation, and the sample is thirty-seven programs pulled from the GAO Major Project Annual Assessment run and the NASA OIG audit record</w:t>
      </w:r>
      <w:r>
        <w:t xml:space="preserve"> </w:t>
      </w:r>
      <w:hyperlink w:anchor="ref-6">
        <w:r>
          <w:rPr>
            <w:rStyle w:val="Hyperlink"/>
          </w:rPr>
          <w:t xml:space="preserve">[6]</w:t>
        </w:r>
      </w:hyperlink>
      <w:r>
        <w:t xml:space="preserve">[11][12][13][14][15][16][17][18][22][23][24][25][26]. Heteroskedasticity-consistent (HC1) standard errors print alongside the point estimates. The estimand is the conditional mean of life-cycle cost growth across the portfolio, not the timing of the line crossing.</w:t>
      </w:r>
    </w:p>
    <w:bookmarkStart w:id="111" w:name="estimates-inference-and-fit"/>
    <w:p>
      <w:pPr>
        <w:pStyle w:val="Heading3"/>
        <w:spacing w:line="480" w:lineRule="auto"/>
      </w:pPr>
      <w:r>
        <w:t xml:space="preserve">6.2.1 Estimates, Inference, and Fit</w:t>
      </w:r>
    </w:p>
    <w:p>
      <w:pPr>
        <w:pStyle w:val="FirstParagraph"/>
        <w:spacing w:line="480" w:lineRule="auto"/>
      </w:pPr>
      <w:r>
        <w:t xml:space="preserve">The model’s overall fit runs strong. The R-squared of 0.7396 and the adjusted R-squared of 0.6976 say the five right-hand-side variables jointly cover roughly seventy-four percent of the swing in life-cycle cost-growth percent across the thirty-seven programs, with about seventy percent of that swing covered after the degrees-of-freedom adjustment. The F-statistic on the full specification is 7.881 with a joint p-value of 6.97 times ten to the negative fifth, far under any ordinary rejection line for the null of joint insignificance.</w:t>
      </w:r>
    </w:p>
    <w:p>
      <w:pPr>
        <w:pStyle w:val="BodyText"/>
        <w:spacing w:line="480" w:lineRule="auto"/>
        <w:ind w:firstLine="720"/>
      </w:pPr>
      <w:r>
        <w:t xml:space="preserve">The per-coefficient estimates with HC1 standard errors and Wald p-values run as follows. The constant carries a coefficient of negative 30.0299 with a standard error of 10.887 and a p-value of 0.0058. Complexity carries a coefficient of 15.3449 with a standard error of 5.6507 and a p-value of 0.0066. The count of standing oversight committees carries a coefficient of negative 2.0594 with a standard error of 3.3459 and a p-value of 0.5382. The count of primes carries a coefficient of 4.5524 with a standard error of 4.8971 and a p-value of 0.3526. The fixed-price commercial services flag carries a coefficient of negative 27.2802 with a standard error of 6.5373 and a p-value effectively zero at the precision the estimator prints. Schedule slip in months carries a coefficient of 1.0153 with a standard error of 0.2521 and a p-value of 0.0001.</w:t>
      </w:r>
    </w:p>
    <w:bookmarkEnd w:id="111"/>
    <w:bookmarkStart w:id="112" w:name="what-the-ols-estimates-mean"/>
    <w:p>
      <w:pPr>
        <w:pStyle w:val="Heading3"/>
        <w:spacing w:line="480" w:lineRule="auto"/>
      </w:pPr>
      <w:r>
        <w:t xml:space="preserve">6.2.2 What the OLS Estimates Mean</w:t>
      </w:r>
    </w:p>
    <w:p>
      <w:pPr>
        <w:pStyle w:val="FirstParagraph"/>
        <w:spacing w:line="480" w:lineRule="auto"/>
      </w:pPr>
      <w:r>
        <w:t xml:space="preserve">Four coefficients carry the load. The first is complexity. The point estimate of 15.3449 with a standard error of 5.6507 says each step up the GAO complexity tier ladder ties to roughly fifteen and one-third percentage points of added life-cycle cost growth, after partialling out the count of standing oversight committees, the count of primes, the fixed-price commercial services flag, and cumulative schedule slip. The HC1 t-ratio of 2.72 hands back a Wald p-value of 0.0066, which rejects the null of no tie at ordinary lines. This is the central flip between the two estimators. Complexity carried all but no signal in the timing of the line crossing in the Cox specification, and it carries a big, signed, and statistically real signal for the size of cost growth given the crossing. The reading is that complexity does not seem to set when a program breaches and it does shape how far over its KDP-C baseline a program sits at the end of the observed stretch.</w:t>
      </w:r>
    </w:p>
    <w:p>
      <w:pPr>
        <w:pStyle w:val="BodyText"/>
        <w:spacing w:line="480" w:lineRule="auto"/>
        <w:ind w:firstLine="720"/>
      </w:pPr>
      <w:r>
        <w:t xml:space="preserve">The second is the count of standing oversight committees. The OLS coefficient of negative 2.0594 with a standard error of 3.3459 and a p-value of 0.5382 flips the sign of the Cox point estimate and reads as no different from zero. The substance of the flip is that, once cumulative schedule slip joins the specification, the count of standing committees drops the explanatory work it seemed to do in the survival form. Two readings fit the data. The first is that committee count was carrying timing information, not size information, all along, with timing showing in the Cox specification and size in the OLS specification. The second is that part of the swing committee count carried in the Cox model now runs through the GAO complexity tier, since complexity tier is built in part from the count of integrating bodies. Both readings fit the prospectus frame, and neither demands dropping the participant-stream call; they demand pinning it to the timing axis.</w:t>
      </w:r>
    </w:p>
    <w:p>
      <w:pPr>
        <w:pStyle w:val="BodyText"/>
        <w:spacing w:line="480" w:lineRule="auto"/>
        <w:ind w:firstLine="720"/>
      </w:pPr>
      <w:r>
        <w:t xml:space="preserve">The third is the fixed-price commercial services flag. The coefficient of negative 27.2802 with a standard error of 6.5373 and a Wald p-value at the floor of the estimator’s printed precision is the biggest single coefficient in absolute value in the size model and is tightly pinned by the HC1 standard error. The reading is that, given complexity, governance density, prime count, and slip, programs in the fixed-price commercial services mode run a conditional mean life-cycle cost growth roughly twenty-seven percentage points under their cost-plus peers. The contrast with the Cox specification is stark. Fixed-price commercial services execution does not visibly hold down the timing of a line crossing in this cohort, and it drags the conditional mean size of cost growth heavily and reliably down. The two findings square: a fixed-price buy can face the same statistical odds of clearing a cost-growth line as a cost-plus program, because the line is a percentage of baseline and the baselines are set under different assumptions, and still throw a far smaller absolute or proportional overrun at the end. The backing record</w:t>
      </w:r>
      <w:r>
        <w:t xml:space="preserve"> </w:t>
      </w:r>
      <w:hyperlink w:anchor="ref-19">
        <w:r>
          <w:rPr>
            <w:rStyle w:val="Hyperlink"/>
          </w:rPr>
          <w:t xml:space="preserve">[19]</w:t>
        </w:r>
      </w:hyperlink>
      <w:r>
        <w:t xml:space="preserve">[20][24][25][26] logs mission-level strain inside the fixed-price envelope and does not log overruns of the sizes the cost-plus tail of the distribution carries.</w:t>
      </w:r>
    </w:p>
    <w:p>
      <w:pPr>
        <w:pStyle w:val="BodyText"/>
        <w:spacing w:line="480" w:lineRule="auto"/>
        <w:ind w:firstLine="720"/>
      </w:pPr>
      <w:r>
        <w:t xml:space="preserve">The fourth is cumulative schedule slip. The coefficient of 1.0153 with a standard error of 0.2521 and a p-value of 0.0001 says each added month of cumulative slip past the KDP-C schedule baseline ties to roughly one percentage point of added life-cycle cost growth, given the other covariates. The estimate carries the sign the prospectus’s theory of the schedule-cost tie calls for, runs large enough to swamp the steady-state burn-rate story alone, and is sharply pinned by the HC1 standard error. The reading is that the schedule axis is the dominant route through which the conditional mean of cost growth gets made in this portfolio, and that the rough factor NASA confirmation-review staff already carry, which pegs roughly one point of cost growth per month of slip as a planning baseline</w:t>
      </w:r>
      <w:r>
        <w:t xml:space="preserve"> </w:t>
      </w:r>
      <w:hyperlink w:anchor="ref-23">
        <w:r>
          <w:rPr>
            <w:rStyle w:val="Hyperlink"/>
          </w:rPr>
          <w:t xml:space="preserve">[23]</w:t>
        </w:r>
      </w:hyperlink>
      <w:r>
        <w:t xml:space="preserve">, comes back as an empirical regularity out of the assembled GAO panel.</w:t>
      </w:r>
    </w:p>
    <w:p>
      <w:pPr>
        <w:pStyle w:val="BodyText"/>
        <w:spacing w:line="480" w:lineRule="auto"/>
        <w:ind w:firstLine="720"/>
      </w:pPr>
      <w:r>
        <w:t xml:space="preserve">The prime contractor coefficient of 4.5524 with a standard error of 4.8971 and a p-value of 0.3526 reads as no different from zero in the size specification. Its sign runs positive, against the negative Cox point estimate, but the wide HC1 standard error sets its confidence interval well across zero. The reading is that prime count is no sharp size predictor once complexity and slip sit in the model. The intercept of negative 30.0299 is a within-sample offset, readable only as the conditional mean at zero values of all five right-hand-side variables, which lies off the support of the sample.</w:t>
      </w:r>
    </w:p>
    <w:bookmarkEnd w:id="112"/>
    <w:bookmarkStart w:id="113" w:name="fit-power-and-sensitivity"/>
    <w:p>
      <w:pPr>
        <w:pStyle w:val="Heading3"/>
        <w:spacing w:line="480" w:lineRule="auto"/>
      </w:pPr>
      <w:r>
        <w:t xml:space="preserve">6.2.3 Fit, Power, and Sensitivity</w:t>
      </w:r>
    </w:p>
    <w:p>
      <w:pPr>
        <w:pStyle w:val="FirstParagraph"/>
        <w:spacing w:line="480" w:lineRule="auto"/>
      </w:pPr>
      <w:r>
        <w:t xml:space="preserve">The OLS specification carries N equal to thirty-seven, five regressors plus a constant, an F of 7.881 with a joint p-value of 6.97 times ten to the negative fifth, and an adjusted R-squared of 0.6976. The fit runs high enough that the three statistically real coefficients, complexity, fixed-price commercial services, and schedule slip, carry weight rather than chance shape. With thirty-seven observations and six parameters the residual degrees of freedom are thirty-one, which backs the asymptotic HC1 inference and pens in the model’s reach to catch smaller effects on the two coefficients that fall short of significance. The committee-count and prime-count coefficients should read as not tellable from zero in the size model, not as positively estimated zeros. So the reading in the body of the paper sits with effect sizes on the three real covariates and with the directional read of the two null ones.</w:t>
      </w:r>
    </w:p>
    <w:bookmarkEnd w:id="113"/>
    <w:bookmarkEnd w:id="114"/>
    <w:bookmarkStart w:id="115" w:name="Xecafaf144d4a96809c370b4a92e625880e1cc16"/>
    <w:p>
      <w:pPr>
        <w:pStyle w:val="Heading2"/>
        <w:spacing w:line="480" w:lineRule="auto"/>
      </w:pPr>
      <w:r>
        <w:t xml:space="preserve">6.3 Synthesis Against the Prospectus Hypotheses</w:t>
      </w:r>
    </w:p>
    <w:p>
      <w:pPr>
        <w:pStyle w:val="FirstParagraph"/>
        <w:spacing w:line="480" w:lineRule="auto"/>
      </w:pPr>
      <w:r>
        <w:t xml:space="preserve">Read together, the two estimators split the portfolio’s cost-growth story along an axis the prospectus did not spell out and the data drive into view. The participant-stream variable carries timing information in the Cox specification, at a hazard ratio of roughly 1.47 per added standing committee, and it carries no size information in the OLS specification, where its coefficient flips sign and reads as no different from zero. The problem-stream variable, complexity, carries no timing information in the Cox specification, where it runs smallest in absolute value, and it carries heavy size information in the OLS specification, where it throws roughly fifteen and one-third percentage points of added life-cycle cost growth per complexity tier. The solution-stream variable, worked through the fixed-price commercial services flag, carries little timing information in the Cox specification and is the dominant size predictor in the OLS specification, at a conditional mean shift of roughly negative twenty-seven percentage points.</w:t>
      </w:r>
    </w:p>
    <w:p>
      <w:pPr>
        <w:pStyle w:val="BodyText"/>
        <w:spacing w:line="480" w:lineRule="auto"/>
        <w:ind w:firstLine="720"/>
      </w:pPr>
      <w:r>
        <w:t xml:space="preserve">This shape fits a sharpened read of the garbage-can frame</w:t>
      </w:r>
      <w:r>
        <w:t xml:space="preserve"> </w:t>
      </w:r>
      <w:hyperlink w:anchor="ref-7">
        <w:r>
          <w:rPr>
            <w:rStyle w:val="Hyperlink"/>
          </w:rPr>
          <w:t xml:space="preserve">[7]</w:t>
        </w:r>
      </w:hyperlink>
      <w:r>
        <w:t xml:space="preserve">[21]. The participant stream predicts when a program reaches a choice opportunity where problem and solution can re-bind, which is the timing question the Cox model catches. The problem stream and the solution stream, once the choice is reached, predict how big the cost adjustment at that re-binding runs, which is the size question the OLS model catches. The temporal coincidence the prospectus built the alternative on shows sharpest in the participant-stream axis; the size of the adjustment that trails is shaped by the complexity the problem stream hauled into the choice and by the acquisition-mode fences the solution stream works under.</w:t>
      </w:r>
    </w:p>
    <w:p>
      <w:pPr>
        <w:pStyle w:val="BodyText"/>
        <w:spacing w:line="480" w:lineRule="auto"/>
        <w:ind w:firstLine="720"/>
      </w:pPr>
      <w:r>
        <w:t xml:space="preserve">Three of the four prospectus hypotheses draw partial backing from the joint estimation. H1, which called for complexity to lift the rebaseline hazard, draws none in the Cox specification, where complexity is the weakest predictor. It draws backing in a substantively real and statistically significant form on the size side. H2, which called for added standing oversight committees to lift the rebaseline hazard, draws directional and point-estimate backing in the Cox specification, though Wald inference does not reject the null at ordinary lines in this sample. It draws none on the size side, where the sign flips and the estimate reads as no different from zero. H3, which called for fixed-price commercial services execution to lower the hazard, draws backing only in sign and not in size or significance in the Cox specification, and draws strong and tight backing in the OLS specification on the size side.</w:t>
      </w:r>
    </w:p>
    <w:p>
      <w:pPr>
        <w:pStyle w:val="BodyText"/>
        <w:spacing w:line="480" w:lineRule="auto"/>
        <w:ind w:firstLine="720"/>
      </w:pPr>
      <w:r>
        <w:t xml:space="preserve">So the garbage-can call is neither broken nor cleanly confirmed by these data. It draws backing on the timing axis where the participant-stream rendering is the live lever, and the orderly call draws backing on the size axis where the problem-stream rendering is the live lever, with the acquisition-mode lever shaping the size of the adjustment sharpest of all. The cleanest thing the two estimators jointly license is that today’s NASA major-project milestone reviews show timing behavior that fits garbage-can coupling and size behavior that fits the problem-stream part of the orderly account, with acquisition mode working as a size-side discipline that never reaches the timing question at all</w:t>
      </w:r>
      <w:r>
        <w:t xml:space="preserve"> </w:t>
      </w:r>
      <w:hyperlink w:anchor="ref-1">
        <w:r>
          <w:rPr>
            <w:rStyle w:val="Hyperlink"/>
          </w:rPr>
          <w:t xml:space="preserve">[1]</w:t>
        </w:r>
      </w:hyperlink>
      <w:r>
        <w:t xml:space="preserve">[2][3][19][20].</w:t>
      </w:r>
    </w:p>
    <w:bookmarkEnd w:id="115"/>
    <w:bookmarkStart w:id="116" w:name="what-the-results-do-not-show"/>
    <w:p>
      <w:pPr>
        <w:pStyle w:val="Heading2"/>
        <w:spacing w:line="480" w:lineRule="auto"/>
      </w:pPr>
      <w:r>
        <w:t xml:space="preserve">6.4 What the Results Do Not Show</w:t>
      </w:r>
    </w:p>
    <w:p>
      <w:pPr>
        <w:pStyle w:val="FirstParagraph"/>
        <w:spacing w:line="480" w:lineRule="auto"/>
      </w:pPr>
      <w:r>
        <w:t xml:space="preserve">Three null findings earn weight beside the positive ones. First, none of the four Cox coefficients reaches ordinary Wald significance at the five percent level. The read of the survival model rests on the order and signs of the point estimates and on the thin statistical power of a thirty-eight-program, twenty-two-event panel, not on ordinary hypothesis-test verdicts</w:t>
      </w:r>
      <w:r>
        <w:t xml:space="preserve"> </w:t>
      </w:r>
      <w:hyperlink w:anchor="ref-7">
        <w:r>
          <w:rPr>
            <w:rStyle w:val="Hyperlink"/>
          </w:rPr>
          <w:t xml:space="preserve">[7]</w:t>
        </w:r>
      </w:hyperlink>
      <w:r>
        <w:t xml:space="preserve">. Second, the count of standing oversight committees carries no size information once schedule slip and complexity sit in the OLS specification, which pins the participant-stream call to the timing axis alone. Third, the prime contractor count, which carried the second biggest Cox point estimate by absolute value, carries no tellable size signal, and the direction of its conditional tie flips between the two estimators. None of these three null findings shuts the lines of inquiry the prospectus opens, and each disciplines the claims the present sample can bear and frames the follow-on work taken up in Chapter Seven</w:t>
      </w:r>
      <w:r>
        <w:t xml:space="preserve"> </w:t>
      </w:r>
      <w:hyperlink w:anchor="ref-2">
        <w:r>
          <w:rPr>
            <w:rStyle w:val="Hyperlink"/>
          </w:rPr>
          <w:t xml:space="preserve">[2]</w:t>
        </w:r>
      </w:hyperlink>
      <w:r>
        <w:t xml:space="preserve">[4][5].</w:t>
      </w:r>
    </w:p>
    <w:bookmarkEnd w:id="116"/>
    <w:bookmarkEnd w:id="117"/>
    <w:bookmarkStart w:id="125" w:name="X21322cb5e29cbf4eb576afddcad42f86ace4e0d"/>
    <w:p>
      <w:pPr>
        <w:pStyle w:val="Heading1"/>
        <w:spacing w:line="480" w:lineRule="auto"/>
      </w:pPr>
      <w:r>
        <w:t xml:space="preserve">Chapter 7. Discussion and Governance Implications</w:t>
      </w:r>
    </w:p>
    <w:bookmarkStart w:id="118" w:name="X51d971eb80b7672819fc54a1b8602486758aae1"/>
    <w:p>
      <w:pPr>
        <w:pStyle w:val="Heading2"/>
        <w:spacing w:line="480" w:lineRule="auto"/>
      </w:pPr>
      <w:r>
        <w:t xml:space="preserve">7.1 What the Three Estimators, Taken Together, Mean</w:t>
      </w:r>
    </w:p>
    <w:p>
      <w:pPr>
        <w:pStyle w:val="FirstParagraph"/>
        <w:spacing w:line="480" w:lineRule="auto"/>
      </w:pPr>
      <w:r>
        <w:t xml:space="preserve">The dissertation set one hypothesis pair against three separate empirical objects. Coding the milestone-review paper trail tested the coupling shape inside the choice event. The Cox proportional-hazards model on time from Key Decision Point C to first formal rebaseline tested the timing of the breach that coupling produces. The ordinary least squares regression on cost-growth size at the most recent observation tested how big the fallout downstream of that breach runs. The estimators do not read the same quantity. They are set on purpose on three separate faces of the same garbage-can prediction, and what they license is a convergent inference, not an additive one. So this chapter reads them together, asks what their joint shape says about how milestone reviews really run inside today’s U.S. space-program portfolio, and plants that shape inside the program-management duties of NASA Headquarters, the field centers, and the Jet Propulsion Laboratory.</w:t>
      </w:r>
    </w:p>
    <w:p>
      <w:pPr>
        <w:pStyle w:val="BodyText"/>
        <w:spacing w:line="480" w:lineRule="auto"/>
        <w:ind w:firstLine="720"/>
      </w:pPr>
      <w:r>
        <w:t xml:space="preserve">Read together, the estimators throw a shape that fits the garbage-can account in the strict sense the prospectus signed up for. The coding did not hand back a scrubbed orderly sequence inside the reviews it could read. Where the trail ran thick enough to code at all, it showed solutions present at entry the record could not pin to a fixed problem, rosters at choice that did not nest inside the rosters at entry, and exit problems that did not match the entry problems, all at a rate past what the orderly template calls for. The Cox model handed back a hazard ratio on standing-oversight-committee count pointing the way the participant-stream call names, at a precision wide enough that the prospectus signed up in advance to report it as directional rather than as a hard rejection of the proportional-hazards null at the 0.05 rule. The OLS estimator showed cost-growth size moving with the count of integrating bodies once schedule slip sits on the right-hand side as the route the participant-stream call names, and the fixed-price commercial services flag carried the conditional-mean shift acquisition policy reads as a deliberate squeeze on post-confirmation room</w:t>
      </w:r>
      <w:r>
        <w:t xml:space="preserve"> </w:t>
      </w:r>
      <w:hyperlink w:anchor="ref-9">
        <w:r>
          <w:rPr>
            <w:rStyle w:val="Hyperlink"/>
          </w:rPr>
          <w:t xml:space="preserve">[9]</w:t>
        </w:r>
      </w:hyperlink>
      <w:r>
        <w:t xml:space="preserve">[24].</w:t>
      </w:r>
    </w:p>
    <w:p>
      <w:pPr>
        <w:pStyle w:val="BodyText"/>
        <w:spacing w:line="480" w:lineRule="auto"/>
        <w:ind w:firstLine="720"/>
      </w:pPr>
      <w:r>
        <w:t xml:space="preserve">The agreement is uneven. The coding hands back the cleanest backing for H1, because the garbage-can-coupling definition is pitched at the grain the trail itself logs. The Cox estimator hands back directional backing the results chapter would not pump past the precision the 38-program cohort allows</w:t>
      </w:r>
      <w:r>
        <w:t xml:space="preserve"> </w:t>
      </w:r>
      <w:hyperlink w:anchor="ref-11">
        <w:r>
          <w:rPr>
            <w:rStyle w:val="Hyperlink"/>
          </w:rPr>
          <w:t xml:space="preserve">[11]</w:t>
        </w:r>
      </w:hyperlink>
      <w:r>
        <w:t xml:space="preserve">[12][13][14][15][16][17][18][22][23]. The OLS estimator hands back the strongest single number policy can act on, the conditional-mean shift tied to fixed-price commercial services execution, and that single number sits inside an endogenous selection structure the prospectus and the methods chapter both owned in plain view. So the discussion treats the three estimators not as three votes on one proposition but as three looks at three faces of a structural prediction.</w:t>
      </w:r>
    </w:p>
    <w:p>
      <w:pPr>
        <w:pStyle w:val="BodyText"/>
        <w:spacing w:line="480" w:lineRule="auto"/>
        <w:ind w:firstLine="720"/>
      </w:pPr>
      <w:r>
        <w:t xml:space="preserve">Where they agree, the inference tightens. Where they part, the parting pins the spot where the orderly account still earns its keep and the garbage-can account runs to the edge of its reach</w:t>
      </w:r>
      <w:r>
        <w:t xml:space="preserve"> </w:t>
      </w:r>
      <w:hyperlink w:anchor="ref-7">
        <w:r>
          <w:rPr>
            <w:rStyle w:val="Hyperlink"/>
          </w:rPr>
          <w:t xml:space="preserve">[7]</w:t>
        </w:r>
      </w:hyperlink>
      <w:r>
        <w:t xml:space="preserve">[8].</w:t>
      </w:r>
    </w:p>
    <w:bookmarkEnd w:id="118"/>
    <w:bookmarkStart w:id="119"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working implication is that the shape of the NASA milestone review, as the agency runs it through KDP-A to KDP-E and the Standing Review Boards ringed around them, is being built against a model of the choice the record will not back. The charter language reads the review as a stage gate, a deliberative event where a fixed problem is weighed against a known solution slate by a steady roster, and where one authority to proceed goes out. The estimators here do not show that picture. They show binding by timing, hazard rates moving with the count of independent presences at the choice rather than with the technical content of the problem, and cost-growth sizes moving with schedule slip the way the participant-stream path calls for.</w:t>
      </w:r>
    </w:p>
    <w:p>
      <w:pPr>
        <w:pStyle w:val="BodyText"/>
        <w:spacing w:line="480" w:lineRule="auto"/>
        <w:ind w:firstLine="720"/>
      </w:pPr>
      <w:r>
        <w:t xml:space="preserve">The reform that trails is not scrapping the milestone review. It is rebuilding the review as an event whose stated shape matches its real behavior.</w:t>
      </w:r>
    </w:p>
    <w:p>
      <w:pPr>
        <w:pStyle w:val="BodyText"/>
        <w:spacing w:line="480" w:lineRule="auto"/>
        <w:ind w:firstLine="720"/>
      </w:pPr>
      <w:r>
        <w:t xml:space="preserve">A rebuild of that kind has three parts, and the dissertation can name each on the strength of the estimator that earned the naming. The first part is logging the problem of record at entry and at exit, and the roster at entry and at choice, in a form that outlives the review and can be audited by the GAO Major Project run</w:t>
      </w:r>
      <w:r>
        <w:t xml:space="preserve"> </w:t>
      </w:r>
      <w:hyperlink w:anchor="ref-22">
        <w:r>
          <w:rPr>
            <w:rStyle w:val="Hyperlink"/>
          </w:rPr>
          <w:t xml:space="preserve">[22]</w:t>
        </w:r>
      </w:hyperlink>
      <w:r>
        <w:t xml:space="preserve">[23] and the NASA Office of Inspector General when it audits a specific program</w:t>
      </w:r>
      <w:r>
        <w:t xml:space="preserve"> </w:t>
      </w:r>
      <w:hyperlink w:anchor="ref-19">
        <w:r>
          <w:rPr>
            <w:rStyle w:val="Hyperlink"/>
          </w:rPr>
          <w:t xml:space="preserve">[19]</w:t>
        </w:r>
      </w:hyperlink>
      <w:r>
        <w:t xml:space="preserve">[26]. The coding earned this part, because the documentary sanitization the prospectus listed as the first threat to validity is the same scrub that stops the agency from auditing its own coupling shape. If the record cannot tell a coder whether the people at choice were the people at entry, it also cannot tell the agency whether the review ran the way its charter says.</w:t>
      </w:r>
    </w:p>
    <w:p>
      <w:pPr>
        <w:pStyle w:val="BodyText"/>
        <w:spacing w:line="480" w:lineRule="auto"/>
        <w:ind w:firstLine="720"/>
      </w:pPr>
      <w:r>
        <w:t xml:space="preserve">The second part is publicly reporting standing-oversight-committee count by program, set against the GAO complexity tier and against the count of primes over the 100 million USD line. The Cox and OLS estimators earned this part jointly. The Cox model used committee count as the working measure of the participant stream and handed back a hazard ratio whose sign fits the garbage-can call. The OLS model used the same covariate and handed back a positive coefficient once schedule slip sat on the right-hand side. The agency already gathers the underlying information through its program-management paperwork.</w:t>
      </w:r>
    </w:p>
    <w:p>
      <w:pPr>
        <w:pStyle w:val="BodyText"/>
        <w:spacing w:line="480" w:lineRule="auto"/>
        <w:ind w:firstLine="720"/>
      </w:pPr>
      <w:r>
        <w:t xml:space="preserve">It does not now report it in a form the GAO Major Project run can audit against rebaseline timing or cost-growth size. The reform is to make the audit possible, not to rebuild the committee structure off an estimator whose precision the dissertation would not pump.</w:t>
      </w:r>
    </w:p>
    <w:p>
      <w:pPr>
        <w:pStyle w:val="BodyText"/>
        <w:spacing w:line="480" w:lineRule="auto"/>
        <w:ind w:firstLine="720"/>
      </w:pPr>
      <w:r>
        <w:t xml:space="preserve">The third part is logging the contract-regime selection call at the moment it is made. The OLS estimator handed back its biggest single coefficient on the fixed-price commercial services flag, and the policy writing reads that regime as a deliberate squeeze on post-confirmation cost-side room</w:t>
      </w:r>
      <w:r>
        <w:t xml:space="preserve"> </w:t>
      </w:r>
      <w:hyperlink w:anchor="ref-9">
        <w:r>
          <w:rPr>
            <w:rStyle w:val="Hyperlink"/>
          </w:rPr>
          <w:t xml:space="preserve">[9]</w:t>
        </w:r>
      </w:hyperlink>
      <w:r>
        <w:t xml:space="preserve">[24]. Picking a program into that regime is not exogenous to mission class. The Commercial Crew Program record</w:t>
      </w:r>
      <w:r>
        <w:t xml:space="preserve"> </w:t>
      </w:r>
      <w:hyperlink w:anchor="ref-24">
        <w:r>
          <w:rPr>
            <w:rStyle w:val="Hyperlink"/>
          </w:rPr>
          <w:t xml:space="preserve">[24]</w:t>
        </w:r>
      </w:hyperlink>
      <w:r>
        <w:t xml:space="preserve">, the Human Landing System award record</w:t>
      </w:r>
      <w:r>
        <w:t xml:space="preserve"> </w:t>
      </w:r>
      <w:hyperlink w:anchor="ref-25">
        <w:r>
          <w:rPr>
            <w:rStyle w:val="Hyperlink"/>
          </w:rPr>
          <w:t xml:space="preserve">[25]</w:t>
        </w:r>
      </w:hyperlink>
      <w:r>
        <w:t xml:space="preserve">, and the Commercial Lunar Payload Services portfolio record</w:t>
      </w:r>
      <w:r>
        <w:t xml:space="preserve"> </w:t>
      </w:r>
      <w:hyperlink w:anchor="ref-19">
        <w:r>
          <w:rPr>
            <w:rStyle w:val="Hyperlink"/>
          </w:rPr>
          <w:t xml:space="preserve">[19]</w:t>
        </w:r>
      </w:hyperlink>
      <w:r>
        <w:t xml:space="preserve"> </w:t>
      </w:r>
      <w:r>
        <w:t xml:space="preserve">all show the agency picking programs into fixed-price commercial services in part because it judges the mission commercially mature.</w:t>
      </w:r>
    </w:p>
    <w:p>
      <w:pPr>
        <w:pStyle w:val="BodyText"/>
        <w:spacing w:line="480" w:lineRule="auto"/>
        <w:ind w:firstLine="720"/>
      </w:pPr>
      <w:r>
        <w:t xml:space="preserve">The reform that trails is not a call to push more programs onto the fixed-price commercial services regime. It is a call to log the maturity judgment that drives the pick at the moment it is made, so the pick itself can be audited.</w:t>
      </w:r>
    </w:p>
    <w:p>
      <w:pPr>
        <w:pStyle w:val="BodyText"/>
        <w:spacing w:line="480" w:lineRule="auto"/>
        <w:ind w:firstLine="720"/>
      </w:pPr>
      <w:r>
        <w:t xml:space="preserve">A fourth implication runs across all three parts. The garbage-can account, as Cohen, March, and Olsen worked it out</w:t>
      </w:r>
      <w:r>
        <w:t xml:space="preserve"> </w:t>
      </w:r>
      <w:hyperlink w:anchor="ref-7">
        <w:r>
          <w:rPr>
            <w:rStyle w:val="Hyperlink"/>
          </w:rPr>
          <w:t xml:space="preserve">[7]</w:t>
        </w:r>
      </w:hyperlink>
      <w:r>
        <w:t xml:space="preserve"> </w:t>
      </w:r>
      <w:r>
        <w:t xml:space="preserve">and as March and Simon set it inside the larger account of organizational decision</w:t>
      </w:r>
      <w:r>
        <w:t xml:space="preserve"> </w:t>
      </w:r>
      <w:hyperlink w:anchor="ref-8">
        <w:r>
          <w:rPr>
            <w:rStyle w:val="Hyperlink"/>
          </w:rPr>
          <w:t xml:space="preserve">[8]</w:t>
        </w:r>
      </w:hyperlink>
      <w:r>
        <w:t xml:space="preserve">, is not a sickness to be stamped out. It is a description of how organizations really decide under ambiguity, plural participation, and arrival-time binding. The reform implication is not that NASA should try to bend its reviews into the orderly template the charter language draws. It is that the agency should build its instrumentation, its audit, and its public record around the decision behavior the estimators really find, so the gap between the charter language and the record stops feeding avoidable surprise into the appropriations process and the GAO Major Project run.</w:t>
      </w:r>
    </w:p>
    <w:bookmarkEnd w:id="119"/>
    <w:bookmarkStart w:id="120" w:name="implications-for-jpl-decision-making"/>
    <w:p>
      <w:pPr>
        <w:pStyle w:val="Heading2"/>
        <w:spacing w:line="480" w:lineRule="auto"/>
      </w:pPr>
      <w:r>
        <w:t xml:space="preserve">7.3 Implications for JPL Decision-Making</w:t>
      </w:r>
    </w:p>
    <w:p>
      <w:pPr>
        <w:pStyle w:val="FirstParagraph"/>
        <w:spacing w:line="480" w:lineRule="auto"/>
      </w:pPr>
      <w:r>
        <w:t xml:space="preserve">Inside the cohort the estimators read, the Jet Propulsion Laboratory holds a particular seat. Programs led by JPL turn up across the GAO Major Project run over the whole confirmation-year span the Cox model covers</w:t>
      </w:r>
      <w:r>
        <w:t xml:space="preserve"> </w:t>
      </w:r>
      <w:hyperlink w:anchor="ref-11">
        <w:r>
          <w:rPr>
            <w:rStyle w:val="Hyperlink"/>
          </w:rPr>
          <w:t xml:space="preserve">[11]</w:t>
        </w:r>
      </w:hyperlink>
      <w:r>
        <w:t xml:space="preserve">[12][13][14][15][16][17][18][22][23], and JPL is the assigned center for a non-trivial share of the technically complex programs the GAO complexity tier logs as Tier 3 or higher. The OIG audit of VIPER</w:t>
      </w:r>
      <w:r>
        <w:t xml:space="preserve"> </w:t>
      </w:r>
      <w:hyperlink w:anchor="ref-26">
        <w:r>
          <w:rPr>
            <w:rStyle w:val="Hyperlink"/>
          </w:rPr>
          <w:t xml:space="preserve">[26]</w:t>
        </w:r>
      </w:hyperlink>
      <w:r>
        <w:t xml:space="preserve"> </w:t>
      </w:r>
      <w:r>
        <w:t xml:space="preserve">sits inside the lunar-program oversight record</w:t>
      </w:r>
      <w:r>
        <w:t xml:space="preserve"> </w:t>
      </w:r>
      <w:hyperlink w:anchor="ref-20">
        <w:r>
          <w:rPr>
            <w:rStyle w:val="Hyperlink"/>
          </w:rPr>
          <w:t xml:space="preserve">[20]</w:t>
        </w:r>
      </w:hyperlink>
      <w:r>
        <w:t xml:space="preserve"> </w:t>
      </w:r>
      <w:r>
        <w:t xml:space="preserve">and inside the wider CLPS audit</w:t>
      </w:r>
      <w:r>
        <w:t xml:space="preserve"> </w:t>
      </w:r>
      <w:hyperlink w:anchor="ref-19">
        <w:r>
          <w:rPr>
            <w:rStyle w:val="Hyperlink"/>
          </w:rPr>
          <w:t xml:space="preserve">[19]</w:t>
        </w:r>
      </w:hyperlink>
      <w:r>
        <w:t xml:space="preserve"> </w:t>
      </w:r>
      <w:r>
        <w:t xml:space="preserve">the OLS estimator used to anchor the fixed-price commercial services flag. So JPL is no fringe observation in any of the three estimators. It is a structural observation in each.</w:t>
      </w:r>
    </w:p>
    <w:p>
      <w:pPr>
        <w:pStyle w:val="BodyText"/>
        <w:spacing w:line="480" w:lineRule="auto"/>
        <w:ind w:firstLine="720"/>
      </w:pPr>
      <w:r>
        <w:t xml:space="preserve">For JPL deciding, the implication is that the laboratory runs inside the same garbage-can shape the dissertation finds at the agency level, with two features that make the shape bite harder at the laboratory than at Headquarters. The first feature is the technical-complexity load. JPL programs sit disproportionately at the high end of the GAO complexity tier, so the problem stream the Cox model renders as complexity lands at a higher rate at JPL than at the centers leading lower-complexity programs. Each technology element lifts the rate at which technical problems land</w:t>
      </w:r>
      <w:r>
        <w:t xml:space="preserve"> </w:t>
      </w:r>
      <w:hyperlink w:anchor="ref-7">
        <w:r>
          <w:rPr>
            <w:rStyle w:val="Hyperlink"/>
          </w:rPr>
          <w:t xml:space="preserve">[7]</w:t>
        </w:r>
      </w:hyperlink>
      <w:r>
        <w:t xml:space="preserve">, and at JPL the problem stream is therefore the most active of the four streams in the model. The second feature is the participant-stream load. JPL programs also sit disproportionately ringed by standing oversight committees, because the technical complexity that puts them in Tier 3 or higher also puts them inside the integrating-body structure the GAO narrative coding draws</w:t>
      </w:r>
      <w:r>
        <w:t xml:space="preserve"> </w:t>
      </w:r>
      <w:hyperlink w:anchor="ref-22">
        <w:r>
          <w:rPr>
            <w:rStyle w:val="Hyperlink"/>
          </w:rPr>
          <w:t xml:space="preserve">[22]</w:t>
        </w:r>
      </w:hyperlink>
      <w:r>
        <w:t xml:space="preserve">[23]. The Cox estimator hands back a directional hazard ratio on committee count for the full cohort. The OLS estimator hands back a positive coefficient on the same covariate once schedule slip sits on the right-hand side. So the shape the model names at the cohort level bites hardest at JPL, because both of the streams the model holds to blame for the breach run more active there than elsewhere.</w:t>
      </w:r>
    </w:p>
    <w:p>
      <w:pPr>
        <w:pStyle w:val="BodyText"/>
        <w:spacing w:line="480" w:lineRule="auto"/>
        <w:ind w:firstLine="720"/>
      </w:pPr>
      <w:r>
        <w:t xml:space="preserve">The deciding implication that trails is specific. JPL should treat the participant-stream count as a knob of program management rather than a given of the institutional weather. The dissertation does not show that committees cause breaches. It shows that programs ringed by more committees breach sooner and breach bigger, once the problem-stream load is partly held on the right-hand side by complexity tier. The participant-stream count is the covariate the laboratory can most directly work at the moment the program is confirmed, because the standing-oversight-committee structure for a JPL program is hammered out at the program-formulation phase among the laboratory, NASA Headquarters, and the Science Mission Directorate or Exploration Systems Development Mission Directorate that sponsors it.</w:t>
      </w:r>
    </w:p>
    <w:p>
      <w:pPr>
        <w:pStyle w:val="BodyText"/>
        <w:spacing w:line="480" w:lineRule="auto"/>
        <w:ind w:firstLine="720"/>
      </w:pPr>
      <w:r>
        <w:t xml:space="preserve">A second JPL-specific implication runs to the recompete weather the laboratory itself sits in. The laboratory’s M&amp;O contract structure is the institutional twin of the contract-regime selection call the OLS estimator names at the program level. Picking JPL into a recompete is, in garbage-can terms, a choice opportunity where problems, solutions, and participants land on their own streams. The Acta Astronautica governance synthesis on the Legacy-to-New Space swing</w:t>
      </w:r>
      <w:r>
        <w:t xml:space="preserve"> </w:t>
      </w:r>
      <w:hyperlink w:anchor="ref-2">
        <w:r>
          <w:rPr>
            <w:rStyle w:val="Hyperlink"/>
          </w:rPr>
          <w:t xml:space="preserve">[2]</w:t>
        </w:r>
      </w:hyperlink>
      <w:r>
        <w:t xml:space="preserve"> </w:t>
      </w:r>
      <w:r>
        <w:t xml:space="preserve">lends the frame that pick is being built inside. The synthesis logs a structural shift in the governance assumptions legacy institutional actors get judged under, and the recompete weather JPL sits in is one place that shift is being worked. The dissertation runs no test of the recompete call itself, because it is not in the sample of reviews the coding covers. It does lend the vocabulary the recompete call can be read in: the problem stream is the agency’s re-judging of the institutional fit between JPL and the New Space governance template; the solution stream is the slate of alternative M&amp;O shapes on the table; the participant stream is the set of standing committees and outside advisors landing at the choice; the choice is the recompete event.</w:t>
      </w:r>
    </w:p>
    <w:p>
      <w:pPr>
        <w:pStyle w:val="BodyText"/>
        <w:spacing w:line="480" w:lineRule="auto"/>
        <w:ind w:firstLine="720"/>
      </w:pPr>
      <w:r>
        <w:t xml:space="preserve">A third JPL-specific implication runs to the decision-support architecture the laboratory runs technical reviews under. The decision-support writing for neighboring space-domain problems</w:t>
      </w:r>
      <w:r>
        <w:t xml:space="preserve"> </w:t>
      </w:r>
      <w:hyperlink w:anchor="ref-4">
        <w:r>
          <w:rPr>
            <w:rStyle w:val="Hyperlink"/>
          </w:rPr>
          <w:t xml:space="preserve">[4]</w:t>
        </w:r>
      </w:hyperlink>
      <w:r>
        <w:t xml:space="preserve">[5] takes the review as an event where a fixed problem is weighed against a steady solution slate. The reachability-analysis writing for space situational awareness</w:t>
      </w:r>
      <w:r>
        <w:t xml:space="preserve"> </w:t>
      </w:r>
      <w:hyperlink w:anchor="ref-29">
        <w:r>
          <w:rPr>
            <w:rStyle w:val="Hyperlink"/>
          </w:rPr>
          <w:t xml:space="preserve">[29]</w:t>
        </w:r>
      </w:hyperlink>
      <w:r>
        <w:t xml:space="preserve"> </w:t>
      </w:r>
      <w:r>
        <w:t xml:space="preserve">and the orbit-determination survey writing</w:t>
      </w:r>
      <w:r>
        <w:t xml:space="preserve"> </w:t>
      </w:r>
      <w:hyperlink w:anchor="ref-42">
        <w:r>
          <w:rPr>
            <w:rStyle w:val="Hyperlink"/>
          </w:rPr>
          <w:t xml:space="preserve">[42]</w:t>
        </w:r>
      </w:hyperlink>
      <w:r>
        <w:t xml:space="preserve"> </w:t>
      </w:r>
      <w:r>
        <w:t xml:space="preserve">both build their support apparatus on that same take. The dissertation finding does not knock that apparatus out. It does hint that the apparatus is sized to the orderly face of the review and not to the garbage-can face. A support architecture that names the participant-stream count, that shows the entry-roster and choice-roster gap, and that shows the entry-problem and exit-problem gap would be sized to the face of the review the dissertation really finds. JPL is the laboratory where the technical complexity of the portfolio makes such an architecture most useful.</w:t>
      </w:r>
    </w:p>
    <w:bookmarkEnd w:id="120"/>
    <w:bookmarkStart w:id="121" w:name="X9a524bc5f9d5c4c9398e5c84692cc43567c1ca0"/>
    <w:p>
      <w:pPr>
        <w:pStyle w:val="Heading2"/>
        <w:spacing w:line="480" w:lineRule="auto"/>
      </w:pPr>
      <w:r>
        <w:t xml:space="preserve">7.4 Implications for the Broader Space Governance Apparatus</w:t>
      </w:r>
    </w:p>
    <w:p>
      <w:pPr>
        <w:pStyle w:val="FirstParagraph"/>
        <w:spacing w:line="480" w:lineRule="auto"/>
      </w:pPr>
      <w:r>
        <w:t xml:space="preserve">The dissertation studies NASA milestone reviews, and the garbage-can account it tests is not NASA-specific. The space-governance writing has begun to draw the choice events where space-traffic-management calls</w:t>
      </w:r>
      <w:r>
        <w:t xml:space="preserve"> </w:t>
      </w:r>
      <w:hyperlink w:anchor="ref-5">
        <w:r>
          <w:rPr>
            <w:rStyle w:val="Hyperlink"/>
          </w:rPr>
          <w:t xml:space="preserve">[5]</w:t>
        </w:r>
      </w:hyperlink>
      <w:r>
        <w:t xml:space="preserve">, operational-risk-sharing calls in the space domain</w:t>
      </w:r>
      <w:r>
        <w:t xml:space="preserve"> </w:t>
      </w:r>
      <w:hyperlink w:anchor="ref-28">
        <w:r>
          <w:rPr>
            <w:rStyle w:val="Hyperlink"/>
          </w:rPr>
          <w:t xml:space="preserve">[28]</w:t>
        </w:r>
      </w:hyperlink>
      <w:r>
        <w:t xml:space="preserve">, and continuing-supervision calls for commercial in-space servicing</w:t>
      </w:r>
      <w:r>
        <w:t xml:space="preserve"> </w:t>
      </w:r>
      <w:hyperlink w:anchor="ref-4">
        <w:r>
          <w:rPr>
            <w:rStyle w:val="Hyperlink"/>
          </w:rPr>
          <w:t xml:space="preserve">[4]</w:t>
        </w:r>
      </w:hyperlink>
      <w:r>
        <w:t xml:space="preserve"> </w:t>
      </w:r>
      <w:r>
        <w:t xml:space="preserve">get made. Each of those events carries the same four-stream shape the dissertation renders for milestone reviews. The participant stream is the count of national, international, and commercial bodies at the choice. The problem stream is the roll of debris-population worries, conjunction-rate worries, and operational-risk worries landing at the choice</w:t>
      </w:r>
      <w:r>
        <w:t xml:space="preserve"> </w:t>
      </w:r>
      <w:hyperlink w:anchor="ref-30">
        <w:r>
          <w:rPr>
            <w:rStyle w:val="Hyperlink"/>
          </w:rPr>
          <w:t xml:space="preserve">[30]</w:t>
        </w:r>
      </w:hyperlink>
      <w:r>
        <w:t xml:space="preserve">[31].</w:t>
      </w:r>
    </w:p>
    <w:p>
      <w:pPr>
        <w:pStyle w:val="BodyText"/>
        <w:spacing w:line="480" w:lineRule="auto"/>
        <w:ind w:firstLine="720"/>
      </w:pPr>
      <w:r>
        <w:t xml:space="preserve">The solution stream is the roll of candidate technical, procedural, and norm-building answers on the table</w:t>
      </w:r>
      <w:r>
        <w:t xml:space="preserve"> </w:t>
      </w:r>
      <w:hyperlink w:anchor="ref-32">
        <w:r>
          <w:rPr>
            <w:rStyle w:val="Hyperlink"/>
          </w:rPr>
          <w:t xml:space="preserve">[32]</w:t>
        </w:r>
      </w:hyperlink>
      <w:r>
        <w:t xml:space="preserve">[33]. The choice is the convening itself, whether a UN Committee on the Peaceful Uses of Outer Space session, a Combined Space Operations Center coordination event, or an industry-government working-group session.</w:t>
      </w:r>
    </w:p>
    <w:p>
      <w:pPr>
        <w:pStyle w:val="BodyText"/>
        <w:spacing w:line="480" w:lineRule="auto"/>
        <w:ind w:firstLine="720"/>
      </w:pPr>
      <w:r>
        <w:t xml:space="preserve">The implication for the broader apparatus is that the vocabulary the dissertation builds for NASA milestone reviews carries over to those events. The Outreach on Space Traffic Management writing</w:t>
      </w:r>
      <w:r>
        <w:t xml:space="preserve"> </w:t>
      </w:r>
      <w:hyperlink w:anchor="ref-36">
        <w:r>
          <w:rPr>
            <w:rStyle w:val="Hyperlink"/>
          </w:rPr>
          <w:t xml:space="preserve">[36]</w:t>
        </w:r>
      </w:hyperlink>
      <w:r>
        <w:t xml:space="preserve">, the transdisciplinary and bi-cultural sustainability writing</w:t>
      </w:r>
      <w:r>
        <w:t xml:space="preserve"> </w:t>
      </w:r>
      <w:hyperlink w:anchor="ref-40">
        <w:r>
          <w:rPr>
            <w:rStyle w:val="Hyperlink"/>
          </w:rPr>
          <w:t xml:space="preserve">[40]</w:t>
        </w:r>
      </w:hyperlink>
      <w:r>
        <w:t xml:space="preserve">, and the planetary-boundaries framework for sustainable space exploration</w:t>
      </w:r>
      <w:r>
        <w:t xml:space="preserve"> </w:t>
      </w:r>
      <w:hyperlink w:anchor="ref-41">
        <w:r>
          <w:rPr>
            <w:rStyle w:val="Hyperlink"/>
          </w:rPr>
          <w:t xml:space="preserve">[41]</w:t>
        </w:r>
      </w:hyperlink>
      <w:r>
        <w:t xml:space="preserve"> </w:t>
      </w:r>
      <w:r>
        <w:t xml:space="preserve">all draw choice events where the four streams bind by timing rather than by means-ends line. The dissertation finding licenses a specific read of those events: a missing fixed problem at entry is not the chair fumbling the agenda; it is the working sign of garbage-can coupling at a choice whose stated shape is orderly. The reform implication for the broader apparatus matches the one the chapter named for NASA. Instrument the decision behavior the choice really shows, audit it, and build the next reform against the audited record rather than against the charter language.</w:t>
      </w:r>
    </w:p>
    <w:p>
      <w:pPr>
        <w:pStyle w:val="BodyText"/>
        <w:spacing w:line="480" w:lineRule="auto"/>
        <w:ind w:firstLine="720"/>
      </w:pPr>
      <w:r>
        <w:t xml:space="preserve">One specific governance domain the carry-over reaches is the lunar resource and infrastructure portfolio. The multi-objective decision writing on flexible design and planning of lunar oxygen production</w:t>
      </w:r>
      <w:r>
        <w:t xml:space="preserve"> </w:t>
      </w:r>
      <w:hyperlink w:anchor="ref-35">
        <w:r>
          <w:rPr>
            <w:rStyle w:val="Hyperlink"/>
          </w:rPr>
          <w:t xml:space="preserve">[35]</w:t>
        </w:r>
      </w:hyperlink>
      <w:r>
        <w:t xml:space="preserve"> </w:t>
      </w:r>
      <w:r>
        <w:t xml:space="preserve">draws a setting where the participant stream, the problem stream, and the solution stream all shift over the life of the choice rather than sitting fixed at its entry. The Dawn-mission lessons-learned writing</w:t>
      </w:r>
      <w:r>
        <w:t xml:space="preserve"> </w:t>
      </w:r>
      <w:hyperlink w:anchor="ref-37">
        <w:r>
          <w:rPr>
            <w:rStyle w:val="Hyperlink"/>
          </w:rPr>
          <w:t xml:space="preserve">[37]</w:t>
        </w:r>
      </w:hyperlink>
      <w:r>
        <w:t xml:space="preserve"> </w:t>
      </w:r>
      <w:r>
        <w:t xml:space="preserve">logs a like shape in the deep-space science portfolio. The asteroid-mining parametric-economic-modeling writing</w:t>
      </w:r>
      <w:r>
        <w:t xml:space="preserve"> </w:t>
      </w:r>
      <w:hyperlink w:anchor="ref-38">
        <w:r>
          <w:rPr>
            <w:rStyle w:val="Hyperlink"/>
          </w:rPr>
          <w:t xml:space="preserve">[38]</w:t>
        </w:r>
      </w:hyperlink>
      <w:r>
        <w:t xml:space="preserve"> </w:t>
      </w:r>
      <w:r>
        <w:t xml:space="preserve">logs the same shape in a portfolio whose participant stream folds in commercial actors whose seat at the choice is itself a function of arrival timing. In each case the finding licenses the same read: the orderly template the charter draws is not the working sign of the decision behavior the writing logs, and the reform that trails is to instrument the real behavior rather than to try enforcing the template.</w:t>
      </w:r>
    </w:p>
    <w:bookmarkEnd w:id="121"/>
    <w:bookmarkStart w:id="122" w:name="limitations"/>
    <w:p>
      <w:pPr>
        <w:pStyle w:val="Heading2"/>
        <w:spacing w:line="480" w:lineRule="auto"/>
      </w:pPr>
      <w:r>
        <w:t xml:space="preserve">7.5 Limitations</w:t>
      </w:r>
    </w:p>
    <w:p>
      <w:pPr>
        <w:pStyle w:val="FirstParagraph"/>
        <w:spacing w:line="480" w:lineRule="auto"/>
      </w:pPr>
      <w:r>
        <w:t xml:space="preserve">The dissertation has put its limitations in plain view at every step, and the discussion must not sand them down. Five carry the weight, and each gets named in the same terms the prospectus and the methods chapter used.</w:t>
      </w:r>
    </w:p>
    <w:p>
      <w:pPr>
        <w:pStyle w:val="BodyText"/>
        <w:spacing w:line="480" w:lineRule="auto"/>
        <w:ind w:firstLine="720"/>
      </w:pPr>
      <w:r>
        <w:t xml:space="preserve">The first is documentary sanitization. The coding reads only the trail the agency lets into the public record. Off-record talk at a review stays dark to the coder. So the H1-share the coding hands back is a floor on the true rate of garbage-can coupling, and the results chapter reported it in exactly those terms. The discussion here does not walk back that floor framing.</w:t>
      </w:r>
    </w:p>
    <w:p>
      <w:pPr>
        <w:pStyle w:val="BodyText"/>
        <w:spacing w:line="480" w:lineRule="auto"/>
        <w:ind w:firstLine="720"/>
      </w:pPr>
      <w:r>
        <w:t xml:space="preserve">The second is sample exclusion. The coding sample runs only publicly documented reviews and leaves out classified national-security reviews. The Cox and OLS estimators read NASA major projects in the GAO Major Project run</w:t>
      </w:r>
      <w:r>
        <w:t xml:space="preserve"> </w:t>
      </w:r>
      <w:hyperlink w:anchor="ref-11">
        <w:r>
          <w:rPr>
            <w:rStyle w:val="Hyperlink"/>
          </w:rPr>
          <w:t xml:space="preserve">[11]</w:t>
        </w:r>
      </w:hyperlink>
      <w:r>
        <w:t xml:space="preserve">[12][13][14][15][16][17][18][22][23], a cohort that skips the classified national-security portfolio. The Space Fence Phase-A PDR record</w:t>
      </w:r>
      <w:r>
        <w:t xml:space="preserve"> </w:t>
      </w:r>
      <w:hyperlink w:anchor="ref-1">
        <w:r>
          <w:rPr>
            <w:rStyle w:val="Hyperlink"/>
          </w:rPr>
          <w:t xml:space="preserve">[1]</w:t>
        </w:r>
      </w:hyperlink>
      <w:r>
        <w:t xml:space="preserve"> </w:t>
      </w:r>
      <w:r>
        <w:t xml:space="preserve">and the Kobayashi Maru portfolio record</w:t>
      </w:r>
      <w:r>
        <w:t xml:space="preserve"> </w:t>
      </w:r>
      <w:hyperlink w:anchor="ref-3">
        <w:r>
          <w:rPr>
            <w:rStyle w:val="Hyperlink"/>
          </w:rPr>
          <w:t xml:space="preserve">[3]</w:t>
        </w:r>
      </w:hyperlink>
      <w:r>
        <w:t xml:space="preserve"> </w:t>
      </w:r>
      <w:r>
        <w:t xml:space="preserve">anchor the coding sample on the disclosed side of the line; the dissertation does not stretch across it.</w:t>
      </w:r>
    </w:p>
    <w:p>
      <w:pPr>
        <w:pStyle w:val="BodyText"/>
        <w:spacing w:line="480" w:lineRule="auto"/>
        <w:ind w:firstLine="720"/>
      </w:pPr>
      <w:r>
        <w:t xml:space="preserve">The third is operational pluralism. The four streams admit more than one defensible rendering. The dissertation fixed its definitions before coding, published the manual, and opened the dataset to replication so a rival rendering can be re-run on the same trail. The discussion here does not claim its rendering is the one right rendering.</w:t>
      </w:r>
    </w:p>
    <w:p>
      <w:pPr>
        <w:pStyle w:val="BodyText"/>
        <w:spacing w:line="480" w:lineRule="auto"/>
        <w:ind w:firstLine="720"/>
      </w:pPr>
      <w:r>
        <w:t xml:space="preserve">The fourth is small-sample inference in the Cox model. With 38 programs and 22 events, the Wald intervals run wide and the inferential line was set in advance at p under 0.10 rather than the ordinary 0.05. The committee-count coefficient in particular runs a wide interval, and the results chapter claimed no significance for it under the 0.05 rule. The discussion here read that coefficient as directional rather than as a hard rejection of the proportional-hazards null, and that read must not get pumped by the rhetorical ease of a discussion section.</w:t>
      </w:r>
    </w:p>
    <w:p>
      <w:pPr>
        <w:pStyle w:val="BodyText"/>
        <w:spacing w:line="480" w:lineRule="auto"/>
        <w:ind w:firstLine="720"/>
      </w:pPr>
      <w:r>
        <w:t xml:space="preserve">The fifth is the endogeneity of contract-regime selection. The fixed-price commercial services flag on the right-hand side of the OLS estimator is not exogenous to mission class. Programs get picked into that regime in part because the agency judges the mission commercially mature</w:t>
      </w:r>
      <w:r>
        <w:t xml:space="preserve"> </w:t>
      </w:r>
      <w:hyperlink w:anchor="ref-6">
        <w:r>
          <w:rPr>
            <w:rStyle w:val="Hyperlink"/>
          </w:rPr>
          <w:t xml:space="preserve">[6]</w:t>
        </w:r>
      </w:hyperlink>
      <w:r>
        <w:t xml:space="preserve">[24]. So the conditional-mean shift the flag carries is an associative quantity, not a causal one in the potential-outcomes sense. The discussion here read it as the weightiest single number for acquisition policy, and that read does not turn the associative quantity causal.</w:t>
      </w:r>
    </w:p>
    <w:p>
      <w:pPr>
        <w:pStyle w:val="BodyText"/>
        <w:spacing w:line="480" w:lineRule="auto"/>
        <w:ind w:firstLine="720"/>
      </w:pPr>
      <w:r>
        <w:t xml:space="preserve">A sixth limitation, smaller and worth naming, runs to the contextual governance frame. The Legacy Space and New Space stratifier</w:t>
      </w:r>
      <w:r>
        <w:t xml:space="preserve"> </w:t>
      </w:r>
      <w:hyperlink w:anchor="ref-2">
        <w:r>
          <w:rPr>
            <w:rStyle w:val="Hyperlink"/>
          </w:rPr>
          <w:t xml:space="preserve">[2]</w:t>
        </w:r>
      </w:hyperlink>
      <w:r>
        <w:t xml:space="preserve"> </w:t>
      </w:r>
      <w:r>
        <w:t xml:space="preserve">comes from one Acta Astronautica synthesis, and the dissertation has owned it as a single-source anchor. The reform implications the chapter drew for the broader apparatus inherit that single-source cast. They stand as licensed by the vocabulary the dissertation builds, not as settled by a separate empirical estimator.</w:t>
      </w:r>
    </w:p>
    <w:bookmarkEnd w:id="122"/>
    <w:bookmarkStart w:id="123" w:name="future-research"/>
    <w:p>
      <w:pPr>
        <w:pStyle w:val="Heading2"/>
        <w:spacing w:line="480" w:lineRule="auto"/>
      </w:pPr>
      <w:r>
        <w:t xml:space="preserve">7.6 Future Research</w:t>
      </w:r>
    </w:p>
    <w:p>
      <w:pPr>
        <w:pStyle w:val="FirstParagraph"/>
        <w:spacing w:line="480" w:lineRule="auto"/>
      </w:pPr>
      <w:r>
        <w:t xml:space="preserve">Four lines of future research trail from the joint shape the estimators handed back. Each gets named with the estimator it would stretch and the data object it would need.</w:t>
      </w:r>
    </w:p>
    <w:p>
      <w:pPr>
        <w:pStyle w:val="BodyText"/>
        <w:spacing w:line="480" w:lineRule="auto"/>
        <w:ind w:firstLine="720"/>
      </w:pPr>
      <w:r>
        <w:t xml:space="preserve">The first line stretches the coding to a wider sample of reviews pulled from the agency’s Standing Review Board records, the NASA Office of Inspector General audit files for single programs</w:t>
      </w:r>
      <w:r>
        <w:t xml:space="preserve"> </w:t>
      </w:r>
      <w:hyperlink w:anchor="ref-19">
        <w:r>
          <w:rPr>
            <w:rStyle w:val="Hyperlink"/>
          </w:rPr>
          <w:t xml:space="preserve">[19]</w:t>
        </w:r>
      </w:hyperlink>
      <w:r>
        <w:t xml:space="preserve">[26], and the GAO lunar-program oversight record</w:t>
      </w:r>
      <w:r>
        <w:t xml:space="preserve"> </w:t>
      </w:r>
      <w:hyperlink w:anchor="ref-20">
        <w:r>
          <w:rPr>
            <w:rStyle w:val="Hyperlink"/>
          </w:rPr>
          <w:t xml:space="preserve">[20]</w:t>
        </w:r>
      </w:hyperlink>
      <w:r>
        <w:t xml:space="preserve">. The reform implications the chapter named in Section 7.2 need an audit-quality record of the entry roster, the choice roster, the entry problem, and the exit problem at each review. A future qualitative study could code that audit-quality record against the same definition the dissertation used and report the H1-share at a sample big enough to carry a Wilson confidence interval tight enough to discipline the reform debate. The Kingdon agenda-setting framework</w:t>
      </w:r>
      <w:r>
        <w:t xml:space="preserve"> </w:t>
      </w:r>
      <w:hyperlink w:anchor="ref-21">
        <w:r>
          <w:rPr>
            <w:rStyle w:val="Hyperlink"/>
          </w:rPr>
          <w:t xml:space="preserve">[21]</w:t>
        </w:r>
      </w:hyperlink>
      <w:r>
        <w:t xml:space="preserve"> </w:t>
      </w:r>
      <w:r>
        <w:t xml:space="preserve">would lend a further vocabulary at the choice-opportunity boundary the dissertation’s narrower garbage-can vocabulary skipped.</w:t>
      </w:r>
    </w:p>
    <w:p>
      <w:pPr>
        <w:pStyle w:val="BodyText"/>
        <w:spacing w:line="480" w:lineRule="auto"/>
        <w:ind w:firstLine="720"/>
      </w:pPr>
      <w:r>
        <w:t xml:space="preserve">The second line stretches the Cox estimator to a cohort taking in Department of the Air Force and Space Force major-program records on the disclosed side of the national-security line. The Space Fence Phase-A PDR record</w:t>
      </w:r>
      <w:r>
        <w:t xml:space="preserve"> </w:t>
      </w:r>
      <w:hyperlink w:anchor="ref-1">
        <w:r>
          <w:rPr>
            <w:rStyle w:val="Hyperlink"/>
          </w:rPr>
          <w:t xml:space="preserve">[1]</w:t>
        </w:r>
      </w:hyperlink>
      <w:r>
        <w:t xml:space="preserve"> </w:t>
      </w:r>
      <w:r>
        <w:t xml:space="preserve">and the Kobayashi Maru portfolio record</w:t>
      </w:r>
      <w:r>
        <w:t xml:space="preserve"> </w:t>
      </w:r>
      <w:hyperlink w:anchor="ref-3">
        <w:r>
          <w:rPr>
            <w:rStyle w:val="Hyperlink"/>
          </w:rPr>
          <w:t xml:space="preserve">[3]</w:t>
        </w:r>
      </w:hyperlink>
      <w:r>
        <w:t xml:space="preserve"> </w:t>
      </w:r>
      <w:r>
        <w:t xml:space="preserve">anchor the coding sample on that side. A future survival study could anchor a Cox cohort there, re-render the participant stream as a count of standing oversight committees, and report a hazard ratio the bigger cohort would sharpen. The proportional-hazards assumption on the committee-count covariate would get re-checked against the new cohort, and the time-averaging read the methods chapter signed up for in advance would either hold or give way to a stratified specification.</w:t>
      </w:r>
    </w:p>
    <w:p>
      <w:pPr>
        <w:pStyle w:val="BodyText"/>
        <w:spacing w:line="480" w:lineRule="auto"/>
        <w:ind w:firstLine="720"/>
      </w:pPr>
      <w:r>
        <w:t xml:space="preserve">The third line stretches the OLS estimator to a size model where the contract-regime selection step gets modeled head-on. The endogeneity of fixed-price commercial services selection</w:t>
      </w:r>
      <w:r>
        <w:t xml:space="preserve"> </w:t>
      </w:r>
      <w:hyperlink w:anchor="ref-9">
        <w:r>
          <w:rPr>
            <w:rStyle w:val="Hyperlink"/>
          </w:rPr>
          <w:t xml:space="preserve">[9]</w:t>
        </w:r>
      </w:hyperlink>
      <w:r>
        <w:t xml:space="preserve">[24] is the limit the chapter would not turn causal by rhetorical means. A future size study could model the selection step as its own equation, pull on the Commercial Crew Program record</w:t>
      </w:r>
      <w:r>
        <w:t xml:space="preserve"> </w:t>
      </w:r>
      <w:hyperlink w:anchor="ref-24">
        <w:r>
          <w:rPr>
            <w:rStyle w:val="Hyperlink"/>
          </w:rPr>
          <w:t xml:space="preserve">[24]</w:t>
        </w:r>
      </w:hyperlink>
      <w:r>
        <w:t xml:space="preserve">, the Human Landing System award record</w:t>
      </w:r>
      <w:r>
        <w:t xml:space="preserve"> </w:t>
      </w:r>
      <w:hyperlink w:anchor="ref-25">
        <w:r>
          <w:rPr>
            <w:rStyle w:val="Hyperlink"/>
          </w:rPr>
          <w:t xml:space="preserve">[25]</w:t>
        </w:r>
      </w:hyperlink>
      <w:r>
        <w:t xml:space="preserve">, and the CLPS portfolio record</w:t>
      </w:r>
      <w:r>
        <w:t xml:space="preserve"> </w:t>
      </w:r>
      <w:hyperlink w:anchor="ref-19">
        <w:r>
          <w:rPr>
            <w:rStyle w:val="Hyperlink"/>
          </w:rPr>
          <w:t xml:space="preserve">[19]</w:t>
        </w:r>
      </w:hyperlink>
      <w:r>
        <w:t xml:space="preserve"> </w:t>
      </w:r>
      <w:r>
        <w:t xml:space="preserve">for the selection covariates, and report the conditional-mean shift inside a structure the OLS estimator alone cannot identify. The lunar-resource production-planning writing</w:t>
      </w:r>
      <w:r>
        <w:t xml:space="preserve"> </w:t>
      </w:r>
      <w:hyperlink w:anchor="ref-35">
        <w:r>
          <w:rPr>
            <w:rStyle w:val="Hyperlink"/>
          </w:rPr>
          <w:t xml:space="preserve">[35]</w:t>
        </w:r>
      </w:hyperlink>
      <w:r>
        <w:t xml:space="preserve"> </w:t>
      </w:r>
      <w:r>
        <w:t xml:space="preserve">and the asteroid-mining parametric-economic-modeling writing</w:t>
      </w:r>
      <w:r>
        <w:t xml:space="preserve"> </w:t>
      </w:r>
      <w:hyperlink w:anchor="ref-38">
        <w:r>
          <w:rPr>
            <w:rStyle w:val="Hyperlink"/>
          </w:rPr>
          <w:t xml:space="preserve">[38]</w:t>
        </w:r>
      </w:hyperlink>
      <w:r>
        <w:t xml:space="preserve"> </w:t>
      </w:r>
      <w:r>
        <w:t xml:space="preserve">lend the cost-side modeling vocabulary the size equation would draw on.</w:t>
      </w:r>
    </w:p>
    <w:p>
      <w:pPr>
        <w:pStyle w:val="BodyText"/>
        <w:spacing w:line="480" w:lineRule="auto"/>
        <w:ind w:firstLine="720"/>
      </w:pPr>
      <w:r>
        <w:t xml:space="preserve">The fourth line stretches the vocabulary the dissertation builds for milestone reviews out to choice events beyond the NASA major-project portfolio. The space-traffic-management decision-support writing</w:t>
      </w:r>
      <w:r>
        <w:t xml:space="preserve"> </w:t>
      </w:r>
      <w:hyperlink w:anchor="ref-5">
        <w:r>
          <w:rPr>
            <w:rStyle w:val="Hyperlink"/>
          </w:rPr>
          <w:t xml:space="preserve">[5]</w:t>
        </w:r>
      </w:hyperlink>
      <w:r>
        <w:t xml:space="preserve">[32], the operational-risk-sharing writing</w:t>
      </w:r>
      <w:r>
        <w:t xml:space="preserve"> </w:t>
      </w:r>
      <w:hyperlink w:anchor="ref-28">
        <w:r>
          <w:rPr>
            <w:rStyle w:val="Hyperlink"/>
          </w:rPr>
          <w:t xml:space="preserve">[28]</w:t>
        </w:r>
      </w:hyperlink>
      <w:r>
        <w:t xml:space="preserve">, the continuing-supervision writing for commercial in-space servicing</w:t>
      </w:r>
      <w:r>
        <w:t xml:space="preserve"> </w:t>
      </w:r>
      <w:hyperlink w:anchor="ref-4">
        <w:r>
          <w:rPr>
            <w:rStyle w:val="Hyperlink"/>
          </w:rPr>
          <w:t xml:space="preserve">[4]</w:t>
        </w:r>
      </w:hyperlink>
      <w:r>
        <w:t xml:space="preserve">, the data-pedigree and automation writing for space domain awareness</w:t>
      </w:r>
      <w:r>
        <w:t xml:space="preserve"> </w:t>
      </w:r>
      <w:hyperlink w:anchor="ref-33">
        <w:r>
          <w:rPr>
            <w:rStyle w:val="Hyperlink"/>
          </w:rPr>
          <w:t xml:space="preserve">[33]</w:t>
        </w:r>
      </w:hyperlink>
      <w:r>
        <w:t xml:space="preserve">, and the collaboration-via-proxy-agents writing for situational awareness</w:t>
      </w:r>
      <w:r>
        <w:t xml:space="preserve"> </w:t>
      </w:r>
      <w:hyperlink w:anchor="ref-34">
        <w:r>
          <w:rPr>
            <w:rStyle w:val="Hyperlink"/>
          </w:rPr>
          <w:t xml:space="preserve">[34]</w:t>
        </w:r>
      </w:hyperlink>
      <w:r>
        <w:t xml:space="preserve"> </w:t>
      </w:r>
      <w:r>
        <w:t xml:space="preserve">each draw a choice event whose four-stream shape matches the shape the dissertation renders for NASA reviews. A future study could code those events against a shared definition, report the H1-share across the cross-domain sample, and test whether the garbage-can shape the dissertation found at the NASA review is a trait of the NASA review in particular or of the choice-event shape more broadly. The Picciano human-decision-processes writing</w:t>
      </w:r>
      <w:r>
        <w:t xml:space="preserve"> </w:t>
      </w:r>
      <w:hyperlink w:anchor="ref-27">
        <w:r>
          <w:rPr>
            <w:rStyle w:val="Hyperlink"/>
          </w:rPr>
          <w:t xml:space="preserve">[27]</w:t>
        </w:r>
      </w:hyperlink>
      <w:r>
        <w:t xml:space="preserve"> </w:t>
      </w:r>
      <w:r>
        <w:t xml:space="preserve">and the enhanced-collaboration-via-proxy-agents writing</w:t>
      </w:r>
      <w:r>
        <w:t xml:space="preserve"> </w:t>
      </w:r>
      <w:hyperlink w:anchor="ref-34">
        <w:r>
          <w:rPr>
            <w:rStyle w:val="Hyperlink"/>
          </w:rPr>
          <w:t xml:space="preserve">[34]</w:t>
        </w:r>
      </w:hyperlink>
      <w:r>
        <w:t xml:space="preserve"> </w:t>
      </w:r>
      <w:r>
        <w:t xml:space="preserve">lend the cognitive-load and collaboration-structure vocabulary the cross-domain study would draw on. The gut-microbiome and space-condition writing</w:t>
      </w:r>
      <w:r>
        <w:t xml:space="preserve"> </w:t>
      </w:r>
      <w:hyperlink w:anchor="ref-39">
        <w:r>
          <w:rPr>
            <w:rStyle w:val="Hyperlink"/>
          </w:rPr>
          <w:t xml:space="preserve">[39]</w:t>
        </w:r>
      </w:hyperlink>
      <w:r>
        <w:t xml:space="preserve"> </w:t>
      </w:r>
      <w:r>
        <w:t xml:space="preserve">is named here only to be ruled out; it is in the reference pool and it is not a choice-event literature and it does not enter the cross-domain study the chapter names. The sustainability and planetary-boundaries writing</w:t>
      </w:r>
      <w:r>
        <w:t xml:space="preserve"> </w:t>
      </w:r>
      <w:hyperlink w:anchor="ref-40">
        <w:r>
          <w:rPr>
            <w:rStyle w:val="Hyperlink"/>
          </w:rPr>
          <w:t xml:space="preserve">[40]</w:t>
        </w:r>
      </w:hyperlink>
      <w:r>
        <w:t xml:space="preserve">[41] enters the cross-domain study because it draws choice events where the four streams observably bind by arrival timing.</w:t>
      </w:r>
    </w:p>
    <w:p>
      <w:pPr>
        <w:pStyle w:val="BodyText"/>
        <w:spacing w:line="480" w:lineRule="auto"/>
        <w:ind w:firstLine="720"/>
      </w:pPr>
      <w:r>
        <w:t xml:space="preserve">A fifth, more speculative line hands the vocabulary back to the JPL recompete weather Section 7.3 named. The dissertation runs no test of the recompete call itself, and the vocabulary it builds licenses a future qualitative study that would. Such a study would take the recompete event as a choice opportunity, code the entry roster, the choice roster, the entry problem, and the exit problem against the same definition the dissertation used for reviews, and report the H1-share for the recompete event against the H1-share for the review sample. The Legacy Space and New Space governance synthesis</w:t>
      </w:r>
      <w:r>
        <w:t xml:space="preserve"> </w:t>
      </w:r>
      <w:hyperlink w:anchor="ref-2">
        <w:r>
          <w:rPr>
            <w:rStyle w:val="Hyperlink"/>
          </w:rPr>
          <w:t xml:space="preserve">[2]</w:t>
        </w:r>
      </w:hyperlink>
      <w:r>
        <w:t xml:space="preserve"> </w:t>
      </w:r>
      <w:r>
        <w:t xml:space="preserve">would lend the stratifier. A finding that the recompete event shows the same garbage-can shape the review shows would license a reform debate at the institutional-design level the dissertation has been careful to keep out of.</w:t>
      </w:r>
    </w:p>
    <w:bookmarkEnd w:id="123"/>
    <w:bookmarkStart w:id="124" w:name="closing-statement-of-the-discussion"/>
    <w:p>
      <w:pPr>
        <w:pStyle w:val="Heading2"/>
        <w:spacing w:line="480" w:lineRule="auto"/>
      </w:pPr>
      <w:r>
        <w:t xml:space="preserve">7.7 Closing Statement of the Discussion</w:t>
      </w:r>
    </w:p>
    <w:p>
      <w:pPr>
        <w:pStyle w:val="FirstParagraph"/>
        <w:spacing w:line="480" w:lineRule="auto"/>
      </w:pPr>
      <w:r>
        <w:t xml:space="preserve">The dissertation has not shown that NASA milestone reviews are sick. It has shown that they carry the working sign of the garbage-can decision model at a rate tellable from the orderly template the charter language draws. The reform implication is not scrapping the review. It is squaring the agency’s audit, instrumentation, and public record with the decision behavior the estimators really find, so the reform debate that trails runs against the record rather than against the charter language. The implication for JPL is that the participant stream is the covariate the laboratory can most directly work at the program-formulation phase, and the laboratory’s seat inside the recompete weather is itself a choice opportunity whose four-stream shape the dissertation’s vocabulary draws. The implication for the broader apparatus is that the vocabulary the dissertation builds carries over to choice events beyond the NASA major-project portfolio, and that the reform debate inside those events can run on the same terms.</w:t>
      </w:r>
    </w:p>
    <w:p>
      <w:pPr>
        <w:pStyle w:val="BodyText"/>
        <w:spacing w:line="480" w:lineRule="auto"/>
        <w:ind w:firstLine="720"/>
      </w:pPr>
      <w:r>
        <w:t xml:space="preserve">The limitations the chapter named are the ones the design signed up for in advance and must not sand down here. The future research the chapter named is the research the joint shape of the three estimators licenses and no more.</w:t>
      </w:r>
    </w:p>
    <w:bookmarkEnd w:id="124"/>
    <w:bookmarkEnd w:id="125"/>
    <w:bookmarkStart w:id="183" w:name="chapter-8.-conclusion"/>
    <w:p>
      <w:pPr>
        <w:pStyle w:val="Heading1"/>
        <w:spacing w:line="480" w:lineRule="auto"/>
      </w:pPr>
      <w:r>
        <w:t xml:space="preserve">Chapter 8. Conclusion</w:t>
      </w:r>
    </w:p>
    <w:bookmarkStart w:id="126" w:name="the-argument-in-one-movement"/>
    <w:p>
      <w:pPr>
        <w:pStyle w:val="Heading2"/>
        <w:spacing w:line="480" w:lineRule="auto"/>
      </w:pPr>
      <w:r>
        <w:t xml:space="preserve">8.1 The Argument in One Movement</w:t>
      </w:r>
    </w:p>
    <w:p>
      <w:pPr>
        <w:pStyle w:val="FirstParagraph"/>
        <w:spacing w:line="480" w:lineRule="auto"/>
      </w:pPr>
      <w:r>
        <w:t xml:space="preserve">This dissertation set out to test, against the paper trail of the modern United States space-program portfolio, one proposition: that the milestone reviews and confirmation gates by which major civil space buys get authorized do not run as the orderly, sequential, evaluation-then-choice procedures their charters draw, and that they instead show the loose, timing-driven binding of problems, solutions, participants, and choice opportunities that Cohen, March, and Olsen first tagged the garbage-can model of organizational choice</w:t>
      </w:r>
      <w:r>
        <w:t xml:space="preserve"> </w:t>
      </w:r>
      <w:hyperlink w:anchor="ref-7">
        <w:r>
          <w:rPr>
            <w:rStyle w:val="Hyperlink"/>
          </w:rPr>
          <w:t xml:space="preserve">[7]</w:t>
        </w:r>
      </w:hyperlink>
      <w:r>
        <w:t xml:space="preserve">. The proposition was not floated as metaphor. It was floated as a breakable claim about the conditional distribution of two observable quantities: the hazard of formal rebaseline clocked from Key Decision Point C, and the size of life-cycle cost growth given a program’s reaching its most recent reported assessment.</w:t>
      </w:r>
    </w:p>
    <w:p>
      <w:pPr>
        <w:pStyle w:val="BodyText"/>
        <w:spacing w:line="480" w:lineRule="auto"/>
        <w:ind w:firstLine="720"/>
      </w:pPr>
      <w:r>
        <w:t xml:space="preserve">The chapters ahead of this one did three things. They built a definition of garbage-can coupling that shows up in the public record of milestone reviews and Major Project Annual Assessments</w:t>
      </w:r>
      <w:r>
        <w:t xml:space="preserve"> </w:t>
      </w:r>
      <w:hyperlink w:anchor="ref-6">
        <w:r>
          <w:rPr>
            <w:rStyle w:val="Hyperlink"/>
          </w:rPr>
          <w:t xml:space="preserve">[6]</w:t>
        </w:r>
      </w:hyperlink>
      <w:r>
        <w:t xml:space="preserve">[22][23]. They fit two complementary models on a cohort of NASA major projects confirmed 2002 through 2021, a Cox proportional-hazards regression of months from confirmation to first formal rebaseline and an ordinary least squares regression of cost-growth percent as a continuous size. And they triangulated the resulting picture against the qualitative record of named reviews, opening with the Space Fence Phase-A Preliminary Design Review concept-development trace</w:t>
      </w:r>
      <w:r>
        <w:t xml:space="preserve"> </w:t>
      </w:r>
      <w:hyperlink w:anchor="ref-1">
        <w:r>
          <w:rPr>
            <w:rStyle w:val="Hyperlink"/>
          </w:rPr>
          <w:t xml:space="preserve">[1]</w:t>
        </w:r>
      </w:hyperlink>
      <w:r>
        <w:t xml:space="preserve"> </w:t>
      </w:r>
      <w:r>
        <w:t xml:space="preserve">and running on through the Space Command and Control Program portfolio-management record</w:t>
      </w:r>
      <w:r>
        <w:t xml:space="preserve"> </w:t>
      </w:r>
      <w:hyperlink w:anchor="ref-3">
        <w:r>
          <w:rPr>
            <w:rStyle w:val="Hyperlink"/>
          </w:rPr>
          <w:t xml:space="preserve">[3]</w:t>
        </w:r>
      </w:hyperlink>
      <w:r>
        <w:t xml:space="preserve">. The upshot is no unified theory of space-buy pathology. It is a defensible and partly counterintuitive answer to a tightly drawn question.</w:t>
      </w:r>
    </w:p>
    <w:p>
      <w:pPr>
        <w:pStyle w:val="BodyText"/>
        <w:spacing w:line="480" w:lineRule="auto"/>
        <w:ind w:firstLine="720"/>
      </w:pPr>
      <w:r>
        <w:t xml:space="preserve">The answer, put plainly, runs like this. The orderly account, in its boldest form, calls for technical complexity at confirmation to be the near driver of the rebaseline hazard. The survival data do not bear that out. In the Cox model fit on 38 programs with 22 events, the complexity covariate carries a log hazard ratio no different from zero to the eye, while the count of standing oversight committees, the working proxy for the garbage-can participant stream, carries the biggest absolute point estimate in the model in the direction the alternative calls for. On the size side the OLS regression hands back a different and just as interesting picture. Once schedule slip and acquisition mode join the conditional mean, complexity gets back its expected sign and size, fixed-price commercial services buying drags the conditional mean roughly twenty-seven percentage points down, and schedule slip carries the dominant per-unit pull at about one point of cost per month of slip. Between them the two forms allow a synthesis neither paper, on its own, can carry.</w:t>
      </w:r>
    </w:p>
    <w:bookmarkEnd w:id="126"/>
    <w:bookmarkStart w:id="127" w:name="X56b3e34d3c88644e4931543b9df35abc721cd91"/>
    <w:p>
      <w:pPr>
        <w:pStyle w:val="Heading2"/>
        <w:spacing w:line="480" w:lineRule="auto"/>
      </w:pPr>
      <w:r>
        <w:t xml:space="preserve">8.2 Synthesis Across the Two Empirical Papers</w:t>
      </w:r>
    </w:p>
    <w:p>
      <w:pPr>
        <w:pStyle w:val="FirstParagraph"/>
        <w:spacing w:line="480" w:lineRule="auto"/>
      </w:pPr>
      <w:r>
        <w:t xml:space="preserve">The Cox and OLS results do not clash. They speak to different conditional questions about one underlying decision process. The survival model asks when, in elapsed time since confirmation, the program first clears a fixed statutory line. The size model asks how far, in percentage points of life-cycle cost, the program has drifted by its most recent observation. The garbage-can framework calls for the answers to those two to split in a specific way. The density of participant streams should squeeze the time-to-event, because every added standing arena lifts the rate at which problem-solution bindings of the wrong sort come open</w:t>
      </w:r>
      <w:r>
        <w:t xml:space="preserve"> </w:t>
      </w:r>
      <w:hyperlink w:anchor="ref-7">
        <w:r>
          <w:rPr>
            <w:rStyle w:val="Hyperlink"/>
          </w:rPr>
          <w:t xml:space="preserve">[7]</w:t>
        </w:r>
      </w:hyperlink>
      <w:r>
        <w:t xml:space="preserve">[21]. The size of the resulting drift, by contrast, should ride less on the count of arenas than on the time the program spends inside them, which is exactly what schedule slip renders. Read together, the two papers fit that call. Committee count is the strongest signal on the hazard side and the weakest on the size side.</w:t>
      </w:r>
    </w:p>
    <w:p>
      <w:pPr>
        <w:pStyle w:val="BodyText"/>
        <w:spacing w:line="480" w:lineRule="auto"/>
        <w:ind w:firstLine="720"/>
      </w:pPr>
      <w:r>
        <w:t xml:space="preserve">Schedule slip and complexity are the strongest on the size side. The acquisition-mode flag is the strongest single size shifter, fitting the proposition that fixed-price commercial services contracting collapses both the solution stream and the post-confirmation choice opportunities where the cost line can be re-opened</w:t>
      </w:r>
      <w:r>
        <w:t xml:space="preserve"> </w:t>
      </w:r>
      <w:hyperlink w:anchor="ref-24">
        <w:r>
          <w:rPr>
            <w:rStyle w:val="Hyperlink"/>
          </w:rPr>
          <w:t xml:space="preserve">[24]</w:t>
        </w:r>
      </w:hyperlink>
      <w:r>
        <w:t xml:space="preserve">[25].</w:t>
      </w:r>
    </w:p>
    <w:p>
      <w:pPr>
        <w:pStyle w:val="BodyText"/>
        <w:spacing w:line="480" w:lineRule="auto"/>
        <w:ind w:firstLine="720"/>
      </w:pPr>
      <w:r>
        <w:t xml:space="preserve">This synthesis wins back a contribution neither paper, on its own, carries. The garbage-can model has long drawn the charge of being a metaphor that dodges falsification. The dissertation’s contribution is to render the four streams as observable quantities in the record of a real buy portfolio and to show that the model’s separate calls on timing and size can be tested apart and hand back results that agree rather than repeat. The committee-count pull on hazard and the schedule-slip pull on size are not one pull seen twice. They are two separate consequences of the same underlying binding failure, and they are the consequences the framework calls for.</w:t>
      </w:r>
    </w:p>
    <w:p>
      <w:pPr>
        <w:pStyle w:val="BodyText"/>
        <w:spacing w:line="480" w:lineRule="auto"/>
        <w:ind w:firstLine="720"/>
      </w:pPr>
      <w:r>
        <w:t xml:space="preserve">The qualitative reconstruction reported in the body backs the quantitative finding rather than standing in for it. The Space Fence Phase-A PDR record</w:t>
      </w:r>
      <w:r>
        <w:t xml:space="preserve"> </w:t>
      </w:r>
      <w:hyperlink w:anchor="ref-1">
        <w:r>
          <w:rPr>
            <w:rStyle w:val="Hyperlink"/>
          </w:rPr>
          <w:t xml:space="preserve">[1]</w:t>
        </w:r>
      </w:hyperlink>
      <w:r>
        <w:t xml:space="preserve"> </w:t>
      </w:r>
      <w:r>
        <w:t xml:space="preserve">logs a review where the entry problem and the exit problem were not one statement, where the roster at choice was not a subset of the roster at entry, and where candidate technical solutions sat in the deliberation record before the entry problem set had fully shut. The Kobayashi Maru portfolio-management record</w:t>
      </w:r>
      <w:r>
        <w:t xml:space="preserve"> </w:t>
      </w:r>
      <w:hyperlink w:anchor="ref-3">
        <w:r>
          <w:rPr>
            <w:rStyle w:val="Hyperlink"/>
          </w:rPr>
          <w:t xml:space="preserve">[3]</w:t>
        </w:r>
      </w:hyperlink>
      <w:r>
        <w:t xml:space="preserve"> </w:t>
      </w:r>
      <w:r>
        <w:t xml:space="preserve">logs a like binding shape at the program level rather than the review level. Those traces are no statistical evidence. They are existence proofs that the binding shape the definition draws can be recovered from the public record of real buys, which is the condition under which the quantitative findings can earn external validity past the cohort they were fit on.</w:t>
      </w:r>
    </w:p>
    <w:bookmarkEnd w:id="127"/>
    <w:bookmarkStart w:id="128" w:name="contribution-to-knowledge"/>
    <w:p>
      <w:pPr>
        <w:pStyle w:val="Heading2"/>
        <w:spacing w:line="480" w:lineRule="auto"/>
      </w:pPr>
      <w:r>
        <w:t xml:space="preserve">8.3 Contribution to Knowledge</w:t>
      </w:r>
    </w:p>
    <w:p>
      <w:pPr>
        <w:pStyle w:val="FirstParagraph"/>
        <w:spacing w:line="480" w:lineRule="auto"/>
      </w:pPr>
      <w:r>
        <w:t xml:space="preserve">The dissertation’s contribution to knowledge is fourfold, laid out here from most general to least.</w:t>
      </w:r>
    </w:p>
    <w:p>
      <w:pPr>
        <w:pStyle w:val="BodyText"/>
        <w:spacing w:line="480" w:lineRule="auto"/>
        <w:ind w:firstLine="720"/>
      </w:pPr>
      <w:r>
        <w:t xml:space="preserve">First, it hands the space program-management writing a breakable, evidence-anchored test of the garbage-can model that leans on no metaphorical read. The definition of the four streams is fixed before coding, the manual can be audited, and the trail for every coded review is a finite, citable thing kept with the dissertation. A later investigator who prefers a rival rendering can re-run the coding on the same trail and win a comparable estimate. That is what falsifiability asks, and it is what prior handlings of organizational choice in the buy setting have not steadily delivered</w:t>
      </w:r>
      <w:r>
        <w:t xml:space="preserve"> </w:t>
      </w:r>
      <w:hyperlink w:anchor="ref-7">
        <w:r>
          <w:rPr>
            <w:rStyle w:val="Hyperlink"/>
          </w:rPr>
          <w:t xml:space="preserve">[7]</w:t>
        </w:r>
      </w:hyperlink>
      <w:r>
        <w:t xml:space="preserve">[8].</w:t>
      </w:r>
    </w:p>
    <w:p>
      <w:pPr>
        <w:pStyle w:val="BodyText"/>
        <w:spacing w:line="480" w:lineRule="auto"/>
        <w:ind w:firstLine="720"/>
      </w:pPr>
      <w:r>
        <w:t xml:space="preserve">Second, the dissertation hands the acquisition-policy writing a quantitative estimate of the size shift owed to fixed-price commercial services contracting in the NASA major-project portfolio. The estimated conditional mean shift of about negative twenty-seven percentage points of life-cycle cost growth, holding complexity, committee count, prime count, and schedule slip fixed, runs large against the spread of cost-growth outcomes in the portfolio and reads as tellable from zero. The estimate is conditional on this sample and on the assumption that the regime shift the flag partly catches is not soaked up by an omitted variable riding along with it</w:t>
      </w:r>
      <w:r>
        <w:t xml:space="preserve"> </w:t>
      </w:r>
      <w:hyperlink w:anchor="ref-19">
        <w:r>
          <w:rPr>
            <w:rStyle w:val="Hyperlink"/>
          </w:rPr>
          <w:t xml:space="preserve">[19]</w:t>
        </w:r>
      </w:hyperlink>
      <w:r>
        <w:t xml:space="preserve">[24][25]. Under that caveat, it is the tightest statement the public record now allows about the cost-size consequences of acquisition-mode choice in the modern portfolio.</w:t>
      </w:r>
    </w:p>
    <w:p>
      <w:pPr>
        <w:pStyle w:val="BodyText"/>
        <w:spacing w:line="480" w:lineRule="auto"/>
        <w:ind w:firstLine="720"/>
      </w:pPr>
      <w:r>
        <w:t xml:space="preserve">Third, the dissertation hands over a governance read of the rebaseline-hazard finding that parts from the systems-engineering read the orderly account would call for. Suppose the participant-stream pull on hazard is real and this point estimate lowballs rather than overstates its size, as the attenuation argument in the survival paper suggests. Then the policy lever most apt to cut rebaseline hazard is not deeper technical reserves at confirmation. It is a cut in the count of standing committees whose approval is independently needed between confirmation and the next major review. That is a governance lever and not a systems-engineering one</w:t>
      </w:r>
      <w:r>
        <w:t xml:space="preserve"> </w:t>
      </w:r>
      <w:hyperlink w:anchor="ref-6">
        <w:r>
          <w:rPr>
            <w:rStyle w:val="Hyperlink"/>
          </w:rPr>
          <w:t xml:space="preserve">[6]</w:t>
        </w:r>
      </w:hyperlink>
      <w:r>
        <w:t xml:space="preserve">[23]. The split matters because the two levers answer to different reform authorities, report to different oversight bodies, and meet different evidentiary bars.</w:t>
      </w:r>
    </w:p>
    <w:p>
      <w:pPr>
        <w:pStyle w:val="BodyText"/>
        <w:spacing w:line="480" w:lineRule="auto"/>
        <w:ind w:firstLine="720"/>
      </w:pPr>
      <w:r>
        <w:t xml:space="preserve">Fourth, the dissertation hands over a method, good past the NASA portfolio, for pairing a survival estimator and a size estimator on one cohort to test whether the timing and size calls of an organizational-choice model both hold. The Department of Defense space-buy portfolio, the European Space Agency major-mission portfolio, and the emerging commercial in-space servicing buys logged in the AMOS record</w:t>
      </w:r>
      <w:r>
        <w:t xml:space="preserve"> </w:t>
      </w:r>
      <w:hyperlink w:anchor="ref-4">
        <w:r>
          <w:rPr>
            <w:rStyle w:val="Hyperlink"/>
          </w:rPr>
          <w:t xml:space="preserve">[4]</w:t>
        </w:r>
      </w:hyperlink>
      <w:r>
        <w:t xml:space="preserve"> </w:t>
      </w:r>
      <w:r>
        <w:t xml:space="preserve">are all candidate cohorts the same dual-estimator move could reach. The dissertation does not carry the method to those cohorts. It documents the method in enough detail that a later investigator can.</w:t>
      </w:r>
    </w:p>
    <w:bookmarkEnd w:id="128"/>
    <w:bookmarkStart w:id="129" w:name="what-the-dissertation-does-not-claim"/>
    <w:p>
      <w:pPr>
        <w:pStyle w:val="Heading2"/>
        <w:spacing w:line="480" w:lineRule="auto"/>
      </w:pPr>
      <w:r>
        <w:t xml:space="preserve">8.4 What the Dissertation Does Not Claim</w:t>
      </w:r>
    </w:p>
    <w:p>
      <w:pPr>
        <w:pStyle w:val="FirstParagraph"/>
        <w:spacing w:line="480" w:lineRule="auto"/>
      </w:pPr>
      <w:r>
        <w:t xml:space="preserve">A doctoral close is partly drawn by what it will not assert. The dissertation does not claim the garbage-can model is the only frame that fits the NASA major-project record, and it does not claim the orderly account is wrong through and through. The complexity coefficient on the size side wins back the sign and size the orderly account calls for, and the schedule-slip coefficient fits both accounts. The dissertation claims only that, where the two accounts make clashing calls about the rebaseline hazard, the present data favor the garbage-can call at the point estimate, and that this finding outlives the switch of estimator from survival to size in a way the framework spells out in advance.</w:t>
      </w:r>
    </w:p>
    <w:p>
      <w:pPr>
        <w:pStyle w:val="BodyText"/>
        <w:spacing w:line="480" w:lineRule="auto"/>
        <w:ind w:firstLine="720"/>
      </w:pPr>
      <w:r>
        <w:t xml:space="preserve">The dissertation does not claim external validity past the disclosed slice of the NASA portfolio. Classified national-security buys drop out by source restriction, and the governance writing on the Legacy-to-New Space swing</w:t>
      </w:r>
      <w:r>
        <w:t xml:space="preserve"> </w:t>
      </w:r>
      <w:hyperlink w:anchor="ref-2">
        <w:r>
          <w:rPr>
            <w:rStyle w:val="Hyperlink"/>
          </w:rPr>
          <w:t xml:space="preserve">[2]</w:t>
        </w:r>
      </w:hyperlink>
      <w:r>
        <w:t xml:space="preserve">[10] hints that the binding shape in those programs may run differently in ways the public record cannot settle. The dissertation reports its findings as conditional on the disclosed cohort and holds off on extrapolation. It likewise does not claim the size shift owed to fixed-price commercial services contracting is a fixed trait of the mode. It claims only that, in this sample, the shift runs large and tellable from zero, and that the CLPS and VIPER run logged by the NASA Office of Inspector General</w:t>
      </w:r>
      <w:r>
        <w:t xml:space="preserve"> </w:t>
      </w:r>
      <w:hyperlink w:anchor="ref-19">
        <w:r>
          <w:rPr>
            <w:rStyle w:val="Hyperlink"/>
          </w:rPr>
          <w:t xml:space="preserve">[19]</w:t>
        </w:r>
      </w:hyperlink>
      <w:r>
        <w:t xml:space="preserve">[26] gives reason to watch whether the shift narrows as the commercial services portfolio matures.</w:t>
      </w:r>
    </w:p>
    <w:p>
      <w:pPr>
        <w:pStyle w:val="BodyText"/>
        <w:spacing w:line="480" w:lineRule="auto"/>
        <w:ind w:firstLine="720"/>
      </w:pPr>
      <w:r>
        <w:t xml:space="preserve">The dissertation does not claim causal identification in the strict counterfactual sense. The covariates are observational, the cohort is small, and the regime shift between cost-plus and fixed-price commercial services is partly soaked into the new-space flag. What the dissertation hands over is conditional-mean and conditional-hazard estimates with explicit uncertainty quantification, triangulated against a qualitative record, against an a priori manual, and against the prior writing on organizational choice in buy settings. That is the boldest empirical claim the present evidence will carry.</w:t>
      </w:r>
    </w:p>
    <w:bookmarkEnd w:id="129"/>
    <w:bookmarkStart w:id="130" w:name="implications-and-a-closing-statement"/>
    <w:p>
      <w:pPr>
        <w:pStyle w:val="Heading2"/>
        <w:spacing w:line="480" w:lineRule="auto"/>
      </w:pPr>
      <w:r>
        <w:t xml:space="preserve">8.5 Implications and a Closing Statement</w:t>
      </w:r>
    </w:p>
    <w:p>
      <w:pPr>
        <w:pStyle w:val="FirstParagraph"/>
        <w:spacing w:line="480" w:lineRule="auto"/>
      </w:pPr>
      <w:r>
        <w:t xml:space="preserve">The implications for acquisition policy fall in three registers. For confirmation-review staff, the finding that complexity at confirmation is a weak hazard predictor, given the count of standing committees, hints that the marginal hour of technical risk review at KDP-C may buy less rebaseline avoidance than the marginal hour spent cutting the count of arenas the program must independently clear. For the appropriations committees, the finding that fixed-price commercial services contracting drags the conditional mean of cost growth heavily down, while leaving the schedule-slip channel open, hints that the mode buys cost discipline at a price paid partly in mission-pace risk. For the oversight community, the finding that schedule slip carries roughly one point of cost growth per month hints that schedule-protection authorities and cost-protection authorities are functionally one instrument seen from two ends, and that splitting them across offices may weaken both</w:t>
      </w:r>
      <w:r>
        <w:t xml:space="preserve"> </w:t>
      </w:r>
      <w:hyperlink w:anchor="ref-6">
        <w:r>
          <w:rPr>
            <w:rStyle w:val="Hyperlink"/>
          </w:rPr>
          <w:t xml:space="preserve">[6]</w:t>
        </w:r>
      </w:hyperlink>
      <w:r>
        <w:t xml:space="preserve">[22][23].</w:t>
      </w:r>
    </w:p>
    <w:p>
      <w:pPr>
        <w:pStyle w:val="BodyText"/>
        <w:spacing w:line="480" w:lineRule="auto"/>
        <w:ind w:firstLine="720"/>
      </w:pPr>
      <w:r>
        <w:t xml:space="preserve">The implications for the scholarly writing on organizational choice in buy settings run narrower. The dissertation shows that the garbage-can framework keeps operational and predictive content when its constructs get rendered as observable quantities in the record of a real buy portfolio. It shows that the framework’s timing and size calls come apart and that the coming-apart is informative. It shows that the public record of milestone reviews and Major Project Annual Assessments runs rich enough to allow the test, given an a priori manual and a disciplined sample-build. Those showings do not settle the standing quarrel between orderly and garbage-can accounts of buy decision making. They plant the quarrel where evidence can rule on it.</w:t>
      </w:r>
    </w:p>
    <w:p>
      <w:pPr>
        <w:pStyle w:val="BodyText"/>
        <w:spacing w:line="480" w:lineRule="auto"/>
        <w:ind w:firstLine="720"/>
      </w:pPr>
      <w:r>
        <w:t xml:space="preserve">The dissertation closes on one proposition, put back here in the form the empirical chapters earn. Major space-program milestone reviews, as seen in the public record of the modern United States civil space portfolio, do not steadily run as the orderly stage-gates their charters draw. The swing off the template is not random and does not spread evenly across the program-management variables the writing has long stressed. It gathers in the count of standing arenas the program must independently clear, in the time the program spends inside them before its first formal rebaseline, and in the acquisition mode its post-confirmation cost discipline runs under. The reforms now moving across the civil space portfolio, the ones logged in the New Space governance writing</w:t>
      </w:r>
      <w:r>
        <w:t xml:space="preserve"> </w:t>
      </w:r>
      <w:hyperlink w:anchor="ref-2">
        <w:r>
          <w:rPr>
            <w:rStyle w:val="Hyperlink"/>
          </w:rPr>
          <w:t xml:space="preserve">[2]</w:t>
        </w:r>
      </w:hyperlink>
      <w:r>
        <w:t xml:space="preserve">[10] and in the most recent Major Project Annual Assessment</w:t>
      </w:r>
      <w:r>
        <w:t xml:space="preserve"> </w:t>
      </w:r>
      <w:hyperlink w:anchor="ref-6">
        <w:r>
          <w:rPr>
            <w:rStyle w:val="Hyperlink"/>
          </w:rPr>
          <w:t xml:space="preserve">[6]</w:t>
        </w:r>
      </w:hyperlink>
      <w:r>
        <w:t xml:space="preserve">[22] among them, are reaching some of those variables and not others. The dissertation’s closing recommendation, offered in the doctoral register and not the policy one, is that the variables the present evidence marks as the strongest predictors of rebaseline hazard and cost-growth size should be the variables the next decade of acquisition reform hangs the heaviest evidentiary weight on. The data the dissertation gathered, the estimators it fit, and the record it rebuilt are handed to that later work as a starting point later investigators may stretch, contest, or supersede.</w:t>
      </w:r>
    </w:p>
    <w:bookmarkEnd w:id="130"/>
    <w:bookmarkStart w:id="182" w:name="references"/>
    <w:p>
      <w:pPr>
        <w:pStyle w:val="Heading2"/>
        <w:spacing w:line="480" w:lineRule="auto"/>
      </w:pPr>
      <w:r>
        <w:t xml:space="preserve">References</w:t>
      </w:r>
    </w:p>
    <w:p>
      <w:pPr>
        <w:pStyle w:val="FirstParagraph"/>
        <w:spacing w:line="480" w:lineRule="auto"/>
      </w:pPr>
      <w:bookmarkStart w:id="131" w:name="ref-1"/>
      <w:bookmarkEnd w:id="131"/>
      <w:r>
        <w:t xml:space="preserve">1. L. Haines and P. Phu,</w:t>
      </w:r>
      <w:r>
        <w:t xml:space="preserve"> </w:t>
      </w:r>
      <w:r>
        <w:t xml:space="preserve">“Space Fence PDR Concept Development Phase,”</w:t>
      </w:r>
      <w:r>
        <w:t xml:space="preserve"> </w:t>
      </w:r>
      <w:r>
        <w:t xml:space="preserve">Proc. Advanced Maui Optical and Space Surveillance Technologies (AMOS) Conference, 2011. https://amostech.space/year/2011/space-fence-pdr-concept-development-phase/</w:t>
      </w:r>
    </w:p>
    <w:p>
      <w:pPr>
        <w:pStyle w:val="BodyText"/>
        <w:spacing w:line="480" w:lineRule="auto"/>
        <w:ind w:firstLine="720"/>
      </w:pPr>
      <w:bookmarkStart w:id="132" w:name="ref-2"/>
      <w:bookmarkEnd w:id="132"/>
      <w:r>
        <w:t xml:space="preserve">2. V. Zancan, A. Paravano, G. Locatelli, and P. Trucco,</w:t>
      </w:r>
      <w:r>
        <w:t xml:space="preserve"> </w:t>
      </w:r>
      <w:r>
        <w:t xml:space="preserve">“Evolving governance in the space sector: From Legacy Space to New Space models,”</w:t>
      </w:r>
      <w:r>
        <w:t xml:space="preserve"> </w:t>
      </w:r>
      <w:r>
        <w:t xml:space="preserve">Acta Astronautica, vol. 225, 2024. https://doi.org/10.1016/j.actaastro.2024.09.005</w:t>
      </w:r>
    </w:p>
    <w:p>
      <w:pPr>
        <w:pStyle w:val="BodyText"/>
        <w:spacing w:line="480" w:lineRule="auto"/>
        <w:ind w:firstLine="720"/>
      </w:pPr>
      <w:bookmarkStart w:id="133" w:name="ref-3"/>
      <w:bookmarkEnd w:id="133"/>
      <w:r>
        <w:t xml:space="preserve">3. J. Krolikowski, S. Medeiros, E. Jones, V. Kong, J. Silvas, and J. C. Echeverry,</w:t>
      </w:r>
      <w:r>
        <w:t xml:space="preserve"> </w:t>
      </w:r>
      <w:r>
        <w:t xml:space="preserve">“Space Command and Control Program, Kobayashi Maru,”</w:t>
      </w:r>
      <w:r>
        <w:t xml:space="preserve"> </w:t>
      </w:r>
      <w:r>
        <w:t xml:space="preserve">Proc. Advanced Maui Optical and Space Surveillance Technologies (AMOS) Conference, 2020. https://amostech.space/year/2020/space-command-and-control-program-kobayashi-maru-2/</w:t>
      </w:r>
    </w:p>
    <w:p>
      <w:pPr>
        <w:pStyle w:val="BodyText"/>
        <w:spacing w:line="480" w:lineRule="auto"/>
        <w:ind w:firstLine="720"/>
      </w:pPr>
      <w:bookmarkStart w:id="134" w:name="ref-4"/>
      <w:bookmarkEnd w:id="134"/>
      <w:r>
        <w:t xml:space="preserve">4. J. Smith, M. Jah, and D. Wood,</w:t>
      </w:r>
      <w:r>
        <w:t xml:space="preserve"> </w:t>
      </w:r>
      <w:r>
        <w:t xml:space="preserve">“Architecting a Decision Support System for Continuing Supervision of Commercial In-Space Servicing,”</w:t>
      </w:r>
      <w:r>
        <w:t xml:space="preserve"> </w:t>
      </w:r>
      <w:r>
        <w:t xml:space="preserve">Proc. Advanced Maui Optical and Space Surveillance Technologies (AMOS) Conference, 2024. https://amostech.space/year/2024/architecting-a-decision-support-system-for-continuing-supervision-of-commercial-in-space-servicing/</w:t>
      </w:r>
    </w:p>
    <w:p>
      <w:pPr>
        <w:pStyle w:val="BodyText"/>
        <w:spacing w:line="480" w:lineRule="auto"/>
        <w:ind w:firstLine="720"/>
      </w:pPr>
      <w:bookmarkStart w:id="135" w:name="ref-5"/>
      <w:bookmarkEnd w:id="135"/>
      <w:r>
        <w:t xml:space="preserve">5. I. I. Hussein, T. Kubancik, E. Griggs, H. Borowski, and M. Bolden,</w:t>
      </w:r>
      <w:r>
        <w:t xml:space="preserve"> </w:t>
      </w:r>
      <w:r>
        <w:t xml:space="preserve">“Risk-Based Decision-Making for Space Traffic Management,”</w:t>
      </w:r>
      <w:r>
        <w:t xml:space="preserve"> </w:t>
      </w:r>
      <w:r>
        <w:t xml:space="preserve">Proc. Advanced Maui Optical and Space Surveillance Technologies (AMOS) Conference, 2022. https://amostech.space/year/2022/risk-based-decision-making-for-space-traffic-management/</w:t>
      </w:r>
    </w:p>
    <w:p>
      <w:pPr>
        <w:pStyle w:val="BodyText"/>
        <w:spacing w:line="480" w:lineRule="auto"/>
        <w:ind w:firstLine="720"/>
      </w:pPr>
      <w:bookmarkStart w:id="136" w:name="ref-6"/>
      <w:bookmarkEnd w:id="136"/>
      <w:r>
        <w:t xml:space="preserve">6. U.S. Government Accountability Office, NASA Assessments of Major Projects, GAO-25-107591, 2025, gao.gov/products/gao-25-107591.</w:t>
      </w:r>
    </w:p>
    <w:p>
      <w:pPr>
        <w:pStyle w:val="BodyText"/>
        <w:spacing w:line="480" w:lineRule="auto"/>
        <w:ind w:firstLine="720"/>
      </w:pPr>
      <w:bookmarkStart w:id="137" w:name="ref-7"/>
      <w:bookmarkEnd w:id="137"/>
      <w:r>
        <w:t xml:space="preserve">7. M. D. Cohen, J. G. March, and J. P. Olsen, A Garbage Can Model of Organizational Choice, Administrative Science Quarterly, vol. 17, no. 1, pp. 1-25, 1972.</w:t>
      </w:r>
    </w:p>
    <w:p>
      <w:pPr>
        <w:pStyle w:val="BodyText"/>
        <w:spacing w:line="480" w:lineRule="auto"/>
        <w:ind w:firstLine="720"/>
      </w:pPr>
      <w:bookmarkStart w:id="138" w:name="ref-8"/>
      <w:bookmarkEnd w:id="138"/>
      <w:r>
        <w:t xml:space="preserve">8. J. G. March and H. A. Simon, Organizations, 2nd ed., Wiley-Blackwell, 1993.</w:t>
      </w:r>
    </w:p>
    <w:p>
      <w:pPr>
        <w:pStyle w:val="BodyText"/>
        <w:spacing w:line="480" w:lineRule="auto"/>
        <w:ind w:firstLine="720"/>
      </w:pPr>
      <w:bookmarkStart w:id="139" w:name="ref-9"/>
      <w:bookmarkEnd w:id="139"/>
      <w:r>
        <w:t xml:space="preserve">9. M. Weinzierl, Space, the Final Economic Frontier, Journal of Economic Perspectives, vol. 32, no. 2, pp. 173-192, 2018.</w:t>
      </w:r>
    </w:p>
    <w:p>
      <w:pPr>
        <w:pStyle w:val="BodyText"/>
        <w:spacing w:line="480" w:lineRule="auto"/>
        <w:ind w:firstLine="720"/>
      </w:pPr>
      <w:bookmarkStart w:id="140" w:name="ref-10"/>
      <w:bookmarkEnd w:id="140"/>
      <w:r>
        <w:t xml:space="preserve">10. M. Zancan et al., Architectural Socio-Technological Transformative Change of Space-Use Norms, Acta Astronautica, 2024.</w:t>
      </w:r>
    </w:p>
    <w:p>
      <w:pPr>
        <w:pStyle w:val="BodyText"/>
        <w:spacing w:line="480" w:lineRule="auto"/>
        <w:ind w:firstLine="720"/>
      </w:pPr>
      <w:bookmarkStart w:id="141" w:name="ref-11"/>
      <w:bookmarkEnd w:id="141"/>
      <w:r>
        <w:t xml:space="preserve">11. U.S. Government Accountability Office, NASA Major Projects, GAO-22-105212, 2022, gao.gov/products/gao-22-105212.</w:t>
      </w:r>
    </w:p>
    <w:p>
      <w:pPr>
        <w:pStyle w:val="BodyText"/>
        <w:spacing w:line="480" w:lineRule="auto"/>
        <w:ind w:firstLine="720"/>
      </w:pPr>
      <w:bookmarkStart w:id="142" w:name="ref-12"/>
      <w:bookmarkEnd w:id="142"/>
      <w:r>
        <w:t xml:space="preserve">12. U.S. Government Accountability Office, NASA Major Projects, GAO-20-405, 2020, gao.gov/products/gao-20-405.</w:t>
      </w:r>
    </w:p>
    <w:p>
      <w:pPr>
        <w:pStyle w:val="BodyText"/>
        <w:spacing w:line="480" w:lineRule="auto"/>
        <w:ind w:firstLine="720"/>
      </w:pPr>
      <w:bookmarkStart w:id="143" w:name="ref-13"/>
      <w:bookmarkEnd w:id="143"/>
      <w:r>
        <w:t xml:space="preserve">13. U.S. Government Accountability Office, NASA Major Projects, GAO-19-262SP, 2019, gao.gov/products/gao-19-262sp.</w:t>
      </w:r>
    </w:p>
    <w:p>
      <w:pPr>
        <w:pStyle w:val="BodyText"/>
        <w:spacing w:line="480" w:lineRule="auto"/>
        <w:ind w:firstLine="720"/>
      </w:pPr>
      <w:bookmarkStart w:id="144" w:name="ref-14"/>
      <w:bookmarkEnd w:id="144"/>
      <w:r>
        <w:t xml:space="preserve">14. U.S. Government Accountability Office, NASA Major Projects, GAO-17-262SP, 2017, gao.gov/products/gao-17-262sp.</w:t>
      </w:r>
    </w:p>
    <w:p>
      <w:pPr>
        <w:pStyle w:val="BodyText"/>
        <w:spacing w:line="480" w:lineRule="auto"/>
        <w:ind w:firstLine="720"/>
      </w:pPr>
      <w:bookmarkStart w:id="145" w:name="ref-15"/>
      <w:bookmarkEnd w:id="145"/>
      <w:r>
        <w:t xml:space="preserve">15. U.S. Government Accountability Office, NASA Major Projects, GAO-16-309SP, 2016, gao.gov/products/gao-16-309sp.</w:t>
      </w:r>
    </w:p>
    <w:p>
      <w:pPr>
        <w:pStyle w:val="BodyText"/>
        <w:spacing w:line="480" w:lineRule="auto"/>
        <w:ind w:firstLine="720"/>
      </w:pPr>
      <w:bookmarkStart w:id="146" w:name="ref-16"/>
      <w:bookmarkEnd w:id="146"/>
      <w:r>
        <w:t xml:space="preserve">16. U.S. Government Accountability Office, NASA Major Projects, GAO-14-338SP, 2014, gao.gov/products/gao-14-338sp.</w:t>
      </w:r>
    </w:p>
    <w:p>
      <w:pPr>
        <w:pStyle w:val="BodyText"/>
        <w:spacing w:line="480" w:lineRule="auto"/>
        <w:ind w:firstLine="720"/>
      </w:pPr>
      <w:bookmarkStart w:id="147" w:name="ref-17"/>
      <w:bookmarkEnd w:id="147"/>
      <w:r>
        <w:t xml:space="preserve">17. U.S. Government Accountability Office, NASA Major Projects, GAO-13-276SP, 2013, gao.gov/products/gao-13-276sp.</w:t>
      </w:r>
    </w:p>
    <w:p>
      <w:pPr>
        <w:pStyle w:val="BodyText"/>
        <w:spacing w:line="480" w:lineRule="auto"/>
        <w:ind w:firstLine="720"/>
      </w:pPr>
      <w:bookmarkStart w:id="148" w:name="ref-18"/>
      <w:bookmarkEnd w:id="148"/>
      <w:r>
        <w:t xml:space="preserve">18. U.S. Government Accountability Office, NASA Major Projects, GAO-12-207SP, 2012, gao.gov/products/gao-12-207sp.</w:t>
      </w:r>
    </w:p>
    <w:p>
      <w:pPr>
        <w:pStyle w:val="BodyText"/>
        <w:spacing w:line="480" w:lineRule="auto"/>
        <w:ind w:firstLine="720"/>
      </w:pPr>
      <w:bookmarkStart w:id="149" w:name="ref-19"/>
      <w:bookmarkEnd w:id="149"/>
      <w:r>
        <w:t xml:space="preserve">19. NASA Office of Inspector General, NASA’s Commercial Lunar Payload Services Initiative, IG-22-003, 2021, oig.nasa.gov/docs/IG-22-003.pdf.</w:t>
      </w:r>
    </w:p>
    <w:p>
      <w:pPr>
        <w:pStyle w:val="BodyText"/>
        <w:spacing w:line="480" w:lineRule="auto"/>
        <w:ind w:firstLine="720"/>
      </w:pPr>
      <w:bookmarkStart w:id="150" w:name="ref-20"/>
      <w:bookmarkEnd w:id="150"/>
      <w:r>
        <w:t xml:space="preserve">20. U.S. Government Accountability Office, NASA Lunar Programs, GAO-23-105609, 2023, gao.gov/products/gao-23-105609.</w:t>
      </w:r>
    </w:p>
    <w:p>
      <w:pPr>
        <w:pStyle w:val="BodyText"/>
        <w:spacing w:line="480" w:lineRule="auto"/>
        <w:ind w:firstLine="720"/>
      </w:pPr>
      <w:bookmarkStart w:id="151" w:name="ref-21"/>
      <w:bookmarkEnd w:id="151"/>
      <w:r>
        <w:t xml:space="preserve">21. J. W. Kingdon, Agendas, Alternatives, and Public Policies, Little, Brown, 1984.</w:t>
      </w:r>
    </w:p>
    <w:p>
      <w:pPr>
        <w:pStyle w:val="BodyText"/>
        <w:spacing w:line="480" w:lineRule="auto"/>
        <w:ind w:firstLine="720"/>
      </w:pPr>
      <w:bookmarkStart w:id="152" w:name="ref-22"/>
      <w:bookmarkEnd w:id="152"/>
      <w:r>
        <w:t xml:space="preserve">22. U.S. Government Accountability Office, NASA Major Project Annual Assessment, gao-25-107591, 2025, gao.gov/products/gao-25-107591.</w:t>
      </w:r>
    </w:p>
    <w:p>
      <w:pPr>
        <w:pStyle w:val="BodyText"/>
        <w:spacing w:line="480" w:lineRule="auto"/>
        <w:ind w:firstLine="720"/>
      </w:pPr>
      <w:bookmarkStart w:id="153" w:name="ref-23"/>
      <w:bookmarkEnd w:id="153"/>
      <w:r>
        <w:t xml:space="preserve">23. U.S. Government Accountability Office, NASA Major Project Assessment, gao-24-106767, 2024, gao.gov/products/gao-24-106767.</w:t>
      </w:r>
    </w:p>
    <w:p>
      <w:pPr>
        <w:pStyle w:val="BodyText"/>
        <w:spacing w:line="480" w:lineRule="auto"/>
        <w:ind w:firstLine="720"/>
      </w:pPr>
      <w:bookmarkStart w:id="154" w:name="ref-24"/>
      <w:bookmarkEnd w:id="154"/>
      <w:r>
        <w:t xml:space="preserve">24. U.S. Government Accountability Office, NASA Commercial Crew Program, gao-18-317, 2018, gao.gov/products/gao-18-317.</w:t>
      </w:r>
    </w:p>
    <w:p>
      <w:pPr>
        <w:pStyle w:val="BodyText"/>
        <w:spacing w:line="480" w:lineRule="auto"/>
        <w:ind w:firstLine="720"/>
      </w:pPr>
      <w:bookmarkStart w:id="155" w:name="ref-25"/>
      <w:bookmarkEnd w:id="155"/>
      <w:r>
        <w:t xml:space="preserve">25. U.S. Government Accountability Office, NASA Human Landing System, gao-24-107249, 2024, gao.gov/products/gao-24-107249.</w:t>
      </w:r>
    </w:p>
    <w:p>
      <w:pPr>
        <w:pStyle w:val="BodyText"/>
        <w:spacing w:line="480" w:lineRule="auto"/>
        <w:ind w:firstLine="720"/>
      </w:pPr>
      <w:bookmarkStart w:id="156" w:name="ref-26"/>
      <w:bookmarkEnd w:id="156"/>
      <w:r>
        <w:t xml:space="preserve">26. NASA Office of Inspector General, NASA’s Volatiles Investigating Polar Exploration Rover Project, IG-24-006, 2024, oig.nasa.gov/docs/IG-24-006.pdf.</w:t>
      </w:r>
    </w:p>
    <w:p>
      <w:pPr>
        <w:pStyle w:val="BodyText"/>
        <w:spacing w:line="480" w:lineRule="auto"/>
        <w:ind w:firstLine="720"/>
      </w:pPr>
      <w:bookmarkStart w:id="157" w:name="ref-27"/>
      <w:bookmarkEnd w:id="157"/>
      <w:r>
        <w:t xml:space="preserve">27. Paul Picciano (Aptima). Human Decision Processes: Implications for SSA support tools (2013).</w:t>
      </w:r>
    </w:p>
    <w:p>
      <w:pPr>
        <w:pStyle w:val="BodyText"/>
        <w:spacing w:line="480" w:lineRule="auto"/>
        <w:ind w:firstLine="720"/>
      </w:pPr>
      <w:bookmarkStart w:id="158" w:name="ref-28"/>
      <w:bookmarkEnd w:id="158"/>
      <w:r>
        <w:t xml:space="preserve">28.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w:t>
      </w:r>
    </w:p>
    <w:p>
      <w:pPr>
        <w:pStyle w:val="BodyText"/>
        <w:spacing w:line="480" w:lineRule="auto"/>
        <w:ind w:firstLine="720"/>
      </w:pPr>
      <w:bookmarkStart w:id="159" w:name="ref-29"/>
      <w:bookmarkEnd w:id="159"/>
      <w:r>
        <w:t xml:space="preserve">29. Marcus Holzinger (University of Colorado at Boulder), Daniel Scheeres (University of Colorado at Boulder). Reachability Analysis Applied to Space Situational Awareness (2009).</w:t>
      </w:r>
    </w:p>
    <w:p>
      <w:pPr>
        <w:pStyle w:val="BodyText"/>
        <w:spacing w:line="480" w:lineRule="auto"/>
        <w:ind w:firstLine="720"/>
      </w:pPr>
      <w:bookmarkStart w:id="160" w:name="ref-30"/>
      <w:bookmarkEnd w:id="160"/>
      <w:r>
        <w:t xml:space="preserve">30. Frederick Tarantino, SAF/SQS. Memo on Space Debris Summit and Active Debris Removal (2022).</w:t>
      </w:r>
    </w:p>
    <w:p>
      <w:pPr>
        <w:pStyle w:val="BodyText"/>
        <w:spacing w:line="480" w:lineRule="auto"/>
        <w:ind w:firstLine="720"/>
      </w:pPr>
      <w:bookmarkStart w:id="161" w:name="ref-31"/>
      <w:bookmarkEnd w:id="161"/>
      <w:r>
        <w:t xml:space="preserve">31. David Buehler, AFRL/RV; Dane Fuller, AFIT/CSRA; John Colombi, AFIT/ENV; William Wiesel, AFIT/ENY; Dave Meyer, AFIT/ENY; Richard Cobb, AFIT/ENY. Utilizing Supercomputing to Analyze Risks of an Emergent Large-scale Debris Field in Low Earth Orbit (2018).</w:t>
      </w:r>
    </w:p>
    <w:p>
      <w:pPr>
        <w:pStyle w:val="BodyText"/>
        <w:spacing w:line="480" w:lineRule="auto"/>
        <w:ind w:firstLine="720"/>
      </w:pPr>
      <w:bookmarkStart w:id="162" w:name="ref-32"/>
      <w:bookmarkEnd w:id="162"/>
      <w:r>
        <w:t xml:space="preserve">32. Islam I. Hussein, Trusted Space, Inc.; Thomas Kubancik, Trusted Space, Inc; Erin Griggs, Trusted Space, Inc.; Holly Borowski, Trusted Space, Inc.; Mark Bolden, Trusted Space, Inc.. Risk-Based Decision-Making for Space Traffic Management (2022).</w:t>
      </w:r>
    </w:p>
    <w:p>
      <w:pPr>
        <w:pStyle w:val="BodyText"/>
        <w:spacing w:line="480" w:lineRule="auto"/>
        <w:ind w:firstLine="720"/>
      </w:pPr>
      <w:bookmarkStart w:id="163" w:name="ref-33"/>
      <w:bookmarkEnd w:id="163"/>
      <w:r>
        <w:t xml:space="preserve">33. Oliver Schultz, Lockheed Martin; Joseph Brink, Lockheed Martin; Mark Williams, Lockheed Martin; Christopher Curry, Lockheed Martin. Data Insights, Pedigree, and Automation for Space Domain Awareness (2024). doi:</w:t>
      </w:r>
      <w:r>
        <w:t xml:space="preserve"> </w:t>
      </w:r>
      <w:hyperlink r:id="rId164">
        <w:r>
          <w:rPr>
            <w:rStyle w:val="Hyperlink"/>
          </w:rPr>
          <w:t xml:space="preserve">10.64861/NUFH1261</w:t>
        </w:r>
      </w:hyperlink>
    </w:p>
    <w:p>
      <w:pPr>
        <w:pStyle w:val="BodyText"/>
        <w:spacing w:line="480" w:lineRule="auto"/>
        <w:ind w:firstLine="720"/>
      </w:pPr>
      <w:bookmarkStart w:id="165" w:name="ref-34"/>
      <w:bookmarkEnd w:id="165"/>
      <w:r>
        <w:t xml:space="preserve">34. Paul Picciano (Aptima, Inc.), Nathan Schurr (Aptima, Inc.), Gabe Ganberg (Aptima, Inc.). Enhanced Collaboration for Space Situational Awareness via Proxy Agents (2012).</w:t>
      </w:r>
    </w:p>
    <w:p>
      <w:pPr>
        <w:pStyle w:val="BodyText"/>
        <w:spacing w:line="480" w:lineRule="auto"/>
        <w:ind w:firstLine="720"/>
      </w:pPr>
      <w:bookmarkStart w:id="166" w:name="ref-35"/>
      <w:bookmarkEnd w:id="166"/>
      <w:r>
        <w:t xml:space="preserve">35. Kosuke Ikeya; Michel‐Alexandre Cardin; J.J. Cilliers; Stanley Starr; Kathryn Hadler. Multi-objective decision-making for flexible design and planning of oxygen production facilities in an uncertain lunar environment (2025). doi:</w:t>
      </w:r>
      <w:r>
        <w:t xml:space="preserve"> </w:t>
      </w:r>
      <w:hyperlink r:id="rId167">
        <w:r>
          <w:rPr>
            <w:rStyle w:val="Hyperlink"/>
          </w:rPr>
          <w:t xml:space="preserve">10.1016/j.actaastro.2025.07.014</w:t>
        </w:r>
      </w:hyperlink>
    </w:p>
    <w:p>
      <w:pPr>
        <w:pStyle w:val="BodyText"/>
        <w:spacing w:line="480" w:lineRule="auto"/>
        <w:ind w:firstLine="720"/>
      </w:pPr>
      <w:bookmarkStart w:id="168" w:name="ref-36"/>
      <w:bookmarkEnd w:id="168"/>
      <w:r>
        <w:t xml:space="preserve">36. Noelia Sánchez-Ortíz; Danielle Wood; Lesley Smith; Carmen Gregori De La Malla; Maruška Strah; Maren Huelsmann; Marius Stanciu-Manolescu; P. Ubertini; Balbir Singh. Outreach on Space Traffic Management (2025). doi:</w:t>
      </w:r>
      <w:r>
        <w:t xml:space="preserve"> </w:t>
      </w:r>
      <w:hyperlink r:id="rId169">
        <w:r>
          <w:rPr>
            <w:rStyle w:val="Hyperlink"/>
          </w:rPr>
          <w:t xml:space="preserve">10.1016/j.actaastro.2025.01.031</w:t>
        </w:r>
      </w:hyperlink>
    </w:p>
    <w:p>
      <w:pPr>
        <w:pStyle w:val="BodyText"/>
        <w:spacing w:line="480" w:lineRule="auto"/>
        <w:ind w:firstLine="720"/>
      </w:pPr>
      <w:bookmarkStart w:id="170" w:name="ref-37"/>
      <w:bookmarkEnd w:id="170"/>
      <w:r>
        <w:t xml:space="preserve">37. Marc D. Rayman. Lessons from the Dawn mission to Ceres and Vesta (2020). doi:</w:t>
      </w:r>
      <w:r>
        <w:t xml:space="preserve"> </w:t>
      </w:r>
      <w:hyperlink r:id="rId171">
        <w:r>
          <w:rPr>
            <w:rStyle w:val="Hyperlink"/>
          </w:rPr>
          <w:t xml:space="preserve">10.1016/j.actaastro.2020.06.023</w:t>
        </w:r>
      </w:hyperlink>
    </w:p>
    <w:p>
      <w:pPr>
        <w:pStyle w:val="BodyText"/>
        <w:spacing w:line="480" w:lineRule="auto"/>
        <w:ind w:firstLine="720"/>
      </w:pPr>
      <w:bookmarkStart w:id="172" w:name="ref-38"/>
      <w:bookmarkEnd w:id="172"/>
      <w:r>
        <w:t xml:space="preserve">38. Scott Dorrington; John Olsen. Parametric economic modelling of asteroid mining architectures (2025). doi:</w:t>
      </w:r>
      <w:r>
        <w:t xml:space="preserve"> </w:t>
      </w:r>
      <w:hyperlink r:id="rId173">
        <w:r>
          <w:rPr>
            <w:rStyle w:val="Hyperlink"/>
          </w:rPr>
          <w:t xml:space="preserve">10.1016/j.actaastro.2025.11.006</w:t>
        </w:r>
      </w:hyperlink>
    </w:p>
    <w:p>
      <w:pPr>
        <w:pStyle w:val="BodyText"/>
        <w:spacing w:line="480" w:lineRule="auto"/>
        <w:ind w:firstLine="720"/>
      </w:pPr>
      <w:bookmarkStart w:id="174" w:name="ref-39"/>
      <w:bookmarkEnd w:id="174"/>
      <w:r>
        <w:t xml:space="preserve">39. Makreli Maria-Eleni; Charidemou Evelina. The impact of actual and simulated space conditions on the gut microbiome and the modulatory role of nutrition: A systematic review and meta-analysis (2026). doi:</w:t>
      </w:r>
      <w:r>
        <w:t xml:space="preserve"> </w:t>
      </w:r>
      <w:hyperlink r:id="rId175">
        <w:r>
          <w:rPr>
            <w:rStyle w:val="Hyperlink"/>
          </w:rPr>
          <w:t xml:space="preserve">10.1016/j.actaastro.2026.01.006</w:t>
        </w:r>
      </w:hyperlink>
    </w:p>
    <w:p>
      <w:pPr>
        <w:pStyle w:val="BodyText"/>
        <w:spacing w:line="480" w:lineRule="auto"/>
        <w:ind w:firstLine="720"/>
      </w:pPr>
      <w:bookmarkStart w:id="176" w:name="ref-40"/>
      <w:bookmarkEnd w:id="176"/>
      <w:r>
        <w:t xml:space="preserve">40.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77">
        <w:r>
          <w:rPr>
            <w:rStyle w:val="Hyperlink"/>
          </w:rPr>
          <w:t xml:space="preserve">10.1016/j.actaastro.2023.07.009</w:t>
        </w:r>
      </w:hyperlink>
    </w:p>
    <w:p>
      <w:pPr>
        <w:pStyle w:val="BodyText"/>
        <w:spacing w:line="480" w:lineRule="auto"/>
        <w:ind w:firstLine="720"/>
      </w:pPr>
      <w:bookmarkStart w:id="178" w:name="ref-41"/>
      <w:bookmarkEnd w:id="178"/>
      <w:r>
        <w:t xml:space="preserve">41. Elena Cirkovic; Danielle Wood. “Integrating planetary boundaries into sustainable space exploration: An earth-outer space system design framework” (2024). doi:</w:t>
      </w:r>
      <w:r>
        <w:t xml:space="preserve"> </w:t>
      </w:r>
      <w:hyperlink r:id="rId179">
        <w:r>
          <w:rPr>
            <w:rStyle w:val="Hyperlink"/>
          </w:rPr>
          <w:t xml:space="preserve">10.1016/j.actaastro.2024.12.037</w:t>
        </w:r>
      </w:hyperlink>
    </w:p>
    <w:p>
      <w:pPr>
        <w:pStyle w:val="BodyText"/>
        <w:spacing w:line="480" w:lineRule="auto"/>
        <w:ind w:firstLine="720"/>
      </w:pPr>
      <w:bookmarkStart w:id="180" w:name="ref-42"/>
      <w:bookmarkEnd w:id="180"/>
      <w:r>
        <w:t xml:space="preserve">42. S. Kazemi; Nasser L. Azad; Kuindersma Scott; Haroon B. Oqab; George B. Dietrich. Orbit determination for space situational awareness: A survey (2024). doi:</w:t>
      </w:r>
      <w:r>
        <w:t xml:space="preserve"> </w:t>
      </w:r>
      <w:hyperlink r:id="rId181">
        <w:r>
          <w:rPr>
            <w:rStyle w:val="Hyperlink"/>
          </w:rPr>
          <w:t xml:space="preserve">10.1016/j.actaastro.2024.06.015</w:t>
        </w:r>
      </w:hyperlink>
    </w:p>
    <w:bookmarkEnd w:id="182"/>
    <w:bookmarkEnd w:id="183"/>
    <w:bookmarkStart w:id="20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1" w:name="Xa8595a66cffaf67761fb1d8b28581b30b5d5dc0"/>
    <w:p>
      <w:pPr>
        <w:pStyle w:val="Heading2"/>
        <w:spacing w:line="480" w:lineRule="auto"/>
      </w:pPr>
      <w:r>
        <w:t xml:space="preserve">A.1 Decision by Committee, Outcome by Chance: A Cox Survival Test of Time-to-Rebaseline in NASA Major Projects</w:t>
      </w:r>
    </w:p>
    <w:p>
      <w:pPr>
        <w:pStyle w:val="FirstParagraph"/>
        <w:spacing w:line="480" w:lineRule="auto"/>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r>
            <m:rPr>
              <m:sty m:val="p"/>
            </m:rPr>
            <m:t>+</m:t>
          </m:r>
          <m:sSub>
            <m:e>
              <m:r>
                <m:t>β</m:t>
              </m:r>
            </m:e>
            <m:sub>
              <m:r>
                <m:t>2</m:t>
              </m:r>
            </m:sub>
          </m:sSub>
          <m:sSub>
            <m:e>
              <m:r>
                <m:rPr>
                  <m:sty m:val="p"/>
                </m:rPr>
                <m:t>C</m:t>
              </m:r>
              <m:r>
                <m:rPr>
                  <m:sty m:val="p"/>
                </m:rPr>
                <m:t>o</m:t>
              </m:r>
              <m:r>
                <m:rPr>
                  <m:sty m:val="p"/>
                </m:rPr>
                <m:t>m</m:t>
              </m:r>
              <m:r>
                <m:rPr>
                  <m:sty m:val="p"/>
                </m:rPr>
                <m:t>m</m:t>
              </m:r>
              <m:r>
                <m:rPr>
                  <m:sty m:val="p"/>
                </m:rPr>
                <m:t>i</m:t>
              </m:r>
              <m:r>
                <m:rPr>
                  <m:sty m:val="p"/>
                </m:rPr>
                <m:t>t</m:t>
              </m:r>
              <m:r>
                <m:rPr>
                  <m:sty m:val="p"/>
                </m:rPr>
                <m:t>t</m:t>
              </m:r>
              <m:r>
                <m:rPr>
                  <m:sty m:val="p"/>
                </m:rPr>
                <m:t>e</m:t>
              </m:r>
              <m:r>
                <m:rPr>
                  <m:sty m:val="p"/>
                </m:rPr>
                <m:t>e</m:t>
              </m:r>
              <m:r>
                <m:rPr>
                  <m:sty m:val="p"/>
                </m:rPr>
                <m:t>s</m:t>
              </m:r>
            </m:e>
            <m:sub>
              <m:r>
                <m:t>i</m:t>
              </m:r>
            </m:sub>
          </m:sSub>
          <m:r>
            <m:rPr>
              <m:sty m:val="p"/>
            </m:rPr>
            <m:t>+</m:t>
          </m:r>
          <m:sSub>
            <m:e>
              <m:r>
                <m:t>β</m:t>
              </m:r>
            </m:e>
            <m:sub>
              <m:r>
                <m:t>3</m:t>
              </m:r>
            </m:sub>
          </m:sSub>
          <m:sSub>
            <m:e>
              <m:r>
                <m:rPr>
                  <m:sty m:val="p"/>
                </m:rPr>
                <m:t>P</m:t>
              </m:r>
              <m:r>
                <m:rPr>
                  <m:sty m:val="p"/>
                </m:rPr>
                <m:t>r</m:t>
              </m:r>
              <m:r>
                <m:rPr>
                  <m:sty m:val="p"/>
                </m:rPr>
                <m:t>i</m:t>
              </m:r>
              <m:r>
                <m:rPr>
                  <m:sty m:val="p"/>
                </m:rPr>
                <m:t>m</m:t>
              </m:r>
              <m:r>
                <m:rPr>
                  <m:sty m:val="p"/>
                </m:rPr>
                <m:t>e</m:t>
              </m:r>
              <m:r>
                <m:rPr>
                  <m:sty m:val="p"/>
                </m:rPr>
                <m:t>s</m:t>
              </m:r>
            </m:e>
            <m:sub>
              <m:r>
                <m:t>i</m:t>
              </m:r>
            </m:sub>
          </m:sSub>
          <m:r>
            <m:rPr>
              <m:sty m:val="p"/>
            </m:rPr>
            <m:t>+</m:t>
          </m:r>
          <m:sSub>
            <m:e>
              <m:r>
                <m:t>β</m:t>
              </m:r>
            </m:e>
            <m:sub>
              <m:r>
                <m:t>4</m:t>
              </m:r>
            </m:sub>
          </m:sSub>
          <m:sSub>
            <m:e>
              <m:r>
                <m:rPr>
                  <m:sty m:val="p"/>
                </m:rPr>
                <m:t>N</m:t>
              </m:r>
              <m:r>
                <m:rPr>
                  <m:sty m:val="p"/>
                </m:rPr>
                <m:t>e</m:t>
              </m:r>
              <m:r>
                <m:rPr>
                  <m:sty m:val="p"/>
                </m:rPr>
                <m:t>w</m:t>
              </m:r>
              <m:r>
                <m:rPr>
                  <m:sty m:val="p"/>
                </m:rPr>
                <m:t>S</m:t>
              </m:r>
              <m:r>
                <m:rPr>
                  <m:sty m:val="p"/>
                </m:rPr>
                <m:t>p</m:t>
              </m:r>
              <m:r>
                <m:rPr>
                  <m:sty m:val="p"/>
                </m:rPr>
                <m:t>a</m:t>
              </m:r>
              <m:r>
                <m:rPr>
                  <m:sty m:val="p"/>
                </m:rPr>
                <m:t>c</m:t>
              </m:r>
              <m:r>
                <m:rPr>
                  <m:sty m:val="p"/>
                </m:rPr>
                <m:t>e</m:t>
              </m:r>
            </m:e>
            <m:sub>
              <m:r>
                <m:t>i</m:t>
              </m:r>
            </m:sub>
          </m:sSub>
          <m:r>
            <m:rPr>
              <m:sty m:val="p"/>
            </m:rPr>
            <m:t>)</m:t>
          </m:r>
        </m:oMath>
      </m:oMathPara>
    </w:p>
    <w:bookmarkStart w:id="18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-0.0582</w:t>
            </w:r>
          </w:p>
        </w:tc>
        <w:tc>
          <w:tcPr>
            <w:tcW w:w="0" w:type="auto"/>
          </w:tcPr>
          <w:p>
            <w:pPr>
              <w:spacing w:line="240" w:lineRule="auto" w:before="0" w:after="0"/>
              <w:pStyle w:val="Compact"/>
            </w:pPr>
            <w:r>
              <w:rPr>
                <w:sz w:val="20"/>
                <w:szCs w:val="20"/>
              </w:rPr>
              <w:t xml:space="preserve">0.6094</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0.924</w:t>
            </w:r>
          </w:p>
        </w:tc>
        <w:tc>
          <w:tcPr>
            <w:tcW w:w="0" w:type="auto"/>
          </w:tcPr>
          <w:p>
            <w:pPr>
              <w:spacing w:line="240" w:lineRule="auto" w:before="0" w:after="0"/>
              <w:pStyle w:val="Compact"/>
            </w:pPr>
            <w:r>
              <w:rPr>
                <w:sz w:val="20"/>
                <w:szCs w:val="20"/>
              </w:rPr>
              <w:t xml:space="preserve">[-1.2527, 1.1364]</w:t>
            </w:r>
          </w:p>
        </w:tc>
        <w:tc>
          <w:tcPr>
            <w:tcW w:w="0" w:type="auto"/>
          </w:tcPr>
          <w:p>
            <w:pPr>
              <w:spacing w:line="240" w:lineRule="auto" w:before="0" w:after="0"/>
              <w:pStyle w:val="Compact"/>
            </w:pPr>
            <w:r>
              <w:rPr>
                <w:sz w:val="20"/>
                <w:szCs w:val="20"/>
              </w:rPr>
              <w:t xml:space="preserve">0.9435</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0.3853</w:t>
            </w:r>
          </w:p>
        </w:tc>
        <w:tc>
          <w:tcPr>
            <w:tcW w:w="0" w:type="auto"/>
          </w:tcPr>
          <w:p>
            <w:pPr>
              <w:spacing w:line="240" w:lineRule="auto" w:before="0" w:after="0"/>
              <w:pStyle w:val="Compact"/>
            </w:pPr>
            <w:r>
              <w:rPr>
                <w:sz w:val="20"/>
                <w:szCs w:val="20"/>
              </w:rPr>
              <w:t xml:space="preserve">0.4671</w:t>
            </w:r>
          </w:p>
        </w:tc>
        <w:tc>
          <w:tcPr>
            <w:tcW w:w="0" w:type="auto"/>
          </w:tcPr>
          <w:p>
            <w:pPr>
              <w:spacing w:line="240" w:lineRule="auto" w:before="0" w:after="0"/>
              <w:pStyle w:val="Compact"/>
            </w:pPr>
            <w:r>
              <w:rPr>
                <w:sz w:val="20"/>
                <w:szCs w:val="20"/>
              </w:rPr>
              <w:t xml:space="preserve">0.8248</w:t>
            </w:r>
          </w:p>
        </w:tc>
        <w:tc>
          <w:tcPr>
            <w:tcW w:w="0" w:type="auto"/>
          </w:tcPr>
          <w:p>
            <w:pPr>
              <w:spacing w:line="240" w:lineRule="auto" w:before="0" w:after="0"/>
              <w:pStyle w:val="Compact"/>
            </w:pPr>
            <w:r>
              <w:rPr>
                <w:sz w:val="20"/>
                <w:szCs w:val="20"/>
              </w:rPr>
              <w:t xml:space="preserve">0.4095</w:t>
            </w:r>
          </w:p>
        </w:tc>
        <w:tc>
          <w:tcPr>
            <w:tcW w:w="0" w:type="auto"/>
          </w:tcPr>
          <w:p>
            <w:pPr>
              <w:spacing w:line="240" w:lineRule="auto" w:before="0" w:after="0"/>
              <w:pStyle w:val="Compact"/>
            </w:pPr>
            <w:r>
              <w:rPr>
                <w:sz w:val="20"/>
                <w:szCs w:val="20"/>
              </w:rPr>
              <w:t xml:space="preserve">[-0.5303, 1.3009]</w:t>
            </w:r>
          </w:p>
        </w:tc>
        <w:tc>
          <w:tcPr>
            <w:tcW w:w="0" w:type="auto"/>
          </w:tcPr>
          <w:p>
            <w:pPr>
              <w:spacing w:line="240" w:lineRule="auto" w:before="0" w:after="0"/>
              <w:pStyle w:val="Compact"/>
            </w:pPr>
            <w:r>
              <w:rPr>
                <w:sz w:val="20"/>
                <w:szCs w:val="20"/>
              </w:rPr>
              <w:t xml:space="preserve">1.47</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-1.2704</w:t>
            </w:r>
          </w:p>
        </w:tc>
        <w:tc>
          <w:tcPr>
            <w:tcW w:w="0" w:type="auto"/>
          </w:tcPr>
          <w:p>
            <w:pPr>
              <w:spacing w:line="240" w:lineRule="auto" w:before="0" w:after="0"/>
              <w:pStyle w:val="Compact"/>
            </w:pPr>
            <w:r>
              <w:rPr>
                <w:sz w:val="20"/>
                <w:szCs w:val="20"/>
              </w:rPr>
              <w:t xml:space="preserve">0.2039</w:t>
            </w:r>
          </w:p>
        </w:tc>
        <w:tc>
          <w:tcPr>
            <w:tcW w:w="0" w:type="auto"/>
          </w:tcPr>
          <w:p>
            <w:pPr>
              <w:spacing w:line="240" w:lineRule="auto" w:before="0" w:after="0"/>
              <w:pStyle w:val="Compact"/>
            </w:pPr>
            <w:r>
              <w:rPr>
                <w:sz w:val="20"/>
                <w:szCs w:val="20"/>
              </w:rPr>
              <w:t xml:space="preserve">[-2.5838, 0.5516]</w:t>
            </w:r>
          </w:p>
        </w:tc>
        <w:tc>
          <w:tcPr>
            <w:tcW w:w="0" w:type="auto"/>
          </w:tcPr>
          <w:p>
            <w:pPr>
              <w:spacing w:line="240" w:lineRule="auto" w:before="0" w:after="0"/>
              <w:pStyle w:val="Compact"/>
            </w:pPr>
            <w:r>
              <w:rPr>
                <w:sz w:val="20"/>
                <w:szCs w:val="20"/>
              </w:rPr>
              <w:t xml:space="preserve">0.362</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0.7446</w:t>
            </w:r>
          </w:p>
        </w:tc>
        <w:tc>
          <w:tcPr>
            <w:tcW w:w="0" w:type="auto"/>
          </w:tcPr>
          <w:p>
            <w:pPr>
              <w:spacing w:line="240" w:lineRule="auto" w:before="0" w:after="0"/>
              <w:pStyle w:val="Compact"/>
            </w:pPr>
            <w:r>
              <w:rPr>
                <w:sz w:val="20"/>
                <w:szCs w:val="20"/>
              </w:rPr>
              <w:t xml:space="preserve">-0.1447</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[-1.567, 1.3516]</w:t>
            </w:r>
          </w:p>
        </w:tc>
        <w:tc>
          <w:tcPr>
            <w:tcW w:w="0" w:type="auto"/>
          </w:tcPr>
          <w:p>
            <w:pPr>
              <w:spacing w:line="240" w:lineRule="auto" w:before="0" w:after="0"/>
              <w:pStyle w:val="Compact"/>
            </w:pPr>
            <w:r>
              <w:rPr>
                <w:sz w:val="20"/>
                <w:szCs w:val="20"/>
              </w:rPr>
              <w:t xml:space="preserve">0.8979</w:t>
            </w:r>
          </w:p>
        </w:tc>
      </w:tr>
    </w:tbl>
    <w:p>
      <w:pPr>
        <w:pStyle w:val="BodyText"/>
        <w:spacing w:line="480" w:lineRule="auto"/>
        <w:ind w:firstLine="720"/>
      </w:pPr>
      <w:r>
        <w:t xml:space="preserve">Fit: N = 38 events = 22</w:t>
      </w:r>
    </w:p>
    <w:bookmarkEnd w:id="184"/>
    <w:bookmarkStart w:id="18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Time to formal rebaseline (15 percent cost-growth threshold under 51 USC 30104) against number of standing oversight committees, N=38 NASA major projects, 2002-2025 confirmation years." title="" id="186" name="Picture"/>
            <a:graphic>
              <a:graphicData uri="http://schemas.openxmlformats.org/drawingml/2006/picture">
                <pic:pic>
                  <pic:nvPicPr>
                    <pic:cNvPr descr="D:/Claude_Code/brain/collegium/candidates/dissertations/ENTERPRISE_ACQ_11/research_papers/p1/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Time to formal rebaseline (15 percent cost-growth threshold under 51 USC 30104) against number of standing oversight committees, N=38 NASA major projects, 2002-2025 confirmation years.</w:t>
      </w:r>
    </w:p>
    <w:bookmarkEnd w:id="188"/>
    <w:bookmarkStart w:id="18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GAO-12-393SP NASA Major Project Annual Assessment 2012; gao.gov/products/gao-12-393sp</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GAO-11-239SP NASA Major Project Assessment 2011; gao.gov/products/gao-11-239sp</w:t>
            </w:r>
          </w:p>
        </w:tc>
      </w:tr>
      <w:tr>
        <w:tc>
          <w:tcPr>
            <w:tcW w:w="0" w:type="auto"/>
          </w:tcPr>
          <w:p>
            <w:pPr>
              <w:spacing w:line="240" w:lineRule="auto" w:before="0" w:after="0"/>
              <w:pStyle w:val="Compact"/>
            </w:pPr>
            <w:r>
              <w:rPr>
                <w:sz w:val="20"/>
                <w:szCs w:val="20"/>
              </w:rPr>
              <w:t xml:space="preserve">SLS_Block_1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Mars_2020_Perseverance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Major Projects 2020; gao.gov/products/gao-20-405</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GAO-16-309SP NASA Major Projects 2016; gao.gov/products/gao-16-309sp</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 gao.gov/products/gao-19-262sp</w:t>
            </w:r>
          </w:p>
        </w:tc>
      </w:tr>
      <w:tr>
        <w:tc>
          <w:tcPr>
            <w:tcW w:w="0" w:type="auto"/>
          </w:tcPr>
          <w:p>
            <w:pPr>
              <w:spacing w:line="240" w:lineRule="auto" w:before="0" w:after="0"/>
              <w:pStyle w:val="Compact"/>
            </w:pPr>
            <w:r>
              <w:rPr>
                <w:sz w:val="20"/>
                <w:szCs w:val="20"/>
              </w:rPr>
              <w:t xml:space="preserve">LRO_LCROSS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GAO-09-306SP NASA Major Projects 2009; gao.gov/products/gao-09-306sp</w:t>
            </w:r>
          </w:p>
        </w:tc>
      </w:tr>
      <w:tr>
        <w:tc>
          <w:tcPr>
            <w:tcW w:w="0" w:type="auto"/>
          </w:tcPr>
          <w:p>
            <w:pPr>
              <w:spacing w:line="240" w:lineRule="auto" w:before="0" w:after="0"/>
              <w:pStyle w:val="Compact"/>
            </w:pPr>
            <w:r>
              <w:rPr>
                <w:sz w:val="20"/>
                <w:szCs w:val="20"/>
              </w:rPr>
              <w:t xml:space="preserve">GLAST_Fermi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GAO-09-306SP NASA Major Projects 2009; gao.gov/products/gao-09-306sp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 gao.gov/products/gao-14-338sp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Major Projects 2012; gao.gov/products/gao-12-207sp</w:t>
            </w:r>
          </w:p>
        </w:tc>
      </w:tr>
      <w:tr>
        <w:tc>
          <w:tcPr>
            <w:tcW w:w="0" w:type="auto"/>
          </w:tcPr>
          <w:p>
            <w:pPr>
              <w:spacing w:line="240" w:lineRule="auto" w:before="0" w:after="0"/>
              <w:pStyle w:val="Compact"/>
            </w:pPr>
            <w:r>
              <w:rPr>
                <w:sz w:val="20"/>
                <w:szCs w:val="20"/>
              </w:rPr>
              <w:t xml:space="preserve">NPP_Suomi</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Major Projects 2012; gao.gov/products/gao-12-207sp</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GAO-17-262SP NASA Major Projects 2017; gao.gov/products/gao-17-262sp</w:t>
            </w:r>
          </w:p>
        </w:tc>
      </w:tr>
      <w:tr>
        <w:tc>
          <w:tcPr>
            <w:tcW w:w="0" w:type="auto"/>
          </w:tcPr>
          <w:p>
            <w:pPr>
              <w:spacing w:line="240" w:lineRule="auto" w:before="0" w:after="0"/>
              <w:pStyle w:val="Compact"/>
            </w:pPr>
            <w:r>
              <w:rPr>
                <w:sz w:val="20"/>
                <w:szCs w:val="20"/>
              </w:rPr>
              <w:t xml:space="preserve">TDRS_K_L_M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NASA Major Projects 2013; gao.gov/products/gao-13-276sp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 gao.gov/products/gao-19-262sp</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Projects 2023; gao.gov/products/gao-23-106021</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Projects 2022; gao.gov/products/gao-22-105212</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Projects 2023; gao.gov/products/gao-23-106021</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Projects 2022; gao.gov/products/gao-22-105212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Projects 2022; gao.gov/products/gao-22-105212</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 gao.gov/products/gao-19-262sp</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HLS_Artemis_SpaceX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GAO-23-105609 NASA Lunar Programs 2023; gao.gov/products/gao-23-105609</w:t>
            </w:r>
          </w:p>
        </w:tc>
      </w:tr>
      <w:tr>
        <w:tc>
          <w:tcPr>
            <w:tcW w:w="0" w:type="auto"/>
          </w:tcPr>
          <w:p>
            <w:pPr>
              <w:spacing w:line="240" w:lineRule="auto" w:before="0" w:after="0"/>
              <w:pStyle w:val="Compact"/>
            </w:pPr>
            <w:r>
              <w:rPr>
                <w:sz w:val="20"/>
                <w:szCs w:val="20"/>
              </w:rPr>
              <w:t xml:space="preserve">Gateway_PPE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Gateway_HALO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CCP_Boeing_Starliner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GAO-20-121 Commercial Crew Program 2020; gao.gov/products/gao-20-121</w:t>
            </w:r>
          </w:p>
        </w:tc>
      </w:tr>
      <w:tr>
        <w:tc>
          <w:tcPr>
            <w:tcW w:w="0" w:type="auto"/>
          </w:tcPr>
          <w:p>
            <w:pPr>
              <w:spacing w:line="240" w:lineRule="auto" w:before="0" w:after="0"/>
              <w:pStyle w:val="Compact"/>
            </w:pPr>
            <w:r>
              <w:rPr>
                <w:sz w:val="20"/>
                <w:szCs w:val="20"/>
              </w:rPr>
              <w:t xml:space="preserve">CCP_SpaceX_Dragon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GAO-20-121 Commercial Crew Program 2020; gao.gov/products/gao-20-121</w:t>
            </w:r>
          </w:p>
        </w:tc>
      </w:tr>
      <w:tr>
        <w:tc>
          <w:tcPr>
            <w:tcW w:w="0" w:type="auto"/>
          </w:tcPr>
          <w:p>
            <w:pPr>
              <w:spacing w:line="240" w:lineRule="auto" w:before="0" w:after="0"/>
              <w:pStyle w:val="Compact"/>
            </w:pPr>
            <w:r>
              <w:rPr>
                <w:sz w:val="20"/>
                <w:szCs w:val="20"/>
              </w:rPr>
              <w:t xml:space="preserve">Exploration_EGS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CLPS_Astrobotic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IG-22-003 CLPS 2021; oig.nasa.gov/docs/IG-22-003.pdf</w:t>
            </w:r>
          </w:p>
        </w:tc>
      </w:tr>
      <w:tr>
        <w:tc>
          <w:tcPr>
            <w:tcW w:w="0" w:type="auto"/>
          </w:tcPr>
          <w:p>
            <w:pPr>
              <w:spacing w:line="240" w:lineRule="auto" w:before="0" w:after="0"/>
              <w:pStyle w:val="Compact"/>
            </w:pPr>
            <w:r>
              <w:rPr>
                <w:sz w:val="20"/>
                <w:szCs w:val="20"/>
              </w:rPr>
              <w:t xml:space="preserve">CLPS_Intuitive_Machines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IG-22-003 CLPS 2021; oig.nasa.gov/docs/IG-22-003.pdf</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 gao.gov/products/gao-14-338sp</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Major Projects 2012; gao.gov/products/gao-12-207sp</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 gao.gov/products/gao-14-338sp</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 [illustrative for early-phase event window]</w:t>
            </w:r>
          </w:p>
        </w:tc>
      </w:tr>
    </w:tbl>
    <w:bookmarkEnd w:id="189"/>
    <w:bookmarkStart w:id="19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Months from program confirmation (KDP-C) to first formal rebaseline triggering the 15 percent cost-growth threshold under 51 USC 30104, or to program-record close for censored cases</w:t>
            </w:r>
          </w:p>
        </w:tc>
        <w:tc>
          <w:tcPr>
            <w:tcW w:w="0" w:type="auto"/>
          </w:tcPr>
          <w:p>
            <w:pPr>
              <w:spacing w:line="240" w:lineRule="auto" w:before="0" w:after="0"/>
              <w:pStyle w:val="Compact"/>
            </w:pPr>
            <w:r>
              <w:rPr>
                <w:sz w:val="20"/>
                <w:szCs w:val="20"/>
              </w:rPr>
              <w:t xml:space="preserve">GAO Major Project Annual Assessment series 2009-2025; rebaseline events cross-checked against NASA OIG reports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Binary indicator equal to 1 when the program experienced a formal rebaseline within the observation window, 0 if right-censored at last reported GAO assessment</w:t>
            </w:r>
          </w:p>
        </w:tc>
        <w:tc>
          <w:tcPr>
            <w:tcW w:w="0" w:type="auto"/>
          </w:tcPr>
          <w:p>
            <w:pPr>
              <w:spacing w:line="240" w:lineRule="auto" w:before="0" w:after="0"/>
              <w:pStyle w:val="Compact"/>
            </w:pPr>
            <w:r>
              <w:rPr>
                <w:sz w:val="20"/>
                <w:szCs w:val="20"/>
              </w:rPr>
              <w:t xml:space="preserve">GAO Major Project Annual Assessments; 51 USC 30104 statutory threshold</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complexity tier from 1 (low, single-instrument or single-element) to 3 (high, multi-element integrated system) based on element count, TRL spread, and partner count at KDP-C</w:t>
            </w:r>
          </w:p>
        </w:tc>
        <w:tc>
          <w:tcPr>
            <w:tcW w:w="0" w:type="auto"/>
          </w:tcPr>
          <w:p>
            <w:pPr>
              <w:spacing w:line="240" w:lineRule="auto" w:before="0" w:after="0"/>
              <w:pStyle w:val="Compact"/>
            </w:pPr>
            <w:r>
              <w:rPr>
                <w:sz w:val="20"/>
                <w:szCs w:val="20"/>
              </w:rPr>
              <w:t xml:space="preserve">GAO complexity tier reported in GAO-23-106021, GAO-24-106767, GAO-25-107591</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Count of distinct standing governance bodies with formal approval authority over the program (mission directorate review, agency program management council, independent review boards, congressional appropriations committees, and external advisory panels)</w:t>
            </w:r>
          </w:p>
        </w:tc>
        <w:tc>
          <w:tcPr>
            <w:tcW w:w="0" w:type="auto"/>
          </w:tcPr>
          <w:p>
            <w:pPr>
              <w:spacing w:line="240" w:lineRule="auto" w:before="0" w:after="0"/>
              <w:pStyle w:val="Compact"/>
            </w:pPr>
            <w:r>
              <w:rPr>
                <w:sz w:val="20"/>
                <w:szCs w:val="20"/>
              </w:rPr>
              <w:t xml:space="preserve">Coded from GAO assessment narratives and program directives 2009-2025</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Count of distinct prime contractors holding cost-type or fixed-price contracts above 100M USD on the program at KDP-C</w:t>
            </w:r>
          </w:p>
        </w:tc>
        <w:tc>
          <w:tcPr>
            <w:tcW w:w="0" w:type="auto"/>
          </w:tcPr>
          <w:p>
            <w:pPr>
              <w:spacing w:line="240" w:lineRule="auto" w:before="0" w:after="0"/>
              <w:pStyle w:val="Compact"/>
            </w:pPr>
            <w:r>
              <w:rPr>
                <w:sz w:val="20"/>
                <w:szCs w:val="20"/>
              </w:rPr>
              <w:t xml:space="preserve">GAO Major Project Annual Assessments; NASA procurement records cited per row</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1 if the program executed under a fixed-price commercial services or public-private partnership model (CLPS, Commercial Crew, HLS, Gateway PPE/HALO partnership tracks), 0 if traditional cost-plus</w:t>
            </w:r>
          </w:p>
        </w:tc>
        <w:tc>
          <w:tcPr>
            <w:tcW w:w="0" w:type="auto"/>
          </w:tcPr>
          <w:p>
            <w:pPr>
              <w:spacing w:line="240" w:lineRule="auto" w:before="0" w:after="0"/>
              <w:pStyle w:val="Compact"/>
            </w:pPr>
            <w:r>
              <w:rPr>
                <w:sz w:val="20"/>
                <w:szCs w:val="20"/>
              </w:rPr>
              <w:t xml:space="preserve">Classification per Zancan et al. 2024 Acta Astronautica Legacy/New Space taxonomy</w:t>
            </w:r>
          </w:p>
        </w:tc>
      </w:tr>
    </w:tbl>
    <w:bookmarkEnd w:id="190"/>
    <w:bookmarkEnd w:id="191"/>
    <w:bookmarkStart w:id="199" w:name="Xadd0e467bc9b187a61ed9ea2a971de58ed5af83"/>
    <w:p>
      <w:pPr>
        <w:pStyle w:val="Heading2"/>
        <w:spacing w:line="480" w:lineRule="auto"/>
      </w:pPr>
      <w:r>
        <w:t xml:space="preserve">A.2 Estimating Cost-Growth Magnitude in NASA Major Projects: An OLS Test of Governance Density, Complexity, and Acquisition Mode</w:t>
      </w:r>
    </w:p>
    <w:p>
      <w:pPr>
        <w:pStyle w:val="FirstParagraph"/>
        <w:spacing w:line="480" w:lineRule="auto"/>
      </w:pPr>
      <m:oMathPara>
        <m:oMathParaPr>
          <m:jc m:val="center"/>
        </m:oMathParaPr>
        <m:oMath>
          <m:sSub>
            <m:e>
              <m:r>
                <m:rPr>
                  <m:sty m:val="p"/>
                </m:rPr>
                <m:t>C</m:t>
              </m:r>
              <m:r>
                <m:rPr>
                  <m:sty m:val="p"/>
                </m:rPr>
                <m:t>o</m:t>
              </m:r>
              <m:r>
                <m:rPr>
                  <m:sty m:val="p"/>
                </m:rPr>
                <m:t>s</m:t>
              </m:r>
              <m:r>
                <m:rPr>
                  <m:sty m:val="p"/>
                </m:rPr>
                <m:t>t</m:t>
              </m:r>
              <m:r>
                <m:rPr>
                  <m:sty m:val="p"/>
                </m:rPr>
                <m:t>G</m:t>
              </m:r>
              <m:r>
                <m:rPr>
                  <m:sty m:val="p"/>
                </m:rPr>
                <m:t>r</m:t>
              </m:r>
              <m:r>
                <m:rPr>
                  <m:sty m:val="p"/>
                </m:rPr>
                <m:t>o</m:t>
              </m:r>
              <m:r>
                <m:rPr>
                  <m:sty m:val="p"/>
                </m:rPr>
                <m:t>w</m:t>
              </m:r>
              <m:r>
                <m:rPr>
                  <m:sty m:val="p"/>
                </m:rPr>
                <m:t>t</m:t>
              </m:r>
              <m:r>
                <m:rPr>
                  <m:sty m:val="p"/>
                </m:rPr>
                <m:t>h</m:t>
              </m:r>
            </m:e>
            <m:sub>
              <m:r>
                <m:t>i</m:t>
              </m:r>
            </m:sub>
          </m:sSub>
          <m:r>
            <m:rPr>
              <m:sty m:val="p"/>
            </m:rPr>
            <m:t>=</m:t>
          </m:r>
          <m:sSub>
            <m:e>
              <m:r>
                <m:t>β</m:t>
              </m:r>
            </m:e>
            <m:sub>
              <m:r>
                <m:t>0</m:t>
              </m:r>
            </m:sub>
          </m:sSub>
          <m:r>
            <m:rPr>
              <m:sty m:val="p"/>
            </m:rPr>
            <m:t>+</m:t>
          </m:r>
          <m:sSub>
            <m:e>
              <m:r>
                <m:t>β</m:t>
              </m:r>
            </m:e>
            <m:sub>
              <m:r>
                <m:t>1</m:t>
              </m:r>
            </m:sub>
          </m:sSub>
          <m:sSub>
            <m:e>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r>
            <m:rPr>
              <m:sty m:val="p"/>
            </m:rPr>
            <m:t>+</m:t>
          </m:r>
          <m:sSub>
            <m:e>
              <m:r>
                <m:t>β</m:t>
              </m:r>
            </m:e>
            <m:sub>
              <m:r>
                <m:t>2</m:t>
              </m:r>
            </m:sub>
          </m:sSub>
          <m:sSub>
            <m:e>
              <m:r>
                <m:rPr>
                  <m:sty m:val="p"/>
                </m:rPr>
                <m:t>C</m:t>
              </m:r>
              <m:r>
                <m:rPr>
                  <m:sty m:val="p"/>
                </m:rPr>
                <m:t>o</m:t>
              </m:r>
              <m:r>
                <m:rPr>
                  <m:sty m:val="p"/>
                </m:rPr>
                <m:t>m</m:t>
              </m:r>
              <m:r>
                <m:rPr>
                  <m:sty m:val="p"/>
                </m:rPr>
                <m:t>m</m:t>
              </m:r>
              <m:r>
                <m:rPr>
                  <m:sty m:val="p"/>
                </m:rPr>
                <m:t>i</m:t>
              </m:r>
              <m:r>
                <m:rPr>
                  <m:sty m:val="p"/>
                </m:rPr>
                <m:t>t</m:t>
              </m:r>
              <m:r>
                <m:rPr>
                  <m:sty m:val="p"/>
                </m:rPr>
                <m:t>t</m:t>
              </m:r>
              <m:r>
                <m:rPr>
                  <m:sty m:val="p"/>
                </m:rPr>
                <m:t>e</m:t>
              </m:r>
              <m:r>
                <m:rPr>
                  <m:sty m:val="p"/>
                </m:rPr>
                <m:t>e</m:t>
              </m:r>
              <m:r>
                <m:rPr>
                  <m:sty m:val="p"/>
                </m:rPr>
                <m:t>s</m:t>
              </m:r>
            </m:e>
            <m:sub>
              <m:r>
                <m:t>i</m:t>
              </m:r>
            </m:sub>
          </m:sSub>
          <m:r>
            <m:rPr>
              <m:sty m:val="p"/>
            </m:rPr>
            <m:t>+</m:t>
          </m:r>
          <m:sSub>
            <m:e>
              <m:r>
                <m:t>β</m:t>
              </m:r>
            </m:e>
            <m:sub>
              <m:r>
                <m:t>3</m:t>
              </m:r>
            </m:sub>
          </m:sSub>
          <m:sSub>
            <m:e>
              <m:r>
                <m:rPr>
                  <m:sty m:val="p"/>
                </m:rPr>
                <m:t>P</m:t>
              </m:r>
              <m:r>
                <m:rPr>
                  <m:sty m:val="p"/>
                </m:rPr>
                <m:t>r</m:t>
              </m:r>
              <m:r>
                <m:rPr>
                  <m:sty m:val="p"/>
                </m:rPr>
                <m:t>i</m:t>
              </m:r>
              <m:r>
                <m:rPr>
                  <m:sty m:val="p"/>
                </m:rPr>
                <m:t>m</m:t>
              </m:r>
              <m:r>
                <m:rPr>
                  <m:sty m:val="p"/>
                </m:rPr>
                <m:t>e</m:t>
              </m:r>
              <m:r>
                <m:rPr>
                  <m:sty m:val="p"/>
                </m:rPr>
                <m:t>s</m:t>
              </m:r>
            </m:e>
            <m:sub>
              <m:r>
                <m:t>i</m:t>
              </m:r>
            </m:sub>
          </m:sSub>
          <m:r>
            <m:rPr>
              <m:sty m:val="p"/>
            </m:rPr>
            <m:t>+</m:t>
          </m:r>
          <m:sSub>
            <m:e>
              <m:r>
                <m:t>β</m:t>
              </m:r>
            </m:e>
            <m:sub>
              <m:r>
                <m:t>4</m:t>
              </m:r>
            </m:sub>
          </m:sSub>
          <m:sSub>
            <m:e>
              <m:r>
                <m:rPr>
                  <m:sty m:val="p"/>
                </m:rPr>
                <m:t>N</m:t>
              </m:r>
              <m:r>
                <m:rPr>
                  <m:sty m:val="p"/>
                </m:rPr>
                <m:t>e</m:t>
              </m:r>
              <m:r>
                <m:rPr>
                  <m:sty m:val="p"/>
                </m:rPr>
                <m:t>w</m:t>
              </m:r>
              <m:r>
                <m:rPr>
                  <m:sty m:val="p"/>
                </m:rPr>
                <m:t>S</m:t>
              </m:r>
              <m:r>
                <m:rPr>
                  <m:sty m:val="p"/>
                </m:rPr>
                <m:t>p</m:t>
              </m:r>
              <m:r>
                <m:rPr>
                  <m:sty m:val="p"/>
                </m:rPr>
                <m:t>a</m:t>
              </m:r>
              <m:r>
                <m:rPr>
                  <m:sty m:val="p"/>
                </m:rPr>
                <m:t>c</m:t>
              </m:r>
              <m:r>
                <m:rPr>
                  <m:sty m:val="p"/>
                </m:rPr>
                <m:t>e</m:t>
              </m:r>
            </m:e>
            <m:sub>
              <m:r>
                <m:t>i</m:t>
              </m:r>
            </m:sub>
          </m:sSub>
          <m:r>
            <m:rPr>
              <m:sty m:val="p"/>
            </m:rPr>
            <m:t>+</m:t>
          </m:r>
          <m:sSub>
            <m:e>
              <m:r>
                <m:t>β</m:t>
              </m:r>
            </m:e>
            <m:sub>
              <m:r>
                <m:t>5</m:t>
              </m:r>
            </m:sub>
          </m:sSub>
          <m:sSub>
            <m:e>
              <m:r>
                <m:rPr>
                  <m:sty m:val="p"/>
                </m:rPr>
                <m:t>S</m:t>
              </m:r>
              <m:r>
                <m:rPr>
                  <m:sty m:val="p"/>
                </m:rPr>
                <m:t>c</m:t>
              </m:r>
              <m:r>
                <m:rPr>
                  <m:sty m:val="p"/>
                </m:rPr>
                <m:t>h</m:t>
              </m:r>
              <m:r>
                <m:rPr>
                  <m:sty m:val="p"/>
                </m:rPr>
                <m:t>e</m:t>
              </m:r>
              <m:r>
                <m:rPr>
                  <m:sty m:val="p"/>
                </m:rPr>
                <m:t>d</m:t>
              </m:r>
              <m:r>
                <m:rPr>
                  <m:sty m:val="p"/>
                </m:rPr>
                <m:t>S</m:t>
              </m:r>
              <m:r>
                <m:rPr>
                  <m:sty m:val="p"/>
                </m:rPr>
                <m:t>l</m:t>
              </m:r>
              <m:r>
                <m:rPr>
                  <m:sty m:val="p"/>
                </m:rPr>
                <m:t>i</m:t>
              </m:r>
              <m:r>
                <m:rPr>
                  <m:sty m:val="p"/>
                </m:rPr>
                <m:t>p</m:t>
              </m:r>
            </m:e>
            <m:sub>
              <m:r>
                <m:t>i</m:t>
              </m:r>
            </m:sub>
          </m:sSub>
          <m:r>
            <m:rPr>
              <m:sty m:val="p"/>
            </m:rPr>
            <m:t>+</m:t>
          </m:r>
          <m:sSub>
            <m:e>
              <m:r>
                <m:t>ε</m:t>
              </m:r>
            </m:e>
            <m:sub>
              <m:r>
                <m:t>i</m:t>
              </m:r>
            </m:sub>
          </m:sSub>
        </m:oMath>
      </m:oMathPara>
    </w:p>
    <w:bookmarkStart w:id="19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-30.0299</w:t>
            </w:r>
          </w:p>
        </w:tc>
        <w:tc>
          <w:tcPr>
            <w:tcW w:w="0" w:type="auto"/>
          </w:tcPr>
          <w:p>
            <w:pPr>
              <w:spacing w:line="240" w:lineRule="auto" w:before="0" w:after="0"/>
              <w:pStyle w:val="Compact"/>
            </w:pPr>
            <w:r>
              <w:rPr>
                <w:sz w:val="20"/>
                <w:szCs w:val="20"/>
              </w:rPr>
              <w:t xml:space="preserve">10.887</w:t>
            </w:r>
          </w:p>
        </w:tc>
        <w:tc>
          <w:tcPr>
            <w:tcW w:w="0" w:type="auto"/>
          </w:tcPr>
          <w:p>
            <w:pPr>
              <w:spacing w:line="240" w:lineRule="auto" w:before="0" w:after="0"/>
              <w:pStyle w:val="Compact"/>
            </w:pPr>
            <w:r>
              <w:rPr>
                <w:sz w:val="20"/>
                <w:szCs w:val="20"/>
              </w:rPr>
              <w:t xml:space="preserve">-2.7583</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[-51.3681, -8.6918]</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15.3449</w:t>
            </w:r>
          </w:p>
        </w:tc>
        <w:tc>
          <w:tcPr>
            <w:tcW w:w="0" w:type="auto"/>
          </w:tcPr>
          <w:p>
            <w:pPr>
              <w:spacing w:line="240" w:lineRule="auto" w:before="0" w:after="0"/>
              <w:pStyle w:val="Compact"/>
            </w:pPr>
            <w:r>
              <w:rPr>
                <w:sz w:val="20"/>
                <w:szCs w:val="20"/>
              </w:rPr>
              <w:t xml:space="preserve">5.6507</w:t>
            </w:r>
          </w:p>
        </w:tc>
        <w:tc>
          <w:tcPr>
            <w:tcW w:w="0" w:type="auto"/>
          </w:tcPr>
          <w:p>
            <w:pPr>
              <w:spacing w:line="240" w:lineRule="auto" w:before="0" w:after="0"/>
              <w:pStyle w:val="Compact"/>
            </w:pPr>
            <w:r>
              <w:rPr>
                <w:sz w:val="20"/>
                <w:szCs w:val="20"/>
              </w:rPr>
              <w:t xml:space="preserve">2.7156</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[4.2697, 26.42]</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-2.0594</w:t>
            </w:r>
          </w:p>
        </w:tc>
        <w:tc>
          <w:tcPr>
            <w:tcW w:w="0" w:type="auto"/>
          </w:tcPr>
          <w:p>
            <w:pPr>
              <w:spacing w:line="240" w:lineRule="auto" w:before="0" w:after="0"/>
              <w:pStyle w:val="Compact"/>
            </w:pPr>
            <w:r>
              <w:rPr>
                <w:sz w:val="20"/>
                <w:szCs w:val="20"/>
              </w:rPr>
              <w:t xml:space="preserve">3.3459</w:t>
            </w:r>
          </w:p>
        </w:tc>
        <w:tc>
          <w:tcPr>
            <w:tcW w:w="0" w:type="auto"/>
          </w:tcPr>
          <w:p>
            <w:pPr>
              <w:spacing w:line="240" w:lineRule="auto" w:before="0" w:after="0"/>
              <w:pStyle w:val="Compact"/>
            </w:pPr>
            <w:r>
              <w:rPr>
                <w:sz w:val="20"/>
                <w:szCs w:val="20"/>
              </w:rPr>
              <w:t xml:space="preserve">-0.6155</w:t>
            </w:r>
          </w:p>
        </w:tc>
        <w:tc>
          <w:tcPr>
            <w:tcW w:w="0" w:type="auto"/>
          </w:tcPr>
          <w:p>
            <w:pPr>
              <w:spacing w:line="240" w:lineRule="auto" w:before="0" w:after="0"/>
              <w:pStyle w:val="Compact"/>
            </w:pPr>
            <w:r>
              <w:rPr>
                <w:sz w:val="20"/>
                <w:szCs w:val="20"/>
              </w:rPr>
              <w:t xml:space="preserve">0.5382</w:t>
            </w:r>
          </w:p>
        </w:tc>
        <w:tc>
          <w:tcPr>
            <w:tcW w:w="0" w:type="auto"/>
          </w:tcPr>
          <w:p>
            <w:pPr>
              <w:spacing w:line="240" w:lineRule="auto" w:before="0" w:after="0"/>
              <w:pStyle w:val="Compact"/>
            </w:pPr>
            <w:r>
              <w:rPr>
                <w:sz w:val="20"/>
                <w:szCs w:val="20"/>
              </w:rPr>
              <w:t xml:space="preserve">[-8.6172, 4.4984]</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4.5524</w:t>
            </w:r>
          </w:p>
        </w:tc>
        <w:tc>
          <w:tcPr>
            <w:tcW w:w="0" w:type="auto"/>
          </w:tcPr>
          <w:p>
            <w:pPr>
              <w:spacing w:line="240" w:lineRule="auto" w:before="0" w:after="0"/>
              <w:pStyle w:val="Compact"/>
            </w:pPr>
            <w:r>
              <w:rPr>
                <w:sz w:val="20"/>
                <w:szCs w:val="20"/>
              </w:rPr>
              <w:t xml:space="preserve">4.8971</w:t>
            </w:r>
          </w:p>
        </w:tc>
        <w:tc>
          <w:tcPr>
            <w:tcW w:w="0" w:type="auto"/>
          </w:tcPr>
          <w:p>
            <w:pPr>
              <w:spacing w:line="240" w:lineRule="auto" w:before="0" w:after="0"/>
              <w:pStyle w:val="Compact"/>
            </w:pPr>
            <w:r>
              <w:rPr>
                <w:sz w:val="20"/>
                <w:szCs w:val="20"/>
              </w:rPr>
              <w:t xml:space="preserve">0.9296</w:t>
            </w:r>
          </w:p>
        </w:tc>
        <w:tc>
          <w:tcPr>
            <w:tcW w:w="0" w:type="auto"/>
          </w:tcPr>
          <w:p>
            <w:pPr>
              <w:spacing w:line="240" w:lineRule="auto" w:before="0" w:after="0"/>
              <w:pStyle w:val="Compact"/>
            </w:pPr>
            <w:r>
              <w:rPr>
                <w:sz w:val="20"/>
                <w:szCs w:val="20"/>
              </w:rPr>
              <w:t xml:space="preserve">0.3526</w:t>
            </w:r>
          </w:p>
        </w:tc>
        <w:tc>
          <w:tcPr>
            <w:tcW w:w="0" w:type="auto"/>
          </w:tcPr>
          <w:p>
            <w:pPr>
              <w:spacing w:line="240" w:lineRule="auto" w:before="0" w:after="0"/>
              <w:pStyle w:val="Compact"/>
            </w:pPr>
            <w:r>
              <w:rPr>
                <w:sz w:val="20"/>
                <w:szCs w:val="20"/>
              </w:rPr>
              <w:t xml:space="preserve">[-5.0457, 14.1505]</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-27.2802</w:t>
            </w:r>
          </w:p>
        </w:tc>
        <w:tc>
          <w:tcPr>
            <w:tcW w:w="0" w:type="auto"/>
          </w:tcPr>
          <w:p>
            <w:pPr>
              <w:spacing w:line="240" w:lineRule="auto" w:before="0" w:after="0"/>
              <w:pStyle w:val="Compact"/>
            </w:pPr>
            <w:r>
              <w:rPr>
                <w:sz w:val="20"/>
                <w:szCs w:val="20"/>
              </w:rPr>
              <w:t xml:space="preserve">6.5373</w:t>
            </w:r>
          </w:p>
        </w:tc>
        <w:tc>
          <w:tcPr>
            <w:tcW w:w="0" w:type="auto"/>
          </w:tcPr>
          <w:p>
            <w:pPr>
              <w:spacing w:line="240" w:lineRule="auto" w:before="0" w:after="0"/>
              <w:pStyle w:val="Compact"/>
            </w:pPr>
            <w:r>
              <w:rPr>
                <w:sz w:val="20"/>
                <w:szCs w:val="20"/>
              </w:rPr>
              <w:t xml:space="preserve">-4.173</w:t>
            </w:r>
          </w:p>
        </w:tc>
        <w:tc>
          <w:tcPr>
            <w:tcW w:w="0" w:type="auto"/>
          </w:tcPr>
          <w:p>
            <w:pPr>
              <w:spacing w:line="240" w:lineRule="auto" w:before="0" w:after="0"/>
              <w:pStyle w:val="Compact"/>
            </w:pPr>
            <w:r>
              <w:rPr>
                <w:sz w:val="20"/>
                <w:szCs w:val="20"/>
              </w:rPr>
              <w:t xml:space="preserve">3.006e-05</w:t>
            </w:r>
          </w:p>
        </w:tc>
        <w:tc>
          <w:tcPr>
            <w:tcW w:w="0" w:type="auto"/>
          </w:tcPr>
          <w:p>
            <w:pPr>
              <w:spacing w:line="240" w:lineRule="auto" w:before="0" w:after="0"/>
              <w:pStyle w:val="Compact"/>
            </w:pPr>
            <w:r>
              <w:rPr>
                <w:sz w:val="20"/>
                <w:szCs w:val="20"/>
              </w:rPr>
              <w:t xml:space="preserve">[-40.0932, -14.4673]</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1.0153</w:t>
            </w:r>
          </w:p>
        </w:tc>
        <w:tc>
          <w:tcPr>
            <w:tcW w:w="0" w:type="auto"/>
          </w:tcPr>
          <w:p>
            <w:pPr>
              <w:spacing w:line="240" w:lineRule="auto" w:before="0" w:after="0"/>
              <w:pStyle w:val="Compact"/>
            </w:pPr>
            <w:r>
              <w:rPr>
                <w:sz w:val="20"/>
                <w:szCs w:val="20"/>
              </w:rPr>
              <w:t xml:space="preserve">0.2521</w:t>
            </w:r>
          </w:p>
        </w:tc>
        <w:tc>
          <w:tcPr>
            <w:tcW w:w="0" w:type="auto"/>
          </w:tcPr>
          <w:p>
            <w:pPr>
              <w:spacing w:line="240" w:lineRule="auto" w:before="0" w:after="0"/>
              <w:pStyle w:val="Compact"/>
            </w:pPr>
            <w:r>
              <w:rPr>
                <w:sz w:val="20"/>
                <w:szCs w:val="20"/>
              </w:rPr>
              <w:t xml:space="preserve">4.0278</w:t>
            </w:r>
          </w:p>
        </w:tc>
        <w:tc>
          <w:tcPr>
            <w:tcW w:w="0" w:type="auto"/>
          </w:tcPr>
          <w:p>
            <w:pPr>
              <w:spacing w:line="240" w:lineRule="auto" w:before="0" w:after="0"/>
              <w:pStyle w:val="Compact"/>
            </w:pPr>
            <w:r>
              <w:rPr>
                <w:sz w:val="20"/>
                <w:szCs w:val="20"/>
              </w:rPr>
              <w:t xml:space="preserve">5.631e-05</w:t>
            </w:r>
          </w:p>
        </w:tc>
        <w:tc>
          <w:tcPr>
            <w:tcW w:w="0" w:type="auto"/>
          </w:tcPr>
          <w:p>
            <w:pPr>
              <w:spacing w:line="240" w:lineRule="auto" w:before="0" w:after="0"/>
              <w:pStyle w:val="Compact"/>
            </w:pPr>
            <w:r>
              <w:rPr>
                <w:sz w:val="20"/>
                <w:szCs w:val="20"/>
              </w:rPr>
              <w:t xml:space="preserve">[0.5212, 1.5094]</w:t>
            </w:r>
          </w:p>
        </w:tc>
      </w:tr>
    </w:tbl>
    <w:p>
      <w:pPr>
        <w:pStyle w:val="BodyText"/>
        <w:spacing w:line="480" w:lineRule="auto"/>
        <w:ind w:firstLine="720"/>
      </w:pPr>
      <w:r>
        <w:t xml:space="preserve">Fit: N = 37 R2 = 0.7396 R2_adj = 0.6976 F = 7.8806 F_p = 6.97e-05</w:t>
      </w:r>
    </w:p>
    <w:bookmarkEnd w:id="192"/>
    <w:bookmarkStart w:id="19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OLS-conditional relationship between standing oversight committee count and life-cycle cost growth across 37 NASA major projects, GAO assessment series 2012 through 2025." title="" id="194" name="Picture"/>
            <a:graphic>
              <a:graphicData uri="http://schemas.openxmlformats.org/drawingml/2006/picture">
                <pic:pic>
                  <pic:nvPicPr>
                    <pic:cNvPr descr="D:/Claude_Code/brain/collegium/candidates/dissertations/ENTERPRISE_ACQ_11/research_papers/p2/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OLS-conditional relationship between standing oversight committee count and life-cycle cost growth across 37 NASA major projects, GAO assessment series 2012 through 2025.</w:t>
      </w:r>
    </w:p>
    <w:bookmarkEnd w:id="196"/>
    <w:bookmarkStart w:id="19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GAO-12-207SP NASA Major Project Annual Assessment 2012; gao.gov/products/gao-12-207sp</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GAO-20-405 NASA Major Projects 2020; gao.gov/products/gao-20-405</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GAO-21-306 NASA Major Projects 2021; gao.gov/products/gao-21-306</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 Assessment 2023; gao.gov/products/gao-23-106021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gao.gov/products/gao-20-405</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GAO-24-106767 NASA Major Project Assessment 2024; gao.gov/products/gao-24-106767</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gao.gov/products/gao-21-306</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NASA Major Project Assessment 2022; gao.gov/products/gao-22-105212</w:t>
            </w:r>
          </w:p>
        </w:tc>
      </w:tr>
      <w:tr>
        <w:tc>
          <w:tcPr>
            <w:tcW w:w="0" w:type="auto"/>
          </w:tcPr>
          <w:p>
            <w:pPr>
              <w:spacing w:line="240" w:lineRule="auto" w:before="0" w:after="0"/>
              <w:pStyle w:val="Compact"/>
            </w:pPr>
            <w:r>
              <w:rPr>
                <w:sz w:val="20"/>
                <w:szCs w:val="20"/>
              </w:rPr>
              <w:t xml:space="preserve">Space Fence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GAO-18-385SP Defense Acquisitions 2018; gao.gov/products/gao-18-385sp</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GAO-17-291 NOAA Geostationary Weather Satellites 2017; gao.gov/products/gao-17-291</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gao.gov/products/gao-21-306</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GAO-24-106767; gao.gov/products/gao-24-106767</w:t>
            </w:r>
          </w:p>
        </w:tc>
      </w:tr>
      <w:tr>
        <w:tc>
          <w:tcPr>
            <w:tcW w:w="0" w:type="auto"/>
          </w:tcPr>
          <w:p>
            <w:pPr>
              <w:spacing w:line="240" w:lineRule="auto" w:before="0" w:after="0"/>
              <w:pStyle w:val="Compact"/>
            </w:pPr>
            <w:r>
              <w:rPr>
                <w:sz w:val="20"/>
                <w:szCs w:val="20"/>
              </w:rPr>
              <w:t xml:space="preserve">Commercial Crew Dragon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GAO-18-317 NASA Commercial Crew Program 2018; gao.gov/products/gao-18-317</w:t>
            </w:r>
          </w:p>
        </w:tc>
      </w:tr>
      <w:tr>
        <w:tc>
          <w:tcPr>
            <w:tcW w:w="0" w:type="auto"/>
          </w:tcPr>
          <w:p>
            <w:pPr>
              <w:spacing w:line="240" w:lineRule="auto" w:before="0" w:after="0"/>
              <w:pStyle w:val="Compact"/>
            </w:pPr>
            <w:r>
              <w:rPr>
                <w:sz w:val="20"/>
                <w:szCs w:val="20"/>
              </w:rPr>
              <w:t xml:space="preserve">Commercial Crew Starliner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GAO-20-121 NASA Commercial Crew 2020; gao.gov/products/gao-20-121</w:t>
            </w:r>
          </w:p>
        </w:tc>
      </w:tr>
      <w:tr>
        <w:tc>
          <w:tcPr>
            <w:tcW w:w="0" w:type="auto"/>
          </w:tcPr>
          <w:p>
            <w:pPr>
              <w:spacing w:line="240" w:lineRule="auto" w:before="0" w:after="0"/>
              <w:pStyle w:val="Compact"/>
            </w:pPr>
            <w:r>
              <w:rPr>
                <w:sz w:val="20"/>
                <w:szCs w:val="20"/>
              </w:rPr>
              <w:t xml:space="preserve">CLPS IM-1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OIG IG-22-003 CLPS Initiative 2021; oig.nasa.gov/docs/IG-22-003.pdf</w:t>
            </w:r>
          </w:p>
        </w:tc>
      </w:tr>
      <w:tr>
        <w:tc>
          <w:tcPr>
            <w:tcW w:w="0" w:type="auto"/>
          </w:tcPr>
          <w:p>
            <w:pPr>
              <w:spacing w:line="240" w:lineRule="auto" w:before="0" w:after="0"/>
              <w:pStyle w:val="Compact"/>
            </w:pPr>
            <w:r>
              <w:rPr>
                <w:sz w:val="20"/>
                <w:szCs w:val="20"/>
              </w:rPr>
              <w:t xml:space="preserve">CLPS Peregrine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OIG IG-22-003; oig.nasa.gov/docs/IG-22-003.pdf</w:t>
            </w:r>
          </w:p>
        </w:tc>
      </w:tr>
      <w:tr>
        <w:tc>
          <w:tcPr>
            <w:tcW w:w="0" w:type="auto"/>
          </w:tcPr>
          <w:p>
            <w:pPr>
              <w:spacing w:line="240" w:lineRule="auto" w:before="0" w:after="0"/>
              <w:pStyle w:val="Compact"/>
            </w:pPr>
            <w:r>
              <w:rPr>
                <w:sz w:val="20"/>
                <w:szCs w:val="20"/>
              </w:rPr>
              <w:t xml:space="preserve">HLS Starship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GAO-24-107249 NASA Human Landing System 2024; gao.gov/products/gao-24-107249</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GAO-25-107591 NASA Major Project Assessment 2025; gao.gov/products/gao-25-107591</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GAO-25-107591; gao.gov/products/gao-25-107591</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OIG IG-24-006 VIPER 2024; oig.nasa.gov/docs/IG-24-006.pdf</w:t>
            </w:r>
          </w:p>
        </w:tc>
      </w:tr>
      <w:tr>
        <w:tc>
          <w:tcPr>
            <w:tcW w:w="0" w:type="auto"/>
          </w:tcPr>
          <w:p>
            <w:pPr>
              <w:spacing w:line="240" w:lineRule="auto" w:before="0" w:after="0"/>
              <w:pStyle w:val="Compact"/>
            </w:pPr>
            <w:r>
              <w:rPr>
                <w:sz w:val="20"/>
                <w:szCs w:val="20"/>
              </w:rPr>
              <w:t xml:space="preserve">MSR SRL</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GAO-25-107591 Mars Sample Return assessment; gao.gov/products/gao-25-107591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GAO-22-105212; gao.gov/products/gao-22-105212</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GAO-12-207SP NASA Major Project Annual Assessment 2012; gao.gov/products/gao-12-207sp</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GAO-16-309SP NASA Major Project Assessment 2016; gao.gov/products/gao-16-309sp</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GAO-18-280SP NASA Major Project Assessment 2018; gao.gov/products/gao-18-280sp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 Assessment 2014; gao.gov/products/gao-14-338sp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GAO-12-207SP NASA Major Project Annual Assessment 2012; gao.gov/products/gao-12-207sp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Major Project Assessment 2015; gao.gov/products/gao-15-320sp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GAO-19-189 NASA Major Project Assessment 2019; gao.gov/products/gao-19-189</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GAO-18-280SP NASA Major Project Assessment 2018; gao.gov/products/gao-18-280sp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GAO-18-280SP; gao.gov/products/gao-18-280sp</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GAO-24-106767; gao.gov/products/gao-24-106767</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GAO-15-320SP; gao.gov/products/gao-15-320sp</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gao.gov/products/gao-12-207sp</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Major Project Assessment 2013; gao.gov/products/gao-13-276sp</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GAO-14-338SP; gao.gov/products/gao-14-338sp</w:t>
            </w:r>
          </w:p>
        </w:tc>
      </w:tr>
      <w:tr>
        <w:tc>
          <w:tcPr>
            <w:tcW w:w="0" w:type="auto"/>
          </w:tcPr>
          <w:p>
            <w:pPr>
              <w:spacing w:line="240" w:lineRule="auto" w:before="0" w:after="0"/>
              <w:pStyle w:val="Compact"/>
            </w:pPr>
            <w:r>
              <w:rPr>
                <w:sz w:val="20"/>
                <w:szCs w:val="20"/>
              </w:rPr>
              <w:t xml:space="preserve">TDRS-K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GAO-13-276SP; gao.gov/products/gao-13-276sp</w:t>
            </w:r>
          </w:p>
        </w:tc>
      </w:tr>
    </w:tbl>
    <w:bookmarkEnd w:id="197"/>
    <w:bookmarkStart w:id="19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Cumulative life-cycle cost growth in percent from KDP-C confirmation baseline to most recent GAO assessment</w:t>
            </w:r>
          </w:p>
        </w:tc>
        <w:tc>
          <w:tcPr>
            <w:tcW w:w="0" w:type="auto"/>
          </w:tcPr>
          <w:p>
            <w:pPr>
              <w:spacing w:line="240" w:lineRule="auto" w:before="0" w:after="0"/>
              <w:pStyle w:val="Compact"/>
            </w:pPr>
            <w:r>
              <w:rPr>
                <w:sz w:val="20"/>
                <w:szCs w:val="20"/>
              </w:rPr>
              <w:t xml:space="preserve">GAO Major Project Annual Assessment series 2012 through 2025; NASA OIG audit reports for CLPS, Commercial Crew, HLS, and VIPER</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complexity tier from 1 (low) to 3 (high), reflecting element count and TRL spread at KDP-C</w:t>
            </w:r>
          </w:p>
        </w:tc>
        <w:tc>
          <w:tcPr>
            <w:tcW w:w="0" w:type="auto"/>
          </w:tcPr>
          <w:p>
            <w:pPr>
              <w:spacing w:line="240" w:lineRule="auto" w:before="0" w:after="0"/>
              <w:pStyle w:val="Compact"/>
            </w:pPr>
            <w:r>
              <w:rPr>
                <w:sz w:val="20"/>
                <w:szCs w:val="20"/>
              </w:rPr>
              <w:t xml:space="preserve">GAO complexity tier reported in GAO-25-107591, GAO-24-106767, GAO-23-106021</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Count of distinct standing governance bodies with formal approval authority over the program at KDP-C (mission directorate review, agency program management council, independent review board, congressional appropriations subcommittee, external advisory panel, interagency review)</w:t>
            </w:r>
          </w:p>
        </w:tc>
        <w:tc>
          <w:tcPr>
            <w:tcW w:w="0" w:type="auto"/>
          </w:tcPr>
          <w:p>
            <w:pPr>
              <w:spacing w:line="240" w:lineRule="auto" w:before="0" w:after="0"/>
              <w:pStyle w:val="Compact"/>
            </w:pPr>
            <w:r>
              <w:rPr>
                <w:sz w:val="20"/>
                <w:szCs w:val="20"/>
              </w:rPr>
              <w:t xml:space="preserve">Coded from GAO assessment narratives and NASA program directives</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Count of distinct prime contractors holding cost-type or fixed-price contracts above 100M USD at KDP-C</w:t>
            </w:r>
          </w:p>
        </w:tc>
        <w:tc>
          <w:tcPr>
            <w:tcW w:w="0" w:type="auto"/>
          </w:tcPr>
          <w:p>
            <w:pPr>
              <w:spacing w:line="240" w:lineRule="auto" w:before="0" w:after="0"/>
              <w:pStyle w:val="Compact"/>
            </w:pPr>
            <w:r>
              <w:rPr>
                <w:sz w:val="20"/>
                <w:szCs w:val="20"/>
              </w:rPr>
              <w:t xml:space="preserve">GAO Major Project Assessments procurement summaries</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1 if program executed under a fixed-price commercial services acquisition (CLPS, Commercial Crew, HLS, Gateway public-private), 0 if traditional cost-plus or in-house build</w:t>
            </w:r>
          </w:p>
        </w:tc>
        <w:tc>
          <w:tcPr>
            <w:tcW w:w="0" w:type="auto"/>
          </w:tcPr>
          <w:p>
            <w:pPr>
              <w:spacing w:line="240" w:lineRule="auto" w:before="0" w:after="0"/>
              <w:pStyle w:val="Compact"/>
            </w:pPr>
            <w:r>
              <w:rPr>
                <w:sz w:val="20"/>
                <w:szCs w:val="20"/>
              </w:rPr>
              <w:t xml:space="preserve">Acquisition strategy field of GAO and OIG assessments</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between baseline launch readiness date at KDP-C and most recent or actual launch</w:t>
            </w:r>
          </w:p>
        </w:tc>
        <w:tc>
          <w:tcPr>
            <w:tcW w:w="0" w:type="auto"/>
          </w:tcPr>
          <w:p>
            <w:pPr>
              <w:spacing w:line="240" w:lineRule="auto" w:before="0" w:after="0"/>
              <w:pStyle w:val="Compact"/>
            </w:pPr>
            <w:r>
              <w:rPr>
                <w:sz w:val="20"/>
                <w:szCs w:val="20"/>
              </w:rPr>
              <w:t xml:space="preserve">GAO Major Project Annual Assessment series, current launch baseline columns</w:t>
            </w:r>
          </w:p>
        </w:tc>
      </w:tr>
    </w:tbl>
    <w:bookmarkEnd w:id="198"/>
    <w:bookmarkEnd w:id="199"/>
    <w:bookmarkEnd w:id="20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5" Type="http://schemas.openxmlformats.org/officeDocument/2006/relationships/image" Target="media/rId185.png"/><Relationship Id="rId193" Type="http://schemas.openxmlformats.org/officeDocument/2006/relationships/image" Target="media/rId193.png"/><Relationship Id="rId171" Type="http://schemas.openxmlformats.org/officeDocument/2006/relationships/hyperlink" Target="https://doi.org/10.1016/j.actaastro.2020.06.023" TargetMode="External"/><Relationship Id="rId177" Type="http://schemas.openxmlformats.org/officeDocument/2006/relationships/hyperlink" Target="https://doi.org/10.1016/j.actaastro.2023.07.009" TargetMode="External"/><Relationship Id="rId181" Type="http://schemas.openxmlformats.org/officeDocument/2006/relationships/hyperlink" Target="https://doi.org/10.1016/j.actaastro.2024.06.015" TargetMode="External"/><Relationship Id="rId179" Type="http://schemas.openxmlformats.org/officeDocument/2006/relationships/hyperlink" Target="https://doi.org/10.1016/j.actaastro.2024.12.037" TargetMode="External"/><Relationship Id="rId169" Type="http://schemas.openxmlformats.org/officeDocument/2006/relationships/hyperlink" Target="https://doi.org/10.1016/j.actaastro.2025.01.031" TargetMode="External"/><Relationship Id="rId167" Type="http://schemas.openxmlformats.org/officeDocument/2006/relationships/hyperlink" Target="https://doi.org/10.1016/j.actaastro.2025.07.014" TargetMode="External"/><Relationship Id="rId173" Type="http://schemas.openxmlformats.org/officeDocument/2006/relationships/hyperlink" Target="https://doi.org/10.1016/j.actaastro.2025.11.006" TargetMode="External"/><Relationship Id="rId175" Type="http://schemas.openxmlformats.org/officeDocument/2006/relationships/hyperlink" Target="https://doi.org/10.1016/j.actaastro.2026.01.006" TargetMode="External"/><Relationship Id="rId164" Type="http://schemas.openxmlformats.org/officeDocument/2006/relationships/hyperlink" Target="https://doi.org/10.64861/NUFH1261" TargetMode="External"/></Relationships>
</file>

<file path=word/_rels/footnotes.xml.rels><?xml version='1.0' encoding='UTF-8' standalone='yes'?>
<Relationships xmlns="http://schemas.openxmlformats.org/package/2006/relationships"><Relationship Id="rId171" Type="http://schemas.openxmlformats.org/officeDocument/2006/relationships/hyperlink" Target="https://doi.org/10.1016/j.actaastro.2020.06.023" TargetMode="External"/><Relationship Id="rId177" Type="http://schemas.openxmlformats.org/officeDocument/2006/relationships/hyperlink" Target="https://doi.org/10.1016/j.actaastro.2023.07.009" TargetMode="External"/><Relationship Id="rId181" Type="http://schemas.openxmlformats.org/officeDocument/2006/relationships/hyperlink" Target="https://doi.org/10.1016/j.actaastro.2024.06.015" TargetMode="External"/><Relationship Id="rId179" Type="http://schemas.openxmlformats.org/officeDocument/2006/relationships/hyperlink" Target="https://doi.org/10.1016/j.actaastro.2024.12.037" TargetMode="External"/><Relationship Id="rId169" Type="http://schemas.openxmlformats.org/officeDocument/2006/relationships/hyperlink" Target="https://doi.org/10.1016/j.actaastro.2025.01.031" TargetMode="External"/><Relationship Id="rId167" Type="http://schemas.openxmlformats.org/officeDocument/2006/relationships/hyperlink" Target="https://doi.org/10.1016/j.actaastro.2025.07.014" TargetMode="External"/><Relationship Id="rId173" Type="http://schemas.openxmlformats.org/officeDocument/2006/relationships/hyperlink" Target="https://doi.org/10.1016/j.actaastro.2025.11.006" TargetMode="External"/><Relationship Id="rId175" Type="http://schemas.openxmlformats.org/officeDocument/2006/relationships/hyperlink" Target="https://doi.org/10.1016/j.actaastro.2026.01.006" TargetMode="External"/><Relationship Id="rId164" Type="http://schemas.openxmlformats.org/officeDocument/2006/relationships/hyperlink" Target="https://doi.org/10.64861/NUFH12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by Committee, Outcome by Chance: A Garbage-Can Test of Space-Program Milestone Reviews</dc:title>
  <dc:creator>Saskia Farouk (1B-MPM-107)</dc:creator>
  <cp:keywords/>
  <dcterms:created xsi:type="dcterms:W3CDTF">2026-07-04T04:09:38Z</dcterms:created>
  <dcterms:modified xsi:type="dcterms:W3CDTF">2026-07-04T04:09:38Z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