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2ce5fa5c233a3f9dad4a35a4aabaf9421c60fb6"/>
    <w:p>
      <w:pPr>
        <w:pStyle w:val="Heading1"/>
      </w:pPr>
      <w:r>
        <w:t xml:space="preserve">Bidder Fields and the Hazard of Schedule-Baseline Breach in NASA Major Programs: A Proportional-Hazards Test</w:t>
      </w:r>
    </w:p>
    <w:bookmarkStart w:id="61" w:name="introduction"/>
    <w:p>
      <w:pPr>
        <w:pStyle w:val="Heading2"/>
      </w:pPr>
      <w:r>
        <w:t xml:space="preserve">1. Introduction</w:t>
      </w:r>
    </w:p>
    <w:p>
      <w:pPr>
        <w:pStyle w:val="FirstParagraph"/>
      </w:pPr>
      <w:r>
        <w:t xml:space="preserve">The companion estimand in this dissertation asks whether the size of the competing-offer field predicts the magnitude of cost growth in major space programs. That cross-sectional framing answers a question about levels, but it is silent about timing. A program does not simply arrive at a final cost; it survives, or fails to survive, a planned development span during which a schedule-baseline breach may occur at any point. The practitioner doctrine that a larger bidder field disciplines execution is, at bottom, a claim about that survival process: more offerors are supposed to lower the rate at which a program slips its committed launch readiness date. This paper tests that claim directly, treating schedule-baseline breach as a time-to-event outcome rather than a binary or continuous one.</w:t>
      </w:r>
    </w:p>
    <w:p>
      <w:pPr>
        <w:pStyle w:val="BodyText"/>
      </w:pPr>
      <w:r>
        <w:t xml:space="preserve">The reframing matters because the governance literature supplies a competing mechanism that operates precisely through the timing channel. Space agencies have deployed cost-plus contracts as the instrument through which they aim to mitigate delays and cost overruns</w:t>
      </w:r>
      <w:r>
        <w:t xml:space="preserve"> </w:t>
      </w:r>
      <w:hyperlink w:anchor="ref-1">
        <m:oMathPara>
          <m:oMathParaPr>
            <m:jc m:val="center"/>
          </m:oMathParaPr>
          <m:oMath>
            <m:r>
              <m:t>1</m:t>
            </m:r>
          </m:oMath>
        </m:oMathPara>
      </w:hyperlink>
      <w:r>
        <w:t xml:space="preserve">, which means the contract instrument, not the count of bidders, has historically absorbed schedule risk. If that is right, then once the instrument and the program scale are entered as covariates, the bidder-count variable should carry no independent weight on the breach hazard. The single question of this paper is whether it does.</w:t>
      </w:r>
    </w:p>
    <w:bookmarkEnd w:id="61"/>
    <w:bookmarkStart w:id="62" w:name="theory-and-hypotheses"/>
    <w:p>
      <w:pPr>
        <w:pStyle w:val="Heading2"/>
      </w:pPr>
      <w:r>
        <w:t xml:space="preserve">2. Theory and Hypotheses</w:t>
      </w:r>
    </w:p>
    <w:p>
      <w:pPr>
        <w:pStyle w:val="FirstParagraph"/>
      </w:pPr>
      <w:r>
        <w:t xml:space="preserve">Three propositions from the retrieved corpus structure the test. First, contract type is a schedule-risk instrument: cost-plus contracts are chosen to mitigate delays and overruns</w:t>
      </w:r>
      <w:r>
        <w:t xml:space="preserve"> </w:t>
      </w:r>
      <w:hyperlink w:anchor="ref-1">
        <m:oMathPara>
          <m:oMathParaPr>
            <m:jc m:val="center"/>
          </m:oMathParaPr>
          <m:oMath>
            <m:r>
              <m:t>1</m:t>
            </m:r>
          </m:oMath>
        </m:oMathPara>
      </w:hyperlink>
      <w:r>
        <w:t xml:space="preserve">, so the instrument is endogenous to the very risk the model studies. Second, the procurement regime is in transition from Legacy Space to New Space, and that transition reshapes who bids and on what terms</w:t>
      </w:r>
      <w:r>
        <w:t xml:space="preserve"> </w:t>
      </w:r>
      <w:hyperlink w:anchor="ref-1">
        <m:oMathPara>
          <m:oMathParaPr>
            <m:jc m:val="center"/>
          </m:oMathParaPr>
          <m:oMath>
            <m:r>
              <m:t>1</m:t>
            </m:r>
          </m:oMath>
        </m:oMathPara>
      </w:hyperlink>
      <w:r>
        <w:t xml:space="preserve"> </w:t>
      </w:r>
      <w:hyperlink w:anchor="ref-4">
        <m:oMathPara>
          <m:oMathParaPr>
            <m:jc m:val="center"/>
          </m:oMathParaPr>
          <m:oMath>
            <m:r>
              <m:t>4</m:t>
            </m:r>
          </m:oMath>
        </m:oMathPara>
      </w:hyperlink>
      <w:r>
        <w:t xml:space="preserve">, so the bidder field is not assigned at random across programs. Third, qualification risk is substantially set at the architecture stage, where cost overruns due to qualification issues are treated as a design-stage hazard to be minimized through architectural choice</w:t>
      </w:r>
      <w:r>
        <w:t xml:space="preserve"> </w:t>
      </w:r>
      <w:hyperlink w:anchor="ref-2">
        <m:oMathPara>
          <m:oMathParaPr>
            <m:jc m:val="center"/>
          </m:oMathParaPr>
          <m:oMath>
            <m:r>
              <m:t>2</m:t>
            </m:r>
          </m:oMath>
        </m:oMathPara>
      </w:hyperlink>
      <w:r>
        <w:t xml:space="preserve">, not through competitive pressure at award. The Earth-observation literature reinforces that competition is a market-structure condition that disrupts and reshapes the sector rather than a dial an agency turns program by program</w:t>
      </w:r>
      <w:r>
        <w:t xml:space="preserve"> </w:t>
      </w:r>
      <w:hyperlink w:anchor="ref-3">
        <m:oMathPara>
          <m:oMathParaPr>
            <m:jc m:val="center"/>
          </m:oMathParaPr>
          <m:oMath>
            <m:r>
              <m:t>3</m:t>
            </m:r>
          </m:oMath>
        </m:oMathPara>
      </w:hyperlink>
      <w:r>
        <w:t xml:space="preserve"> </w:t>
      </w:r>
      <w:hyperlink w:anchor="ref-5">
        <m:oMathPara>
          <m:oMathParaPr>
            <m:jc m:val="center"/>
          </m:oMathParaPr>
          <m:oMath>
            <m:r>
              <m:t>5</m:t>
            </m:r>
          </m:oMath>
        </m:oMathPara>
      </w:hyperlink>
      <w:r>
        <w:t xml:space="preserve">, and the regulatory-competition literature in NewSpace frames competitive intensity as an emergent governance condition</w:t>
      </w:r>
      <w:r>
        <w:t xml:space="preserve"> </w:t>
      </w:r>
      <w:hyperlink w:anchor="ref-7">
        <m:oMathPara>
          <m:oMathParaPr>
            <m:jc m:val="center"/>
          </m:oMathParaPr>
          <m:oMath>
            <m:r>
              <m:t>7</m:t>
            </m:r>
          </m:oMath>
        </m:oMathPara>
      </w:hyperlink>
      <w:r>
        <w:t xml:space="preserve">. None of these isolates the program-level question of whether bidder count independently governs the rate of schedule breach.</w:t>
      </w:r>
    </w:p>
    <w:p>
      <w:pPr>
        <w:pStyle w:val="FirstParagraph"/>
      </w:pPr>
      <w:r>
        <w:t xml:space="preserve">That is the gap. The practitioner asserts a protective effect; the governance mechanism predicts the effect vanishes or even reverses once selection is accounted for, because agencies cultivate large competed fields for exactly the small, cost-capped, schedule-aggressive mission classes whose tight baselines breach most readily, while reserving directed single-source instruments for the large flagships that carry long, generous baselines.</w:t>
      </w:r>
    </w:p>
    <w:p>
      <w:pPr>
        <w:pStyle w:val="BodyText"/>
      </w:pPr>
      <w:r>
        <w:rPr>
          <w:b/>
          <w:bCs/>
        </w:rPr>
        <w:t xml:space="preserve">H0 (null):</w:t>
      </w:r>
      <w:r>
        <w:t xml:space="preserve"> </w:t>
      </w:r>
      <w:r>
        <w:t xml:space="preserve">Conditional on contract instrument and program scale, the number of competing offers at selection has zero partial association with the hazard of schedule-baseline breach. The hazard ratio on bidder count equals one.</w:t>
      </w:r>
    </w:p>
    <w:p>
      <w:pPr>
        <w:pStyle w:val="BodyText"/>
      </w:pPr>
      <w:r>
        <w:rPr>
          <w:b/>
          <w:bCs/>
        </w:rPr>
        <w:t xml:space="preserve">H1 (practitioner alternative):</w:t>
      </w:r>
      <w:r>
        <w:t xml:space="preserve"> </w:t>
      </w:r>
      <w:r>
        <w:t xml:space="preserve">A larger competing-offer field is associated with a lower hazard of schedule-baseline breach. The hazard ratio on bidder count is below one.</w:t>
      </w:r>
    </w:p>
    <w:p>
      <w:pPr>
        <w:pStyle w:val="BodyText"/>
      </w:pPr>
      <w:r>
        <w:t xml:space="preserve">The design is built to be capable of rejecting H1 in favor of either H0 or a signed reversal, which is the disciplining feature of the test.</w:t>
      </w:r>
    </w:p>
    <w:bookmarkEnd w:id="62"/>
    <w:bookmarkStart w:id="63" w:name="data"/>
    <w:p>
      <w:pPr>
        <w:pStyle w:val="Heading2"/>
      </w:pPr>
      <w:r>
        <w:t xml:space="preserve">3. Data</w:t>
      </w:r>
    </w:p>
    <w:p>
      <w:pPr>
        <w:pStyle w:val="FirstParagraph"/>
      </w:pPr>
      <w:r>
        <w:t xml:space="preserve">The analytic sample is 26 NASA major programs for which baseline confirmation dates, baseline launch readiness dates, schedule outcomes, procurement structure, and development cost are documented in the public record. The schedule and cost variables are drawn from the GAO Assessments of Major Projects series (GAO-25-107591, GAO-24-106767, GAO-22-105212), NASA Office of Inspector General reports including the 2025 Dragonfly assessment (IG-25-011), mission press kits, and reconciled mission records. The competing-offer field size is taken from NASA Announcement of Opportunity selection records for competed Discovery, New Frontiers, and Explorer missions, where the Step-1 finalist or proposal pool is documented (the 2015 Discovery competition carried five Step-1 finalists; New Frontiers-4 carried two), and from prime-contract records for directed missions, which are coded as a single-source field. Each row in the dataset carries its source in the final column. Three of the 26 rows (11.5 percent) carry an illustrative marker on a single component value where a precise public figure was unobtainable, below the admissible threshold; no citation is illustrative.</w:t>
      </w:r>
    </w:p>
    <w:p>
      <w:pPr>
        <w:pStyle w:val="BodyText"/>
      </w:pPr>
      <w:r>
        <w:t xml:space="preserve">The duration variable is the planned development span in months from baseline confirmation to baseline launch readiness, the interval over which a program is at risk. The event indicator records whether the program breached its baseline launch readiness date; thirteen of the 26 programs did, and the remaining thirteen are right-censored as having launched on or before baseline. The covariates are the competing-offer count, a cost-plus instrument indicator, and the natural log of development cost in millions as the scale control.</w:t>
      </w:r>
    </w:p>
    <w:bookmarkEnd w:id="63"/>
    <w:bookmarkStart w:id="64" w:name="method"/>
    <w:p>
      <w:pPr>
        <w:pStyle w:val="Heading2"/>
      </w:pPr>
      <w:r>
        <w:t xml:space="preserve">4. Method</w:t>
      </w:r>
    </w:p>
    <w:p>
      <w:pPr>
        <w:pStyle w:val="FirstParagraph"/>
      </w:pPr>
      <w:r>
        <w:t xml:space="preserve">The estimator is a Cox proportional-hazards model fit by partial likelihood (statsmodels PHReg). The hazard of schedule-baseline breach for a program with covariate vector X is modeled as a baseline hazard multiplied by an exponential function of the competing-offer count, the cost-plus indicator, and log development cost, so that each coefficient exponentiates to a hazard ratio. A hazard ratio above one means the covariate accelerates the rate of breach; a ratio below one means it slows that rate. The Cox specification is the appropriate instrument here because it uses the full timing information in the planned span and accommodates the thirteen censored programs without imposing a parametric form on the baseline hazard. The estimand of interest is the hazard ratio on the competing-offer count, holding instrument and scale fixed.</w:t>
      </w:r>
    </w:p>
    <w:bookmarkEnd w:id="64"/>
    <w:bookmarkStart w:id="65" w:name="findings"/>
    <w:p>
      <w:pPr>
        <w:pStyle w:val="Heading2"/>
      </w:pPr>
      <w:r>
        <w:t xml:space="preserve">5. Findings</w:t>
      </w:r>
    </w:p>
    <w:p>
      <w:pPr>
        <w:pStyle w:val="FirstParagraph"/>
      </w:pPr>
      <w:r>
        <w:t xml:space="preserve">The model fits 26 programs with 13 breach events. The coefficient on the competing-offer count is positive and statistically distinguishable from zero (coefficient 0.4784, standard error 0.2366, z = 2.02, p = 0.043), corresponding to a hazard ratio of 1.61 with a 95 percent confidence interval from 1.01 to 2.57. Each additional competing offer at selection is associated with roughly a 61 percent increase in the instantaneous hazard of schedule-baseline breach, holding contract instrument and program scale fixed. This is not merely a failure to find the protective effect that H1 predicts; it is a signed reversal of it. The null of zero association is rejected, and it is rejected in the direction opposite to practitioner doctrine, whose hazard ratio of less than one falls outside the estimated confidence interval.</w:t>
      </w:r>
    </w:p>
    <w:p>
      <w:pPr>
        <w:pStyle w:val="BodyText"/>
      </w:pPr>
      <w:r>
        <w:t xml:space="preserve">The cost-plus indicator carries a hazard ratio of 1.36 but is statistically indistinguishable from one (coefficient 0.3065, standard error 1.0328, z = 0.30, p = 0.767), so within this sample the instrument does not register an independent timing effect once scale and bidder count are controlled. The scale control is strongly signed: log development cost carries a hazard ratio of 0.13 (coefficient -2.0406, standard error 0.8602, z = -2.37, p = 0.018), with a confidence interval from 0.02 to 0.70. Larger programs exhibit a markedly lower per-month hazard of breach within their planned span, which is the expected mechanical and substantive consequence of flagships carrying long, generously dated baselines.</w:t>
      </w:r>
    </w:p>
    <w:p>
      <w:pPr>
        <w:pStyle w:val="BodyText"/>
      </w:pPr>
      <w:r>
        <w:t xml:space="preserve">The headline result therefore reads against the practitioner claim and in favor of the selection mechanism the governance literature implies</w:t>
      </w:r>
      <w:r>
        <w:t xml:space="preserve"> </w:t>
      </w:r>
      <w:hyperlink w:anchor="ref-1">
        <m:oMathPara>
          <m:oMathParaPr>
            <m:jc m:val="center"/>
          </m:oMathParaPr>
          <m:oMath>
            <m:r>
              <m:t>1</m:t>
            </m:r>
          </m:oMath>
        </m:oMathPara>
      </w:hyperlink>
      <w:r>
        <w:t xml:space="preserve"> </w:t>
      </w:r>
      <w:hyperlink w:anchor="ref-4">
        <m:oMathPara>
          <m:oMathParaPr>
            <m:jc m:val="center"/>
          </m:oMathParaPr>
          <m:oMath>
            <m:r>
              <m:t>4</m:t>
            </m:r>
          </m:oMath>
        </m:oMathPara>
      </w:hyperlink>
      <w:r>
        <w:t xml:space="preserve">. The positive bidder coefficient is most coherently read not as competition causing slips but as a selection artifact: the competed mission classes that attract larger fields are also the cost-capped, schedule-aggressive classes whose tight baselines breach at a higher rate, while the single-source flagships sit at the low-hazard end of the bidder distribution by construction. The estimate is an association under a strong conditional-independence assumption, and the sign is the finding that disciplines the practitioner theorem.</w:t>
      </w:r>
    </w:p>
    <w:bookmarkEnd w:id="65"/>
    <w:bookmarkStart w:id="66" w:name="discussion"/>
    <w:p>
      <w:pPr>
        <w:pStyle w:val="Heading2"/>
      </w:pPr>
      <w:r>
        <w:t xml:space="preserve">6. Discussion</w:t>
      </w:r>
    </w:p>
    <w:p>
      <w:pPr>
        <w:pStyle w:val="FirstParagraph"/>
      </w:pPr>
      <w:r>
        <w:t xml:space="preserve">The contribution is a single controlled estimate, and its value lies in what it forecloses. The proposition that a larger bidder field lowers the rate of schedule-baseline breach, conditional on instrument and scale, is not supported in this sample; the point estimate runs the other way and excludes the protective region at conventional confidence. For execution management this counsels against treating the size of the competing-offer field as a free lever on schedule discipline. The field size is entangled with the mission class, the cost cap, and the baseline aggressiveness that travel with competed solicitations, and the governance literature names the contract instrument and the program architecture as the operative risk levers</w:t>
      </w:r>
      <w:r>
        <w:t xml:space="preserve"> </w:t>
      </w:r>
      <w:hyperlink w:anchor="ref-1">
        <m:oMathPara>
          <m:oMathParaPr>
            <m:jc m:val="center"/>
          </m:oMathParaPr>
          <m:oMath>
            <m:r>
              <m:t>1</m:t>
            </m:r>
          </m:oMath>
        </m:oMathPara>
      </w:hyperlink>
      <w:r>
        <w:t xml:space="preserve"> </w:t>
      </w:r>
      <w:hyperlink w:anchor="ref-2">
        <m:oMathPara>
          <m:oMathParaPr>
            <m:jc m:val="center"/>
          </m:oMathParaPr>
          <m:oMath>
            <m:r>
              <m:t>2</m:t>
            </m:r>
          </m:oMath>
        </m:oMathPara>
      </w:hyperlink>
      <w:r>
        <w:t xml:space="preserve">.</w:t>
      </w:r>
    </w:p>
    <w:p>
      <w:pPr>
        <w:pStyle w:val="FirstParagraph"/>
      </w:pPr>
      <w:r>
        <w:t xml:space="preserve">Three limitations bound the claim. First, the sample is 26 federal civil-space programs with 13 events, so the estimates are usable but the confidence intervals are wide, and the cost-plus interval in particular spans an order of magnitude. Second, the conditional-independence assumption is strong: if agencies assign large competed fields to intrinsically harder-to-schedule mission classes, the positive bidder coefficient is a selection signal rather than a treatment effect, and the present design cannot separate the two without an instrument for field size. Third, external validity is scoped to NASA civil-space execution and does not extend to the New Space commercial procurement models whose governance is still in transition</w:t>
      </w:r>
      <w:r>
        <w:t xml:space="preserve"> </w:t>
      </w:r>
      <w:hyperlink w:anchor="ref-1">
        <m:oMathPara>
          <m:oMathParaPr>
            <m:jc m:val="center"/>
          </m:oMathParaPr>
          <m:oMath>
            <m:r>
              <m:t>1</m:t>
            </m:r>
          </m:oMath>
        </m:oMathPara>
      </w:hyperlink>
      <w:r>
        <w:t xml:space="preserve"> </w:t>
      </w:r>
      <w:hyperlink w:anchor="ref-4">
        <m:oMathPara>
          <m:oMathParaPr>
            <m:jc m:val="center"/>
          </m:oMathParaPr>
          <m:oMath>
            <m:r>
              <m:t>4</m:t>
            </m:r>
          </m:oMath>
        </m:oMathPara>
      </w:hyperlink>
      <w:r>
        <w:t xml:space="preserve"> </w:t>
      </w:r>
      <w:hyperlink w:anchor="ref-7">
        <m:oMathPara>
          <m:oMathParaPr>
            <m:jc m:val="center"/>
          </m:oMathParaPr>
          <m:oMath>
            <m:r>
              <m:t>7</m:t>
            </m:r>
          </m:oMath>
        </m:oMathPara>
      </w:hyperlink>
      <w:r>
        <w:t xml:space="preserve"> </w:t>
      </w:r>
      <w:r>
        <w:t xml:space="preserve">or to the constellation-operator competition whose welfare effects are estimated elsewhere</w:t>
      </w:r>
      <w:r>
        <w:t xml:space="preserve"> </w:t>
      </w:r>
      <w:hyperlink w:anchor="ref-6">
        <m:oMathPara>
          <m:oMathParaPr>
            <m:jc m:val="center"/>
          </m:oMathParaPr>
          <m:oMath>
            <m:r>
              <m:t>6</m:t>
            </m:r>
          </m:oMath>
        </m:oMathPara>
      </w:hyperlink>
      <w:r>
        <w:t xml:space="preserve">. Within those bounds, the test does what a falsifiable design should: it confronts a confident practitioner theorem with the timing data and reports that the data do not cooperate.</w:t>
      </w:r>
    </w:p>
    <w:bookmarkEnd w:id="66"/>
    <w:bookmarkStart w:id="81" w:name="references"/>
    <w:p>
      <w:pPr>
        <w:pStyle w:val="Heading2"/>
      </w:pPr>
      <w:r>
        <w:t xml:space="preserve">References</w:t>
      </w:r>
    </w:p>
    <w:p>
      <w:pPr>
        <w:pStyle w:val="FirstParagraph"/>
      </w:pPr>
      <w:bookmarkStart w:id="67" w:name="ref-1"/>
      <w:bookmarkEnd w:id="67"/>
      <w:r>
        <w:t xml:space="preserve">1.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68">
        <w:r>
          <w:rPr>
            <w:rStyle w:val="Hyperlink"/>
          </w:rPr>
          <w:t xml:space="preserve">10.1016/j.actaastro.2024.09.005</w:t>
        </w:r>
      </w:hyperlink>
    </w:p>
    <w:p>
      <w:pPr>
        <w:pStyle w:val="BodyText"/>
      </w:pPr>
      <w:bookmarkStart w:id="69" w:name="ref-2"/>
      <w:bookmarkEnd w:id="69"/>
      <w:r>
        <w:t xml:space="preserve">2. J.-M. Salotti,</w:t>
      </w:r>
      <w:r>
        <w:t xml:space="preserve"> </w:t>
      </w:r>
      <w:r>
        <w:t xml:space="preserve">“Launcher size optimization for a crewed Mars mission,”</w:t>
      </w:r>
      <w:r>
        <w:t xml:space="preserve"> </w:t>
      </w:r>
      <w:r>
        <w:t xml:space="preserve">Acta Astronautica, vol. 191, 2021. doi:</w:t>
      </w:r>
      <w:r>
        <w:t xml:space="preserve"> </w:t>
      </w:r>
      <w:hyperlink r:id="rId70">
        <w:r>
          <w:rPr>
            <w:rStyle w:val="Hyperlink"/>
          </w:rPr>
          <w:t xml:space="preserve">10.1016/j.actaastro.2021.11.016</w:t>
        </w:r>
      </w:hyperlink>
    </w:p>
    <w:p>
      <w:pPr>
        <w:pStyle w:val="BodyText"/>
      </w:pPr>
      <w:bookmarkStart w:id="71" w:name="ref-3"/>
      <w:bookmarkEnd w:id="71"/>
      <w:r>
        <w:t xml:space="preserve">3.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72">
        <w:r>
          <w:rPr>
            <w:rStyle w:val="Hyperlink"/>
          </w:rPr>
          <w:t xml:space="preserve">10.1016/j.actaastro.2017.04.034</w:t>
        </w:r>
      </w:hyperlink>
    </w:p>
    <w:p>
      <w:pPr>
        <w:pStyle w:val="BodyText"/>
      </w:pPr>
      <w:bookmarkStart w:id="73" w:name="ref-4"/>
      <w:bookmarkEnd w:id="73"/>
      <w:r>
        <w:t xml:space="preserve">4. G. Denis, D. Alary, X. Pasco, N. Pisot, D. Texier, and S. Toulza,</w:t>
      </w:r>
      <w:r>
        <w:t xml:space="preserve"> </w:t>
      </w:r>
      <w:r>
        <w:t xml:space="preserve">“From new space to big space: How commercial space dream is becoming a reality,”</w:t>
      </w:r>
      <w:r>
        <w:t xml:space="preserve"> </w:t>
      </w:r>
      <w:r>
        <w:t xml:space="preserve">Acta Astronautica, vol. 166, 2019. doi:</w:t>
      </w:r>
      <w:r>
        <w:t xml:space="preserve"> </w:t>
      </w:r>
      <w:hyperlink r:id="rId74">
        <w:r>
          <w:rPr>
            <w:rStyle w:val="Hyperlink"/>
          </w:rPr>
          <w:t xml:space="preserve">10.1016/j.actaastro.2019.08.031</w:t>
        </w:r>
      </w:hyperlink>
    </w:p>
    <w:p>
      <w:pPr>
        <w:pStyle w:val="BodyText"/>
      </w:pPr>
      <w:bookmarkStart w:id="75" w:name="ref-5"/>
      <w:bookmarkEnd w:id="75"/>
      <w:r>
        <w:t xml:space="preserve">5. V. Zancan, P. Trucco, and G. Locatelli,</w:t>
      </w:r>
      <w:r>
        <w:t xml:space="preserve"> </w:t>
      </w:r>
      <w:r>
        <w:t xml:space="preserve">“</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w:t>
      </w:r>
      <w:r>
        <w:t xml:space="preserve"> </w:t>
      </w:r>
      <w:r>
        <w:t xml:space="preserve">Acta Astronautica, vol. 243, 2026. doi:</w:t>
      </w:r>
      <w:r>
        <w:t xml:space="preserve"> </w:t>
      </w:r>
      <w:hyperlink r:id="rId76">
        <w:r>
          <w:rPr>
            <w:rStyle w:val="Hyperlink"/>
          </w:rPr>
          <w:t xml:space="preserve">10.1016/j.actaastro.2026.01.040</w:t>
        </w:r>
      </w:hyperlink>
    </w:p>
    <w:p>
      <w:pPr>
        <w:pStyle w:val="BodyText"/>
      </w:pPr>
      <w:bookmarkStart w:id="77" w:name="ref-6"/>
      <w:bookmarkEnd w:id="77"/>
      <w:r>
        <w:t xml:space="preserve">6. J. Guyot, A. Rao, and S. Rouillon,</w:t>
      </w:r>
      <w:r>
        <w:t xml:space="preserve"> </w:t>
      </w:r>
      <w:r>
        <w:t xml:space="preserve">“Oligopoly competition between satellite constellations will reduce economic welfare from orbit use,”</w:t>
      </w:r>
      <w:r>
        <w:t xml:space="preserve"> </w:t>
      </w:r>
      <w:r>
        <w:t xml:space="preserve">Proceedings of the National Academy of Sciences, vol. 120, 2023. doi:</w:t>
      </w:r>
      <w:r>
        <w:t xml:space="preserve"> </w:t>
      </w:r>
      <w:hyperlink r:id="rId78">
        <w:r>
          <w:rPr>
            <w:rStyle w:val="Hyperlink"/>
          </w:rPr>
          <w:t xml:space="preserve">10.1073/pnas.2221343120</w:t>
        </w:r>
      </w:hyperlink>
    </w:p>
    <w:p>
      <w:pPr>
        <w:pStyle w:val="BodyText"/>
      </w:pPr>
      <w:bookmarkStart w:id="79" w:name="ref-7"/>
      <w:bookmarkEnd w:id="79"/>
      <w:r>
        <w:t xml:space="preserve">7. S. Simon,</w:t>
      </w:r>
      <w:r>
        <w:t xml:space="preserve"> </w:t>
      </w:r>
      <w:r>
        <w:t xml:space="preserve">“A cause for concern: Developing regulatory competitions in NewSpace,”</w:t>
      </w:r>
      <w:r>
        <w:t xml:space="preserve"> </w:t>
      </w:r>
      <w:r>
        <w:t xml:space="preserve">Acta Astronautica, vol. 188, 2021. doi:</w:t>
      </w:r>
      <w:r>
        <w:t xml:space="preserve"> </w:t>
      </w:r>
      <w:hyperlink r:id="rId80">
        <w:r>
          <w:rPr>
            <w:rStyle w:val="Hyperlink"/>
          </w:rPr>
          <w:t xml:space="preserve">10.1016/j.actaastro.2021.05.015</w:t>
        </w:r>
      </w:hyperlink>
    </w:p>
    <w:bookmarkEnd w:id="81"/>
    <w:bookmarkStart w:id="82"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bidders</m:t>
              </m:r>
              <m:r>
                <m:rPr>
                  <m:sty m:val="p"/>
                </m:rPr>
                <m:t>+</m:t>
              </m:r>
              <m:sSub>
                <m:e>
                  <m:r>
                    <m:t>β</m:t>
                  </m:r>
                </m:e>
                <m:sub>
                  <m:r>
                    <m:t>2</m:t>
                  </m:r>
                </m:sub>
              </m:sSub>
              <m:r>
                <m:t> </m:t>
              </m:r>
              <m:r>
                <m:rPr>
                  <m:nor/>
                  <m:sty m:val="p"/>
                </m:rPr>
                <m:t>costplus</m:t>
              </m:r>
              <m:r>
                <m:rPr>
                  <m:sty m:val="p"/>
                </m:rPr>
                <m:t>+</m:t>
              </m:r>
              <m:sSub>
                <m:e>
                  <m:r>
                    <m:t>β</m:t>
                  </m:r>
                </m:e>
                <m:sub>
                  <m:r>
                    <m:t>3</m:t>
                  </m:r>
                </m:sub>
              </m:sSub>
              <m:r>
                <m:t> </m:t>
              </m:r>
              <m:r>
                <m:rPr>
                  <m:sty m:val="p"/>
                </m:rPr>
                <m:t>ln</m:t>
              </m:r>
              <m:r>
                <m:rPr>
                  <m:sty m:val="p"/>
                </m:rPr>
                <m:t>(</m:t>
              </m:r>
              <m:r>
                <m:rPr>
                  <m:nor/>
                  <m:sty m:val="p"/>
                </m:rPr>
                <m:t>devcost</m:t>
              </m:r>
              <m:r>
                <m:rPr>
                  <m:sty m:val="p"/>
                </m:rPr>
                <m:t>)</m:t>
              </m:r>
            </m:e>
          </m:d>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0.2366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[0.0147, 0.9421]</w:t>
            </w:r>
          </w:p>
        </w:tc>
        <w:tc>
          <w:tcPr>
            <w:tcW w:w="0" w:type="auto"/>
          </w:tcPr>
          <w:p>
            <w:pPr>
              <w:spacing w:line="240" w:lineRule="auto" w:before="0" w:after="0"/>
              <w:pStyle w:val="Compact"/>
            </w:pPr>
            <w:r>
              <w:rPr>
                <w:sz w:val="20"/>
                <w:szCs w:val="20"/>
              </w:rPr>
              <w:t xml:space="preserve">1.6135</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0.3065</w:t>
            </w:r>
          </w:p>
        </w:tc>
        <w:tc>
          <w:tcPr>
            <w:tcW w:w="0" w:type="auto"/>
          </w:tcPr>
          <w:p>
            <w:pPr>
              <w:spacing w:line="240" w:lineRule="auto" w:before="0" w:after="0"/>
              <w:pStyle w:val="Compact"/>
            </w:pPr>
            <w:r>
              <w:rPr>
                <w:sz w:val="20"/>
                <w:szCs w:val="20"/>
              </w:rPr>
              <w:t xml:space="preserve">1.0328</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[-1.7178, 2.3309]</w:t>
            </w:r>
          </w:p>
        </w:tc>
        <w:tc>
          <w:tcPr>
            <w:tcW w:w="0" w:type="auto"/>
          </w:tcPr>
          <w:p>
            <w:pPr>
              <w:spacing w:line="240" w:lineRule="auto" w:before="0" w:after="0"/>
              <w:pStyle w:val="Compact"/>
            </w:pPr>
            <w:r>
              <w:rPr>
                <w:sz w:val="20"/>
                <w:szCs w:val="20"/>
              </w:rPr>
              <w:t xml:space="preserve">1.3587</w:t>
            </w:r>
          </w:p>
        </w:tc>
      </w:tr>
      <w:tr>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-2.0406</w:t>
            </w:r>
          </w:p>
        </w:tc>
        <w:tc>
          <w:tcPr>
            <w:tcW w:w="0" w:type="auto"/>
          </w:tcPr>
          <w:p>
            <w:pPr>
              <w:spacing w:line="240" w:lineRule="auto" w:before="0" w:after="0"/>
              <w:pStyle w:val="Compact"/>
            </w:pPr>
            <w:r>
              <w:rPr>
                <w:sz w:val="20"/>
                <w:szCs w:val="20"/>
              </w:rPr>
              <w:t xml:space="preserve">0.8602</w:t>
            </w:r>
          </w:p>
        </w:tc>
        <w:tc>
          <w:tcPr>
            <w:tcW w:w="0" w:type="auto"/>
          </w:tcPr>
          <w:p>
            <w:pPr>
              <w:spacing w:line="240" w:lineRule="auto" w:before="0" w:after="0"/>
              <w:pStyle w:val="Compact"/>
            </w:pPr>
            <w:r>
              <w:rPr>
                <w:sz w:val="20"/>
                <w:szCs w:val="20"/>
              </w:rPr>
              <w:t xml:space="preserve">-2.3722</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[-3.7267, -0.3546]</w:t>
            </w:r>
          </w:p>
        </w:tc>
        <w:tc>
          <w:tcPr>
            <w:tcW w:w="0" w:type="auto"/>
          </w:tcPr>
          <w:p>
            <w:pPr>
              <w:spacing w:line="240" w:lineRule="auto" w:before="0" w:after="0"/>
              <w:pStyle w:val="Compact"/>
            </w:pPr>
            <w:r>
              <w:rPr>
                <w:sz w:val="20"/>
                <w:szCs w:val="20"/>
              </w:rPr>
              <w:t xml:space="preserve">0.1299</w:t>
            </w:r>
          </w:p>
        </w:tc>
      </w:tr>
    </w:tbl>
    <w:p>
      <w:pPr>
        <w:pStyle w:val="BodyText"/>
      </w:pPr>
      <w:r>
        <w:t xml:space="preserve">Fit: N = 26 events = 13</w:t>
      </w:r>
    </w:p>
    <w:p>
      <w:pPr>
        <w:pStyle w:val="CaptionedFigure"/>
      </w:pPr>
      <w:r>
        <w:drawing>
          <wp:inline>
            <wp:extent cx="5669280" cy="3657600"/>
            <wp:effectExtent b="0" l="0" r="0" t="0"/>
            <wp:docPr descr="Figure 1. Planned development span against the size of the competing-offer field across 26 NASA major programs; marker-level schedule-breach status enters the proportional-hazards estimate." title="" id="84" name="Picture"/>
            <a:graphic>
              <a:graphicData uri="http://schemas.openxmlformats.org/drawingml/2006/picture">
                <pic:pic>
                  <pic:nvPicPr>
                    <pic:cNvPr descr="D:\Claude_Code\brain\collegium\candidates\dissertations\ENTERPRISE_ACQ_10\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Planned development span against the size of the competing-offer field across 26 NASA major programs; marker-level schedule-breach status enters the proportional-hazards estimate.</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2015 had 5 Step-1 finalists (DAVINCI/Lucy/NEOCam/Psyche/VERITAS); selected Jan-2017 KDP-C, baseline LRD Aug-2022, slipped to Oct-2023 launch (~14 mo). Dev cost ~$0.5B incurred to launch. Sources: SpaceNews 2015-09-30 Discovery finalists; en.wikipedia.org/wiki/Psyche_(spacecraft) (June-2022 delay); planetary.org/space-policy/psyche-cost.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2015 5 Step-1 finalists; Lucy/Psyche selected Jan-2017; launched on schedule Oct-16-2021 within baseline window. Firm-fixed-price-dominant Discovery cost cap ~$300M dev. Source: en.wikipedia.org/wiki/Lucy_(spacecraft); blogs.nasa.gov/lucy 2021-10-13 LRR completed.</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Frontiers-4 (2017) had 2 finalists (Dragonfly/CAESAR); Dragonfly selected June-2019. KDP-C/baseline Apr-2024 LRD 2027 then slipped &gt;2 yr to 2028; lifecycle grew to $3.35B, dev portion ~$1.2B. Sources: oig.nasa.gov IG-25-011 (2025); jhuapl.edu 231128 (2028 LRD); space.com NASA Dragonfly 2028.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JPL-directed (sole-source prime, cost-plus); confirmed 2019, launched on baseline Oct-14-2024 with no pre-launch baseline LRD breach. Committed lifecycle $5.2B, dev ~$3.8B. Sources: en.wikipedia.org/wiki/Europa_Clipper; science.nasa.gov Europa Clipper timeline; GAO-24-106767.</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 2015 finalist, selected June-2021; preferred launch slipped from FY2030 to ~2031-2032 window per replans. Discovery-class ~$0.42B dev cost cap. Sources: en.wikipedia.org/wiki/DAVINCI; science.nasa.gov DAVINCI; SpaceNews VERITAS/JPL institutional delays.</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 2015 finalist, selected June-2021; launch postponed Nov-2022 from 2027 to no-earlier-than 2031 (&gt;3 yr slip) due to JPL institutional issues. Sources: en.wikipedia.org/wiki/VERITAS_(spacecraft); spacenews.com veritas-venus-mission-seeks-to-avoid-further-delays.</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Directed/competed-instrument; rebaselined; launch slipped from 2026 to NLT June-2028 with funding-driven replan. Dev cost ~$0.75B (capped at $1.2B lifecycle). Sources: en.wikipedia.org/wiki/NEO_Surveyor; science.nasa.gov NEO Surveyor (Feb-2025 Sep-2027/NLT June-2028).</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MIDEX competed (selected 2019 from explorer field); launch slipped 2023 to 2024 to Mar-11-2025. Explorer-class firm cost cap ~$0.2B dev. Sources: jpl.nasa.gov press-kits/spherex; business-standard.com SPHEREx/PUNCH delay; space.com SPHEREx delay Mar-8.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NASA-CNES directed partnership (JPL prime, cost-plus); launched Dec-16-2022 broadly on rebaselined plan. Dev cost ~$1.4B NASA share. Sources: swot.jpl.nasa.gov/mission/overview; eoportal.org SWOT; GAO-22-105212.</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USGS/NASA; Northrop Grumman bus competed; launched Sep-27-2021 within baseline. Firm-fixed-price-dominant; dev ~$0.68B. Sources: en.wikipedia.org/wiki/Landsat_9; usgs.gov Landsat 9; science.nasa.gov Landsat 9 launch.</w:t>
            </w:r>
          </w:p>
        </w:tc>
      </w:tr>
      <w:tr>
        <w:tc>
          <w:tcPr>
            <w:tcW w:w="0" w:type="auto"/>
          </w:tcPr>
          <w:p>
            <w:pPr>
              <w:spacing w:line="240" w:lineRule="auto" w:before="0" w:after="0"/>
              <w:pStyle w:val="Compact"/>
            </w:pPr>
            <w:r>
              <w:rPr>
                <w:sz w:val="20"/>
                <w:szCs w:val="20"/>
              </w:rPr>
              <w:t xml:space="preserve">GOES_T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series (Lockheed Martin prime, cost-plus, series buy); GOES-T launched Mar-1-2022 on rebaselined plan. Series dev share ~$2.2B. Sources: noaa.gov GOES-T blasts into orbit; goes-r.gov; en.wikipedia.org/wiki/GOES-18.</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Discovery-12 competed (3 finalists 2012: InSight/TiME/CHopper-class); InSight selected 2012; launch slipped from Mar-2016 to May-2018 (seismometer leak, ~26 mo). Dev ~$0.5B (+$150M overrun). Sources: en.wikipedia.org/wiki/InSight; science.nasa.gov InSight.</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New Frontiers-3 competed (3 finalists 2009: OSIRIS-REx/MoonRise/SAGE); selected 2011; launched on schedule Sep-8-2016. Lockheed prime cost-plus; dev ~$0.8B. Sources: en.wikipedia.org/wiki/OSIRIS-REx; lockheedmartin.com OSIRIS-REx.</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LWS directed (APL prime, cost-plus); launched on schedule Aug-2018, ~$40.5M under budget. Dev ~$0.75B (lifecycle ~$1.5B). Sources: en.wikipedia.org/wiki/Parker_Solar_Probe; spacenews.com cost-and-schedule-overruns (PSP on schedule/under budget).</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9.169</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GSFC-directed (Northrop Grumman prime, cost-plus); cumulative schedule slip 7.3 yr, dev overrun $4.4B; launched Dec-2021 vs original 2014-era baseline. Sources: GAO-19-377; space.com JWST/SLS cost; gao.gov/assets/720/714281 JWST nearing completion.</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MSFC-directed (Boeing/Aerojet prime, cost-plus); ~4 yr slip, multibillion overrun ($6.8B Artemis trio over baseline). First flight Nov-2022 vs 2017 baseline. Sources: GAO-23-105609 SLS cost transparency; GAO-24-106767 (SLS/EGS left portfolio, 4 yr delays each).</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JSC-directed (Lockheed Martin prime, cost-plus); ~$2.9B cumulative baseline cost overrun (65% of portfolio), multi-year slip. Sources: GAO-24-106767 (Orion $2.9B, 65%); GAO-19-377 human-exploration delays.</w:t>
            </w:r>
          </w:p>
        </w:tc>
      </w:tr>
      <w:tr>
        <w:tc>
          <w:tcPr>
            <w:tcW w:w="0" w:type="auto"/>
          </w:tcPr>
          <w:p>
            <w:pPr>
              <w:spacing w:line="240" w:lineRule="auto" w:before="0" w:after="0"/>
              <w:pStyle w:val="Compact"/>
            </w:pPr>
            <w:r>
              <w:rPr>
                <w:sz w:val="20"/>
                <w:szCs w:val="20"/>
              </w:rPr>
              <w:t xml:space="preserve">Exploration_Ground_Systems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KSC-directed (multiple cost-plus); ~4 yr delay, part of $3.6B SLS+EGS overrun before leaving portfolio 2024. Sources: GAO-24-106767 (SLS/EGS $3.6B, 4 yr each).</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Scout competed (selected 2008); Lockheed prime cost-plus; launched on schedule Nov-2013 within baseline. Dev ~$0.5B. Sources: en.wikipedia.org/wiki/MAVEN; mars.nasa.gov MAVEN; GAO assessments (MAVEN on baseline).</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GFZ/JPL directed partnership; Airbus bus; launched on schedule May-2018. Dev ~$0.3B NASA share. Sources: en.wikipedia.org/wiki/GRACE-FO; jpl.nasa.gov GRACE-FO. [illustrative] dev-cost split estimated from public ~$430M total.</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Explorer competed (selected 2013); Northrop/Orbital prime; launch slipped from 2017 to Oct-2019 (~24 mo, launch-vehicle anomaly). Dev ~$0.2B. Sources: en.wikipedia.org/wiki/ICON_(satellite); nasa.gov ICON.</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competed (selected 2013); Orbital prime; launched on schedule Apr-2018. Dev ~$0.3B. Sources: en.wikipedia.org/wiki/TESS; nasa.gov TESS.</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GSFC-directed (cost-plus); GAO-25-107591 reports Roman ~8 months ahead of schedule and under budget toward ~2026 launch; no baseline LRD breach. Dev ~$4.0B. Sources: spacepolicyonline.com Roman launch date; scientificamerican.com Roman launch; GAO-25-107591.</w:t>
            </w:r>
          </w:p>
        </w:tc>
      </w:tr>
      <w:tr>
        <w:tc>
          <w:tcPr>
            <w:tcW w:w="0" w:type="auto"/>
          </w:tcPr>
          <w:p>
            <w:pPr>
              <w:spacing w:line="240" w:lineRule="auto" w:before="0" w:after="0"/>
              <w:pStyle w:val="Compact"/>
            </w:pPr>
            <w:r>
              <w:rPr>
                <w:sz w:val="20"/>
                <w:szCs w:val="20"/>
              </w:rPr>
              <w:t xml:space="preserve">Sentinel_6A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NASA-ESA-NOAA-EUMETSAT directed partnership; launched on schedule Nov-2020. NASA dev share ~$0.4B. Sources: en.wikipedia.org/wiki/Sentinel-6_Michael_Freilich; jpl.nasa.gov Sentinel-6. [illustrative] NASA-share dev cost approximated.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Planetary-Defense directed (APL prime, firm-fixed-price-leaning); launched on schedule Nov-2021. Dev ~$0.3B (lifecycle ~$0.33B). Sources: en.wikipedia.org/wiki/Double_Asteroid_Redirection_Test; nasa.gov DART.</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GSFC-directed (in-house + cost-plus instruments); launch slipped within development before Feb-2024 launch; faced cancellation-budget churn. Dev ~$0.5B. Sources: en.wikipedia.org/wiki/PACE_(satellite); science.nasa.gov PACE. [illustrative] slip flagged from budget-driven replans in GAO assessments.</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Planned development span: months from baseline confirmation (KDP-C) to baseline launch readiness date; the analysis time over which a program is at risk of a schedule-baseline breach.</w:t>
            </w:r>
          </w:p>
        </w:tc>
        <w:tc>
          <w:tcPr>
            <w:tcW w:w="0" w:type="auto"/>
          </w:tcPr>
          <w:p>
            <w:pPr>
              <w:spacing w:line="240" w:lineRule="auto" w:before="0" w:after="0"/>
              <w:pStyle w:val="Compact"/>
            </w:pPr>
            <w:r>
              <w:rPr>
                <w:sz w:val="20"/>
                <w:szCs w:val="20"/>
              </w:rPr>
              <w:t xml:space="preserve">NASA project baseline dates from GAO Assessments of Major Projects (GAO-25-107591, GAO-24-106767, GAO-22-105212) and mission press kits / Wikipedia mission pages cross-checked per row.</w:t>
            </w:r>
          </w:p>
        </w:tc>
      </w:tr>
      <w:tr>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Event indicator: 1 if the program breached its baseline launch readiness date (schedule slip observed); 0 if it launched on or before baseline (no breach observed / right-censored).</w:t>
            </w:r>
          </w:p>
        </w:tc>
        <w:tc>
          <w:tcPr>
            <w:tcW w:w="0" w:type="auto"/>
          </w:tcPr>
          <w:p>
            <w:pPr>
              <w:spacing w:line="240" w:lineRule="auto" w:before="0" w:after="0"/>
              <w:pStyle w:val="Compact"/>
            </w:pPr>
            <w:r>
              <w:rPr>
                <w:sz w:val="20"/>
                <w:szCs w:val="20"/>
              </w:rPr>
              <w:t xml:space="preserve">Per-row schedule outcome from GAO assessments, NASA OIG reports (e.g. IG-25-011 Dragonfly), and mission launch records.</w:t>
            </w:r>
          </w:p>
        </w:tc>
      </w:tr>
      <w:tr>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Number of competing offers in the program’s source selection: AO Step-1 finalist/proposal count for competed Discovery/New Frontiers/Explorer missions; prime-contract offeror count for directed missions (1 = directed/sole-source).</w:t>
            </w:r>
          </w:p>
        </w:tc>
        <w:tc>
          <w:tcPr>
            <w:tcW w:w="0" w:type="auto"/>
          </w:tcPr>
          <w:p>
            <w:pPr>
              <w:spacing w:line="240" w:lineRule="auto" w:before="0" w:after="0"/>
              <w:pStyle w:val="Compact"/>
            </w:pPr>
            <w:r>
              <w:rPr>
                <w:sz w:val="20"/>
                <w:szCs w:val="20"/>
              </w:rPr>
              <w:t xml:space="preserve">NASA AO selection announcements (SpaceNews, NASA/JPL press releases) and program records; e.g. Discovery-2015 had 5 Step-1 finalists, New Frontiers-4 had 2 finalists.</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Contract-instrument indicator: 1 = cost-plus prime instrument; 0 = firm-fixed-price or fixed-price-dominant prime.</w:t>
            </w:r>
          </w:p>
        </w:tc>
        <w:tc>
          <w:tcPr>
            <w:tcW w:w="0" w:type="auto"/>
          </w:tcPr>
          <w:p>
            <w:pPr>
              <w:spacing w:line="240" w:lineRule="auto" w:before="0" w:after="0"/>
              <w:pStyle w:val="Compact"/>
            </w:pPr>
            <w:r>
              <w:rPr>
                <w:sz w:val="20"/>
                <w:szCs w:val="20"/>
              </w:rPr>
              <w:t xml:space="preserve">GAO assessments and NASA/contractor procurement records; cost-plus is NASA’s instrument for absorbing qualification/overrun risk [1].</w:t>
            </w:r>
          </w:p>
        </w:tc>
      </w:tr>
      <w:tr>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Natural log of program development cost in USD millions (scale control).</w:t>
            </w:r>
          </w:p>
        </w:tc>
        <w:tc>
          <w:tcPr>
            <w:tcW w:w="0" w:type="auto"/>
          </w:tcPr>
          <w:p>
            <w:pPr>
              <w:spacing w:line="240" w:lineRule="auto" w:before="0" w:after="0"/>
              <w:pStyle w:val="Compact"/>
            </w:pPr>
            <w:r>
              <w:rPr>
                <w:sz w:val="20"/>
                <w:szCs w:val="20"/>
              </w:rPr>
              <w:t xml:space="preserve">Development-cost figures from GAO assessments, NASA OIG reports, and Planetary Society cost analyses; logged to control program scale.</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0.2366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[0.0147, 0.9421]</w:t>
            </w:r>
          </w:p>
        </w:tc>
        <w:tc>
          <w:tcPr>
            <w:tcW w:w="0" w:type="auto"/>
          </w:tcPr>
          <w:p>
            <w:pPr>
              <w:spacing w:line="240" w:lineRule="auto" w:before="0" w:after="0"/>
              <w:pStyle w:val="Compact"/>
            </w:pPr>
            <w:r>
              <w:rPr>
                <w:sz w:val="20"/>
                <w:szCs w:val="20"/>
              </w:rPr>
              <w:t xml:space="preserve">1.6135</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0.3065</w:t>
            </w:r>
          </w:p>
        </w:tc>
        <w:tc>
          <w:tcPr>
            <w:tcW w:w="0" w:type="auto"/>
          </w:tcPr>
          <w:p>
            <w:pPr>
              <w:spacing w:line="240" w:lineRule="auto" w:before="0" w:after="0"/>
              <w:pStyle w:val="Compact"/>
            </w:pPr>
            <w:r>
              <w:rPr>
                <w:sz w:val="20"/>
                <w:szCs w:val="20"/>
              </w:rPr>
              <w:t xml:space="preserve">1.0328</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[-1.7178, 2.3309]</w:t>
            </w:r>
          </w:p>
        </w:tc>
        <w:tc>
          <w:tcPr>
            <w:tcW w:w="0" w:type="auto"/>
          </w:tcPr>
          <w:p>
            <w:pPr>
              <w:spacing w:line="240" w:lineRule="auto" w:before="0" w:after="0"/>
              <w:pStyle w:val="Compact"/>
            </w:pPr>
            <w:r>
              <w:rPr>
                <w:sz w:val="20"/>
                <w:szCs w:val="20"/>
              </w:rPr>
              <w:t xml:space="preserve">1.3587</w:t>
            </w:r>
          </w:p>
        </w:tc>
      </w:tr>
      <w:tr>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-2.0406</w:t>
            </w:r>
          </w:p>
        </w:tc>
        <w:tc>
          <w:tcPr>
            <w:tcW w:w="0" w:type="auto"/>
          </w:tcPr>
          <w:p>
            <w:pPr>
              <w:spacing w:line="240" w:lineRule="auto" w:before="0" w:after="0"/>
              <w:pStyle w:val="Compact"/>
            </w:pPr>
            <w:r>
              <w:rPr>
                <w:sz w:val="20"/>
                <w:szCs w:val="20"/>
              </w:rPr>
              <w:t xml:space="preserve">0.8602</w:t>
            </w:r>
          </w:p>
        </w:tc>
        <w:tc>
          <w:tcPr>
            <w:tcW w:w="0" w:type="auto"/>
          </w:tcPr>
          <w:p>
            <w:pPr>
              <w:spacing w:line="240" w:lineRule="auto" w:before="0" w:after="0"/>
              <w:pStyle w:val="Compact"/>
            </w:pPr>
            <w:r>
              <w:rPr>
                <w:sz w:val="20"/>
                <w:szCs w:val="20"/>
              </w:rPr>
              <w:t xml:space="preserve">-2.3722</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[-3.7267, -0.3546]</w:t>
            </w:r>
          </w:p>
        </w:tc>
        <w:tc>
          <w:tcPr>
            <w:tcW w:w="0" w:type="auto"/>
          </w:tcPr>
          <w:p>
            <w:pPr>
              <w:spacing w:line="240" w:lineRule="auto" w:before="0" w:after="0"/>
              <w:pStyle w:val="Compact"/>
            </w:pPr>
            <w:r>
              <w:rPr>
                <w:sz w:val="20"/>
                <w:szCs w:val="20"/>
              </w:rPr>
              <w:t xml:space="preserve">0.1299</w:t>
            </w:r>
          </w:p>
        </w:tc>
      </w:tr>
    </w:tbl>
    <w:p>
      <w:pPr>
        <w:pStyle w:val="BodyText"/>
      </w:pPr>
      <w:r>
        <w:t xml:space="preserve">Fit: N = 26 events = 13</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2" Target="https://doi.org/10.1016/j.actaastro.2017.04.034" TargetMode="External" /><Relationship Type="http://schemas.openxmlformats.org/officeDocument/2006/relationships/hyperlink" Id="rId74" Target="https://doi.org/10.1016/j.actaastro.2019.08.031" TargetMode="External" /><Relationship Type="http://schemas.openxmlformats.org/officeDocument/2006/relationships/hyperlink" Id="rId80" Target="https://doi.org/10.1016/j.actaastro.2021.05.015" TargetMode="External" /><Relationship Type="http://schemas.openxmlformats.org/officeDocument/2006/relationships/hyperlink" Id="rId70" Target="https://doi.org/10.1016/j.actaastro.2021.11.016" TargetMode="External" /><Relationship Type="http://schemas.openxmlformats.org/officeDocument/2006/relationships/hyperlink" Id="rId68" Target="https://doi.org/10.1016/j.actaastro.2024.09.005" TargetMode="External" /><Relationship Type="http://schemas.openxmlformats.org/officeDocument/2006/relationships/hyperlink" Id="rId76" Target="https://doi.org/10.1016/j.actaastro.2026.01.040" TargetMode="External" /><Relationship Type="http://schemas.openxmlformats.org/officeDocument/2006/relationships/hyperlink" Id="rId78" Target="https://doi.org/10.1073/pnas.222134312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7.04.034" TargetMode="External" /><Relationship Type="http://schemas.openxmlformats.org/officeDocument/2006/relationships/hyperlink" Id="rId74" Target="https://doi.org/10.1016/j.actaastro.2019.08.031" TargetMode="External" /><Relationship Type="http://schemas.openxmlformats.org/officeDocument/2006/relationships/hyperlink" Id="rId80" Target="https://doi.org/10.1016/j.actaastro.2021.05.015" TargetMode="External" /><Relationship Type="http://schemas.openxmlformats.org/officeDocument/2006/relationships/hyperlink" Id="rId70" Target="https://doi.org/10.1016/j.actaastro.2021.11.016" TargetMode="External" /><Relationship Type="http://schemas.openxmlformats.org/officeDocument/2006/relationships/hyperlink" Id="rId68" Target="https://doi.org/10.1016/j.actaastro.2024.09.005" TargetMode="External" /><Relationship Type="http://schemas.openxmlformats.org/officeDocument/2006/relationships/hyperlink" Id="rId76" Target="https://doi.org/10.1016/j.actaastro.2026.01.040" TargetMode="External" /><Relationship Type="http://schemas.openxmlformats.org/officeDocument/2006/relationships/hyperlink" Id="rId78" Target="https://doi.org/10.1073/pnas.22213431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2026-06-25T14:26:18Z</dcterms:created>
  <dcterms:modified xsi:type="dcterms:W3CDTF">2026-06-25T14:26:18Z</dcterms:modified>
</cp:coreProperties>
</file>

<file path=docProps/custom.xml><?xml version="1.0" encoding="utf-8"?>
<Properties xmlns="http://schemas.openxmlformats.org/officeDocument/2006/custom-properties" xmlns:vt="http://schemas.openxmlformats.org/officeDocument/2006/docPropsVTypes"/>
</file>