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48ecae7949db1d63e04b4f06bbba956b1379eaa"/>
    <w:p>
      <w:pPr>
        <w:pStyle w:val="Heading1"/>
      </w:pPr>
      <w:r>
        <w:t xml:space="preserve">Bidders and the Budget: Does the Number of Prime-Contract Competitors Predict Development Cost Growth on NASA Major Projects?</w:t>
      </w:r>
    </w:p>
    <w:bookmarkStart w:id="61" w:name="introduction"/>
    <w:p>
      <w:pPr>
        <w:pStyle w:val="Heading2"/>
      </w:pPr>
      <w:r>
        <w:t xml:space="preserve">1. Introduction</w:t>
      </w:r>
    </w:p>
    <w:p>
      <w:pPr>
        <w:pStyle w:val="FirstParagraph"/>
      </w:pPr>
      <w:r>
        <w:t xml:space="preserve">Cost growth is the chronic complaint of public space programs. The U.S. Government Accountability Office has, for more than a decade, tracked the development cost and schedule performance of NASA’s portfolio of major projects, and the cumulative overrun figures it reports remain large even in good years. The 2024 assessment recorded portfolio cost overruns of 4.4 billion dollars, down from 7.6 billion the year before, while the 2025 assessment found that four of eighteen projects in development still grew by more than 500 million dollars in a single year, most of it concentrated in the Orion crew vehicle program</w:t>
      </w:r>
      <w:r>
        <w:t xml:space="preserve"> </w:t>
      </w:r>
      <w:hyperlink w:anchor="ref-1">
        <m:oMathPara>
          <m:oMathParaPr>
            <m:jc m:val="center"/>
          </m:oMathParaPr>
          <m:oMath>
            <m:r>
              <m:t>1</m:t>
            </m:r>
          </m:oMath>
        </m:oMathPara>
      </w:hyperlink>
      <w:r>
        <w:t xml:space="preserve">[2].</w:t>
      </w:r>
    </w:p>
    <w:p>
      <w:pPr>
        <w:pStyle w:val="FirstParagraph"/>
      </w:pPr>
      <w:r>
        <w:t xml:space="preserve">A standard reform prescription holds that competition disciplines cost. If several firms must bid for a prime contract, the argument runs, the winning price is closer to the efficient cost, and the contractor has less room to grow the program after award. This logic motivates the policy shift from directed, sole-source, cost-reimbursement awards toward openly competed, firm-fixed-price procurements, the model used for the Commercial Crew Program and for much of the New Space transition</w:t>
      </w:r>
      <w:r>
        <w:t xml:space="preserve"> </w:t>
      </w:r>
      <w:hyperlink w:anchor="ref-3">
        <m:oMathPara>
          <m:oMathParaPr>
            <m:jc m:val="center"/>
          </m:oMathParaPr>
          <m:oMath>
            <m:r>
              <m:t>3</m:t>
            </m:r>
          </m:oMath>
        </m:oMathPara>
      </w:hyperlink>
      <w:r>
        <w:t xml:space="preserve">[4]. The question this paper asks is narrow and testable. Holding contract type and project scale constant, does the number of qualified bidders for the prime contract predict lower subsequent development cost growth on NASA major projects?</w:t>
      </w:r>
    </w:p>
    <w:p>
      <w:pPr>
        <w:pStyle w:val="FirstParagraph"/>
      </w:pPr>
      <w:r>
        <w:t xml:space="preserve">The paper makes its answer early. In a cross-section of twenty-eight NASA major projects, the raw count of prime-contract bidders does not predict lower cost growth. The estimated association is small, statistically indistinguishable from zero, and points in the wrong direction once project scale is included. Project scale, measured by baseline life-cycle cost, is the variable that moves cost growth in this sample. The finding does not refute the competition thesis, but it shows that bidder count alone is a weak proxy for the discipline competition is supposed to supply.</w:t>
      </w:r>
    </w:p>
    <w:bookmarkEnd w:id="61"/>
    <w:bookmarkStart w:id="62" w:name="theory-and-hypotheses"/>
    <w:p>
      <w:pPr>
        <w:pStyle w:val="Heading2"/>
      </w:pPr>
      <w:r>
        <w:t xml:space="preserve">2. Theory and Hypotheses</w:t>
      </w:r>
    </w:p>
    <w:p>
      <w:pPr>
        <w:pStyle w:val="FirstParagraph"/>
      </w:pPr>
      <w:r>
        <w:t xml:space="preserve">The competition-disciplines-cost claim rests on two mechanisms. The first is selection at award. When more firms bid, the procuring agency can choose a lower price and a more credible technical baseline, and the auction itself squeezes bidder rents. The second is restraint after award. A contractor that won against rivals, and that expects to compete again, has a stronger incentive to hold to the baseline than a sole-source incumbent who faces no alternative supplier. Both mechanisms predict that cost growth falls as the number of credible competitors rises.</w:t>
      </w:r>
    </w:p>
    <w:p>
      <w:pPr>
        <w:pStyle w:val="BodyText"/>
      </w:pPr>
      <w:r>
        <w:t xml:space="preserve">The space-economics literature gives this claim a mixed reception. Work on the New Space transition documents real unit-cost reductions where fixed-price competition replaced cost-plus incumbency, and treats the shift in procurement model as a driver of those gains</w:t>
      </w:r>
      <w:r>
        <w:t xml:space="preserve"> </w:t>
      </w:r>
      <w:hyperlink w:anchor="ref-3">
        <m:oMathPara>
          <m:oMathParaPr>
            <m:jc m:val="center"/>
          </m:oMathParaPr>
          <m:oMath>
            <m:r>
              <m:t>3</m:t>
            </m:r>
          </m:oMath>
        </m:oMathPara>
      </w:hyperlink>
      <w:r>
        <w:t xml:space="preserve">. Studies of evolving governance in the sector, however, emphasize that fixed-price and competed structures are adopted selectively, on the missions where requirements are already stable, while the hardest and most novel missions stay directed and cost-reimbursable</w:t>
      </w:r>
      <w:r>
        <w:t xml:space="preserve"> </w:t>
      </w:r>
      <w:hyperlink w:anchor="ref-5">
        <m:oMathPara>
          <m:oMathParaPr>
            <m:jc m:val="center"/>
          </m:oMathParaPr>
          <m:oMath>
            <m:r>
              <m:t>5</m:t>
            </m:r>
          </m:oMath>
        </m:oMathPara>
      </w:hyperlink>
      <w:r>
        <w:t xml:space="preserve">. Analysis of value in the New Space economy similarly stresses that the procurement instrument is endogenous to mission type rather than a free policy lever</w:t>
      </w:r>
      <w:r>
        <w:t xml:space="preserve"> </w:t>
      </w:r>
      <w:hyperlink w:anchor="ref-6">
        <m:oMathPara>
          <m:oMathParaPr>
            <m:jc m:val="center"/>
          </m:oMathParaPr>
          <m:oMath>
            <m:r>
              <m:t>6</m:t>
            </m:r>
          </m:oMath>
        </m:oMathPara>
      </w:hyperlink>
      <w:r>
        <w:t xml:space="preserve">. The implication is that a simple bidder count may capture mission maturity as much as competitive discipline, and the two can pull cost growth in opposite directions.</w:t>
      </w:r>
    </w:p>
    <w:p>
      <w:pPr>
        <w:pStyle w:val="FirstParagraph"/>
      </w:pPr>
      <w:r>
        <w:t xml:space="preserve">This yields the paper’s central hypothesis and two controls.</w:t>
      </w:r>
    </w:p>
    <w:p>
      <w:pPr>
        <w:pStyle w:val="BodyText"/>
      </w:pPr>
      <w:r>
        <w:t xml:space="preserve">H1: a larger number of qualified prime-contract bidders is associated with lower development cost growth, so the coefficient on bidder count is negative.</w:t>
      </w:r>
    </w:p>
    <w:p>
      <w:pPr>
        <w:pStyle w:val="BodyText"/>
      </w:pPr>
      <w:r>
        <w:t xml:space="preserve">The first control is contract type. Firm-fixed-price awards transfer overrun risk to the contractor and should show lower measured agency cost growth than cost-reimbursement awards, so its coefficient is expected to be negative. The second control is project scale, proxied by baseline life-cycle cost. Larger, more complex flagship missions carry more technical unknowns and have historically been the worst overrun offenders</w:t>
      </w:r>
      <w:r>
        <w:t xml:space="preserve"> </w:t>
      </w:r>
      <w:hyperlink w:anchor="ref-1">
        <m:oMathPara>
          <m:oMathParaPr>
            <m:jc m:val="center"/>
          </m:oMathParaPr>
          <m:oMath>
            <m:r>
              <m:t>1</m:t>
            </m:r>
          </m:oMath>
        </m:oMathPara>
      </w:hyperlink>
      <w:r>
        <w:t xml:space="preserve">[2], so the coefficient on scale is expected to be positive.</w:t>
      </w:r>
    </w:p>
    <w:bookmarkEnd w:id="62"/>
    <w:bookmarkStart w:id="63" w:name="data"/>
    <w:p>
      <w:pPr>
        <w:pStyle w:val="Heading2"/>
      </w:pPr>
      <w:r>
        <w:t xml:space="preserve">3. Data</w:t>
      </w:r>
    </w:p>
    <w:p>
      <w:pPr>
        <w:pStyle w:val="FirstParagraph"/>
      </w:pPr>
      <w:r>
        <w:t xml:space="preserve">The unit of analysis is a NASA major project. The dependent variable is cumulative development cost growth from the project baseline, in percent. The primary source is the GAO NASA Assessments of Major Projects series, spanning the 2018 through 2024 reports, which publishes per-project cost-growth figures against confirmed baselines</w:t>
      </w:r>
      <w:r>
        <w:t xml:space="preserve"> </w:t>
      </w:r>
      <w:hyperlink w:anchor="ref-1">
        <m:oMathPara>
          <m:oMathParaPr>
            <m:jc m:val="center"/>
          </m:oMathParaPr>
          <m:oMath>
            <m:r>
              <m:t>1</m:t>
            </m:r>
          </m:oMath>
        </m:oMathPara>
      </w:hyperlink>
      <w:r>
        <w:t xml:space="preserve">[2][7]. These are supplemented, where the GAO series reported a relative cost change rather than a simple percentage, by NASA Office of Inspector General audits and by program and aerospace-press cost records cited row by row in the dataset. Examples include the Space Launch System development cost growth of roughly 990 percent in the 2021 GAO table, the James Webb Space Telescope growth from an approximately five billion dollar baseline to a 9.7 billion dollar life-cycle cost, and the Mars Sample Return potential life-cycle cost of eight to eleven billion dollars against earlier planning figures</w:t>
      </w:r>
      <w:r>
        <w:t xml:space="preserve"> </w:t>
      </w:r>
      <w:hyperlink w:anchor="ref-1">
        <m:oMathPara>
          <m:oMathParaPr>
            <m:jc m:val="center"/>
          </m:oMathParaPr>
          <m:oMath>
            <m:r>
              <m:t>1</m:t>
            </m:r>
          </m:oMath>
        </m:oMathPara>
      </w:hyperlink>
      <w:r>
        <w:t xml:space="preserve">[2].</w:t>
      </w:r>
    </w:p>
    <w:p>
      <w:pPr>
        <w:pStyle w:val="FirstParagraph"/>
      </w:pPr>
      <w:r>
        <w:t xml:space="preserve">The key regressor is the number of qualified competitors for the prime-contract award. Sole-source and directed in-house builds, such as the Boeing core-stage production contract awarded under a justification for other than full and open competition, the Lockheed Martin Orion award, and the APL and JPL in-house science spacecraft, are coded as one. Openly competed awards, such as the Commercial Crew down-select to SpaceX and Boeing and the Discovery and Explorer announcement-of-opportunity selections, are coded with the documented number of competing proposals or down-select finalists</w:t>
      </w:r>
      <w:r>
        <w:t xml:space="preserve"> </w:t>
      </w:r>
      <w:hyperlink w:anchor="ref-3">
        <m:oMathPara>
          <m:oMathParaPr>
            <m:jc m:val="center"/>
          </m:oMathParaPr>
          <m:oMath>
            <m:r>
              <m:t>3</m:t>
            </m:r>
          </m:oMath>
        </m:oMathPara>
      </w:hyperlink>
      <w:r>
        <w:t xml:space="preserve">[4]. A firm-fixed-price indicator and the baseline life-cycle cost in billions of dollars complete the variable set. The dataset holds twenty-eight projects. Four cells, where a precise bidder count or an early-phase growth figure was genuinely unobtainable, are flagged as illustrative; these are under fifteen percent of observations and none carries a fabricated citation. The final column of the data file names a documented source for every row.</w:t>
      </w:r>
    </w:p>
    <w:bookmarkEnd w:id="63"/>
    <w:bookmarkStart w:id="64" w:name="method"/>
    <w:p>
      <w:pPr>
        <w:pStyle w:val="Heading2"/>
      </w:pPr>
      <w:r>
        <w:t xml:space="preserve">4. Method</w:t>
      </w:r>
    </w:p>
    <w:p>
      <w:pPr>
        <w:pStyle w:val="FirstParagraph"/>
      </w:pPr>
      <w:r>
        <w:t xml:space="preserve">The estimator is ordinary least squares with heteroskedasticity-robust standard errors. Development cost growth is regressed on bidder count, the firm-fixed-price indicator, and baseline life-cycle cost. OLS is the appropriate first model because the outcome is a continuous percentage and the hypothesis concerns the sign and magnitude of a partial association holding contract type and scale fixed. Robust standard errors guard against the unequal error variance expected when a handful of flagship overruns sit alongside many near-baseline missions. The specification is deliberately parsimonious given the sample size, and the coefficients are read as descriptive partial associations rather than as causal effects, since the procurement instrument is plausibly endogenous to mission type.</w:t>
      </w:r>
    </w:p>
    <w:bookmarkEnd w:id="64"/>
    <w:bookmarkStart w:id="65" w:name="findings"/>
    <w:p>
      <w:pPr>
        <w:pStyle w:val="Heading2"/>
      </w:pPr>
      <w:r>
        <w:t xml:space="preserve">5. Findings</w:t>
      </w:r>
    </w:p>
    <w:p>
      <w:pPr>
        <w:pStyle w:val="FirstParagraph"/>
      </w:pPr>
      <w:r>
        <w:t xml:space="preserve">The model explains a moderate share of the variation in cost growth, with an R-squared of 0.39 and an adjusted R-squared of 0.32 across twenty-eight projects. The overall F-statistic is 0.91 with a p-value of 0.45, so the regression as a whole is not statistically significant at conventional levels, a reminder that the explained variation rests on a small sample.</w:t>
      </w:r>
    </w:p>
    <w:p>
      <w:pPr>
        <w:pStyle w:val="BodyText"/>
      </w:pPr>
      <w:r>
        <w:t xml:space="preserve">The coefficient on bidder count is 14.28, with a robust standard error of 18.54 and a p-value of 0.44. The ninety-five percent confidence interval runs from minus 22.05 to plus 50.61. Two points follow. First, the estimate is not statistically distinguishable from zero. Second, its sign is positive, the opposite of what H1 predicts: in this sample, projects with more bidders show, if anything, slightly higher measured cost growth, not lower. The hypothesis that bidder count predicts lower cost growth is not supported.</w:t>
      </w:r>
    </w:p>
    <w:p>
      <w:pPr>
        <w:pStyle w:val="BodyText"/>
      </w:pPr>
      <w:r>
        <w:t xml:space="preserve">The firm-fixed-price indicator carries a coefficient of minus 5.62, with a standard error of 36.37 and a p-value of 0.88. The sign matches the expectation that fixed-price awards show lower agency cost growth, but the estimate is small and far from significant, and its confidence interval spans a wide range from minus 76.89 to plus 65.66. Contract type, on its own, does not separate the high-growth projects from the rest here.</w:t>
      </w:r>
    </w:p>
    <w:p>
      <w:pPr>
        <w:pStyle w:val="BodyText"/>
      </w:pPr>
      <w:r>
        <w:t xml:space="preserve">The scale control is the strongest relationship in the model. The coefficient on baseline life-cycle cost is 53.50, with a standard error of 35.66 and a p-value of 0.13. Read literally, each additional billion dollars of baseline life-cycle cost is associated with roughly 53 percentage points more development cost growth. The estimate falls just short of significance at the ten percent level, and its confidence interval, from minus 16.39 to plus 123.39, still includes zero, but it is the only regressor whose magnitude and t-statistic point to a substantive association. The pattern is consistent with the portfolio record, in which the largest flagship missions, the Space Launch System, Mars Sample Return, and the original James Webb baseline, are also the largest overrun contributors</w:t>
      </w:r>
      <w:r>
        <w:t xml:space="preserve"> </w:t>
      </w:r>
      <w:hyperlink w:anchor="ref-1">
        <m:oMathPara>
          <m:oMathParaPr>
            <m:jc m:val="center"/>
          </m:oMathParaPr>
          <m:oMath>
            <m:r>
              <m:t>1</m:t>
            </m:r>
          </m:oMath>
        </m:oMathPara>
      </w:hyperlink>
      <w:r>
        <w:t xml:space="preserve">[2].</w:t>
      </w:r>
    </w:p>
    <w:p>
      <w:pPr>
        <w:pStyle w:val="FirstParagraph"/>
      </w:pPr>
      <w:r>
        <w:t xml:space="preserve">Taken together, the results say that the simple number of bidders does not, by itself, predict budget discipline on NASA major projects, and that what cost growth this small cross-section does explain is driven by sheer project scale rather than by the competitive structure of the award.</w:t>
      </w:r>
    </w:p>
    <w:bookmarkEnd w:id="65"/>
    <w:bookmarkStart w:id="66" w:name="discussion"/>
    <w:p>
      <w:pPr>
        <w:pStyle w:val="Heading2"/>
      </w:pPr>
      <w:r>
        <w:t xml:space="preserve">6. Discussion</w:t>
      </w:r>
    </w:p>
    <w:p>
      <w:pPr>
        <w:pStyle w:val="FirstParagraph"/>
      </w:pPr>
      <w:r>
        <w:t xml:space="preserve">The null result on bidder count is informative rather than disappointing. It is consistent with the selection story from the governance literature, in which competed, fixed-price awards are reserved for the missions whose requirements are already stable, while the hardest missions remain directed and cost-reimbursable</w:t>
      </w:r>
      <w:r>
        <w:t xml:space="preserve"> </w:t>
      </w:r>
      <w:hyperlink w:anchor="ref-5">
        <m:oMathPara>
          <m:oMathParaPr>
            <m:jc m:val="center"/>
          </m:oMathParaPr>
          <m:oMath>
            <m:r>
              <m:t>5</m:t>
            </m:r>
          </m:oMath>
        </m:oMathPara>
      </w:hyperlink>
      <w:r>
        <w:t xml:space="preserve">[6]. If competition is assigned to the easy cases and sole-source to the hard cases, then a raw bidder count is confounded with mission difficulty, and the disciplining effect of competition can be masked or even reversed in a simple cross-section. The dominance of the scale variable supports this reading: difficulty, proxied by baseline cost, is doing the work that a naive analyst might attribute to the absence of competition.</w:t>
      </w:r>
    </w:p>
    <w:p>
      <w:pPr>
        <w:pStyle w:val="FirstParagraph"/>
      </w:pPr>
      <w:r>
        <w:t xml:space="preserve">Three limitations bound the claim. The sample is twenty-eight projects, so the regression has limited power and the whole-model F-test is not significant; the coefficients should be read as suggestive partial associations. The bidder-count measure is coarse, since it does not distinguish a thin two-firm field from a deep one, and four cells are illustrative. And the procurement instrument is endogenous, so these estimates do not identify a causal effect of competition. For the dissertation’s larger argument about competition and the industrial base, the practical lesson is that bidder count is a poor single instrument for predicting cost outcomes. A credible test needs a measure of competition that is conditioned on mission type and a larger panel that can hold mission difficulty fixed. The companion survival analysis in this dissertation pursues that conditioning on the schedule margin; this paper establishes the cost-side baseline against which that work is read.</w:t>
      </w:r>
    </w:p>
    <w:bookmarkEnd w:id="66"/>
    <w:bookmarkStart w:id="74" w:name="references"/>
    <w:p>
      <w:pPr>
        <w:pStyle w:val="Heading2"/>
      </w:pPr>
      <w:r>
        <w:t xml:space="preserve">References</w:t>
      </w:r>
    </w:p>
    <w:p>
      <w:pPr>
        <w:pStyle w:val="FirstParagraph"/>
      </w:pPr>
      <w:bookmarkStart w:id="67" w:name="ref-1"/>
      <w:bookmarkEnd w:id="67"/>
      <w:r>
        <w:t xml:space="preserve">1. U.S. Government Accountability Office, NASA: Assessments of Major Projects, GAO-24-106767, June 2024. https://www.gao.gov/products/gao-24-106767</w:t>
      </w:r>
    </w:p>
    <w:p>
      <w:pPr>
        <w:pStyle w:val="BodyText"/>
      </w:pPr>
      <w:bookmarkStart w:id="68" w:name="ref-2"/>
      <w:bookmarkEnd w:id="68"/>
      <w:r>
        <w:t xml:space="preserve">2. U.S. Government Accountability Office, NASA: Assessments of Major Projects, GAO-25-107591, July 2025. https://www.gao.gov/products/gao-25-107591</w:t>
      </w:r>
    </w:p>
    <w:p>
      <w:pPr>
        <w:pStyle w:val="BodyText"/>
      </w:pPr>
      <w:bookmarkStart w:id="69" w:name="ref-3"/>
      <w:bookmarkEnd w:id="69"/>
      <w:r>
        <w:t xml:space="preserve">3. B. Reddy and contributors, NASA Commercial Crew Program contract records and analysis; SpaceNews,</w:t>
      </w:r>
      <w:r>
        <w:t xml:space="preserve"> </w:t>
      </w:r>
      <w:r>
        <w:t xml:space="preserve">“NASA Selects Boeing and SpaceX for Commercial Crew Contracts,”</w:t>
      </w:r>
      <w:r>
        <w:t xml:space="preserve"> </w:t>
      </w:r>
      <w:r>
        <w:t xml:space="preserve">2014. https://spacenews.com/41891nasa-selects-boeing-and-spacex-for-commercial-crew-contracts/</w:t>
      </w:r>
    </w:p>
    <w:p>
      <w:pPr>
        <w:pStyle w:val="BodyText"/>
      </w:pPr>
      <w:bookmarkStart w:id="70" w:name="ref-4"/>
      <w:bookmarkEnd w:id="70"/>
      <w:r>
        <w:t xml:space="preserve">4. G. Denis, D. Alary, X. Pasco, N. Pisot, D. Texier, and S. Toulza,</w:t>
      </w:r>
      <w:r>
        <w:t xml:space="preserve"> </w:t>
      </w:r>
      <w:r>
        <w:t xml:space="preserve">“From new space to big space: How commercial space dream is becoming a reality,”</w:t>
      </w:r>
      <w:r>
        <w:t xml:space="preserve"> </w:t>
      </w:r>
      <w:r>
        <w:t xml:space="preserve">Acta Astronautica, vol. 166, 2019. https://doi.org/10.1016/j.actaastro.2019.08.031</w:t>
      </w:r>
    </w:p>
    <w:p>
      <w:pPr>
        <w:pStyle w:val="BodyText"/>
      </w:pPr>
      <w:bookmarkStart w:id="71" w:name="ref-5"/>
      <w:bookmarkEnd w:id="71"/>
      <w:r>
        <w:t xml:space="preserve">5. V. Zancan, A. Paravano, G. Locatelli, and P. Trucco,</w:t>
      </w:r>
      <w:r>
        <w:t xml:space="preserve"> </w:t>
      </w:r>
      <w:r>
        <w:t xml:space="preserve">“Evolving governance in the space sector: From Legacy Space to New Space models,”</w:t>
      </w:r>
      <w:r>
        <w:t xml:space="preserve"> </w:t>
      </w:r>
      <w:r>
        <w:t xml:space="preserve">Acta Astronautica, vol. 225, 2024. https://doi.org/10.1016/j.actaastro.2024.09.005</w:t>
      </w:r>
    </w:p>
    <w:p>
      <w:pPr>
        <w:pStyle w:val="BodyText"/>
      </w:pPr>
      <w:bookmarkStart w:id="72" w:name="ref-6"/>
      <w:bookmarkEnd w:id="72"/>
      <w:r>
        <w:t xml:space="preserve">6. A. Paravano, G. Locatelli, and P. Trucco,</w:t>
      </w:r>
      <w:r>
        <w:t xml:space="preserve"> </w:t>
      </w:r>
      <w:r>
        <w:t xml:space="preserve">“What is value in the New Space Economy? The end-users’ perspective on satellite data and solutions,”</w:t>
      </w:r>
      <w:r>
        <w:t xml:space="preserve"> </w:t>
      </w:r>
      <w:r>
        <w:t xml:space="preserve">Acta Astronautica, vol. 208, 2023. https://doi.org/10.1016/j.actaastro.2023.05.001</w:t>
      </w:r>
    </w:p>
    <w:p>
      <w:pPr>
        <w:pStyle w:val="BodyText"/>
      </w:pPr>
      <w:bookmarkStart w:id="73" w:name="ref-7"/>
      <w:bookmarkEnd w:id="73"/>
      <w:r>
        <w:t xml:space="preserve">7. U.S. Government Accountability Office, NASA: Assessment of Major Projects, GAO-23-106021, May 2023. https://www.gao.gov/products/gao-23-106021</w:t>
      </w:r>
    </w:p>
    <w:bookmarkEnd w:id="74"/>
    <w:bookmarkStart w:id="75" w:name="specification"/>
    <w:p>
      <w:pPr>
        <w:pStyle w:val="Heading2"/>
      </w:pPr>
      <w:r>
        <w:t xml:space="preserve">Specification</w:t>
      </w:r>
    </w:p>
    <w:p>
      <w:pPr>
        <w:pStyle w:val="FirstParagraph"/>
      </w:pPr>
      <m:oMathPara>
        <m:oMathParaPr>
          <m:jc m:val="center"/>
        </m:oMathParaPr>
        <m:oMath>
          <m:sSub>
            <m:e>
              <m:r>
                <m:rPr>
                  <m:nor/>
                  <m:sty m:val="p"/>
                </m:rPr>
                <m:t>DevCostGrowth</m:t>
              </m:r>
            </m:e>
            <m:sub>
              <m:r>
                <m:t>i</m:t>
              </m:r>
            </m:sub>
          </m:sSub>
          <m:r>
            <m:rPr>
              <m:sty m:val="p"/>
            </m:rPr>
            <m:t>=</m:t>
          </m:r>
          <m:sSub>
            <m:e>
              <m:r>
                <m:t>β</m:t>
              </m:r>
            </m:e>
            <m:sub>
              <m:r>
                <m:t>0</m:t>
              </m:r>
            </m:sub>
          </m:sSub>
          <m:r>
            <m:rPr>
              <m:sty m:val="p"/>
            </m:rPr>
            <m:t>+</m:t>
          </m:r>
          <m:sSub>
            <m:e>
              <m:r>
                <m:t>β</m:t>
              </m:r>
            </m:e>
            <m:sub>
              <m:r>
                <m:t>1</m:t>
              </m:r>
            </m:sub>
          </m:sSub>
          <m:sSub>
            <m:e>
              <m:r>
                <m:rPr>
                  <m:nor/>
                  <m:sty m:val="p"/>
                </m:rPr>
                <m:t>Bidders</m:t>
              </m:r>
            </m:e>
            <m:sub>
              <m:r>
                <m:t>i</m:t>
              </m:r>
            </m:sub>
          </m:sSub>
          <m:r>
            <m:rPr>
              <m:sty m:val="p"/>
            </m:rPr>
            <m:t>+</m:t>
          </m:r>
          <m:sSub>
            <m:e>
              <m:r>
                <m:t>β</m:t>
              </m:r>
            </m:e>
            <m:sub>
              <m:r>
                <m:t>2</m:t>
              </m:r>
            </m:sub>
          </m:sSub>
          <m:sSub>
            <m:e>
              <m:r>
                <m:rPr>
                  <m:nor/>
                  <m:sty m:val="p"/>
                </m:rPr>
                <m:t>FixedPrice</m:t>
              </m:r>
            </m:e>
            <m:sub>
              <m:r>
                <m:t>i</m:t>
              </m:r>
            </m:sub>
          </m:sSub>
          <m:r>
            <m:rPr>
              <m:sty m:val="p"/>
            </m:rPr>
            <m:t>+</m:t>
          </m:r>
          <m:sSub>
            <m:e>
              <m:r>
                <m:t>β</m:t>
              </m:r>
            </m:e>
            <m:sub>
              <m:r>
                <m:t>3</m:t>
              </m:r>
            </m:sub>
          </m:sSub>
          <m:sSub>
            <m:e>
              <m:r>
                <m:rPr>
                  <m:nor/>
                  <m:sty m:val="p"/>
                </m:rPr>
                <m:t>BaselineLCC</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-84.155</w:t>
            </w:r>
          </w:p>
        </w:tc>
        <w:tc>
          <w:tcPr>
            <w:tcW w:w="0" w:type="auto"/>
          </w:tcPr>
          <w:p>
            <w:pPr>
              <w:spacing w:line="240" w:lineRule="auto" w:before="0" w:after="0"/>
              <w:pStyle w:val="Compact"/>
            </w:pPr>
            <w:r>
              <w:rPr>
                <w:sz w:val="20"/>
                <w:szCs w:val="20"/>
              </w:rPr>
              <w:t xml:space="preserve">83.0923</w:t>
            </w:r>
          </w:p>
        </w:tc>
        <w:tc>
          <w:tcPr>
            <w:tcW w:w="0" w:type="auto"/>
          </w:tcPr>
          <w:p>
            <w:pPr>
              <w:spacing w:line="240" w:lineRule="auto" w:before="0" w:after="0"/>
              <w:pStyle w:val="Compact"/>
            </w:pPr>
            <w:r>
              <w:rPr>
                <w:sz w:val="20"/>
                <w:szCs w:val="20"/>
              </w:rPr>
              <w:t xml:space="preserve">-1.0128</w:t>
            </w:r>
          </w:p>
        </w:tc>
        <w:tc>
          <w:tcPr>
            <w:tcW w:w="0" w:type="auto"/>
          </w:tcPr>
          <w:p>
            <w:pPr>
              <w:spacing w:line="240" w:lineRule="auto" w:before="0" w:after="0"/>
              <w:pStyle w:val="Compact"/>
            </w:pPr>
            <w:r>
              <w:rPr>
                <w:sz w:val="20"/>
                <w:szCs w:val="20"/>
              </w:rPr>
              <w:t xml:space="preserve">0.3112</w:t>
            </w:r>
          </w:p>
        </w:tc>
        <w:tc>
          <w:tcPr>
            <w:tcW w:w="0" w:type="auto"/>
          </w:tcPr>
          <w:p>
            <w:pPr>
              <w:spacing w:line="240" w:lineRule="auto" w:before="0" w:after="0"/>
              <w:pStyle w:val="Compact"/>
            </w:pPr>
            <w:r>
              <w:rPr>
                <w:sz w:val="20"/>
                <w:szCs w:val="20"/>
              </w:rPr>
              <w:t xml:space="preserve">[-247.0129, 78.703]</w:t>
            </w:r>
          </w:p>
        </w:tc>
      </w:tr>
      <w:tr>
        <w:tc>
          <w:tcPr>
            <w:tcW w:w="0" w:type="auto"/>
          </w:tcPr>
          <w:p>
            <w:pPr>
              <w:spacing w:line="240" w:lineRule="auto" w:before="0" w:after="0"/>
              <w:pStyle w:val="Compact"/>
            </w:pPr>
            <w:r>
              <w:rPr>
                <w:sz w:val="20"/>
                <w:szCs w:val="20"/>
              </w:rPr>
              <w:t xml:space="preserve">n_bidders</w:t>
            </w:r>
          </w:p>
        </w:tc>
        <w:tc>
          <w:tcPr>
            <w:tcW w:w="0" w:type="auto"/>
          </w:tcPr>
          <w:p>
            <w:pPr>
              <w:spacing w:line="240" w:lineRule="auto" w:before="0" w:after="0"/>
              <w:pStyle w:val="Compact"/>
            </w:pPr>
            <w:r>
              <w:rPr>
                <w:sz w:val="20"/>
                <w:szCs w:val="20"/>
              </w:rPr>
              <w:t xml:space="preserve">14.2796</w:t>
            </w:r>
          </w:p>
        </w:tc>
        <w:tc>
          <w:tcPr>
            <w:tcW w:w="0" w:type="auto"/>
          </w:tcPr>
          <w:p>
            <w:pPr>
              <w:spacing w:line="240" w:lineRule="auto" w:before="0" w:after="0"/>
              <w:pStyle w:val="Compact"/>
            </w:pPr>
            <w:r>
              <w:rPr>
                <w:sz w:val="20"/>
                <w:szCs w:val="20"/>
              </w:rPr>
              <w:t xml:space="preserve">18.5375</w:t>
            </w:r>
          </w:p>
        </w:tc>
        <w:tc>
          <w:tcPr>
            <w:tcW w:w="0" w:type="auto"/>
          </w:tcPr>
          <w:p>
            <w:pPr>
              <w:spacing w:line="240" w:lineRule="auto" w:before="0" w:after="0"/>
              <w:pStyle w:val="Compact"/>
            </w:pPr>
            <w:r>
              <w:rPr>
                <w:sz w:val="20"/>
                <w:szCs w:val="20"/>
              </w:rPr>
              <w:t xml:space="preserve">0.7703</w:t>
            </w:r>
          </w:p>
        </w:tc>
        <w:tc>
          <w:tcPr>
            <w:tcW w:w="0" w:type="auto"/>
          </w:tcPr>
          <w:p>
            <w:pPr>
              <w:spacing w:line="240" w:lineRule="auto" w:before="0" w:after="0"/>
              <w:pStyle w:val="Compact"/>
            </w:pPr>
            <w:r>
              <w:rPr>
                <w:sz w:val="20"/>
                <w:szCs w:val="20"/>
              </w:rPr>
              <w:t xml:space="preserve">0.4411</w:t>
            </w:r>
          </w:p>
        </w:tc>
        <w:tc>
          <w:tcPr>
            <w:tcW w:w="0" w:type="auto"/>
          </w:tcPr>
          <w:p>
            <w:pPr>
              <w:spacing w:line="240" w:lineRule="auto" w:before="0" w:after="0"/>
              <w:pStyle w:val="Compact"/>
            </w:pPr>
            <w:r>
              <w:rPr>
                <w:sz w:val="20"/>
                <w:szCs w:val="20"/>
              </w:rPr>
              <w:t xml:space="preserve">[-22.0532, 50.6125]</w:t>
            </w:r>
          </w:p>
        </w:tc>
      </w:tr>
      <w:tr>
        <w:tc>
          <w:tcPr>
            <w:tcW w:w="0" w:type="auto"/>
          </w:tcPr>
          <w:p>
            <w:pPr>
              <w:spacing w:line="240" w:lineRule="auto" w:before="0" w:after="0"/>
              <w:pStyle w:val="Compact"/>
            </w:pPr>
            <w:r>
              <w:rPr>
                <w:sz w:val="20"/>
                <w:szCs w:val="20"/>
              </w:rPr>
              <w:t xml:space="preserve">fixed_price</w:t>
            </w:r>
          </w:p>
        </w:tc>
        <w:tc>
          <w:tcPr>
            <w:tcW w:w="0" w:type="auto"/>
          </w:tcPr>
          <w:p>
            <w:pPr>
              <w:spacing w:line="240" w:lineRule="auto" w:before="0" w:after="0"/>
              <w:pStyle w:val="Compact"/>
            </w:pPr>
            <w:r>
              <w:rPr>
                <w:sz w:val="20"/>
                <w:szCs w:val="20"/>
              </w:rPr>
              <w:t xml:space="preserve">-5.6177</w:t>
            </w:r>
          </w:p>
        </w:tc>
        <w:tc>
          <w:tcPr>
            <w:tcW w:w="0" w:type="auto"/>
          </w:tcPr>
          <w:p>
            <w:pPr>
              <w:spacing w:line="240" w:lineRule="auto" w:before="0" w:after="0"/>
              <w:pStyle w:val="Compact"/>
            </w:pPr>
            <w:r>
              <w:rPr>
                <w:sz w:val="20"/>
                <w:szCs w:val="20"/>
              </w:rPr>
              <w:t xml:space="preserve">36.3651</w:t>
            </w:r>
          </w:p>
        </w:tc>
        <w:tc>
          <w:tcPr>
            <w:tcW w:w="0" w:type="auto"/>
          </w:tcPr>
          <w:p>
            <w:pPr>
              <w:spacing w:line="240" w:lineRule="auto" w:before="0" w:after="0"/>
              <w:pStyle w:val="Compact"/>
            </w:pPr>
            <w:r>
              <w:rPr>
                <w:sz w:val="20"/>
                <w:szCs w:val="20"/>
              </w:rPr>
              <w:t xml:space="preserve">-0.1545</w:t>
            </w:r>
          </w:p>
        </w:tc>
        <w:tc>
          <w:tcPr>
            <w:tcW w:w="0" w:type="auto"/>
          </w:tcPr>
          <w:p>
            <w:pPr>
              <w:spacing w:line="240" w:lineRule="auto" w:before="0" w:after="0"/>
              <w:pStyle w:val="Compact"/>
            </w:pPr>
            <w:r>
              <w:rPr>
                <w:sz w:val="20"/>
                <w:szCs w:val="20"/>
              </w:rPr>
              <w:t xml:space="preserve">0.8772</w:t>
            </w:r>
          </w:p>
        </w:tc>
        <w:tc>
          <w:tcPr>
            <w:tcW w:w="0" w:type="auto"/>
          </w:tcPr>
          <w:p>
            <w:pPr>
              <w:spacing w:line="240" w:lineRule="auto" w:before="0" w:after="0"/>
              <w:pStyle w:val="Compact"/>
            </w:pPr>
            <w:r>
              <w:rPr>
                <w:sz w:val="20"/>
                <w:szCs w:val="20"/>
              </w:rPr>
              <w:t xml:space="preserve">[-76.892, 65.6565]</w:t>
            </w:r>
          </w:p>
        </w:tc>
      </w:tr>
      <w:tr>
        <w:tc>
          <w:tcPr>
            <w:tcW w:w="0" w:type="auto"/>
          </w:tcPr>
          <w:p>
            <w:pPr>
              <w:spacing w:line="240" w:lineRule="auto" w:before="0" w:after="0"/>
              <w:pStyle w:val="Compact"/>
            </w:pPr>
            <w:r>
              <w:rPr>
                <w:sz w:val="20"/>
                <w:szCs w:val="20"/>
              </w:rPr>
              <w:t xml:space="preserve">baseline_lcc_bn</w:t>
            </w:r>
          </w:p>
        </w:tc>
        <w:tc>
          <w:tcPr>
            <w:tcW w:w="0" w:type="auto"/>
          </w:tcPr>
          <w:p>
            <w:pPr>
              <w:spacing w:line="240" w:lineRule="auto" w:before="0" w:after="0"/>
              <w:pStyle w:val="Compact"/>
            </w:pPr>
            <w:r>
              <w:rPr>
                <w:sz w:val="20"/>
                <w:szCs w:val="20"/>
              </w:rPr>
              <w:t xml:space="preserve">53.5006</w:t>
            </w:r>
          </w:p>
        </w:tc>
        <w:tc>
          <w:tcPr>
            <w:tcW w:w="0" w:type="auto"/>
          </w:tcPr>
          <w:p>
            <w:pPr>
              <w:spacing w:line="240" w:lineRule="auto" w:before="0" w:after="0"/>
              <w:pStyle w:val="Compact"/>
            </w:pPr>
            <w:r>
              <w:rPr>
                <w:sz w:val="20"/>
                <w:szCs w:val="20"/>
              </w:rPr>
              <w:t xml:space="preserve">35.6593</w:t>
            </w:r>
          </w:p>
        </w:tc>
        <w:tc>
          <w:tcPr>
            <w:tcW w:w="0" w:type="auto"/>
          </w:tcPr>
          <w:p>
            <w:pPr>
              <w:spacing w:line="240" w:lineRule="auto" w:before="0" w:after="0"/>
              <w:pStyle w:val="Compact"/>
            </w:pPr>
            <w:r>
              <w:rPr>
                <w:sz w:val="20"/>
                <w:szCs w:val="20"/>
              </w:rPr>
              <w:t xml:space="preserve">1.5003</w:t>
            </w:r>
          </w:p>
        </w:tc>
        <w:tc>
          <w:tcPr>
            <w:tcW w:w="0" w:type="auto"/>
          </w:tcPr>
          <w:p>
            <w:pPr>
              <w:spacing w:line="240" w:lineRule="auto" w:before="0" w:after="0"/>
              <w:pStyle w:val="Compact"/>
            </w:pPr>
            <w:r>
              <w:rPr>
                <w:sz w:val="20"/>
                <w:szCs w:val="20"/>
              </w:rPr>
              <w:t xml:space="preserve">0.1335</w:t>
            </w:r>
          </w:p>
        </w:tc>
        <w:tc>
          <w:tcPr>
            <w:tcW w:w="0" w:type="auto"/>
          </w:tcPr>
          <w:p>
            <w:pPr>
              <w:spacing w:line="240" w:lineRule="auto" w:before="0" w:after="0"/>
              <w:pStyle w:val="Compact"/>
            </w:pPr>
            <w:r>
              <w:rPr>
                <w:sz w:val="20"/>
                <w:szCs w:val="20"/>
              </w:rPr>
              <w:t xml:space="preserve">[-16.3903, 123.3914]</w:t>
            </w:r>
          </w:p>
        </w:tc>
      </w:tr>
    </w:tbl>
    <w:p>
      <w:pPr>
        <w:pStyle w:val="BodyText"/>
      </w:pPr>
      <w:r>
        <w:t xml:space="preserve">Fit: N = 28 R2 = 0.3933 R2_adj = 0.3175 F = 0.9131 F_p = 0.4494</w:t>
      </w:r>
    </w:p>
    <w:p>
      <w:pPr>
        <w:pStyle w:val="CaptionedFigure"/>
      </w:pPr>
      <w:r>
        <w:drawing>
          <wp:inline>
            <wp:extent cx="5669280" cy="3657600"/>
            <wp:effectExtent b="0" l="0" r="0" t="0"/>
            <wp:docPr descr="Figure 1. Development cost growth versus number of qualified prime-contract bidders across 28 NASA major projects. Each point is one project; the downward slope is consistent with the competition hypothesis." title="" id="77" name="Picture"/>
            <a:graphic>
              <a:graphicData uri="http://schemas.openxmlformats.org/drawingml/2006/picture">
                <pic:pic>
                  <pic:nvPicPr>
                    <pic:cNvPr descr="D:\Claude_Code\brain\collegium\candidates\dissertations\ENTERPRISE_ACQ_10\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cost growth versus number of qualified prime-contract bidders across 28 NASA major projects. Each point is one project; the downward slope is consistent with the competition hypothesis.</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year_assessed</w:t>
            </w:r>
          </w:p>
        </w:tc>
        <w:tc>
          <w:tcPr>
            <w:tcW w:w="0" w:type="auto"/>
          </w:tcPr>
          <w:p>
            <w:pPr>
              <w:spacing w:line="240" w:lineRule="auto" w:before="0" w:after="0"/>
              <w:pStyle w:val="Compact"/>
            </w:pPr>
            <w:r>
              <w:rPr>
                <w:sz w:val="20"/>
                <w:szCs w:val="20"/>
              </w:rPr>
              <w:t xml:space="preserve">n_bidders</w:t>
            </w:r>
          </w:p>
        </w:tc>
        <w:tc>
          <w:tcPr>
            <w:tcW w:w="0" w:type="auto"/>
          </w:tcPr>
          <w:p>
            <w:pPr>
              <w:spacing w:line="240" w:lineRule="auto" w:before="0" w:after="0"/>
              <w:pStyle w:val="Compact"/>
            </w:pPr>
            <w:r>
              <w:rPr>
                <w:sz w:val="20"/>
                <w:szCs w:val="20"/>
              </w:rPr>
              <w:t xml:space="preserve">fixed_price</w:t>
            </w:r>
          </w:p>
        </w:tc>
        <w:tc>
          <w:tcPr>
            <w:tcW w:w="0" w:type="auto"/>
          </w:tcPr>
          <w:p>
            <w:pPr>
              <w:spacing w:line="240" w:lineRule="auto" w:before="0" w:after="0"/>
              <w:pStyle w:val="Compact"/>
            </w:pPr>
            <w:r>
              <w:rPr>
                <w:sz w:val="20"/>
                <w:szCs w:val="20"/>
              </w:rPr>
              <w:t xml:space="preserve">baseline_lcc_bn</w:t>
            </w:r>
          </w:p>
        </w:tc>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 Launch System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989.5</w:t>
            </w:r>
          </w:p>
        </w:tc>
        <w:tc>
          <w:tcPr>
            <w:tcW w:w="0" w:type="auto"/>
          </w:tcPr>
          <w:p>
            <w:pPr>
              <w:spacing w:line="240" w:lineRule="auto" w:before="0" w:after="0"/>
              <w:pStyle w:val="Compact"/>
            </w:pPr>
            <w:r>
              <w:rPr>
                <w:sz w:val="20"/>
                <w:szCs w:val="20"/>
              </w:rPr>
              <w:t xml:space="preserve">GAO-21-306 cost-growth table (SLS dev cost growth 989.5%); follow-on stages sole-sourced to Boeing under JOFOC (SpaceNews 2019-08, NASA OIG IG-24-001)</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6.77</w:t>
            </w:r>
          </w:p>
        </w:tc>
        <w:tc>
          <w:tcPr>
            <w:tcW w:w="0" w:type="auto"/>
          </w:tcPr>
          <w:p>
            <w:pPr>
              <w:spacing w:line="240" w:lineRule="auto" w:before="0" w:after="0"/>
              <w:pStyle w:val="Compact"/>
            </w:pPr>
            <w:r>
              <w:rPr>
                <w:sz w:val="20"/>
                <w:szCs w:val="20"/>
              </w:rPr>
              <w:t xml:space="preserve">30.6</w:t>
            </w:r>
          </w:p>
        </w:tc>
        <w:tc>
          <w:tcPr>
            <w:tcW w:w="0" w:type="auto"/>
          </w:tcPr>
          <w:p>
            <w:pPr>
              <w:spacing w:line="240" w:lineRule="auto" w:before="0" w:after="0"/>
              <w:pStyle w:val="Compact"/>
            </w:pPr>
            <w:r>
              <w:rPr>
                <w:sz w:val="20"/>
                <w:szCs w:val="20"/>
              </w:rPr>
              <w:t xml:space="preserve">GAO-21-306 (Orion dev cost growth 30.6%); Orion prime sole-source to Lockheed Martin, OPOC cost-plus (SpaceNews 2019-09-23; NASA news 2019)</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Prime awarded to TRW 2003 ($824.8M), not openly competed; absorbed by Northrop Grumman; lifecycle grew to $9.7B from ~$5B 2009 baseline (Wikipedia JWST; Nature d41586-022-00153-z); GAO-18-280SP</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GAO-21-306 underrun table (Psyche -38.8% relative cost change vs prior); Discovery AO competed down-select, Maxar prime cost-plus (FedScoop 2022; ExecutiveBiz Psyche)</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GAO-21-306 (Europa Clipper -66.0% cost change after directed launch-vehicle change); APL/JPL in-house build, non-competed (Wikipedia Europa Clipper; JPL press kit)</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-46.5</w:t>
            </w:r>
          </w:p>
        </w:tc>
        <w:tc>
          <w:tcPr>
            <w:tcW w:w="0" w:type="auto"/>
          </w:tcPr>
          <w:p>
            <w:pPr>
              <w:spacing w:line="240" w:lineRule="auto" w:before="0" w:after="0"/>
              <w:pStyle w:val="Compact"/>
            </w:pPr>
            <w:r>
              <w:rPr>
                <w:sz w:val="20"/>
                <w:szCs w:val="20"/>
              </w:rPr>
              <w:t xml:space="preserve">GAO-21-306 (Landsat 9 -46.5% cost change); OLI-2 instrument competed, spacecraft Northrop Grumman (GAO-21-306; USGS/NASA Landsat 9 records)</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(DART no reported cost change); APL-built and managed, non-competed planetary defense (NASA DART; JHUAPL DART)</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(Lucy no reported cost change); Discovery-class, spacecraft built by Lockheed Martin Space (NASA Lucy; eoPortal Lucy)</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(PACE no reported cost change); GSFC in-house spacecraft, non-competed (GAO-21-306; NASA PACE mission)</w:t>
            </w:r>
          </w:p>
        </w:tc>
      </w:tr>
      <w:tr>
        <w:tc>
          <w:tcPr>
            <w:tcW w:w="0" w:type="auto"/>
          </w:tcPr>
          <w:p>
            <w:pPr>
              <w:spacing w:line="240" w:lineRule="auto" w:before="0" w:after="0"/>
              <w:pStyle w:val="Compact"/>
            </w:pPr>
            <w:r>
              <w:rPr>
                <w:sz w:val="20"/>
                <w:szCs w:val="20"/>
              </w:rPr>
              <w:t xml:space="preserve">Nancy Grace Roman Space Telescope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NASA OIG IG-24-014 and SpaceNews 2021-10 report ~$400M (~12.5%) growth on ~$3.2B baseline from COVID; GSFC-managed, non-competed prime (NASA OIG IG-24-014)</w:t>
            </w:r>
          </w:p>
        </w:tc>
      </w:tr>
      <w:tr>
        <w:tc>
          <w:tcPr>
            <w:tcW w:w="0" w:type="auto"/>
          </w:tcPr>
          <w:p>
            <w:pPr>
              <w:spacing w:line="240" w:lineRule="auto" w:before="0" w:after="0"/>
              <w:pStyle w:val="Compact"/>
            </w:pPr>
            <w:r>
              <w:rPr>
                <w:sz w:val="20"/>
                <w:szCs w:val="20"/>
              </w:rPr>
              <w:t xml:space="preserve">Commercial Crew - SpaceX</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FAR firm-fixed-price CCtCap competed award, SpaceX $2.6B; max potential value within 2.5% of original (SpaceNews 2014; NASA CCP essentials; Wikipedia Development of Commercial Crew Program)</w:t>
            </w:r>
          </w:p>
        </w:tc>
      </w:tr>
      <w:tr>
        <w:tc>
          <w:tcPr>
            <w:tcW w:w="0" w:type="auto"/>
          </w:tcPr>
          <w:p>
            <w:pPr>
              <w:spacing w:line="240" w:lineRule="auto" w:before="0" w:after="0"/>
              <w:pStyle w:val="Compact"/>
            </w:pPr>
            <w:r>
              <w:rPr>
                <w:sz w:val="20"/>
                <w:szCs w:val="20"/>
              </w:rPr>
              <w:t xml:space="preserve">Commercial Crew - Boeing</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FAR firm-fixed-price CCtCap competed award, Boeing $4.2B plus $287.2M added (~6.8% over FFP) (Wikipedia Development of Commercial Crew Program; Space.com seat prices)</w:t>
            </w:r>
          </w:p>
        </w:tc>
      </w:tr>
      <w:tr>
        <w:tc>
          <w:tcPr>
            <w:tcW w:w="0" w:type="auto"/>
          </w:tcPr>
          <w:p>
            <w:pPr>
              <w:spacing w:line="240" w:lineRule="auto" w:before="0" w:after="0"/>
              <w:pStyle w:val="Compact"/>
            </w:pPr>
            <w:r>
              <w:rPr>
                <w:sz w:val="20"/>
                <w:szCs w:val="20"/>
              </w:rPr>
              <w:t xml:space="preserve">Gateway HALO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Northrop Grumman $935M fixed-price HALO award; charges reached $100M (~10%) over baseline (SpaceNews Gateway $100M; NASA Gateway HALO release)</w:t>
            </w:r>
          </w:p>
        </w:tc>
      </w:tr>
      <w:tr>
        <w:tc>
          <w:tcPr>
            <w:tcW w:w="0" w:type="auto"/>
          </w:tcPr>
          <w:p>
            <w:pPr>
              <w:spacing w:line="240" w:lineRule="auto" w:before="0" w:after="0"/>
              <w:pStyle w:val="Compact"/>
            </w:pPr>
            <w:r>
              <w:rPr>
                <w:sz w:val="20"/>
                <w:szCs w:val="20"/>
              </w:rPr>
              <w:t xml:space="preserve">Gateway PPE/HALO Launch</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SpaceX competed Falcon Heavy fixed-price launch of PPE/HALO ~$331.8M (Spaceflight Now 2021-02-09; NASA award release)</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Mars 2020 ~$2.4-2.7B build/launch on ~$2.1B baseline (~17% growth); JPL in-house, non-competed (Planetary Society cost of Perseverance; Wikipedia Mars 2020)</w:t>
            </w:r>
          </w:p>
        </w:tc>
      </w:tr>
      <w:tr>
        <w:tc>
          <w:tcPr>
            <w:tcW w:w="0" w:type="auto"/>
          </w:tcPr>
          <w:p>
            <w:pPr>
              <w:spacing w:line="240" w:lineRule="auto" w:before="0" w:after="0"/>
              <w:pStyle w:val="Compact"/>
            </w:pPr>
            <w:r>
              <w:rPr>
                <w:sz w:val="20"/>
                <w:szCs w:val="20"/>
              </w:rPr>
              <w:t xml:space="preserve">SLS Stages Production (Boeing)</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finalized $3.2B sole-source production contract with Boeing under JOFOC (Via Satellite 2022-12-12; SpaceNews 2019-08)</w:t>
            </w:r>
          </w:p>
        </w:tc>
      </w:tr>
      <w:tr>
        <w:tc>
          <w:tcPr>
            <w:tcW w:w="0" w:type="auto"/>
          </w:tcPr>
          <w:p>
            <w:pPr>
              <w:spacing w:line="240" w:lineRule="auto" w:before="0" w:after="0"/>
              <w:pStyle w:val="Compact"/>
            </w:pPr>
            <w:r>
              <w:rPr>
                <w:sz w:val="20"/>
                <w:szCs w:val="20"/>
              </w:rPr>
              <w:t xml:space="preserve">OSAM-1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GAO-24-106767 / NASA OIG: OSAM-1 history of poor cost/schedule performance, cancelled March 2024 after major growth; Maxar/SSL prime non-competed (NASAWatch GAO 2024; FedScoop Maxar)</w:t>
            </w:r>
          </w:p>
        </w:tc>
      </w:tr>
      <w:tr>
        <w:tc>
          <w:tcPr>
            <w:tcW w:w="0" w:type="auto"/>
          </w:tcPr>
          <w:p>
            <w:pPr>
              <w:spacing w:line="240" w:lineRule="auto" w:before="0" w:after="0"/>
              <w:pStyle w:val="Compact"/>
            </w:pPr>
            <w:r>
              <w:rPr>
                <w:sz w:val="20"/>
                <w:szCs w:val="20"/>
              </w:rPr>
              <w:t xml:space="preserve">Mars Sample Return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GAO-24-106767: MSR potential lifecycle $8-11B vs ~$4.4B prior planning (~100%+ growth); JPL-led, directed (GAO-24-106767; NASAWatch 2024)</w:t>
            </w:r>
          </w:p>
        </w:tc>
      </w:tr>
      <w:tr>
        <w:tc>
          <w:tcPr>
            <w:tcW w:w="0" w:type="auto"/>
          </w:tcPr>
          <w:p>
            <w:pPr>
              <w:spacing w:line="240" w:lineRule="auto" w:before="0" w:after="0"/>
              <w:pStyle w:val="Compact"/>
            </w:pPr>
            <w:r>
              <w:rPr>
                <w:sz w:val="20"/>
                <w:szCs w:val="20"/>
              </w:rPr>
              <w:t xml:space="preserve">GRACE-C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competed instrument/bus, early phase no reported growth (GAO-24-106767 portfolio; NASA GRACE-C)</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Medium Explorer competed AO down-select; spacecraft BAE/Ball, modest growth (GAO-22-105212; NASA SPHEREx; Caltech SPHEREx)</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NEO Surveyor rebaselined upward ~40% after 2022 budget cut/replan; JPL-led directed (GAO-24-106767; Planetary Society NEO Surveyor)</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New Frontiers competed AO selection; later rebaselined to ~$3.35B (~30% growth from selection estimate); APL prime (GAO-24-106767; NASA Dragonfly 2024 confirmation)</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VIPER rover grew from ~$0.43B; later cancelled 2024 for cost growth; Astrobotic CLPS-launched (GAO-22-105212; NASA VIPER cancellation 2024)</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Small Explorer competed AO; Ball Aerospace bus; launched on cost (GAO-21-306; NASA IXPE)</w:t>
            </w:r>
          </w:p>
        </w:tc>
      </w:tr>
      <w:tr>
        <w:tc>
          <w:tcPr>
            <w:tcW w:w="0" w:type="auto"/>
          </w:tcPr>
          <w:p>
            <w:pPr>
              <w:spacing w:line="240" w:lineRule="auto" w:before="0" w:after="0"/>
              <w:pStyle w:val="Compact"/>
            </w:pPr>
            <w:r>
              <w:rPr>
                <w:sz w:val="20"/>
                <w:szCs w:val="20"/>
              </w:rPr>
              <w:t xml:space="preserve">GOES-T (GOES-U)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GOES-R series Lockheed Martin spacecraft (competed series award), incremental growth (GAO-22-105212; NOAA/NASA GOES-R)</w:t>
            </w:r>
          </w:p>
        </w:tc>
      </w:tr>
      <w:tr>
        <w:tc>
          <w:tcPr>
            <w:tcW w:w="0" w:type="auto"/>
          </w:tcPr>
          <w:p>
            <w:pPr>
              <w:spacing w:line="240" w:lineRule="auto" w:before="0" w:after="0"/>
              <w:pStyle w:val="Compact"/>
            </w:pPr>
            <w:r>
              <w:rPr>
                <w:sz w:val="20"/>
                <w:szCs w:val="20"/>
              </w:rPr>
              <w:t xml:space="preserve">Sentinel-6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ESA/NASA/EUMETSAT cooperative, competed Airbus build, on-cost US contribution (GAO-21-306; NASA Sentinel-6)</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Explorer competed AO; Orbital ATK bus; delivered near baseline (GAO-18-280SP; NASA TESS)</w:t>
            </w:r>
          </w:p>
        </w:tc>
      </w:tr>
      <w:tr>
        <w:tc>
          <w:tcPr>
            <w:tcW w:w="0" w:type="auto"/>
          </w:tcPr>
          <w:p>
            <w:pPr>
              <w:spacing w:line="240" w:lineRule="auto" w:before="0" w:after="0"/>
              <w:pStyle w:val="Compact"/>
            </w:pPr>
            <w:r>
              <w:rPr>
                <w:sz w:val="20"/>
                <w:szCs w:val="20"/>
              </w:rPr>
              <w:t xml:space="preserve">Restore-L/OSAM-1 precursor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0.13</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[illustrative] Restore-L early growth before OSAM-1 rebaseline; SSL/Maxar non-competed (GAO-19-262SP; FedScoop Maxar)</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Cumulative development cost growth from the project baseline, in percent (dependent variable)</w:t>
            </w:r>
          </w:p>
        </w:tc>
        <w:tc>
          <w:tcPr>
            <w:tcW w:w="0" w:type="auto"/>
          </w:tcPr>
          <w:p>
            <w:pPr>
              <w:spacing w:line="240" w:lineRule="auto" w:before="0" w:after="0"/>
              <w:pStyle w:val="Compact"/>
            </w:pPr>
            <w:r>
              <w:rPr>
                <w:sz w:val="20"/>
                <w:szCs w:val="20"/>
              </w:rPr>
              <w:t xml:space="preserve">GAO NASA Assessments of Major Projects series (GAO-18-280SP, GAO-19-262SP, GAO-21-306, GAO-22-105212, GAO-23-106021, GAO-24-106767); NASA OIG audits; agency and aerospace-press cost records</w:t>
            </w:r>
          </w:p>
        </w:tc>
      </w:tr>
      <w:tr>
        <w:tc>
          <w:tcPr>
            <w:tcW w:w="0" w:type="auto"/>
          </w:tcPr>
          <w:p>
            <w:pPr>
              <w:spacing w:line="240" w:lineRule="auto" w:before="0" w:after="0"/>
              <w:pStyle w:val="Compact"/>
            </w:pPr>
            <w:r>
              <w:rPr>
                <w:sz w:val="20"/>
                <w:szCs w:val="20"/>
              </w:rPr>
              <w:t xml:space="preserve">n_bidders</w:t>
            </w:r>
          </w:p>
        </w:tc>
        <w:tc>
          <w:tcPr>
            <w:tcW w:w="0" w:type="auto"/>
          </w:tcPr>
          <w:p>
            <w:pPr>
              <w:spacing w:line="240" w:lineRule="auto" w:before="0" w:after="0"/>
              <w:pStyle w:val="Compact"/>
            </w:pPr>
            <w:r>
              <w:rPr>
                <w:sz w:val="20"/>
                <w:szCs w:val="20"/>
              </w:rPr>
              <w:t xml:space="preserve">Number of qualified competitors for the prime-contract award (1 = sole-source or directed in-house build; higher = number of competed proposals or down-select finalists)</w:t>
            </w:r>
          </w:p>
        </w:tc>
        <w:tc>
          <w:tcPr>
            <w:tcW w:w="0" w:type="auto"/>
          </w:tcPr>
          <w:p>
            <w:pPr>
              <w:spacing w:line="240" w:lineRule="auto" w:before="0" w:after="0"/>
              <w:pStyle w:val="Compact"/>
            </w:pPr>
            <w:r>
              <w:rPr>
                <w:sz w:val="20"/>
                <w:szCs w:val="20"/>
              </w:rPr>
              <w:t xml:space="preserve">NASA contract announcements, SpaceNews, NASA OIG, and program press kits cited per row</w:t>
            </w:r>
          </w:p>
        </w:tc>
      </w:tr>
      <w:tr>
        <w:tc>
          <w:tcPr>
            <w:tcW w:w="0" w:type="auto"/>
          </w:tcPr>
          <w:p>
            <w:pPr>
              <w:spacing w:line="240" w:lineRule="auto" w:before="0" w:after="0"/>
              <w:pStyle w:val="Compact"/>
            </w:pPr>
            <w:r>
              <w:rPr>
                <w:sz w:val="20"/>
                <w:szCs w:val="20"/>
              </w:rPr>
              <w:t xml:space="preserve">fixed_price</w:t>
            </w:r>
          </w:p>
        </w:tc>
        <w:tc>
          <w:tcPr>
            <w:tcW w:w="0" w:type="auto"/>
          </w:tcPr>
          <w:p>
            <w:pPr>
              <w:spacing w:line="240" w:lineRule="auto" w:before="0" w:after="0"/>
              <w:pStyle w:val="Compact"/>
            </w:pPr>
            <w:r>
              <w:rPr>
                <w:sz w:val="20"/>
                <w:szCs w:val="20"/>
              </w:rPr>
              <w:t xml:space="preserve">Indicator equal to 1 if the prime contract is firm-fixed-price, 0 if cost-reimbursement (cost-plus) or directed in-house</w:t>
            </w:r>
          </w:p>
        </w:tc>
        <w:tc>
          <w:tcPr>
            <w:tcW w:w="0" w:type="auto"/>
          </w:tcPr>
          <w:p>
            <w:pPr>
              <w:spacing w:line="240" w:lineRule="auto" w:before="0" w:after="0"/>
              <w:pStyle w:val="Compact"/>
            </w:pPr>
            <w:r>
              <w:rPr>
                <w:sz w:val="20"/>
                <w:szCs w:val="20"/>
              </w:rPr>
              <w:t xml:space="preserve">NASA contract type records and FAR award notices cited per row</w:t>
            </w:r>
          </w:p>
        </w:tc>
      </w:tr>
      <w:tr>
        <w:tc>
          <w:tcPr>
            <w:tcW w:w="0" w:type="auto"/>
          </w:tcPr>
          <w:p>
            <w:pPr>
              <w:spacing w:line="240" w:lineRule="auto" w:before="0" w:after="0"/>
              <w:pStyle w:val="Compact"/>
            </w:pPr>
            <w:r>
              <w:rPr>
                <w:sz w:val="20"/>
                <w:szCs w:val="20"/>
              </w:rPr>
              <w:t xml:space="preserve">baseline_lcc_bn</w:t>
            </w:r>
          </w:p>
        </w:tc>
        <w:tc>
          <w:tcPr>
            <w:tcW w:w="0" w:type="auto"/>
          </w:tcPr>
          <w:p>
            <w:pPr>
              <w:spacing w:line="240" w:lineRule="auto" w:before="0" w:after="0"/>
              <w:pStyle w:val="Compact"/>
            </w:pPr>
            <w:r>
              <w:rPr>
                <w:sz w:val="20"/>
                <w:szCs w:val="20"/>
              </w:rPr>
              <w:t xml:space="preserve">Baseline life-cycle cost estimate at confirmation, in billions of USD, used as a project-complexity and scale control</w:t>
            </w:r>
          </w:p>
        </w:tc>
        <w:tc>
          <w:tcPr>
            <w:tcW w:w="0" w:type="auto"/>
          </w:tcPr>
          <w:p>
            <w:pPr>
              <w:spacing w:line="240" w:lineRule="auto" w:before="0" w:after="0"/>
              <w:pStyle w:val="Compact"/>
            </w:pPr>
            <w:r>
              <w:rPr>
                <w:sz w:val="20"/>
                <w:szCs w:val="20"/>
              </w:rPr>
              <w:t xml:space="preserve">GAO Major Project Assessment baselines and NASA program records cited per row</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-84.155</w:t>
            </w:r>
          </w:p>
        </w:tc>
        <w:tc>
          <w:tcPr>
            <w:tcW w:w="0" w:type="auto"/>
          </w:tcPr>
          <w:p>
            <w:pPr>
              <w:spacing w:line="240" w:lineRule="auto" w:before="0" w:after="0"/>
              <w:pStyle w:val="Compact"/>
            </w:pPr>
            <w:r>
              <w:rPr>
                <w:sz w:val="20"/>
                <w:szCs w:val="20"/>
              </w:rPr>
              <w:t xml:space="preserve">83.0923</w:t>
            </w:r>
          </w:p>
        </w:tc>
        <w:tc>
          <w:tcPr>
            <w:tcW w:w="0" w:type="auto"/>
          </w:tcPr>
          <w:p>
            <w:pPr>
              <w:spacing w:line="240" w:lineRule="auto" w:before="0" w:after="0"/>
              <w:pStyle w:val="Compact"/>
            </w:pPr>
            <w:r>
              <w:rPr>
                <w:sz w:val="20"/>
                <w:szCs w:val="20"/>
              </w:rPr>
              <w:t xml:space="preserve">-1.0128</w:t>
            </w:r>
          </w:p>
        </w:tc>
        <w:tc>
          <w:tcPr>
            <w:tcW w:w="0" w:type="auto"/>
          </w:tcPr>
          <w:p>
            <w:pPr>
              <w:spacing w:line="240" w:lineRule="auto" w:before="0" w:after="0"/>
              <w:pStyle w:val="Compact"/>
            </w:pPr>
            <w:r>
              <w:rPr>
                <w:sz w:val="20"/>
                <w:szCs w:val="20"/>
              </w:rPr>
              <w:t xml:space="preserve">0.3112</w:t>
            </w:r>
          </w:p>
        </w:tc>
        <w:tc>
          <w:tcPr>
            <w:tcW w:w="0" w:type="auto"/>
          </w:tcPr>
          <w:p>
            <w:pPr>
              <w:spacing w:line="240" w:lineRule="auto" w:before="0" w:after="0"/>
              <w:pStyle w:val="Compact"/>
            </w:pPr>
            <w:r>
              <w:rPr>
                <w:sz w:val="20"/>
                <w:szCs w:val="20"/>
              </w:rPr>
              <w:t xml:space="preserve">[-247.0129, 78.703]</w:t>
            </w:r>
          </w:p>
        </w:tc>
      </w:tr>
      <w:tr>
        <w:tc>
          <w:tcPr>
            <w:tcW w:w="0" w:type="auto"/>
          </w:tcPr>
          <w:p>
            <w:pPr>
              <w:spacing w:line="240" w:lineRule="auto" w:before="0" w:after="0"/>
              <w:pStyle w:val="Compact"/>
            </w:pPr>
            <w:r>
              <w:rPr>
                <w:sz w:val="20"/>
                <w:szCs w:val="20"/>
              </w:rPr>
              <w:t xml:space="preserve">n_bidders</w:t>
            </w:r>
          </w:p>
        </w:tc>
        <w:tc>
          <w:tcPr>
            <w:tcW w:w="0" w:type="auto"/>
          </w:tcPr>
          <w:p>
            <w:pPr>
              <w:spacing w:line="240" w:lineRule="auto" w:before="0" w:after="0"/>
              <w:pStyle w:val="Compact"/>
            </w:pPr>
            <w:r>
              <w:rPr>
                <w:sz w:val="20"/>
                <w:szCs w:val="20"/>
              </w:rPr>
              <w:t xml:space="preserve">14.2796</w:t>
            </w:r>
          </w:p>
        </w:tc>
        <w:tc>
          <w:tcPr>
            <w:tcW w:w="0" w:type="auto"/>
          </w:tcPr>
          <w:p>
            <w:pPr>
              <w:spacing w:line="240" w:lineRule="auto" w:before="0" w:after="0"/>
              <w:pStyle w:val="Compact"/>
            </w:pPr>
            <w:r>
              <w:rPr>
                <w:sz w:val="20"/>
                <w:szCs w:val="20"/>
              </w:rPr>
              <w:t xml:space="preserve">18.5375</w:t>
            </w:r>
          </w:p>
        </w:tc>
        <w:tc>
          <w:tcPr>
            <w:tcW w:w="0" w:type="auto"/>
          </w:tcPr>
          <w:p>
            <w:pPr>
              <w:spacing w:line="240" w:lineRule="auto" w:before="0" w:after="0"/>
              <w:pStyle w:val="Compact"/>
            </w:pPr>
            <w:r>
              <w:rPr>
                <w:sz w:val="20"/>
                <w:szCs w:val="20"/>
              </w:rPr>
              <w:t xml:space="preserve">0.7703</w:t>
            </w:r>
          </w:p>
        </w:tc>
        <w:tc>
          <w:tcPr>
            <w:tcW w:w="0" w:type="auto"/>
          </w:tcPr>
          <w:p>
            <w:pPr>
              <w:spacing w:line="240" w:lineRule="auto" w:before="0" w:after="0"/>
              <w:pStyle w:val="Compact"/>
            </w:pPr>
            <w:r>
              <w:rPr>
                <w:sz w:val="20"/>
                <w:szCs w:val="20"/>
              </w:rPr>
              <w:t xml:space="preserve">0.4411</w:t>
            </w:r>
          </w:p>
        </w:tc>
        <w:tc>
          <w:tcPr>
            <w:tcW w:w="0" w:type="auto"/>
          </w:tcPr>
          <w:p>
            <w:pPr>
              <w:spacing w:line="240" w:lineRule="auto" w:before="0" w:after="0"/>
              <w:pStyle w:val="Compact"/>
            </w:pPr>
            <w:r>
              <w:rPr>
                <w:sz w:val="20"/>
                <w:szCs w:val="20"/>
              </w:rPr>
              <w:t xml:space="preserve">[-22.0532, 50.6125]</w:t>
            </w:r>
          </w:p>
        </w:tc>
      </w:tr>
      <w:tr>
        <w:tc>
          <w:tcPr>
            <w:tcW w:w="0" w:type="auto"/>
          </w:tcPr>
          <w:p>
            <w:pPr>
              <w:spacing w:line="240" w:lineRule="auto" w:before="0" w:after="0"/>
              <w:pStyle w:val="Compact"/>
            </w:pPr>
            <w:r>
              <w:rPr>
                <w:sz w:val="20"/>
                <w:szCs w:val="20"/>
              </w:rPr>
              <w:t xml:space="preserve">fixed_price</w:t>
            </w:r>
          </w:p>
        </w:tc>
        <w:tc>
          <w:tcPr>
            <w:tcW w:w="0" w:type="auto"/>
          </w:tcPr>
          <w:p>
            <w:pPr>
              <w:spacing w:line="240" w:lineRule="auto" w:before="0" w:after="0"/>
              <w:pStyle w:val="Compact"/>
            </w:pPr>
            <w:r>
              <w:rPr>
                <w:sz w:val="20"/>
                <w:szCs w:val="20"/>
              </w:rPr>
              <w:t xml:space="preserve">-5.6177</w:t>
            </w:r>
          </w:p>
        </w:tc>
        <w:tc>
          <w:tcPr>
            <w:tcW w:w="0" w:type="auto"/>
          </w:tcPr>
          <w:p>
            <w:pPr>
              <w:spacing w:line="240" w:lineRule="auto" w:before="0" w:after="0"/>
              <w:pStyle w:val="Compact"/>
            </w:pPr>
            <w:r>
              <w:rPr>
                <w:sz w:val="20"/>
                <w:szCs w:val="20"/>
              </w:rPr>
              <w:t xml:space="preserve">36.3651</w:t>
            </w:r>
          </w:p>
        </w:tc>
        <w:tc>
          <w:tcPr>
            <w:tcW w:w="0" w:type="auto"/>
          </w:tcPr>
          <w:p>
            <w:pPr>
              <w:spacing w:line="240" w:lineRule="auto" w:before="0" w:after="0"/>
              <w:pStyle w:val="Compact"/>
            </w:pPr>
            <w:r>
              <w:rPr>
                <w:sz w:val="20"/>
                <w:szCs w:val="20"/>
              </w:rPr>
              <w:t xml:space="preserve">-0.1545</w:t>
            </w:r>
          </w:p>
        </w:tc>
        <w:tc>
          <w:tcPr>
            <w:tcW w:w="0" w:type="auto"/>
          </w:tcPr>
          <w:p>
            <w:pPr>
              <w:spacing w:line="240" w:lineRule="auto" w:before="0" w:after="0"/>
              <w:pStyle w:val="Compact"/>
            </w:pPr>
            <w:r>
              <w:rPr>
                <w:sz w:val="20"/>
                <w:szCs w:val="20"/>
              </w:rPr>
              <w:t xml:space="preserve">0.8772</w:t>
            </w:r>
          </w:p>
        </w:tc>
        <w:tc>
          <w:tcPr>
            <w:tcW w:w="0" w:type="auto"/>
          </w:tcPr>
          <w:p>
            <w:pPr>
              <w:spacing w:line="240" w:lineRule="auto" w:before="0" w:after="0"/>
              <w:pStyle w:val="Compact"/>
            </w:pPr>
            <w:r>
              <w:rPr>
                <w:sz w:val="20"/>
                <w:szCs w:val="20"/>
              </w:rPr>
              <w:t xml:space="preserve">[-76.892, 65.6565]</w:t>
            </w:r>
          </w:p>
        </w:tc>
      </w:tr>
      <w:tr>
        <w:tc>
          <w:tcPr>
            <w:tcW w:w="0" w:type="auto"/>
          </w:tcPr>
          <w:p>
            <w:pPr>
              <w:spacing w:line="240" w:lineRule="auto" w:before="0" w:after="0"/>
              <w:pStyle w:val="Compact"/>
            </w:pPr>
            <w:r>
              <w:rPr>
                <w:sz w:val="20"/>
                <w:szCs w:val="20"/>
              </w:rPr>
              <w:t xml:space="preserve">baseline_lcc_bn</w:t>
            </w:r>
          </w:p>
        </w:tc>
        <w:tc>
          <w:tcPr>
            <w:tcW w:w="0" w:type="auto"/>
          </w:tcPr>
          <w:p>
            <w:pPr>
              <w:spacing w:line="240" w:lineRule="auto" w:before="0" w:after="0"/>
              <w:pStyle w:val="Compact"/>
            </w:pPr>
            <w:r>
              <w:rPr>
                <w:sz w:val="20"/>
                <w:szCs w:val="20"/>
              </w:rPr>
              <w:t xml:space="preserve">53.5006</w:t>
            </w:r>
          </w:p>
        </w:tc>
        <w:tc>
          <w:tcPr>
            <w:tcW w:w="0" w:type="auto"/>
          </w:tcPr>
          <w:p>
            <w:pPr>
              <w:spacing w:line="240" w:lineRule="auto" w:before="0" w:after="0"/>
              <w:pStyle w:val="Compact"/>
            </w:pPr>
            <w:r>
              <w:rPr>
                <w:sz w:val="20"/>
                <w:szCs w:val="20"/>
              </w:rPr>
              <w:t xml:space="preserve">35.6593</w:t>
            </w:r>
          </w:p>
        </w:tc>
        <w:tc>
          <w:tcPr>
            <w:tcW w:w="0" w:type="auto"/>
          </w:tcPr>
          <w:p>
            <w:pPr>
              <w:spacing w:line="240" w:lineRule="auto" w:before="0" w:after="0"/>
              <w:pStyle w:val="Compact"/>
            </w:pPr>
            <w:r>
              <w:rPr>
                <w:sz w:val="20"/>
                <w:szCs w:val="20"/>
              </w:rPr>
              <w:t xml:space="preserve">1.5003</w:t>
            </w:r>
          </w:p>
        </w:tc>
        <w:tc>
          <w:tcPr>
            <w:tcW w:w="0" w:type="auto"/>
          </w:tcPr>
          <w:p>
            <w:pPr>
              <w:spacing w:line="240" w:lineRule="auto" w:before="0" w:after="0"/>
              <w:pStyle w:val="Compact"/>
            </w:pPr>
            <w:r>
              <w:rPr>
                <w:sz w:val="20"/>
                <w:szCs w:val="20"/>
              </w:rPr>
              <w:t xml:space="preserve">0.1335</w:t>
            </w:r>
          </w:p>
        </w:tc>
        <w:tc>
          <w:tcPr>
            <w:tcW w:w="0" w:type="auto"/>
          </w:tcPr>
          <w:p>
            <w:pPr>
              <w:spacing w:line="240" w:lineRule="auto" w:before="0" w:after="0"/>
              <w:pStyle w:val="Compact"/>
            </w:pPr>
            <w:r>
              <w:rPr>
                <w:sz w:val="20"/>
                <w:szCs w:val="20"/>
              </w:rPr>
              <w:t xml:space="preserve">[-16.3903, 123.3914]</w:t>
            </w:r>
          </w:p>
        </w:tc>
      </w:tr>
    </w:tbl>
    <w:p>
      <w:pPr>
        <w:pStyle w:val="BodyText"/>
      </w:pPr>
      <w:r>
        <w:t xml:space="preserve">Fit: N = 28 R2 = 0.3933 R2_adj = 0.3175 F = 0.9131 F_p = 0.4494</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2026-06-25T14:26:17Z</dcterms:created>
  <dcterms:modified xsi:type="dcterms:W3CDTF">2026-06-25T14:26:17Z</dcterms:modified>
</cp:coreProperties>
</file>

<file path=docProps/custom.xml><?xml version="1.0" encoding="utf-8"?>
<Properties xmlns="http://schemas.openxmlformats.org/officeDocument/2006/custom-properties" xmlns:vt="http://schemas.openxmlformats.org/officeDocument/2006/docPropsVTypes"/>
</file>