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COMPETITION AND THE INDUSTRIAL BASE: DOES NUMBER OF BIDDERS PREDICT SPACE-PROGRAM EXECUTION OUTCOMES?</w:t>
      </w:r>
    </w:p>
    <w:p>
      <w:pPr>
        <w:jc w:val="center"/>
      </w:pPr>
    </w:p>
    <w:p>
      <w:pPr>
        <w:jc w:val="center"/>
      </w:pPr>
      <w:r>
        <w:rPr>
          <w:rFonts w:ascii="Times New Roman" w:hAnsi="Times New Roman"/>
          <w:sz w:val="24"/>
        </w:rPr>
        <w:t>by</w:t>
      </w:r>
    </w:p>
    <w:p>
      <w:pPr>
        <w:jc w:val="center"/>
      </w:pPr>
      <w:r>
        <w:rPr>
          <w:rFonts w:ascii="Times New Roman" w:hAnsi="Times New Roman"/>
          <w:b/>
          <w:sz w:val="28"/>
        </w:rPr>
        <w:t>Anjali Carrington</w:t>
      </w:r>
    </w:p>
    <w:p>
      <w:pPr>
        <w:jc w:val="center"/>
      </w:pPr>
      <w:r>
        <w:rPr>
          <w:rFonts w:ascii="Times New Roman" w:hAnsi="Times New Roman"/>
          <w:sz w:val="24"/>
        </w:rPr>
        <w:t>1B-MPM-057</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7" w:name="chapter-1.-introduction"/>
    <w:p>
      <w:pPr>
        <w:pStyle w:val="Heading1"/>
        <w:spacing w:line="480" w:lineRule="auto"/>
      </w:pPr>
      <w:r>
        <w:t xml:space="preserve">Chapter 1. Introduction</w:t>
      </w:r>
    </w:p>
    <w:bookmarkStart w:id="61" w:name="the-problem"/>
    <w:p>
      <w:pPr>
        <w:pStyle w:val="Heading2"/>
        <w:spacing w:line="480" w:lineRule="auto"/>
      </w:pPr>
      <w:r>
        <w:t xml:space="preserve">1.1 The Problem</w:t>
      </w:r>
    </w:p>
    <w:p>
      <w:pPr>
        <w:pStyle w:val="FirstParagraph"/>
        <w:spacing w:line="480" w:lineRule="auto"/>
      </w:pPr>
      <w:r>
        <w:t xml:space="preserve">A major space program commits to its most consequential choice long before metal is cut. Two things the buying agency must settle at that moment: how the source selection will be run, and how many qualified suppliers it will work to draw into the contest. On the second of those, practitioner doctrine is anything but tentative. Widen the pool of bidders and you tighten the price, shorten the schedule, and lift delivered performance, or so the received wisdom insists. Whole solicitations are built on that premise. It also props up a generation of acquisition reform, one that steered agencies away from directed, sole-source, cost-reimbursement awards and toward openly competed, firm-fixed-price arrangements</w:t>
      </w:r>
      <w:r>
        <w:t xml:space="preserve"> </w:t>
      </w:r>
      <w:hyperlink w:anchor="ref-3">
        <w:r>
          <w:rPr>
            <w:rStyle w:val="Hyperlink"/>
          </w:rPr>
          <w:t xml:space="preserve">[3]</w:t>
        </w:r>
      </w:hyperlink>
      <w:r>
        <w:t xml:space="preserve"> </w:t>
      </w:r>
      <w:hyperlink w:anchor="ref-4">
        <w:r>
          <w:rPr>
            <w:rStyle w:val="Hyperlink"/>
          </w:rPr>
          <w:t xml:space="preserve">[4]</w:t>
        </w:r>
      </w:hyperlink>
      <w:r>
        <w:t xml:space="preserve">. Missing from all of it, at least where the execution phase of major space programs is concerned, is any controlled test that pulls the theorem’s empirical content free of the confounds riding alongside it. Building that test is what this dissertation sets out to do.</w:t>
      </w:r>
    </w:p>
    <w:p>
      <w:pPr>
        <w:pStyle w:val="BodyText"/>
        <w:spacing w:line="480" w:lineRule="auto"/>
        <w:ind w:firstLine="720"/>
      </w:pPr>
      <w:r>
        <w:t xml:space="preserve">Nobody disputes the execution record that prompts the question. For over a decade the U.S. Government Accountability Office has followed how NASA’s major projects perform on development cost and schedule, and the running overrun totals stay heavy even in the good years. Portfolio cost overruns of 4.4 billion dollars showed up in the 2024 assessment, an improvement on the 7.6 billion logged the year prior; the next assessment caught several in-development projects each swelling by more than 500 million dollars inside a single year, most of that swelling lodged in a few flagship efforts</w:t>
      </w:r>
      <w:r>
        <w:t xml:space="preserve"> </w:t>
      </w:r>
      <w:hyperlink w:anchor="ref-7">
        <w:r>
          <w:rPr>
            <w:rStyle w:val="Hyperlink"/>
          </w:rPr>
          <w:t xml:space="preserve">[7]</w:t>
        </w:r>
      </w:hyperlink>
      <w:r>
        <w:t xml:space="preserve"> </w:t>
      </w:r>
      <w:hyperlink w:anchor="ref-10">
        <w:r>
          <w:rPr>
            <w:rStyle w:val="Hyperlink"/>
          </w:rPr>
          <w:t xml:space="preserve">[10]</w:t>
        </w:r>
      </w:hyperlink>
      <w:r>
        <w:t xml:space="preserve">. There sit the stakes. Any procurement lever that actually held execution in check would be enormously valuable to NASA, and to the Jet Propulsion Laboratory, whose flagship science missions occupy the costly, risk-laden end of the portfolio and swallow far more than their share of the overrun.</w:t>
      </w:r>
    </w:p>
    <w:p>
      <w:pPr>
        <w:pStyle w:val="BodyText"/>
        <w:spacing w:line="480" w:lineRule="auto"/>
        <w:ind w:firstLine="720"/>
      </w:pPr>
      <w:r>
        <w:t xml:space="preserve">So is bidder count that lever? Or does it merely happen to track execution success for reasons unconnected to any competitive discipline?</w:t>
      </w:r>
    </w:p>
    <w:p>
      <w:pPr>
        <w:pStyle w:val="BodyText"/>
        <w:spacing w:line="480" w:lineRule="auto"/>
        <w:ind w:firstLine="720"/>
      </w:pPr>
      <w:r>
        <w:t xml:space="preserve">This is where the governance literature muddies the practitioner claim, and the muddying is exactly what sharpens the analytic stakes. For years, space agencies have turned to cost-plus contracts as their chosen instrument for holding down delay and cost growth</w:t>
      </w:r>
      <w:r>
        <w:t xml:space="preserve"> </w:t>
      </w:r>
      <w:hyperlink w:anchor="ref-1">
        <w:r>
          <w:rPr>
            <w:rStyle w:val="Hyperlink"/>
          </w:rPr>
          <w:t xml:space="preserve">[1]</w:t>
        </w:r>
      </w:hyperlink>
      <w:r>
        <w:t xml:space="preserve">. Seen through that lens, the weight of execution risk in the Legacy Space model rode on the contract instrument, never on the count of bidders, and the drift toward New Space procurement reads as a purposeful relocation of that risk rather than as any shift in what competition can discipline</w:t>
      </w:r>
      <w:r>
        <w:t xml:space="preserve"> </w:t>
      </w:r>
      <w:hyperlink w:anchor="ref-1">
        <w:r>
          <w:rPr>
            <w:rStyle w:val="Hyperlink"/>
          </w:rPr>
          <w:t xml:space="preserve">[1]</w:t>
        </w:r>
      </w:hyperlink>
      <w:r>
        <w:t xml:space="preserve"> </w:t>
      </w:r>
      <w:hyperlink w:anchor="ref-4">
        <w:r>
          <w:rPr>
            <w:rStyle w:val="Hyperlink"/>
          </w:rPr>
          <w:t xml:space="preserve">[4]</w:t>
        </w:r>
      </w:hyperlink>
      <w:r>
        <w:t xml:space="preserve">. Analysis of how to size launch architectures for crewed missions carries the point further, casting cost overruns from qualification issues as a hazard set at the design table, one an architect minimizes by choice of architecture rather than by squeezing bidders at award</w:t>
      </w:r>
      <w:r>
        <w:t xml:space="preserve"> </w:t>
      </w:r>
      <w:hyperlink w:anchor="ref-2">
        <w:r>
          <w:rPr>
            <w:rStyle w:val="Hyperlink"/>
          </w:rPr>
          <w:t xml:space="preserve">[2]</w:t>
        </w:r>
      </w:hyperlink>
      <w:r>
        <w:t xml:space="preserve">. Grant, then, that instrument and architecture are the working levers. If so, bidder count could be an epiphenomenon: tied to execution success only because agencies build out larger fields for exactly the mature, commoditized programs already headed for a clean run. Put bluntly, the bidder-count variable has stood in as a gauge of competitive intensity without anyone ever prying it loose from the contract-type and program-scale confounds that shadow it.</w:t>
      </w:r>
    </w:p>
    <w:bookmarkEnd w:id="61"/>
    <w:bookmarkStart w:id="62" w:name="stakes-for-nasa-and-jpl"/>
    <w:p>
      <w:pPr>
        <w:pStyle w:val="Heading2"/>
        <w:spacing w:line="480" w:lineRule="auto"/>
      </w:pPr>
      <w:r>
        <w:t xml:space="preserve">1.2 Stakes for NASA and JPL</w:t>
      </w:r>
    </w:p>
    <w:p>
      <w:pPr>
        <w:pStyle w:val="FirstParagraph"/>
        <w:spacing w:line="480" w:lineRule="auto"/>
      </w:pPr>
      <w:r>
        <w:t xml:space="preserve">Concrete and institutional, these stakes. NASA runs its source selections on a presumption written into policy and hardened by reform: that a broader competitive field means sounder stewardship of public money. On that presumption ran the Commercial Crew Program and much of the New Space transition, which swapped directed cost-plus incumbency for competed fixed-price arrangements in the belief that competition would keep cost and schedule in line</w:t>
      </w:r>
      <w:r>
        <w:t xml:space="preserve"> </w:t>
      </w:r>
      <w:hyperlink w:anchor="ref-3">
        <w:r>
          <w:rPr>
            <w:rStyle w:val="Hyperlink"/>
          </w:rPr>
          <w:t xml:space="preserve">[3]</w:t>
        </w:r>
      </w:hyperlink>
      <w:r>
        <w:t xml:space="preserve"> </w:t>
      </w:r>
      <w:hyperlink w:anchor="ref-4">
        <w:r>
          <w:rPr>
            <w:rStyle w:val="Hyperlink"/>
          </w:rPr>
          <w:t xml:space="preserve">[4]</w:t>
        </w:r>
      </w:hyperlink>
      <w:r>
        <w:t xml:space="preserve">. Should the presumption hold at the level of actual program execution, then working to build out bidder fields is acquisition effort well spent and the reform path stands vindicated. Should it fail, or hold only under conditions the bare bidder count never registers, then agencies are burning scarce source-selection bandwidth pursuing a gauge that delivers none of the discipline credited to it.</w:t>
      </w:r>
    </w:p>
    <w:p>
      <w:pPr>
        <w:pStyle w:val="BodyText"/>
        <w:spacing w:line="480" w:lineRule="auto"/>
        <w:ind w:firstLine="720"/>
      </w:pPr>
      <w:r>
        <w:t xml:space="preserve">JPL faces a still keener version of the question. Its work clusters in the flagship and competed-AO science classes, and those two sit at the far ends of the bidder distribution. Build a directed, single-source flagship and the field is one by definition; open a Discovery, New Frontiers, or Explorer competition and several credible proposals crowd into a finalist pool</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two classes part ways just as sharply on baseline difficulty, on schedule aggressiveness, and on how generous their committed development spans turn out to be. Let an agency glance at a plain cross-section, credit the cleaner execution of competed missions to the breadth of their bidder fields, and it lands on precisely the wrong story about where execution discipline originates, then aims its reforms at the wrong target. The price of that mistake is legible in the overrun totals the GAO keeps publishing</w:t>
      </w:r>
      <w:r>
        <w:t xml:space="preserve"> </w:t>
      </w:r>
      <w:hyperlink w:anchor="ref-7">
        <w:r>
          <w:rPr>
            <w:rStyle w:val="Hyperlink"/>
          </w:rPr>
          <w:t xml:space="preserve">[7]</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This dissertation’s job is to settle whether the bidder-count signal endures once the variables riding with it are pinned down, so that anyone leaning on it can tell a genuine lever from a confounded one.</w:t>
      </w:r>
    </w:p>
    <w:bookmarkEnd w:id="62"/>
    <w:bookmarkStart w:id="63" w:name="the-gap-between-two-literatures"/>
    <w:p>
      <w:pPr>
        <w:pStyle w:val="Heading2"/>
        <w:spacing w:line="480" w:lineRule="auto"/>
      </w:pPr>
      <w:r>
        <w:t xml:space="preserve">1.3 The Gap Between Two Literatures</w:t>
      </w:r>
    </w:p>
    <w:p>
      <w:pPr>
        <w:pStyle w:val="FirstParagraph"/>
        <w:spacing w:line="480" w:lineRule="auto"/>
      </w:pPr>
      <w:r>
        <w:t xml:space="preserve">Two bodies of work bear on the problem, and the problem lingers because they have never actually met. One is the space-sector governance and economics literature: generous on the structural conditions under which competition arises, mute on the program-level execution estimand. The other is applied econometric method, the literature of selection, conditional association, and time-to-event modeling, which hands over the tools to pin that estimand down and has never been aimed at this question.</w:t>
      </w:r>
    </w:p>
    <w:p>
      <w:pPr>
        <w:pStyle w:val="BodyText"/>
        <w:spacing w:line="480" w:lineRule="auto"/>
        <w:ind w:firstLine="720"/>
      </w:pPr>
      <w:r>
        <w:t xml:space="preserve">Establish three propositions the governance corpus does, and a fourth it leaves alone. Contract type works as an execution-risk instrument: agencies reach for cost-plus contracts to blunt overruns, which makes the instrument endogenous to the very risk any execution model has to explain</w:t>
      </w:r>
      <w:r>
        <w:t xml:space="preserve"> </w:t>
      </w:r>
      <w:hyperlink w:anchor="ref-1">
        <w:r>
          <w:rPr>
            <w:rStyle w:val="Hyperlink"/>
          </w:rPr>
          <w:t xml:space="preserve">[1]</w:t>
        </w:r>
      </w:hyperlink>
      <w:r>
        <w:t xml:space="preserve">. Procurement is mid-transition, moving from Legacy Space to New Space, and the transition rewrites who bids and on what footing, so no program draws its bidder field at random</w:t>
      </w:r>
      <w:r>
        <w:t xml:space="preserve"> </w:t>
      </w:r>
      <w:hyperlink w:anchor="ref-1">
        <w:r>
          <w:rPr>
            <w:rStyle w:val="Hyperlink"/>
          </w:rPr>
          <w:t xml:space="preserve">[1]</w:t>
        </w:r>
      </w:hyperlink>
      <w:r>
        <w:t xml:space="preserve"> </w:t>
      </w:r>
      <w:hyperlink w:anchor="ref-4">
        <w:r>
          <w:rPr>
            <w:rStyle w:val="Hyperlink"/>
          </w:rPr>
          <w:t xml:space="preserve">[4]</w:t>
        </w:r>
      </w:hyperlink>
      <w:r>
        <w:t xml:space="preserve">. Qualification risk is largely locked in at the architecture stage, where overruns from qualification issues count as a design hazard an architect minimizes by choice rather than by competitive pressure at award</w:t>
      </w:r>
      <w:r>
        <w:t xml:space="preserve"> </w:t>
      </w:r>
      <w:hyperlink w:anchor="ref-2">
        <w:r>
          <w:rPr>
            <w:rStyle w:val="Hyperlink"/>
          </w:rPr>
          <w:t xml:space="preserve">[2]</w:t>
        </w:r>
      </w:hyperlink>
      <w:r>
        <w:t xml:space="preserve">. Within that same corpus the Earth-observation studies handle competition as a market-structure condition that unsettles and reshapes the sector, not as a knob an agency turns program by program</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 while the wider space-economy work aims its analysis at constellation operators and aggregate welfare, showing that oligopoly competition among constellations drags down the economic welfare drawn from orbit use</w:t>
      </w:r>
      <w:r>
        <w:t xml:space="preserve"> </w:t>
      </w:r>
      <w:hyperlink w:anchor="ref-6">
        <w:r>
          <w:rPr>
            <w:rStyle w:val="Hyperlink"/>
          </w:rPr>
          <w:t xml:space="preserve">[6]</w:t>
        </w:r>
      </w:hyperlink>
      <w:r>
        <w:t xml:space="preserve">.</w:t>
      </w:r>
    </w:p>
    <w:p>
      <w:pPr>
        <w:pStyle w:val="BodyText"/>
        <w:spacing w:line="480" w:lineRule="auto"/>
        <w:ind w:firstLine="720"/>
      </w:pPr>
      <w:r>
        <w:t xml:space="preserve">Regulatory-competition scholarship on NewSpace, in the same spirit, casts competitive intensity as an emergent governance condition, not a program-level input</w:t>
      </w:r>
      <w:r>
        <w:t xml:space="preserve"> </w:t>
      </w:r>
      <w:hyperlink w:anchor="ref-11">
        <w:r>
          <w:rPr>
            <w:rStyle w:val="Hyperlink"/>
          </w:rPr>
          <w:t xml:space="preserve">[11]</w:t>
        </w:r>
      </w:hyperlink>
      <w:r>
        <w:t xml:space="preserve">. None of it isolates the proposition practitioners stake the most on: that with instrument and architecture pinned, the count of responsive bidders forecasts execution outcomes on its own.</w:t>
      </w:r>
    </w:p>
    <w:p>
      <w:pPr>
        <w:pStyle w:val="BodyText"/>
        <w:spacing w:line="480" w:lineRule="auto"/>
        <w:ind w:firstLine="720"/>
      </w:pPr>
      <w:r>
        <w:t xml:space="preserve">Turn to the method literature and it already knows how to press such a proposition, using nothing exotic. Ask about conditional association and you have a partial-coefficient problem. Raise the selection worry, that agencies build larger fields for programs they have already sized up as low-risk, and you have a textbook confounding problem with a familiar placebo diagnostic. Pose the timing question, whether a fuller field alters how fast a program slips its baseline, and you have a survival-analysis problem that proportional-hazards estimation handles directly. These tools have gone unused on the bidder-count question in the space-execution setting for a plain reason: domain scholars cast competition as market structure, and method scholars had no occasion to open the space-acquisition record. The gap is the empty intersection: a controlled estimate of how bidder count partially associates with delivered cost-and-schedule performance, contract type and program scale carried as covariates rather than dumped into the error term. That intersection, and nothing wider, is where this dissertation works.</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One controlled estimate is what this dissertation offers, stated exactly: the conditional predictive tie between how many firms bid a prime contract and how NASA major programs execute. The estimand is the partial coefficient on bidder count in an execution model that pins contract type and program scale. Two margins carry the notion of execution: a cost margin, normalized development cost growth, and a schedule margin, the hazard that a program breaches its schedule baseline across the planned development span. The estimate earns its falsifiability by being cast as a directional null against a directional practitioner alternative, with a design capable of leaving the null standing or of handing back a signed reversal of what practitioners predict.</w:t>
      </w:r>
    </w:p>
    <w:p>
      <w:pPr>
        <w:pStyle w:val="BodyText"/>
        <w:spacing w:line="480" w:lineRule="auto"/>
        <w:ind w:firstLine="720"/>
      </w:pPr>
      <w:r>
        <w:t xml:space="preserve">Take the hypotheses in turn. On the cost margin, the null says that once contract type and program scale are fixed, the count of qualified bidders at award ties to normalized development cost growth not at all, leaving the bidder coefficient indistinguishable from zero. The practitioner alternative says a fuller field pairs with slimmer cost growth, driving the coefficient negative and away from zero. On the schedule margin, the null says that with instrument and scale fixed, the count of competing offers at selection bears no partial association with the breach hazard, so the hazard ratio on bidder count lands at one. The practitioner alternative says a fuller field pushes that hazard down, dropping the ratio below one.</w:t>
      </w:r>
    </w:p>
    <w:p>
      <w:pPr>
        <w:pStyle w:val="BodyText"/>
        <w:spacing w:line="480" w:lineRule="auto"/>
        <w:ind w:firstLine="720"/>
      </w:pPr>
      <w:r>
        <w:t xml:space="preserve">What disciplines this framing is that the reigning practitioner claim occupies the alternative, and the governance literature furnishes a coherent mechanism, selection married to contract-type substitution, that would keep the null standing, or flip the sign, even where a raw correlation seems to reward the practitioner. On that governance account, agencies build large competed fields precisely for the small, cost-capped, schedule-aggressive mission classes whose tight baselines give way soonest, and they hold directed single-source instruments in reserve for the big flagships that ride long, generously dated baselines</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4">
        <w:r>
          <w:rPr>
            <w:rStyle w:val="Hyperlink"/>
          </w:rPr>
          <w:t xml:space="preserve">[4]</w:t>
        </w:r>
      </w:hyperlink>
      <w:r>
        <w:t xml:space="preserve">. Grant the account and a naive cross-section will pin mission difficulty on the absence of competition, loading the bidder coefficient with the selection signal in place of a treatment effect. The single contribution is to set the confident practitioner theorem against the controlled estimate and record, margin by margin, whether the data play along. That estimate is read as a partial association under a stated and demanding conditional-independence assumption, never as a causal effect; its worth lies in what it rules out for execution management, chiefly any use of bidder count as a free lever on cost or schedule discipline.</w:t>
      </w:r>
    </w:p>
    <w:bookmarkEnd w:id="64"/>
    <w:bookmarkStart w:id="65" w:name="data-and-identification-in-brief"/>
    <w:p>
      <w:pPr>
        <w:pStyle w:val="Heading2"/>
        <w:spacing w:line="480" w:lineRule="auto"/>
      </w:pPr>
      <w:r>
        <w:t xml:space="preserve">1.5 Data and Identification in Brief</w:t>
      </w:r>
    </w:p>
    <w:p>
      <w:pPr>
        <w:pStyle w:val="FirstParagraph"/>
        <w:spacing w:line="480" w:lineRule="auto"/>
      </w:pPr>
      <w:r>
        <w:t xml:space="preserve">Anchoring the empirical content is a real, public, reproducible federal record. Its primary source is the Federal Procurement Data System, reached by way of the public USASpending.gov award and sub-award interfaces and the bulk archives. For each contract action that system logs the offers received, the pricing type, the procuring and funding sub-agency, the baseline and current obligated value, and the period-of-performance dates. Out of those fields fall the bidder-count regressor, the contract-type fixed effect, the program-scale control, and both execution outcomes. Sampling is confined to NASA and major civil-space system procurements, and the cost-side outcomes are squared against the GAO Assessments of Major Projects series, which prints per-project cost-growth figures against confirmed baselines</w:t>
      </w:r>
      <w:r>
        <w:t xml:space="preserve"> </w:t>
      </w:r>
      <w:hyperlink w:anchor="ref-7">
        <w:r>
          <w:rPr>
            <w:rStyle w:val="Hyperlink"/>
          </w:rPr>
          <w:t xml:space="preserve">[7]</w:t>
        </w:r>
      </w:hyperlink>
      <w:r>
        <w:t xml:space="preserve"> </w:t>
      </w:r>
      <w:hyperlink w:anchor="ref-10">
        <w:r>
          <w:rPr>
            <w:rStyle w:val="Hyperlink"/>
          </w:rPr>
          <w:t xml:space="preserve">[10]</w:t>
        </w:r>
      </w:hyperlink>
      <w:r>
        <w:t xml:space="preserve">. Should splitting baseline from current obligation demand an award’s full modification history, the award-modifications endpoint yields it.</w:t>
      </w:r>
    </w:p>
    <w:p>
      <w:pPr>
        <w:pStyle w:val="BodyText"/>
        <w:spacing w:line="480" w:lineRule="auto"/>
        <w:ind w:firstLine="720"/>
      </w:pPr>
      <w:r>
        <w:t xml:space="preserve">The core test leans on nothing proprietary or access-restricted, and each analytic row carries provenance that can be traced.</w:t>
      </w:r>
    </w:p>
    <w:p>
      <w:pPr>
        <w:pStyle w:val="BodyText"/>
        <w:spacing w:line="480" w:lineRule="auto"/>
        <w:ind w:firstLine="720"/>
      </w:pPr>
      <w:r>
        <w:t xml:space="preserve">Identification hangs on one conditional-independence assumption: that inside a contract-type stratum and a scale band, whether a program lands in a larger or smaller bidder field is unconfounded with execution difficulty the analyst cannot see. That assumption asks a great deal, so the design ships explicit supporting analyses. A contract-type-stratified estimation prints the bidder coefficient separately for the cost-plus and fixed-price strata, since the governance literature expects the instrument to swallow the coefficient</w:t>
      </w:r>
      <w:r>
        <w:t xml:space="preserve"> </w:t>
      </w:r>
      <w:hyperlink w:anchor="ref-1">
        <w:r>
          <w:rPr>
            <w:rStyle w:val="Hyperlink"/>
          </w:rPr>
          <w:t xml:space="preserve">[1]</w:t>
        </w:r>
      </w:hyperlink>
      <w:r>
        <w:t xml:space="preserve">. A placebo specification regresses bidder count on pre-award program characteristics to catch the selection channel in the act. A survival specification on schedule slip checks that any cost finding is no mere artifact of how cost was normalized. The threats to validity, selection on unobservables, contract-type endogeneity, the documented recording limits of the offers-received field, and the external-validity ceiling of a federal civil-space sample, are all put on the table beforehand and met by the matching diagnostics, so that any estimate the threats compromise gets reported as descriptive rather than as a partial effect.</w:t>
      </w:r>
    </w:p>
    <w:bookmarkEnd w:id="65"/>
    <w:bookmarkStart w:id="66" w:name="roadmap"/>
    <w:p>
      <w:pPr>
        <w:pStyle w:val="Heading2"/>
        <w:spacing w:line="480" w:lineRule="auto"/>
      </w:pPr>
      <w:r>
        <w:t xml:space="preserve">1.6 Roadmap</w:t>
      </w:r>
    </w:p>
    <w:p>
      <w:pPr>
        <w:pStyle w:val="FirstParagraph"/>
        <w:spacing w:line="480" w:lineRule="auto"/>
      </w:pPr>
      <w:r>
        <w:t xml:space="preserve">The rest of the dissertation runs as follows. Chapter 2 works through the two literatures whose empty intersection marks out the gap: the space-sector governance and economics work that treats competition as market structure and contract type as the working execution-risk instrument</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11">
        <w:r>
          <w:rPr>
            <w:rStyle w:val="Hyperlink"/>
          </w:rPr>
          <w:t xml:space="preserve">[11]</w:t>
        </w:r>
      </w:hyperlink>
      <w:r>
        <w:t xml:space="preserve">, and the econometric method work on conditional association, selection, and survival analysis that lends the tools to isolate the program-level estimand. Chapter 3 lays out the data, the way the bidder-count, contract-type, and scale variables are built from the Federal Procurement Data System and the GAO portfolio record</w:t>
      </w:r>
      <w:r>
        <w:t xml:space="preserve"> </w:t>
      </w:r>
      <w:hyperlink w:anchor="ref-7">
        <w:r>
          <w:rPr>
            <w:rStyle w:val="Hyperlink"/>
          </w:rPr>
          <w:t xml:space="preserve">[7]</w:t>
        </w:r>
      </w:hyperlink>
      <w:r>
        <w:t xml:space="preserve"> </w:t>
      </w:r>
      <w:hyperlink w:anchor="ref-10">
        <w:r>
          <w:rPr>
            <w:rStyle w:val="Hyperlink"/>
          </w:rPr>
          <w:t xml:space="preserve">[10]</w:t>
        </w:r>
      </w:hyperlink>
      <w:r>
        <w:t xml:space="preserve">, and the provenance chain that keeps the whole extraction auditable end to end. Chapter 4 fixes the identification strategy and the estimators, the ordinary-least-squares specification for the cost margin and the proportional-hazards specification for the schedule margin, alongside the stratified, placebo, and sensitivity analyses that press on the conditional-independence assumption. Chapter 5 reports the cost-margin findings, opening from the cross-sectional estimate in which the raw bidder count fails to forecast slimmer cost growth and project scale carries the explanatory weight.</w:t>
      </w:r>
    </w:p>
    <w:p>
      <w:pPr>
        <w:pStyle w:val="BodyText"/>
        <w:spacing w:line="480" w:lineRule="auto"/>
        <w:ind w:firstLine="720"/>
      </w:pPr>
      <w:r>
        <w:t xml:space="preserve">Chapter 6 reports the schedule-margin findings, where the bidder coefficient runs against the protective direction practitioner doctrine expects and the result reads as a selection artifact in line with the governance mechanism.</w:t>
      </w:r>
    </w:p>
    <w:p>
      <w:pPr>
        <w:pStyle w:val="BodyText"/>
        <w:spacing w:line="480" w:lineRule="auto"/>
        <w:ind w:firstLine="720"/>
      </w:pPr>
      <w:r>
        <w:t xml:space="preserve">Chapter 7 pulls the two margins together, marks the bounds the strong identification assumption sets on the claim, and draws out the implication for execution management: that the breadth of the competing-offer field is a poor lone gauge of cost or schedule discipline, tangled as it is with the mission class, the cost cap, and the baseline aggressiveness that come bundled into competed solicitations. The dissertation closes by naming the larger panel and the field-size instrument a causal successor design would need.</w:t>
      </w:r>
    </w:p>
    <w:bookmarkEnd w:id="66"/>
    <w:bookmarkEnd w:id="67"/>
    <w:bookmarkStart w:id="84" w:name="chapter-2.-literature-review"/>
    <w:p>
      <w:pPr>
        <w:pStyle w:val="Heading1"/>
        <w:spacing w:line="480" w:lineRule="auto"/>
      </w:pPr>
      <w:r>
        <w:t xml:space="preserve">Chapter 2. Literature Review</w:t>
      </w:r>
    </w:p>
    <w:bookmarkStart w:id="68" w:name="Xe8e42d1df99e316903cf997fdc5528d913d179d"/>
    <w:p>
      <w:pPr>
        <w:pStyle w:val="Heading2"/>
        <w:spacing w:line="480" w:lineRule="auto"/>
      </w:pPr>
      <w:r>
        <w:t xml:space="preserve">2.1 Orientation: Two Literatures That Do Not Speak to Each Other</w:t>
      </w:r>
    </w:p>
    <w:p>
      <w:pPr>
        <w:pStyle w:val="FirstParagraph"/>
        <w:spacing w:line="480" w:lineRule="auto"/>
      </w:pPr>
      <w:r>
        <w:t xml:space="preserve">Two bodies of scholarship, raised apart, meet along the seam where this dissertation works. The first is domain technical and governance writing on space-program procurement, clustered in</w:t>
      </w:r>
      <w:r>
        <w:t xml:space="preserve"> </w:t>
      </w:r>
      <w:r>
        <w:rPr>
          <w:i/>
          <w:iCs/>
        </w:rPr>
        <w:t xml:space="preserve">Acta Astronautica</w:t>
      </w:r>
      <w:r>
        <w:t xml:space="preserve"> </w:t>
      </w:r>
      <w:r>
        <w:t xml:space="preserve">and its neighbors, which lays out how public agencies run source selections, how they parcel execution risk across contract instruments, and how the passage from Legacy Space to New Space redraws the supplier field</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27">
        <w:r>
          <w:rPr>
            <w:rStyle w:val="Hyperlink"/>
          </w:rPr>
          <w:t xml:space="preserve">[27]</w:t>
        </w:r>
      </w:hyperlink>
      <w:r>
        <w:t xml:space="preserve">. The second is cliometric and econometric methodology, a tradition that takes a defended causal or predictive claim, treats it as a falsifiable hypothesis, throws an obtainable dataset at it, controls the confounds, and owns up to the uncertainty. Seldom do the two turn up in one bibliography. Different purposes shaped them. Domain scholarship gives a textured, qualitative account of mechanism and rarely puts its governing practitioner theorem through a controlled partial-association test; the methodological side owns the inferential machinery and almost never points it at the question of whether bidder count forecasts space-program execution.</w:t>
      </w:r>
    </w:p>
    <w:p>
      <w:pPr>
        <w:pStyle w:val="BodyText"/>
        <w:spacing w:line="480" w:lineRule="auto"/>
        <w:ind w:firstLine="720"/>
      </w:pPr>
      <w:r>
        <w:t xml:space="preserve">This chapter takes each literature on its own footing, marks the exact place they fail to meet, and pins down the lone gap the dissertation’s two empirical papers exist to close.</w:t>
      </w:r>
    </w:p>
    <w:p>
      <w:pPr>
        <w:pStyle w:val="BodyText"/>
        <w:spacing w:line="480" w:lineRule="auto"/>
        <w:ind w:firstLine="720"/>
      </w:pPr>
      <w:r>
        <w:t xml:space="preserve">What is on trial is the practitioner folk theorem that a fuller field of qualified bidders disciplines execution: that more responsive offerors at award squeeze price, schedule, and delivered cost growth on major space programs. Predictive in form, that claim is precisely the sort the cliometric posture was built to try. Domain writing, though, has leaned toward handling competition as a market-structure condition or a governance lever instead of a measured covariate in a regression of execution outcomes, and the sparse quantitative studies of space cost growth have never pried the bidder-count variable loose from the contract-type and program-scale confounds shadowing it. The review unfolds in five movements: domain technical and governance writing (Section 2.2), competition and market structure in the space sector (Section 2.3), cliometric and econometric methodology as it touches the design (Section 2.4), the empirical record of space-program cost and schedule growth that feeds the outcome data (Section 2.5), and a synthesis that names the open gap and states how the dissertation closes it (Section 2.6).</w:t>
      </w:r>
    </w:p>
    <w:bookmarkEnd w:id="68"/>
    <w:bookmarkStart w:id="72" w:name="X213bcc7e3fdfd377c56e2921246bca7b45ee1cb"/>
    <w:p>
      <w:pPr>
        <w:pStyle w:val="Heading2"/>
        <w:spacing w:line="480" w:lineRule="auto"/>
      </w:pPr>
      <w:r>
        <w:t xml:space="preserve">2.2 The Domain Technical and Governance Literature</w:t>
      </w:r>
    </w:p>
    <w:bookmarkStart w:id="69" w:name="Xc1778ddc10951b2b7fa78af645a482b06bafbfc"/>
    <w:p>
      <w:pPr>
        <w:pStyle w:val="Heading3"/>
        <w:spacing w:line="480" w:lineRule="auto"/>
      </w:pPr>
      <w:r>
        <w:t xml:space="preserve">2.2.1 Contract Type as the Operative Risk Instrument</w:t>
      </w:r>
    </w:p>
    <w:p>
      <w:pPr>
        <w:pStyle w:val="FirstParagraph"/>
        <w:spacing w:line="480" w:lineRule="auto"/>
      </w:pPr>
      <w:r>
        <w:t xml:space="preserve">Governance scholarship that casts the contract instrument, and not the breadth of the bidder field, as the lever agencies use to manage execution risk matters most to this study. Zancan, Paravano, Locatelli, and Trucco, tracing how governance has evolved across the space sector, record that getting space programs delivered has pushed agencies to lean on cost-plus contracts as the instrument for holding down delays and cost overruns</w:t>
      </w:r>
      <w:r>
        <w:t xml:space="preserve"> </w:t>
      </w:r>
      <w:hyperlink w:anchor="ref-1">
        <w:r>
          <w:rPr>
            <w:rStyle w:val="Hyperlink"/>
          </w:rPr>
          <w:t xml:space="preserve">[1]</w:t>
        </w:r>
      </w:hyperlink>
      <w:r>
        <w:t xml:space="preserve">. That finding is bedrock. It shifts the weight of execution risk off the competitive field and onto the pricing type. Choose a cost-plus instrument precisely because the program carries qualification and overrun hazard the agency prefers to absorb rather than pass along, and contract type becomes endogenous to execution difficulty. No neutral control variable, this. It is a treatment the agency hands out in answer to the very risk the analyst hopes to explain.</w:t>
      </w:r>
    </w:p>
    <w:p>
      <w:pPr>
        <w:pStyle w:val="BodyText"/>
        <w:spacing w:line="480" w:lineRule="auto"/>
        <w:ind w:firstLine="720"/>
      </w:pPr>
      <w:r>
        <w:t xml:space="preserve">That same work reads the move from Legacy Space to New Space procurement as a purposeful redistribution of where overrun risk lands</w:t>
      </w:r>
      <w:r>
        <w:t xml:space="preserve"> </w:t>
      </w:r>
      <w:hyperlink w:anchor="ref-1">
        <w:r>
          <w:rPr>
            <w:rStyle w:val="Hyperlink"/>
          </w:rPr>
          <w:t xml:space="preserve">[1]</w:t>
        </w:r>
      </w:hyperlink>
      <w:r>
        <w:t xml:space="preserve">. Legacy Space directed and cost-reimbursable awards parked the burden of cost growth on the public sponsor; New Space openly competed firm-fixed-price awards shove that burden toward contractors who must win the competition and expect to face it again. The shift, the governance literature takes pains to note, is picky. Competed fixed-price structures go to missions whose requirements have already settled, while the hardest, newest missions stay directed and cost-reimbursable</w:t>
      </w:r>
      <w:r>
        <w:t xml:space="preserve"> </w:t>
      </w:r>
      <w:hyperlink w:anchor="ref-1">
        <w:r>
          <w:rPr>
            <w:rStyle w:val="Hyperlink"/>
          </w:rPr>
          <w:t xml:space="preserve">[1]</w:t>
        </w:r>
      </w:hyperlink>
      <w:r>
        <w:t xml:space="preserve">. From that pickiness the confounding problem grows, and the empirical papers have to reckon with it. Hand competition to the easy cases and sole-source to the hard ones, and a raw bidder count comes out braided with mission maturity, so any plain cross-sectional correlation between bidders and execution outcomes is tainted by selection.</w:t>
      </w:r>
    </w:p>
    <w:p>
      <w:pPr>
        <w:pStyle w:val="BodyText"/>
        <w:spacing w:line="480" w:lineRule="auto"/>
        <w:ind w:firstLine="720"/>
      </w:pPr>
      <w:r>
        <w:t xml:space="preserve">Micro-foundations work by Zancan, Trucco, and Locatelli on product-service strategies in Earth Observation carries the argument up from contract structure to strategic intent, separating</w:t>
      </w:r>
      <w:r>
        <w:t xml:space="preserve"> </w:t>
      </w:r>
      <w:r>
        <w:t xml:space="preserve">“getting things done”</w:t>
      </w:r>
      <w:r>
        <w:t xml:space="preserve"> </w:t>
      </w:r>
      <w:r>
        <w:t xml:space="preserve">from</w:t>
      </w:r>
      <w:r>
        <w:t xml:space="preserve"> </w:t>
      </w:r>
      <w:r>
        <w:t xml:space="preserve">“doing the right things”</w:t>
      </w:r>
      <w:r>
        <w:t xml:space="preserve"> </w:t>
      </w:r>
      <w:hyperlink w:anchor="ref-5">
        <w:r>
          <w:rPr>
            <w:rStyle w:val="Hyperlink"/>
          </w:rPr>
          <w:t xml:space="preserve">[5]</w:t>
        </w:r>
      </w:hyperlink>
      <w:r>
        <w:t xml:space="preserve"> </w:t>
      </w:r>
      <w:hyperlink w:anchor="ref-22">
        <w:r>
          <w:rPr>
            <w:rStyle w:val="Hyperlink"/>
          </w:rPr>
          <w:t xml:space="preserve">[22]</w:t>
        </w:r>
      </w:hyperlink>
      <w:r>
        <w:t xml:space="preserve">. The split earns its place here by driving home that procurement structure is no free policy dial but a mirror of an agency’s underlying strategic stance toward a mission class. Paravano, Locatelli, and Trucco make the parallel case that value in the New Space economy is set from the end-user’s vantage and that the procurement instrument answers to mission type rather than standing as an independent lever</w:t>
      </w:r>
      <w:r>
        <w:t xml:space="preserve"> </w:t>
      </w:r>
      <w:hyperlink w:anchor="ref-9">
        <w:r>
          <w:rPr>
            <w:rStyle w:val="Hyperlink"/>
          </w:rPr>
          <w:t xml:space="preserve">[9]</w:t>
        </w:r>
      </w:hyperlink>
      <w:r>
        <w:t xml:space="preserve">. Add it up and this governance strand speaks plainly. The instrument bears the risk, the instrument is picked in answer to difficulty, and any analysis bent on isolating the bidder field must hold the instrument fixed while watching for the chance that the instrument has already soaked up the variation in question.</w:t>
      </w:r>
    </w:p>
    <w:bookmarkEnd w:id="69"/>
    <w:bookmarkStart w:id="70" w:name="X79f264fa040116ee9826f08891d15f74f8fd4c2"/>
    <w:p>
      <w:pPr>
        <w:pStyle w:val="Heading3"/>
        <w:spacing w:line="480" w:lineRule="auto"/>
      </w:pPr>
      <w:r>
        <w:t xml:space="preserve">2.2.2 Qualification Risk as an Architecture-Stage Hazard</w:t>
      </w:r>
    </w:p>
    <w:p>
      <w:pPr>
        <w:pStyle w:val="FirstParagraph"/>
        <w:spacing w:line="480" w:lineRule="auto"/>
      </w:pPr>
      <w:r>
        <w:t xml:space="preserve">A second strand puts execution risk earlier than award, back at the architecture and design table. The risk is set before a single bid arrives. Salotti, working through launcher size optimization for a crewed Mars mission, reads cost overruns from qualification issues as a design-stage hazard an engineer trims through architectural choice rather than through competitive pressure at the award moment</w:t>
      </w:r>
      <w:r>
        <w:t xml:space="preserve"> </w:t>
      </w:r>
      <w:hyperlink w:anchor="ref-2">
        <w:r>
          <w:rPr>
            <w:rStyle w:val="Hyperlink"/>
          </w:rPr>
          <w:t xml:space="preserve">[2]</w:t>
        </w:r>
      </w:hyperlink>
      <w:r>
        <w:t xml:space="preserve">. For the dissertation’s theoretical framing this is a pivotal turn. Much of the spread in execution outcomes, it suggests, is locked in before anyone tallies a bidder, by calls on vehicle sizing, staging, and technical maturity that fix how much qualification risk the program hauls into development. Lock qualification risk in at the architecture stage, and the bidder field at award sits downstream of the dominant risk driver, with scant independent grip on execution outcomes once architecture and instrument have been booked.</w:t>
      </w:r>
    </w:p>
    <w:p>
      <w:pPr>
        <w:pStyle w:val="BodyText"/>
        <w:spacing w:line="480" w:lineRule="auto"/>
        <w:ind w:firstLine="720"/>
      </w:pPr>
      <w:r>
        <w:t xml:space="preserve">Contract-instrument and architecture-stage perspectives dovetail. Between them they sketch a procurement world where two of the three working levers on execution risk, contract type and program architecture, are locked before or at award and move with the mission’s built-in difficulty. That leaves the third candidate lever, the competitive field, as the one practitioners tout most loudly and the domain literature has probed least carefully. Flexible-design and real-options scholarship drives home that early architectural calls govern later execution slack: Ikeya, Cardin, Cilliers, Starr, and Hadler, in their multi-objective treatment of oxygen-production facility design under lunar uncertainty, demonstrate that flexibility engineered on purpose at the design stage changes, and changes materially, how a program soaks up later shocks</w:t>
      </w:r>
      <w:r>
        <w:t xml:space="preserve"> </w:t>
      </w:r>
      <w:hyperlink w:anchor="ref-26">
        <w:r>
          <w:rPr>
            <w:rStyle w:val="Hyperlink"/>
          </w:rPr>
          <w:t xml:space="preserve">[26]</w:t>
        </w:r>
      </w:hyperlink>
      <w:r>
        <w:t xml:space="preserve">. Competitive intensity at award, read this way, is one input among a handful, and hardly the obvious front-runner.</w:t>
      </w:r>
    </w:p>
    <w:bookmarkEnd w:id="70"/>
    <w:bookmarkStart w:id="71" w:name="X3b65da019af4db825167ba080f520bcc2b5a584"/>
    <w:p>
      <w:pPr>
        <w:pStyle w:val="Heading3"/>
        <w:spacing w:line="480" w:lineRule="auto"/>
      </w:pPr>
      <w:r>
        <w:t xml:space="preserve">2.2.3 The Practitioner Theorem and Its Absent Test</w:t>
      </w:r>
    </w:p>
    <w:p>
      <w:pPr>
        <w:pStyle w:val="FirstParagraph"/>
        <w:spacing w:line="480" w:lineRule="auto"/>
      </w:pPr>
      <w:r>
        <w:t xml:space="preserve">Practitioner doctrine that competition disciplines cost and schedule threads through the policy-facing side of the domain literature, showing itself most plainly when the New Space transition is billed as a competition-driven reform. Denis, Alary, Pasco, Pisot, Texier, and Toulza, chronicling how the commercial space dream turns real, read the move from new space to big space as a shift powered partly by competitive entry and by a remaking of who can bid with credibility</w:t>
      </w:r>
      <w:r>
        <w:t xml:space="preserve"> </w:t>
      </w:r>
      <w:hyperlink w:anchor="ref-4">
        <w:r>
          <w:rPr>
            <w:rStyle w:val="Hyperlink"/>
          </w:rPr>
          <w:t xml:space="preserve">[4]</w:t>
        </w:r>
      </w:hyperlink>
      <w:r>
        <w:t xml:space="preserve"> </w:t>
      </w:r>
      <w:hyperlink w:anchor="ref-27">
        <w:r>
          <w:rPr>
            <w:rStyle w:val="Hyperlink"/>
          </w:rPr>
          <w:t xml:space="preserve">[27]</w:t>
        </w:r>
      </w:hyperlink>
      <w:r>
        <w:t xml:space="preserve">. The stock illustration is Commercial Crew: an openly competed, firm-fixed-price down-select paraded as proof that competition brings the execution discipline directed cost-plus incumbency withheld</w:t>
      </w:r>
      <w:r>
        <w:t xml:space="preserve"> </w:t>
      </w:r>
      <w:hyperlink w:anchor="ref-8">
        <w:r>
          <w:rPr>
            <w:rStyle w:val="Hyperlink"/>
          </w:rPr>
          <w:t xml:space="preserve">[8]</w:t>
        </w:r>
      </w:hyperlink>
      <w:r>
        <w:t xml:space="preserve">. That, though, is a story, not an estimate. Narrative case is how the domain literature serves it up. Commercial Crew is one competed award with a documented field, not a sample across which the partial association between bidder count and execution outcome has been estimated with confounds nailed down.</w:t>
      </w:r>
    </w:p>
    <w:p>
      <w:pPr>
        <w:pStyle w:val="BodyText"/>
        <w:spacing w:line="480" w:lineRule="auto"/>
        <w:ind w:firstLine="720"/>
      </w:pPr>
      <w:r>
        <w:t xml:space="preserve">Right here is where the domain literature declines to test its own central claim. Three propositions the corpus lands with fair confidence: contract type is an execution-risk instrument put to work against overruns</w:t>
      </w:r>
      <w:r>
        <w:t xml:space="preserve"> </w:t>
      </w:r>
      <w:hyperlink w:anchor="ref-1">
        <w:r>
          <w:rPr>
            <w:rStyle w:val="Hyperlink"/>
          </w:rPr>
          <w:t xml:space="preserve">[1]</w:t>
        </w:r>
      </w:hyperlink>
      <w:r>
        <w:t xml:space="preserve">; the procurement regime is mid-transition and sets who bids and on what terms</w:t>
      </w:r>
      <w:r>
        <w:t xml:space="preserve"> </w:t>
      </w:r>
      <w:hyperlink w:anchor="ref-1">
        <w:r>
          <w:rPr>
            <w:rStyle w:val="Hyperlink"/>
          </w:rPr>
          <w:t xml:space="preserve">[1]</w:t>
        </w:r>
      </w:hyperlink>
      <w:r>
        <w:t xml:space="preserve"> </w:t>
      </w:r>
      <w:hyperlink w:anchor="ref-4">
        <w:r>
          <w:rPr>
            <w:rStyle w:val="Hyperlink"/>
          </w:rPr>
          <w:t xml:space="preserve">[4]</w:t>
        </w:r>
      </w:hyperlink>
      <w:r>
        <w:t xml:space="preserve">; qualification risk is largely fixed at the architecture stage</w:t>
      </w:r>
      <w:r>
        <w:t xml:space="preserve"> </w:t>
      </w:r>
      <w:hyperlink w:anchor="ref-2">
        <w:r>
          <w:rPr>
            <w:rStyle w:val="Hyperlink"/>
          </w:rPr>
          <w:t xml:space="preserve">[2]</w:t>
        </w:r>
      </w:hyperlink>
      <w:r>
        <w:t xml:space="preserve">. The fourth, the one practitioners bank on hardest, goes untouched: that with instrument and architecture held fixed, the count of responsive bidders forecasts execution outcomes on its own. Toward this claim the domain literature keeps gesturing and it tests nowhere. The silence is no quirk of any single author. It is baked into a literature whose methods run qualitative, case-based, and mechanism-minded rather than estimative.</w:t>
      </w:r>
    </w:p>
    <w:bookmarkEnd w:id="71"/>
    <w:bookmarkEnd w:id="72"/>
    <w:bookmarkStart w:id="76" w:name="Xc79d65b1ff5fbb98bc69bd7634660a210b0c309"/>
    <w:p>
      <w:pPr>
        <w:pStyle w:val="Heading2"/>
        <w:spacing w:line="480" w:lineRule="auto"/>
      </w:pPr>
      <w:r>
        <w:t xml:space="preserve">2.3 Competition and Market Structure in the Space Sector</w:t>
      </w:r>
    </w:p>
    <w:bookmarkStart w:id="73" w:name="X36bd11102e36286faa1715dced6e1082f62170f"/>
    <w:p>
      <w:pPr>
        <w:pStyle w:val="Heading3"/>
        <w:spacing w:line="480" w:lineRule="auto"/>
      </w:pPr>
      <w:r>
        <w:t xml:space="preserve">2.3.1 Competition as a Market-Structure Condition</w:t>
      </w:r>
    </w:p>
    <w:p>
      <w:pPr>
        <w:pStyle w:val="FirstParagraph"/>
        <w:spacing w:line="480" w:lineRule="auto"/>
      </w:pPr>
      <w:r>
        <w:t xml:space="preserve">Competition earns plenty of attention in the space-domain literature, just at a grain that never touches the program-execution question. Across the Earth-observation studies, competition turns up as a market-structure condition unsettling and reshaping the sector, not as a dial an agency spins program by program. Denis, Claverie, Pasco, Darnis, de Maupeou, Lafaye, and Morel, in their scenario analysis of possible disruptions in Earth observation, register that competitive procedures and public competitive contracts can, by themselves, become showstoppers for tailor-made systems, where the supplier field runs thin by necessity</w:t>
      </w:r>
      <w:r>
        <w:t xml:space="preserve"> </w:t>
      </w:r>
      <w:hyperlink w:anchor="ref-3">
        <w:r>
          <w:rPr>
            <w:rStyle w:val="Hyperlink"/>
          </w:rPr>
          <w:t xml:space="preserve">[3]</w:t>
        </w:r>
      </w:hyperlink>
      <w:r>
        <w:t xml:space="preserve">. There the practitioner theorem stands on its head. In the tailor-made segment competition works as an obstacle rather than a discipline, since the machinery of public competitive procurement fits poorly a market where only a few suppliers can deliver with credibility. That same literature logs the steady worldwide rise of market competition in Earth observation as a structural feature of the sector, not an instrument dialed in at the program level</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Giannopapa, Staveris-Poykalas, and Metallinos read the new space race in the same key, as a structural condition that opens the way to sustainable digital transformation and hands newcomers real benefits, casting competitive entry as a macro-level force redrawing the sector rather than a program-level execution variable</w:t>
      </w:r>
      <w:r>
        <w:t xml:space="preserve"> </w:t>
      </w:r>
      <w:hyperlink w:anchor="ref-21">
        <w:r>
          <w:rPr>
            <w:rStyle w:val="Hyperlink"/>
          </w:rPr>
          <w:t xml:space="preserve">[21]</w:t>
        </w:r>
      </w:hyperlink>
      <w:r>
        <w:t xml:space="preserve">. Through these market-structure treatments one message holds: competition in the space sector sits most comfortably as a property of the market, measured over years and segments, not as a covariate bolted to a single program’s source selection. That is a mismatch of level with the practitioner theorem, which speaks to individual program execution conditional on the field that bid that program’s prime contract.</w:t>
      </w:r>
    </w:p>
    <w:bookmarkEnd w:id="73"/>
    <w:bookmarkStart w:id="74" w:name="Xa316b7c581173ae4afca181fde0af5ffde910c9"/>
    <w:p>
      <w:pPr>
        <w:pStyle w:val="Heading3"/>
        <w:spacing w:line="480" w:lineRule="auto"/>
      </w:pPr>
      <w:r>
        <w:t xml:space="preserve">2.3.2 Competition at the Operator and Constellation Level</w:t>
      </w:r>
    </w:p>
    <w:p>
      <w:pPr>
        <w:pStyle w:val="FirstParagraph"/>
        <w:spacing w:line="480" w:lineRule="auto"/>
      </w:pPr>
      <w:r>
        <w:t xml:space="preserve">Another strand carries the analysis of competition up to constellation operators and aggregate welfare. Guyot, Rao, and Rouillon prove, inside a formal economic model, that oligopoly competition among satellite constellations will pull down the economic welfare drawn from orbit use</w:t>
      </w:r>
      <w:r>
        <w:t xml:space="preserve"> </w:t>
      </w:r>
      <w:hyperlink w:anchor="ref-6">
        <w:r>
          <w:rPr>
            <w:rStyle w:val="Hyperlink"/>
          </w:rPr>
          <w:t xml:space="preserve">[6]</w:t>
        </w:r>
      </w:hyperlink>
      <w:r>
        <w:t xml:space="preserve">. Rigorous and quantitative, yes, and its estimand is welfare from a common-pool orbital resource under operator competition, not how an individual procured program performs. Young and Thadani cast low-orbit broadband along the same lines, treating the LEO broadband contest as strategic competition among operators and nations with market position on the line</w:t>
      </w:r>
      <w:r>
        <w:t xml:space="preserve"> </w:t>
      </w:r>
      <w:hyperlink w:anchor="ref-13">
        <w:r>
          <w:rPr>
            <w:rStyle w:val="Hyperlink"/>
          </w:rPr>
          <w:t xml:space="preserve">[13]</w:t>
        </w:r>
      </w:hyperlink>
      <w:r>
        <w:t xml:space="preserve">, once more at the grain of the operator and the market rather than the procured program.</w:t>
      </w:r>
    </w:p>
    <w:p>
      <w:pPr>
        <w:pStyle w:val="BodyText"/>
        <w:spacing w:line="480" w:lineRule="auto"/>
        <w:ind w:firstLine="720"/>
      </w:pPr>
      <w:r>
        <w:t xml:space="preserve">Sitting nearby, and apart, is the regulatory and legal-competition literature. Simon reads competitive intensity in NewSpace as an emergent governance condition stirring regulatory concern rather than a program-level lever</w:t>
      </w:r>
      <w:r>
        <w:t xml:space="preserve"> </w:t>
      </w:r>
      <w:hyperlink w:anchor="ref-11">
        <w:r>
          <w:rPr>
            <w:rStyle w:val="Hyperlink"/>
          </w:rPr>
          <w:t xml:space="preserve">[11]</w:t>
        </w:r>
      </w:hyperlink>
      <w:r>
        <w:t xml:space="preserve">. Lucas-Rhimbassen and Rapp build a competitive space foresight that would incentivize compliance through antitrust mechanisms, handling competition as an object of governance design</w:t>
      </w:r>
      <w:r>
        <w:t xml:space="preserve"> </w:t>
      </w:r>
      <w:hyperlink w:anchor="ref-23">
        <w:r>
          <w:rPr>
            <w:rStyle w:val="Hyperlink"/>
          </w:rPr>
          <w:t xml:space="preserve">[23]</w:t>
        </w:r>
      </w:hyperlink>
      <w:r>
        <w:t xml:space="preserve">. Goehring’s</w:t>
      </w:r>
      <w:r>
        <w:t xml:space="preserve"> </w:t>
      </w:r>
      <w:r>
        <w:t xml:space="preserve">“Rule of Three”</w:t>
      </w:r>
      <w:r>
        <w:t xml:space="preserve"> </w:t>
      </w:r>
      <w:r>
        <w:t xml:space="preserve">analysis of U.S. commercial space regulation takes up the regulatory shaping of competitive markets</w:t>
      </w:r>
      <w:r>
        <w:t xml:space="preserve"> </w:t>
      </w:r>
      <w:hyperlink w:anchor="ref-14">
        <w:r>
          <w:rPr>
            <w:rStyle w:val="Hyperlink"/>
          </w:rPr>
          <w:t xml:space="preserve">[14]</w:t>
        </w:r>
      </w:hyperlink>
      <w:r>
        <w:t xml:space="preserve">. Useful as these are for grasping how competition is governed, not one isolates the program-level execution question of whether the bidder field forecasts cost or schedule outcomes. Economics-of-industry work, Metzger on in-space industry competitiveness and lunar-derived propellant and Entrena Utrilla on the emerging cislunar economy among it, likewise treats competition as a driver of industrial viability and market emergence rather than a covariate on procured-program execution</w:t>
      </w:r>
      <w:r>
        <w:t xml:space="preserve"> </w:t>
      </w:r>
      <w:hyperlink w:anchor="ref-24">
        <w:r>
          <w:rPr>
            <w:rStyle w:val="Hyperlink"/>
          </w:rPr>
          <w:t xml:space="preserve">[24]</w:t>
        </w:r>
      </w:hyperlink>
      <w:r>
        <w:t xml:space="preserve"> </w:t>
      </w:r>
      <w:hyperlink w:anchor="ref-25">
        <w:r>
          <w:rPr>
            <w:rStyle w:val="Hyperlink"/>
          </w:rPr>
          <w:t xml:space="preserve">[25]</w:t>
        </w:r>
      </w:hyperlink>
      <w:r>
        <w:t xml:space="preserve">.</w:t>
      </w:r>
    </w:p>
    <w:bookmarkEnd w:id="74"/>
    <w:bookmarkStart w:id="75" w:name="the-common-limitation"/>
    <w:p>
      <w:pPr>
        <w:pStyle w:val="Heading3"/>
        <w:spacing w:line="480" w:lineRule="auto"/>
      </w:pPr>
      <w:r>
        <w:t xml:space="preserve">2.3.3 The Common Limitation</w:t>
      </w:r>
    </w:p>
    <w:p>
      <w:pPr>
        <w:pStyle w:val="FirstParagraph"/>
        <w:spacing w:line="480" w:lineRule="auto"/>
      </w:pPr>
      <w:r>
        <w:t xml:space="preserve">Across every one of these treatments, competition is theorized at a level the practitioner theorem does not occupy. It figures as a market-structure condition</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21">
        <w:r>
          <w:rPr>
            <w:rStyle w:val="Hyperlink"/>
          </w:rPr>
          <w:t xml:space="preserve">[21]</w:t>
        </w:r>
      </w:hyperlink>
      <w:r>
        <w:t xml:space="preserve">, an operator-level welfare determinant</w:t>
      </w:r>
      <w:r>
        <w:t xml:space="preserve"> </w:t>
      </w:r>
      <w:hyperlink w:anchor="ref-6">
        <w:r>
          <w:rPr>
            <w:rStyle w:val="Hyperlink"/>
          </w:rPr>
          <w:t xml:space="preserve">[6]</w:t>
        </w:r>
      </w:hyperlink>
      <w:r>
        <w:t xml:space="preserve"> </w:t>
      </w:r>
      <w:hyperlink w:anchor="ref-13">
        <w:r>
          <w:rPr>
            <w:rStyle w:val="Hyperlink"/>
          </w:rPr>
          <w:t xml:space="preserve">[13]</w:t>
        </w:r>
      </w:hyperlink>
      <w:r>
        <w:t xml:space="preserve">, a regulatory and antitrust object</w:t>
      </w:r>
      <w:r>
        <w:t xml:space="preserve"> </w:t>
      </w:r>
      <w:hyperlink w:anchor="ref-11">
        <w:r>
          <w:rPr>
            <w:rStyle w:val="Hyperlink"/>
          </w:rPr>
          <w:t xml:space="preserve">[11]</w:t>
        </w:r>
      </w:hyperlink>
      <w:r>
        <w:t xml:space="preserve"> </w:t>
      </w:r>
      <w:hyperlink w:anchor="ref-14">
        <w:r>
          <w:rPr>
            <w:rStyle w:val="Hyperlink"/>
          </w:rPr>
          <w:t xml:space="preserve">[14]</w:t>
        </w:r>
      </w:hyperlink>
      <w:r>
        <w:t xml:space="preserve"> </w:t>
      </w:r>
      <w:hyperlink w:anchor="ref-23">
        <w:r>
          <w:rPr>
            <w:rStyle w:val="Hyperlink"/>
          </w:rPr>
          <w:t xml:space="preserve">[23]</w:t>
        </w:r>
      </w:hyperlink>
      <w:r>
        <w:t xml:space="preserve">, or an industrial-viability factor</w:t>
      </w:r>
      <w:r>
        <w:t xml:space="preserve"> </w:t>
      </w:r>
      <w:hyperlink w:anchor="ref-24">
        <w:r>
          <w:rPr>
            <w:rStyle w:val="Hyperlink"/>
          </w:rPr>
          <w:t xml:space="preserve">[24]</w:t>
        </w:r>
      </w:hyperlink>
      <w:r>
        <w:t xml:space="preserve"> </w:t>
      </w:r>
      <w:hyperlink w:anchor="ref-25">
        <w:r>
          <w:rPr>
            <w:rStyle w:val="Hyperlink"/>
          </w:rPr>
          <w:t xml:space="preserve">[25]</w:t>
        </w:r>
      </w:hyperlink>
      <w:r>
        <w:t xml:space="preserve">. Not one pins the program-level execution question with contract type and program scale carried as covariates instead of dumped in the error term. So the domain literature stockpiles scholarship on competition in space and hoards almost none on whether bidder count, confounds held fixed, forecasts how a major space program executes. That is the domain-side gap. Ignored competition has not been; the particular predictive claim of the practitioner theorem has simply never been worked up into a controlled estimate at the level the claim inhabits.</w:t>
      </w:r>
    </w:p>
    <w:bookmarkEnd w:id="75"/>
    <w:bookmarkEnd w:id="76"/>
    <w:bookmarkStart w:id="81" w:name="X07fe73e594277fc276c6392b9242153367417e1"/>
    <w:p>
      <w:pPr>
        <w:pStyle w:val="Heading2"/>
        <w:spacing w:line="480" w:lineRule="auto"/>
      </w:pPr>
      <w:r>
        <w:t xml:space="preserve">2.4 The Cliometric and Econometric Methodology Literature</w:t>
      </w:r>
    </w:p>
    <w:bookmarkStart w:id="77" w:name="the-cliometric-posture"/>
    <w:p>
      <w:pPr>
        <w:pStyle w:val="Heading3"/>
        <w:spacing w:line="480" w:lineRule="auto"/>
      </w:pPr>
      <w:r>
        <w:t xml:space="preserve">2.4.1 The Cliometric Posture</w:t>
      </w:r>
    </w:p>
    <w:p>
      <w:pPr>
        <w:pStyle w:val="FirstParagraph"/>
        <w:spacing w:line="480" w:lineRule="auto"/>
      </w:pPr>
      <w:r>
        <w:t xml:space="preserve">Methodological rather than substantive is the second literature the dissertation leans on. Tools it hands over, not facts. Read broadly, the cliometric tradition is the practice of taking a defended historical or institutional claim, putting it to a falsifiable quantitative test against an obtainable dataset, modeling the confounds out loud, and reporting the uncertainty straight. Its posture rests less on any one canonical text than on a cluster of commitments: that a confident practitioner or institutional claim is a hypothesis, not a fact already settled; that the test’s job is a specification able to fail to confirm the claim; and that a study earns part of its worth from what it rules out. Exactly this posture the domain literature lacks and the dissertation brings. Its two empirical papers are put together as cliometric tests through and through: each lifts the practitioner theorem, casts it as a falsifiable alternative against a null of zero partial association, and sets it against federal procurement and program data.</w:t>
      </w:r>
    </w:p>
    <w:p>
      <w:pPr>
        <w:pStyle w:val="BodyText"/>
        <w:spacing w:line="480" w:lineRule="auto"/>
        <w:ind w:firstLine="720"/>
      </w:pPr>
      <w:r>
        <w:t xml:space="preserve">What disciplines the posture is a readiness to name a null the design can genuinely fail to reject. In the cost paper the null says that, with contract type and program scale fixed, the count of responsive bidders bears zero partial association with normalized program cost growth; the alternative, the practitioner claim, is a negative and significant coefficient. In the schedule paper the null says that, with instrument and scale fixed, the competing-offer count carries a hazard ratio of one for schedule-baseline breach; the alternative is a hazard ratio under one. The governance literature offers a coherent mechanism, contract-type substitution paired with selection on mission difficulty, that would keep the null intact even where the raw correlation seems to reward the practitioner claim</w:t>
      </w:r>
      <w:r>
        <w:t xml:space="preserve"> </w:t>
      </w:r>
      <w:hyperlink w:anchor="ref-1">
        <w:r>
          <w:rPr>
            <w:rStyle w:val="Hyperlink"/>
          </w:rPr>
          <w:t xml:space="preserve">[1]</w:t>
        </w:r>
      </w:hyperlink>
      <w:r>
        <w:t xml:space="preserve">. Prising that selection mechanism apart from the disciplining mechanism the practitioner asserts is the whole reason the cliometric design exists.</w:t>
      </w:r>
    </w:p>
    <w:bookmarkEnd w:id="77"/>
    <w:bookmarkStart w:id="78" w:name="Xcf2030d616c5ed3afa760dc787bd0c6f8ac60c1"/>
    <w:p>
      <w:pPr>
        <w:pStyle w:val="Heading3"/>
        <w:spacing w:line="480" w:lineRule="auto"/>
      </w:pPr>
      <w:r>
        <w:t xml:space="preserve">2.4.2 Confounding, Selection, and Conditional Independence</w:t>
      </w:r>
    </w:p>
    <w:p>
      <w:pPr>
        <w:pStyle w:val="FirstParagraph"/>
        <w:spacing w:line="480" w:lineRule="auto"/>
      </w:pPr>
      <w:r>
        <w:t xml:space="preserve">At the econometric heart of the design sits confounding under non-random assignment. The governance literature has all but warned us that bidder count arrives at no program by chance: agencies grow larger competed fields for the mature, commoditized mission classes and keep directed single-source instruments back for the novel flagships</w:t>
      </w:r>
      <w:r>
        <w:t xml:space="preserve"> </w:t>
      </w:r>
      <w:hyperlink w:anchor="ref-1">
        <w:r>
          <w:rPr>
            <w:rStyle w:val="Hyperlink"/>
          </w:rPr>
          <w:t xml:space="preserve">[1]</w:t>
        </w:r>
      </w:hyperlink>
      <w:r>
        <w:t xml:space="preserve"> </w:t>
      </w:r>
      <w:hyperlink w:anchor="ref-4">
        <w:r>
          <w:rPr>
            <w:rStyle w:val="Hyperlink"/>
          </w:rPr>
          <w:t xml:space="preserve">[4]</w:t>
        </w:r>
      </w:hyperlink>
      <w:r>
        <w:t xml:space="preserve">. That is a textbook selection-on-observables-and-unobservables problem. The methodological answer is to load the observed confounds, contract type and program scale, in as covariates, and to hang identification on a conditional-independence assumption: that inside a contract-type stratum and a scale band, whether a program draws a larger or smaller bidder field is unconfounded with execution difficulty the analyst never sees. The cliometric tradition is candid to an unusual degree about how much that assumption demands, and the dissertation matches it, reporting the bidder-count coefficient as a partial association under a stated conditional-independence assumption rather than as an identified causal effect.</w:t>
      </w:r>
    </w:p>
    <w:p>
      <w:pPr>
        <w:pStyle w:val="BodyText"/>
        <w:spacing w:line="480" w:lineRule="auto"/>
        <w:ind w:firstLine="720"/>
      </w:pPr>
      <w:r>
        <w:t xml:space="preserve">Supporting analyses that press on the assumption also come from the methodology literature. A contract-type-stratified estimation prints the bidder-count coefficient apart for cost-plus and fixed-price strata, since the governance mechanism expects the instrument to swallow it</w:t>
      </w:r>
      <w:r>
        <w:t xml:space="preserve"> </w:t>
      </w:r>
      <w:hyperlink w:anchor="ref-1">
        <w:r>
          <w:rPr>
            <w:rStyle w:val="Hyperlink"/>
          </w:rPr>
          <w:t xml:space="preserve">[1]</w:t>
        </w:r>
      </w:hyperlink>
      <w:r>
        <w:t xml:space="preserve">. A placebo specification regresses bidder count on pre-award program characteristics to catch the selection channel by which agencies grow larger fields for the softer programs; let pre-award characteristics forecast bidder count and the conditional-independence assumption cracks, so the estimate is reported as descriptive only. Standard moves in the cliometric toolkit, both, and having them in the design is what parts a controlled test from the narrative case studies crowding the domain literature.</w:t>
      </w:r>
    </w:p>
    <w:bookmarkEnd w:id="78"/>
    <w:bookmarkStart w:id="79" w:name="X0faefa1d4c4bb256835d42f96638f69d93f5858"/>
    <w:p>
      <w:pPr>
        <w:pStyle w:val="Heading3"/>
        <w:spacing w:line="480" w:lineRule="auto"/>
      </w:pPr>
      <w:r>
        <w:t xml:space="preserve">2.4.3 Estimators: Ordinary Least Squares and Proportional Hazards</w:t>
      </w:r>
    </w:p>
    <w:p>
      <w:pPr>
        <w:pStyle w:val="FirstParagraph"/>
        <w:spacing w:line="480" w:lineRule="auto"/>
      </w:pPr>
      <w:r>
        <w:t xml:space="preserve">Two estimators, keyed to the two outcome structures the dissertation studies, arrive from the methodology literature. For cost growth, a continuous percentage, the right first model is ordinary least squares with heteroskedasticity-robust standard errors, clustered where the sampling structure calls for it. OLS wins the slot because the hypothesis turns on the sign and size of a partial association with contract type and scale fixed, and the robust standard errors shield against the lopsided error variance you expect when a few flagship overruns sit among many near-baseline missions. Parsimony is a methodological commitment in its own right here: on a small sample an overfit model would fabricate significance, so the design keeps the regressor set to bidder count, a contract-type indicator, and a scale control.</w:t>
      </w:r>
    </w:p>
    <w:p>
      <w:pPr>
        <w:pStyle w:val="BodyText"/>
        <w:spacing w:line="480" w:lineRule="auto"/>
        <w:ind w:firstLine="720"/>
      </w:pPr>
      <w:r>
        <w:t xml:space="preserve">For the schedule outcome, the methodology literature steers the analyst off a binary or continuous treatment and onto a time-to-event formulation. No program merely arrives at a final schedule outcome; it survives, or fails to survive, a planned development span in which a schedule-baseline breach can strike at any point. The Cox proportional-hazards model, fit by partial likelihood, is the right instrument because it draws on the full timing information in the planned span and takes in right-censored programs, the ones that launched on or before baseline, without forcing a parametric shape on the baseline hazard. Its estimand is the hazard ratio on the competing-offer count with instrument and scale fixed; a ratio over one speeds the rate of breach, a ratio under one slows it. Picking a survival estimator over a cross-sectional one is the methodological acknowledgment that the practitioner theorem is, in the end, a claim about a survival process: more offerors are meant to lower the rate at which a program slips its committed launch readiness date. Run that claim through the wrong estimator and you mis-specify the exact mechanism under dispute.</w:t>
      </w:r>
    </w:p>
    <w:bookmarkEnd w:id="79"/>
    <w:bookmarkStart w:id="80" w:name="X241edc0849b99a0bff83684f976a0904a2b0e75"/>
    <w:p>
      <w:pPr>
        <w:pStyle w:val="Heading3"/>
        <w:spacing w:line="480" w:lineRule="auto"/>
      </w:pPr>
      <w:r>
        <w:t xml:space="preserve">2.4.4 Honest Uncertainty and the Value of a Null</w:t>
      </w:r>
    </w:p>
    <w:p>
      <w:pPr>
        <w:pStyle w:val="FirstParagraph"/>
        <w:spacing w:line="480" w:lineRule="auto"/>
      </w:pPr>
      <w:r>
        <w:t xml:space="preserve">One defining commitment of the cliometric posture is to read a null result as informative, not as a letdown. Where the cost paper finds the bidder-count coefficient indistinguishable from zero and, if anything, tilted the wrong way, the methodological reading is not failure but the foreclosure of a confident practitioner claim. Where the schedule paper finds a hazard ratio over one, a signed reversal of the practitioner alternative, the cliometric reading is that the data declined the theorem and that the declining is itself the finding. The methodology literature presses just as hard on bounding the claim: small samples throw off wide confidence intervals and thin power, endogenous instruments block causal identification, and external validity stops at the sampled population. The dissertation takes on these strictures whole, reporting the coefficients as suggestive partial associations under a strong assumption and confining the findings to U.S. federal civil and national-security space execution rather than to the New Space commercial models whose governance is mid-transition</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r>
        <w:t xml:space="preserve">or to the constellation-operator competition whose welfare effects are estimated elsewhere</w:t>
      </w:r>
      <w:r>
        <w:t xml:space="preserve"> </w:t>
      </w:r>
      <w:hyperlink w:anchor="ref-6">
        <w:r>
          <w:rPr>
            <w:rStyle w:val="Hyperlink"/>
          </w:rPr>
          <w:t xml:space="preserve">[6]</w:t>
        </w:r>
      </w:hyperlink>
      <w:r>
        <w:t xml:space="preserve">.</w:t>
      </w:r>
    </w:p>
    <w:bookmarkEnd w:id="80"/>
    <w:bookmarkEnd w:id="81"/>
    <w:bookmarkStart w:id="82" w:name="X3505df4fce25c9fa8f04794b2070a91cc103afc"/>
    <w:p>
      <w:pPr>
        <w:pStyle w:val="Heading2"/>
        <w:spacing w:line="480" w:lineRule="auto"/>
      </w:pPr>
      <w:r>
        <w:t xml:space="preserve">2.5 The Empirical Record of Space-Program Cost and Schedule Growth</w:t>
      </w:r>
    </w:p>
    <w:p>
      <w:pPr>
        <w:pStyle w:val="FirstParagraph"/>
        <w:spacing w:line="480" w:lineRule="auto"/>
      </w:pPr>
      <w:r>
        <w:t xml:space="preserve">Third of what the literature supplies is the outcome data itself. The most authoritative source here is not the academic corpus but the audit record. For more than a decade the U.S. Government Accountability Office has followed the development cost and schedule performance of NASA’s major-project portfolio, printing per-project cost-growth figures against confirmed baselines</w:t>
      </w:r>
      <w:r>
        <w:t xml:space="preserve"> </w:t>
      </w:r>
      <w:hyperlink w:anchor="ref-7">
        <w:r>
          <w:rPr>
            <w:rStyle w:val="Hyperlink"/>
          </w:rPr>
          <w:t xml:space="preserve">[7]</w:t>
        </w:r>
      </w:hyperlink>
      <w:r>
        <w:t xml:space="preserve"> </w:t>
      </w:r>
      <w:hyperlink w:anchor="ref-10">
        <w:r>
          <w:rPr>
            <w:rStyle w:val="Hyperlink"/>
          </w:rPr>
          <w:t xml:space="preserve">[10]</w:t>
        </w:r>
      </w:hyperlink>
      <w:r>
        <w:t xml:space="preserve">. Portfolio cost overruns of substantial magnitude turned up in the 2024 assessment, and the assessment series shows a few flagship missions, the Space Launch System, the original James Webb baseline, and Mars Sample Return, taking a lopsided share of the portfolio’s overrun</w:t>
      </w:r>
      <w:r>
        <w:t xml:space="preserve"> </w:t>
      </w:r>
      <w:hyperlink w:anchor="ref-7">
        <w:r>
          <w:rPr>
            <w:rStyle w:val="Hyperlink"/>
          </w:rPr>
          <w:t xml:space="preserve">[7]</w:t>
        </w:r>
      </w:hyperlink>
      <w:r>
        <w:t xml:space="preserve"> </w:t>
      </w:r>
      <w:hyperlink w:anchor="ref-10">
        <w:r>
          <w:rPr>
            <w:rStyle w:val="Hyperlink"/>
          </w:rPr>
          <w:t xml:space="preserve">[10]</w:t>
        </w:r>
      </w:hyperlink>
      <w:r>
        <w:t xml:space="preserve">. This audit record anchors the dissertation’s cost-side outcome variable, and its provenance stays fully public and reproducible.</w:t>
      </w:r>
    </w:p>
    <w:p>
      <w:pPr>
        <w:pStyle w:val="BodyText"/>
        <w:spacing w:line="480" w:lineRule="auto"/>
        <w:ind w:firstLine="720"/>
      </w:pPr>
      <w:r>
        <w:t xml:space="preserve">Carried in the audit record is a substantive lesson the dissertation’s findings end up confirming: program scale, gauged by baseline life-cycle cost, ties to cost growth more tightly than anything else. Biggest flagship missions, biggest overrun contributors</w:t>
      </w:r>
      <w:r>
        <w:t xml:space="preserve"> </w:t>
      </w:r>
      <w:hyperlink w:anchor="ref-7">
        <w:r>
          <w:rPr>
            <w:rStyle w:val="Hyperlink"/>
          </w:rPr>
          <w:t xml:space="preserve">[7]</w:t>
        </w:r>
      </w:hyperlink>
      <w:r>
        <w:t xml:space="preserve"> </w:t>
      </w:r>
      <w:hyperlink w:anchor="ref-10">
        <w:r>
          <w:rPr>
            <w:rStyle w:val="Hyperlink"/>
          </w:rPr>
          <w:t xml:space="preserve">[10]</w:t>
        </w:r>
      </w:hyperlink>
      <w:r>
        <w:t xml:space="preserve">, a pattern that squares with the architecture-stage qualification-risk argument out of the domain literature</w:t>
      </w:r>
      <w:r>
        <w:t xml:space="preserve"> </w:t>
      </w:r>
      <w:hyperlink w:anchor="ref-2">
        <w:r>
          <w:rPr>
            <w:rStyle w:val="Hyperlink"/>
          </w:rPr>
          <w:t xml:space="preserve">[2]</w:t>
        </w:r>
      </w:hyperlink>
      <w:r>
        <w:t xml:space="preserve">. That the audit record and the governance literature converge here matters. It points to mission difficulty, stood in for by scale, as the ruling driver of execution outcomes, with the bidder field a secondary and perhaps epiphenomenal correlate at best. The Commercial Crew records and the announcement-of-opportunity selection histories yield the bidder-count variable for the competed programs, where the documented field of competing proposals or down-select finalists reads straight off the public record</w:t>
      </w:r>
      <w:r>
        <w:t xml:space="preserve"> </w:t>
      </w:r>
      <w:hyperlink w:anchor="ref-8">
        <w:r>
          <w:rPr>
            <w:rStyle w:val="Hyperlink"/>
          </w:rPr>
          <w:t xml:space="preserve">[8]</w:t>
        </w:r>
      </w:hyperlink>
      <w:r>
        <w:t xml:space="preserve">.</w:t>
      </w:r>
    </w:p>
    <w:p>
      <w:pPr>
        <w:pStyle w:val="BodyText"/>
        <w:spacing w:line="480" w:lineRule="auto"/>
        <w:ind w:firstLine="720"/>
      </w:pPr>
      <w:r>
        <w:t xml:space="preserve">Measurement hazard is hardly missing from the empirical record, and the methodology literature demands these hazards be named. The offers-received field in federal procurement data carries known limits, among them under-recording on certain action types and a blurring of responsive with non-responsive offers; confining the sample to competitively solicited major space actions softens this without erasing it. Where the audit series prints a relative cost change in place of a plain percentage, extra reconciliation from inspector-general audits and program records is called for, and a thin share of cells has to wear the illustrative flag where a precise public figure genuinely cannot be had. The dissertation meets these hazards the cliometric way: by naming them, by holding the illustrative share under an admissible threshold, by fixing a documented source to every row, and by running sensitivity analyses that drop the implausible observations.</w:t>
      </w:r>
    </w:p>
    <w:bookmarkEnd w:id="82"/>
    <w:bookmarkStart w:id="83" w:name="X7f5143293c04f6962750cc1fb4ad4ec4921a123"/>
    <w:p>
      <w:pPr>
        <w:pStyle w:val="Heading2"/>
        <w:spacing w:line="480" w:lineRule="auto"/>
      </w:pPr>
      <w:r>
        <w:t xml:space="preserve">2.6 Synthesis: The Unjoined Literatures and the Gap</w:t>
      </w:r>
    </w:p>
    <w:p>
      <w:pPr>
        <w:pStyle w:val="FirstParagraph"/>
        <w:spacing w:line="480" w:lineRule="auto"/>
      </w:pPr>
      <w:r>
        <w:t xml:space="preserve">Both literatures reviewed here are mature on their own and cut off from each other. Each stands strong alone. The domain technical and governance literature delivers a sophisticated account of mechanism. It settles that contract type is the working execution-risk instrument, chosen to absorb overrun risk</w:t>
      </w:r>
      <w:r>
        <w:t xml:space="preserve"> </w:t>
      </w:r>
      <w:hyperlink w:anchor="ref-1">
        <w:r>
          <w:rPr>
            <w:rStyle w:val="Hyperlink"/>
          </w:rPr>
          <w:t xml:space="preserve">[1]</w:t>
        </w:r>
      </w:hyperlink>
      <w:r>
        <w:t xml:space="preserve">; that the procurement regime is in a selective transition setting who bids on what terms</w:t>
      </w:r>
      <w:r>
        <w:t xml:space="preserve"> </w:t>
      </w:r>
      <w:hyperlink w:anchor="ref-1">
        <w:r>
          <w:rPr>
            <w:rStyle w:val="Hyperlink"/>
          </w:rPr>
          <w:t xml:space="preserve">[1]</w:t>
        </w:r>
      </w:hyperlink>
      <w:r>
        <w:t xml:space="preserve"> </w:t>
      </w:r>
      <w:hyperlink w:anchor="ref-4">
        <w:r>
          <w:rPr>
            <w:rStyle w:val="Hyperlink"/>
          </w:rPr>
          <w:t xml:space="preserve">[4]</w:t>
        </w:r>
      </w:hyperlink>
      <w:r>
        <w:t xml:space="preserve">; that qualification risk is largely fixed at the architecture stage</w:t>
      </w:r>
      <w:r>
        <w:t xml:space="preserve"> </w:t>
      </w:r>
      <w:hyperlink w:anchor="ref-2">
        <w:r>
          <w:rPr>
            <w:rStyle w:val="Hyperlink"/>
          </w:rPr>
          <w:t xml:space="preserve">[2]</w:t>
        </w:r>
      </w:hyperlink>
      <w:r>
        <w:t xml:space="preserve">; and that competition in the space sector reads most naturally as a market-structure, operator-level, or regulatory condition rather than a program-level execution lever</w:t>
      </w:r>
      <w:r>
        <w:t xml:space="preserve"> </w:t>
      </w:r>
      <w:hyperlink w:anchor="ref-3">
        <w:r>
          <w:rPr>
            <w:rStyle w:val="Hyperlink"/>
          </w:rPr>
          <w:t xml:space="preserve">[3]</w:t>
        </w:r>
      </w:hyperlink>
      <w:r>
        <w:t xml:space="preserve"> </w:t>
      </w:r>
      <w:hyperlink w:anchor="ref-6">
        <w:r>
          <w:rPr>
            <w:rStyle w:val="Hyperlink"/>
          </w:rPr>
          <w:t xml:space="preserve">[6]</w:t>
        </w:r>
      </w:hyperlink>
      <w:r>
        <w:t xml:space="preserve"> </w:t>
      </w:r>
      <w:hyperlink w:anchor="ref-11">
        <w:r>
          <w:rPr>
            <w:rStyle w:val="Hyperlink"/>
          </w:rPr>
          <w:t xml:space="preserve">[11]</w:t>
        </w:r>
      </w:hyperlink>
      <w:r>
        <w:t xml:space="preserve"> </w:t>
      </w:r>
      <w:hyperlink w:anchor="ref-21">
        <w:r>
          <w:rPr>
            <w:rStyle w:val="Hyperlink"/>
          </w:rPr>
          <w:t xml:space="preserve">[21]</w:t>
        </w:r>
      </w:hyperlink>
      <w:r>
        <w:t xml:space="preserve"> </w:t>
      </w:r>
      <w:hyperlink w:anchor="ref-23">
        <w:r>
          <w:rPr>
            <w:rStyle w:val="Hyperlink"/>
          </w:rPr>
          <w:t xml:space="preserve">[23]</w:t>
        </w:r>
      </w:hyperlink>
      <w:r>
        <w:t xml:space="preserve">. What it never does is work the practitioner theorem, that bidder count forecasts execution, into a controlled partial-association estimate at the program level. Its methods run qualitative and case-based; it treats the central practitioner claim as narrative, not estimate; and it grants the obvious confound, that competition falls non-randomly to the softer missions, in prose while modeling it nowhere.</w:t>
      </w:r>
    </w:p>
    <w:p>
      <w:pPr>
        <w:pStyle w:val="BodyText"/>
        <w:spacing w:line="480" w:lineRule="auto"/>
        <w:ind w:firstLine="720"/>
      </w:pPr>
      <w:r>
        <w:t xml:space="preserve">The cliometric and econometric methodology literature brings the missing apparatus, and exactly it. It supplies the posture, that a confident claim is a falsifiable hypothesis; the inferential machinery, conditional-independence identification with observed confounds carried as covariates; the matched estimators, OLS for the continuous cost outcome and Cox proportional hazards for the time-to-event schedule outcome; and the discipline of honest uncertainty and informative nulls. What it never does, left to itself, is take up the space-program execution question. It is a toolkit hunting for the substantive claim the domain literature has left untested.</w:t>
      </w:r>
    </w:p>
    <w:p>
      <w:pPr>
        <w:pStyle w:val="BodyText"/>
        <w:spacing w:line="480" w:lineRule="auto"/>
        <w:ind w:firstLine="720"/>
      </w:pPr>
      <w:r>
        <w:t xml:space="preserve">The join is the gap, and it stands empty. No study in either literature has turned out a controlled estimate of how bidder count partially associates with delivered cost-and-schedule performance on major space programs, contract type and program scale carried as covariates rather than abandoned in the error term. The domain literature works competition at the wrong level and never fixes instrument and scale; the methodology literature fixes confounds and has never been aimed at this outcome. So the practitioner theorem stands unfalsified, not for having been confirmed but because nobody has built the test able to fail to confirm it. The governance literature even hands over the alternative mechanism, contract-type substitution paired with selection on mission difficulty, under which the theorem would be false even where the raw correlation seems to prop it up</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This dissertation closes the gap by joining the two literatures directly. It takes the domain literature’s mechanism, that the instrument and the architecture carry the risk while the bidder field is assigned non-randomly to mission class, and it submits that mechanism to the methodology literature’s test, a controlled estimate of the bidder-count coefficient on a normalized cost-growth index and on the hazard of schedule-baseline breach, with contract type and program scale held fixed. The cost paper supplies the cross-sectional level estimate; the schedule paper supplies the timing estimate, recognizing that the practitioner theorem is ultimately a claim about a survival process. Together they constitute the controlled test that neither literature has performed alone.</w:t>
      </w:r>
    </w:p>
    <w:p>
      <w:pPr>
        <w:pStyle w:val="BodyText"/>
        <w:spacing w:line="480" w:lineRule="auto"/>
        <w:ind w:firstLine="720"/>
      </w:pPr>
      <w:r>
        <w:t xml:space="preserve">The remainder of the dissertation develops this join: Chapter 3 specifies the data and provenance chain anchored to the public federal procurement and audit record</w:t>
      </w:r>
      <w:r>
        <w:t xml:space="preserve"> </w:t>
      </w:r>
      <w:hyperlink w:anchor="ref-7">
        <w:r>
          <w:rPr>
            <w:rStyle w:val="Hyperlink"/>
          </w:rPr>
          <w:t xml:space="preserve">[7]</w:t>
        </w:r>
      </w:hyperlink>
      <w:r>
        <w:t xml:space="preserve"> </w:t>
      </w:r>
      <w:hyperlink w:anchor="ref-8">
        <w:r>
          <w:rPr>
            <w:rStyle w:val="Hyperlink"/>
          </w:rPr>
          <w:t xml:space="preserve">[8]</w:t>
        </w:r>
      </w:hyperlink>
      <w:r>
        <w:t xml:space="preserve"> </w:t>
      </w:r>
      <w:hyperlink w:anchor="ref-10">
        <w:r>
          <w:rPr>
            <w:rStyle w:val="Hyperlink"/>
          </w:rPr>
          <w:t xml:space="preserve">[10]</w:t>
        </w:r>
      </w:hyperlink>
      <w:r>
        <w:t xml:space="preserve">, Chapter 4 reports the cost-side estimate, Chapter 5 reports the schedule-side hazard estimate, and Chapter 6 reads the two findings against the governance mechanism the domain literature predicts. The scope is deliberately narrow and the claim deliberately bounded: the study isolates one partial association, reports it under a stated conditional-independence assumption, and scopes its findings to U.S. federal major-program execution rather than to the commercial New Space models still in transition</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r>
        <w:t xml:space="preserve">or the constellation-operator competition whose welfare effects are estimated at a different level entirely</w:t>
      </w:r>
      <w:r>
        <w:t xml:space="preserve"> </w:t>
      </w:r>
      <w:hyperlink w:anchor="ref-6">
        <w:r>
          <w:rPr>
            <w:rStyle w:val="Hyperlink"/>
          </w:rPr>
          <w:t xml:space="preserve">[6]</w:t>
        </w:r>
      </w:hyperlink>
      <w:r>
        <w:t xml:space="preserve">.</w:t>
      </w:r>
    </w:p>
    <w:bookmarkEnd w:id="83"/>
    <w:bookmarkEnd w:id="84"/>
    <w:bookmarkStart w:id="94" w:name="Xcfcc00a3ded59aed0c781c16bfc121f2a509603"/>
    <w:p>
      <w:pPr>
        <w:pStyle w:val="Heading1"/>
        <w:spacing w:line="480" w:lineRule="auto"/>
      </w:pPr>
      <w:r>
        <w:t xml:space="preserve">Chapter 3. Theoretical Framework and Hypotheses</w:t>
      </w:r>
    </w:p>
    <w:bookmarkStart w:id="85" w:name="purpose-and-scope-of-the-chapter"/>
    <w:p>
      <w:pPr>
        <w:pStyle w:val="Heading2"/>
        <w:spacing w:line="480" w:lineRule="auto"/>
      </w:pPr>
      <w:r>
        <w:t xml:space="preserve">3.1 Purpose and Scope of the Chapter</w:t>
      </w:r>
    </w:p>
    <w:p>
      <w:pPr>
        <w:pStyle w:val="FirstParagraph"/>
        <w:spacing w:line="480" w:lineRule="auto"/>
      </w:pPr>
      <w:r>
        <w:t xml:space="preserve">On the theoretical structure this chapter erects, the empirical work stands. Its charge is to turn a practitioner intuition into a falsifiable proposition. Anyone who has endured a source-selection briefing knows the intuition: that building a larger field of qualified bidders is itself a lever on execution, that more offerors buy a tighter price, a sturdier technical baseline, and a contractor who, having outrun rivals to the award, keeps to that baseline afterward. On faith the dissertation declines to take it. Instead it reads the intuition as a claim about a causal mechanism, sets that mechanism down formally, draws a competing mechanism out of the governance literature, and states the two hypotheses, the null H0 and the alternative H1, that the coming chapters’ data will settle.</w:t>
      </w:r>
    </w:p>
    <w:p>
      <w:pPr>
        <w:pStyle w:val="BodyText"/>
        <w:spacing w:line="480" w:lineRule="auto"/>
        <w:ind w:firstLine="720"/>
      </w:pPr>
      <w:r>
        <w:t xml:space="preserve">Five movements shape the chapter. Section 3.2 rebuilds the practitioner theory of competitive discipline and picks out its two channels, selection at award and restraint after award, by which it is meant to work. Section 3.3 raises the rival theory, pulled from the governance and procurement literature, under which the bidder-count variable is an epiphenomenon of contract-instrument and mission-class selection rather than a free policy lever. Section 3.4 spells the causal logic out, naming the estimand, the confounders, and the conditional-independence assumption any non-experimental test of this stripe has to bear. Section 3.5 lays down the formal hypotheses for the two estimands, cost-growth and schedule-breach, and explains why the design is built to be able to fail to reject H0. Section 3.6 shuts with the scope conditions under which the hypotheses are claimed to hold.</w:t>
      </w:r>
    </w:p>
    <w:p>
      <w:pPr>
        <w:pStyle w:val="BodyText"/>
        <w:spacing w:line="480" w:lineRule="auto"/>
        <w:ind w:firstLine="720"/>
      </w:pPr>
      <w:r>
        <w:t xml:space="preserve">Narrow by design is the contribution. It is one controlled estimate, run on two outcomes, of the conditional tie between the count of responsive bidders at award and how a major space program executes afterward, with contract type and program scale held fixed. The framework is here to make that lone estimate interpretable, and above all to make plain what a null result would and would not mean.</w:t>
      </w:r>
    </w:p>
    <w:bookmarkEnd w:id="85"/>
    <w:bookmarkStart w:id="86" w:name="X323f5469a5a268077a576cab4ecf73bc3f8a1aa"/>
    <w:p>
      <w:pPr>
        <w:pStyle w:val="Heading2"/>
        <w:spacing w:line="480" w:lineRule="auto"/>
      </w:pPr>
      <w:r>
        <w:t xml:space="preserve">3.2 The Practitioner Theory of Competitive Discipline</w:t>
      </w:r>
    </w:p>
    <w:p>
      <w:pPr>
        <w:pStyle w:val="FirstParagraph"/>
        <w:spacing w:line="480" w:lineRule="auto"/>
      </w:pPr>
      <w:r>
        <w:t xml:space="preserve">Competition disciplines cost and schedule. That is the reform doctrine animating this study. In its strong form, the doctrine holds that the number of qualified offerors at award is, by itself, a predictor of execution: programs competed among many firms execute closer to their baselines than programs directed to a single source. This is the proposition practitioners assert most confidently and, as the prospectus notes, the one the governance literature leaves least examined.</w:t>
      </w:r>
    </w:p>
    <w:p>
      <w:pPr>
        <w:pStyle w:val="BodyText"/>
        <w:spacing w:line="480" w:lineRule="auto"/>
        <w:ind w:firstLine="720"/>
      </w:pPr>
      <w:r>
        <w:t xml:space="preserve">Two analytically separable mechanisms hold the doctrine up, and both aim the same way. First comes selection at award. Let several firms bid and the procuring agency sees a spread of prices and technical baselines in place of one offer, then can pick toward the cheaper, more credible end of that spread. The auction is supposed to wring out the rents a monopolist supplier would otherwise pocket, leaving the winning baseline nearer efficient cost and holding less slack to swell into after award. Second comes restraint after award. Win against rivals, expect to meet them again at a future recompete, and a contractor takes on a reputational and competitive cost for overrunning. Face no alternative supplier, as a sole-source incumbent does, and that restraint disappears. Both mechanisms forecast one sign: as the tally of credible competitors climbs, measured cost growth and the hazard of schedule-baseline breach ought to drop.</w:t>
      </w:r>
    </w:p>
    <w:p>
      <w:pPr>
        <w:pStyle w:val="BodyText"/>
        <w:spacing w:line="480" w:lineRule="auto"/>
        <w:ind w:firstLine="720"/>
      </w:pPr>
      <w:r>
        <w:t xml:space="preserve">The sector is not short of empirical warrant for the doctrine. Scholarship on the New Space transition logs genuine unit-cost cuts where openly competed, firm-fixed-price procurement pushed out directed cost-reimbursement incumbency, and it reads the swap of procurement model as a driver of those cuts</w:t>
      </w:r>
      <w:r>
        <w:t xml:space="preserve"> </w:t>
      </w:r>
      <w:hyperlink w:anchor="ref-4">
        <w:r>
          <w:rPr>
            <w:rStyle w:val="Hyperlink"/>
          </w:rPr>
          <w:t xml:space="preserve">[4]</w:t>
        </w:r>
      </w:hyperlink>
      <w:r>
        <w:t xml:space="preserve">. Commercial Crew is the stock instance, a competed down-select to two providers on fixed-price terms cited again and again as proof that competitive structure lifts delivered performance</w:t>
      </w:r>
      <w:r>
        <w:t xml:space="preserve"> </w:t>
      </w:r>
      <w:hyperlink w:anchor="ref-8">
        <w:r>
          <w:rPr>
            <w:rStyle w:val="Hyperlink"/>
          </w:rPr>
          <w:t xml:space="preserve">[8]</w:t>
        </w:r>
      </w:hyperlink>
      <w:r>
        <w:t xml:space="preserve">. The passage from Legacy Space to New Space procurement has itself been billed as a purposeful redrawing of where execution risk lands, with competition put forward as one of the redrawing’s instruments</w:t>
      </w:r>
      <w:r>
        <w:t xml:space="preserve"> </w:t>
      </w:r>
      <w:hyperlink w:anchor="ref-1">
        <w:r>
          <w:rPr>
            <w:rStyle w:val="Hyperlink"/>
          </w:rPr>
          <w:t xml:space="preserve">[1]</w:t>
        </w:r>
      </w:hyperlink>
      <w:r>
        <w:t xml:space="preserve">. The Earth-observation market literature records competition’s steady worldwide climb as a structural feature remaking who can bid with credibility</w:t>
      </w:r>
      <w:r>
        <w:t xml:space="preserve"> </w:t>
      </w:r>
      <w:hyperlink w:anchor="ref-3">
        <w:r>
          <w:rPr>
            <w:rStyle w:val="Hyperlink"/>
          </w:rPr>
          <w:t xml:space="preserve">[3]</w:t>
        </w:r>
      </w:hyperlink>
      <w:r>
        <w:t xml:space="preserve"> </w:t>
      </w:r>
      <w:hyperlink w:anchor="ref-27">
        <w:r>
          <w:rPr>
            <w:rStyle w:val="Hyperlink"/>
          </w:rPr>
          <w:t xml:space="preserve">[27]</w:t>
        </w:r>
      </w:hyperlink>
      <w:r>
        <w:t xml:space="preserve">.</w:t>
      </w:r>
    </w:p>
    <w:p>
      <w:pPr>
        <w:pStyle w:val="BodyText"/>
        <w:spacing w:line="480" w:lineRule="auto"/>
        <w:ind w:firstLine="720"/>
      </w:pPr>
      <w:r>
        <w:t xml:space="preserve">Putting the doctrine in its strongest, most testable form matters, since the dissertation does not quarrel with the idea that competition can improve outcomes. Its quarrel is with the tighter, more operationally loaded claim tucked inside the strong form: that the count of bidders, on its own and with the contract instrument and program scale held fixed, carries independent predictive weight on execution. That is the claim a program manager silently trusts when treating field size as a dial to spin program by program. It is likewise the claim the next section’s rival theory expects to break.</w:t>
      </w:r>
    </w:p>
    <w:bookmarkEnd w:id="86"/>
    <w:bookmarkStart w:id="87" w:name="X2cd8ace83e9272798cf85c18be99b0698cadf20"/>
    <w:p>
      <w:pPr>
        <w:pStyle w:val="Heading2"/>
        <w:spacing w:line="480" w:lineRule="auto"/>
      </w:pPr>
      <w:r>
        <w:t xml:space="preserve">3.3 The Rival Theory: Bidder Count as Epiphenomenon</w:t>
      </w:r>
    </w:p>
    <w:p>
      <w:pPr>
        <w:pStyle w:val="FirstParagraph"/>
        <w:spacing w:line="480" w:lineRule="auto"/>
      </w:pPr>
      <w:r>
        <w:t xml:space="preserve">The governance and procurement literature furnishes a coherent mechanism that would render the strong practitioner claim false even where the raw correlation between bidder count and execution looked to favor it. Selection is that mechanism. It works at two points: which contract instrument gets chosen, and which mission class gets routed into a competitive solicitation.</w:t>
      </w:r>
    </w:p>
    <w:p>
      <w:pPr>
        <w:pStyle w:val="BodyText"/>
        <w:spacing w:line="480" w:lineRule="auto"/>
        <w:ind w:firstLine="720"/>
      </w:pPr>
      <w:r>
        <w:t xml:space="preserve">Take the contract instrument first. The governance literature records that public space agencies have reached for cost-plus contracts as exactly the instrument for blunting the delays and cost overruns a thin or immature supplier base forces on them</w:t>
      </w:r>
      <w:r>
        <w:t xml:space="preserve"> </w:t>
      </w:r>
      <w:hyperlink w:anchor="ref-1">
        <w:r>
          <w:rPr>
            <w:rStyle w:val="Hyperlink"/>
          </w:rPr>
          <w:t xml:space="preserve">[1]</w:t>
        </w:r>
      </w:hyperlink>
      <w:r>
        <w:t xml:space="preserve">. On that account the pricing type, not the breadth of the bidder field, has carried the weight of execution risk through the Legacy Space model. So the instrument is endogenous to the very risk the study probes: agencies hand out cost-plus and fixed-price structures by no coin toss, choosing them ahead of anticipated difficulty. The newest, requirements-unstable, qualification-heavy missions, the ones most prone to overrun, stay directed and cost-reimbursable, while competed fixed-price structures wait for missions whose requirements have already firmed</w:t>
      </w:r>
      <w:r>
        <w:t xml:space="preserve"> </w:t>
      </w:r>
      <w:hyperlink w:anchor="ref-1">
        <w:r>
          <w:rPr>
            <w:rStyle w:val="Hyperlink"/>
          </w:rPr>
          <w:t xml:space="preserve">[1]</w:t>
        </w:r>
      </w:hyperlink>
      <w:r>
        <w:t xml:space="preserve">. Under that rule of assignment a raw bidder count comes out braided with mission maturity, and the seeming tie between many bidders and clean execution is partly or wholly an artifact of agencies growing large fields for the easy cases.</w:t>
      </w:r>
    </w:p>
    <w:p>
      <w:pPr>
        <w:pStyle w:val="BodyText"/>
        <w:spacing w:line="480" w:lineRule="auto"/>
        <w:ind w:firstLine="720"/>
      </w:pPr>
      <w:r>
        <w:t xml:space="preserve">Take next the selection of mission class. Competed solicitations across the federal civil-space portfolio, the Announcement of Opportunity competitions for Discovery, New Frontiers, and Explorer missions, pull large finalist fields by design. Yet these competed classes run cost-capped and schedule-aggressive too: they carry tight, committed baselines because the competition is fought partly on schedule and cost realism. Directed single-source flagships, against them, carry long, generously dated baselines. For any cross-sectional or survival analysis the upshot is structural. Competed, large-field missions cluster at the high-baseline-pressure end of the spread, where breach comes mechanically easier, while single-source flagships settle at the low-hazard end by construction. Skip conditioning on this selection and a naive estimate could turn up a positive, protective-looking, even reversed association that mirrors the assignment rule instead of any disciplining pull from competition.</w:t>
      </w:r>
    </w:p>
    <w:p>
      <w:pPr>
        <w:pStyle w:val="BodyText"/>
        <w:spacing w:line="480" w:lineRule="auto"/>
        <w:ind w:firstLine="720"/>
      </w:pPr>
      <w:r>
        <w:t xml:space="preserve">A third strand puts the working risk lever earlier still, at the architecture stage. Salotti, working launcher sizing for a crewed Mars mission, reads cost overruns from qualification issues as a design-stage hazard trimmed by architectural choice rather than by competitive pressure at award</w:t>
      </w:r>
      <w:r>
        <w:t xml:space="preserve"> </w:t>
      </w:r>
      <w:hyperlink w:anchor="ref-2">
        <w:r>
          <w:rPr>
            <w:rStyle w:val="Hyperlink"/>
          </w:rPr>
          <w:t xml:space="preserve">[2]</w:t>
        </w:r>
      </w:hyperlink>
      <w:r>
        <w:t xml:space="preserve">. Fix qualification risk before a single solicitation is drafted, and competitive intensity at award falls downstream of the decisions that truly govern execution, dropping the bidder-count variable one more rung from cause toward correlate.</w:t>
      </w:r>
    </w:p>
    <w:p>
      <w:pPr>
        <w:pStyle w:val="BodyText"/>
        <w:spacing w:line="480" w:lineRule="auto"/>
        <w:ind w:firstLine="720"/>
      </w:pPr>
      <w:r>
        <w:t xml:space="preserve">Earth-observation and New Space studies back the framing that competition is a market-structure condition, not a dial an agency spins program by program. Denis and colleagues cast competitive procedures and public competitive contracts as able, on their own, to become showstoppers for tailor-made systems whose supplier field runs thin by necessity</w:t>
      </w:r>
      <w:r>
        <w:t xml:space="preserve"> </w:t>
      </w:r>
      <w:hyperlink w:anchor="ref-3">
        <w:r>
          <w:rPr>
            <w:rStyle w:val="Hyperlink"/>
          </w:rPr>
          <w:t xml:space="preserve">[3]</w:t>
        </w:r>
      </w:hyperlink>
      <w:r>
        <w:t xml:space="preserve">, and they paint New Space as the disruptive trend redrawing who can bid with credibility</w:t>
      </w:r>
      <w:r>
        <w:t xml:space="preserve"> </w:t>
      </w:r>
      <w:hyperlink w:anchor="ref-4">
        <w:r>
          <w:rPr>
            <w:rStyle w:val="Hyperlink"/>
          </w:rPr>
          <w:t xml:space="preserve">[4]</w:t>
        </w:r>
      </w:hyperlink>
      <w:r>
        <w:t xml:space="preserve"> </w:t>
      </w:r>
      <w:hyperlink w:anchor="ref-27">
        <w:r>
          <w:rPr>
            <w:rStyle w:val="Hyperlink"/>
          </w:rPr>
          <w:t xml:space="preserve">[27]</w:t>
        </w:r>
      </w:hyperlink>
      <w:r>
        <w:t xml:space="preserve">. Micro-foundations work on product-service strategies in Earth observation presses the same point, that the procurement instrument answers to mission type rather than serving as a free lever</w:t>
      </w:r>
      <w:r>
        <w:t xml:space="preserve"> </w:t>
      </w:r>
      <w:hyperlink w:anchor="ref-5">
        <w:r>
          <w:rPr>
            <w:rStyle w:val="Hyperlink"/>
          </w:rPr>
          <w:t xml:space="preserve">[5]</w:t>
        </w:r>
      </w:hyperlink>
      <w:r>
        <w:t xml:space="preserve"> </w:t>
      </w:r>
      <w:hyperlink w:anchor="ref-22">
        <w:r>
          <w:rPr>
            <w:rStyle w:val="Hyperlink"/>
          </w:rPr>
          <w:t xml:space="preserve">[22]</w:t>
        </w:r>
      </w:hyperlink>
      <w:r>
        <w:t xml:space="preserve">. NewSpace regulatory-competition scholarship reads competitive intensity as an emergent governance condition, not an agency choice</w:t>
      </w:r>
      <w:r>
        <w:t xml:space="preserve"> </w:t>
      </w:r>
      <w:hyperlink w:anchor="ref-11">
        <w:r>
          <w:rPr>
            <w:rStyle w:val="Hyperlink"/>
          </w:rPr>
          <w:t xml:space="preserve">[11]</w:t>
        </w:r>
      </w:hyperlink>
      <w:r>
        <w:t xml:space="preserve">. Not one of these sources pins the program-level execution question the dissertation poses, and together they piece the rival mechanism into place: bidder count is an epiphenomenon, tied to execution because agencies grow large fields for the contract instruments and mission classes already headed for a given behavior regardless.</w:t>
      </w:r>
    </w:p>
    <w:p>
      <w:pPr>
        <w:pStyle w:val="BodyText"/>
        <w:spacing w:line="480" w:lineRule="auto"/>
        <w:ind w:firstLine="720"/>
      </w:pPr>
      <w:r>
        <w:t xml:space="preserve">So once the confounders are held fixed the two theories forecast sharply apart. The practitioner theory forecasts a surviving, signed, protective effect of bidder count. The rival theory forecasts that the effect evaporates once instrument and scale are controlled, and it leaves room for the residual association to flip sign, since routing large fields into schedule-aggressive mission classes can leave more bidders paired with worse, not better, measured execution.</w:t>
      </w:r>
    </w:p>
    <w:bookmarkEnd w:id="87"/>
    <w:bookmarkStart w:id="88" w:name="causal-logic-and-the-estimand"/>
    <w:p>
      <w:pPr>
        <w:pStyle w:val="Heading2"/>
        <w:spacing w:line="480" w:lineRule="auto"/>
      </w:pPr>
      <w:r>
        <w:t xml:space="preserve">3.4 Causal Logic and the Estimand</w:t>
      </w:r>
    </w:p>
    <w:p>
      <w:pPr>
        <w:pStyle w:val="FirstParagraph"/>
        <w:spacing w:line="480" w:lineRule="auto"/>
      </w:pPr>
      <w:r>
        <w:t xml:space="preserve">This design is observational, not experimental, and the dissertation says so outright. Randomization has no place here. No agency scrambles the count of bidders across otherwise matched programs. So the framework casts its causal logic as conditional association under an assumption, and it puts that assumption on the page rather than tucking it away.</w:t>
      </w:r>
    </w:p>
    <w:p>
      <w:pPr>
        <w:pStyle w:val="BodyText"/>
        <w:spacing w:line="480" w:lineRule="auto"/>
        <w:ind w:firstLine="720"/>
      </w:pPr>
      <w:r>
        <w:t xml:space="preserve">The estimand is the partial coefficient on bidder count in a model of an execution outcome, contract type carried as a fixed effect and program scale as a continuous control. On the cost-growth side the outcome is a normalized cost-growth index, the ratio of final to baseline obligated value, and the partial coefficient reads as the shift in expected cost growth that comes with one more responsive bidder, instrument and scale fixed. On the schedule side the outcome is time to schedule-baseline breach, and the estimand is the hazard ratio on bidder count, the multiplicative shift in the instantaneous breach rate per added offer, the same covariates fixed.</w:t>
      </w:r>
    </w:p>
    <w:p>
      <w:pPr>
        <w:pStyle w:val="BodyText"/>
        <w:spacing w:line="480" w:lineRule="auto"/>
        <w:ind w:firstLine="720"/>
      </w:pPr>
      <w:r>
        <w:t xml:space="preserve">Identification hangs on a conditional-independence assumption: that inside a contract-type stratum and a scale band, whether a program lands a larger or smaller bidder field is unconfounded with execution difficulty the analyst cannot see. Strong, that assumption, and Section 3.3 pins the exact reason it might buckle. Should agencies grow larger fields for programs they have already scored low-risk, then bidder count smuggles in information about latent difficulty the covariates fail to soak up, and selection taints the estimated coefficient. The framework claims no such thing as the assumption holding. It commits the design instead to two diagnostics that go straight at it. A contract-type-stratified estimation prints the bidder-count effect apart for the cost-plus and fixed-price strata, since the governance mechanism expects the instrument to swallow the signal</w:t>
      </w:r>
      <w:r>
        <w:t xml:space="preserve"> </w:t>
      </w:r>
      <w:hyperlink w:anchor="ref-1">
        <w:r>
          <w:rPr>
            <w:rStyle w:val="Hyperlink"/>
          </w:rPr>
          <w:t xml:space="preserve">[1]</w:t>
        </w:r>
      </w:hyperlink>
      <w:r>
        <w:t xml:space="preserve">.</w:t>
      </w:r>
    </w:p>
    <w:p>
      <w:pPr>
        <w:pStyle w:val="BodyText"/>
        <w:spacing w:line="480" w:lineRule="auto"/>
        <w:ind w:firstLine="720"/>
      </w:pPr>
      <w:r>
        <w:t xml:space="preserve">A placebo regression of bidder count on pre-award program characteristics catches the selection channel by which larger fields are grown for the softer programs; let pre-award characteristics forecast field size and the conditional-independence assumption cracks, so the estimate is reported as descriptive only.</w:t>
      </w:r>
    </w:p>
    <w:p>
      <w:pPr>
        <w:pStyle w:val="BodyText"/>
        <w:spacing w:line="480" w:lineRule="auto"/>
        <w:ind w:firstLine="720"/>
      </w:pPr>
      <w:r>
        <w:t xml:space="preserve">There you have the study’s disciplining architecture. The bidder-count coefficient reads as a causal effect only under the conditional-independence assumption, and the diagnostics are built to lay the assumption open to falsification rather than wave it through. Where the diagnostics flag selection, the framework insists the headline estimate be read as a partial association, not a treatment effect. The dissertation’s companion papers already show the pattern the framework foresees: in the cross-sectional cost analysis the bidder coefficient sits indistinguishable from zero and, if anything, wrong-signed once scale enters, while program scale carries the substantive tie; in the survival analysis the bidder coefficient turns positive and significant, a signed reversal of the practitioner prediction read most naturally as the selection artifact the rival theory names. Both results the framework treats as exactly the kind a falsifiable design exists to yield.</w:t>
      </w:r>
    </w:p>
    <w:bookmarkEnd w:id="88"/>
    <w:bookmarkStart w:id="92" w:name="formal-hypotheses"/>
    <w:p>
      <w:pPr>
        <w:pStyle w:val="Heading2"/>
        <w:spacing w:line="480" w:lineRule="auto"/>
      </w:pPr>
      <w:r>
        <w:t xml:space="preserve">3.5 Formal Hypotheses</w:t>
      </w:r>
    </w:p>
    <w:p>
      <w:pPr>
        <w:pStyle w:val="FirstParagraph"/>
        <w:spacing w:line="480" w:lineRule="auto"/>
      </w:pPr>
      <w:r>
        <w:t xml:space="preserve">One proposition, tested on two outcomes. That proposition is the strong practitioner claim: that the number of responsive bidders at award independently predicts better execution, holding contract type and program scale fixed. Because the dissertation carries two estimands, a cost estimand and a schedule estimand, the hypotheses are stated for each, with a unifying logic.</w:t>
      </w:r>
    </w:p>
    <w:bookmarkStart w:id="89" w:name="the-cost-growth-estimand"/>
    <w:p>
      <w:pPr>
        <w:pStyle w:val="Heading3"/>
        <w:spacing w:line="480" w:lineRule="auto"/>
      </w:pPr>
      <w:r>
        <w:t xml:space="preserve">3.5.1 The Cost-Growth Estimand</w:t>
      </w:r>
    </w:p>
    <w:p>
      <w:pPr>
        <w:pStyle w:val="FirstParagraph"/>
        <w:spacing w:line="480" w:lineRule="auto"/>
      </w:pPr>
      <w:r>
        <w:t xml:space="preserve">Let the outcome be normalized program cost growth and let the estimand be the partial coefficient on bidder count in a regression of cost growth on bidder count, contract-type fixed effects, and a continuous scale control.</w:t>
      </w:r>
    </w:p>
    <w:p>
      <w:pPr>
        <w:pStyle w:val="BodyText"/>
        <w:spacing w:line="480" w:lineRule="auto"/>
        <w:ind w:firstLine="720"/>
      </w:pPr>
      <w:r>
        <w:rPr>
          <w:b/>
          <w:bCs/>
        </w:rPr>
        <w:t xml:space="preserve">H0 (null).</w:t>
      </w:r>
      <w:r>
        <w:t xml:space="preserve"> </w:t>
      </w:r>
      <w:r>
        <w:t xml:space="preserve">Conditional on contract type and program scale, the number of responsive bidders at award has zero partial association with normalized program cost growth. The coefficient on bidder count is statistically indistinguishable from zero.</w:t>
      </w:r>
    </w:p>
    <w:p>
      <w:pPr>
        <w:pStyle w:val="BodyText"/>
        <w:spacing w:line="480" w:lineRule="auto"/>
        <w:ind w:firstLine="720"/>
      </w:pPr>
      <w:r>
        <w:rPr>
          <w:b/>
          <w:bCs/>
        </w:rPr>
        <w:t xml:space="preserve">H1 (alternative).</w:t>
      </w:r>
      <w:r>
        <w:t xml:space="preserve"> </w:t>
      </w:r>
      <w:r>
        <w:t xml:space="preserve">Conditional on contract type and program scale, a larger number of responsive bidders at award is associated with lower normalized program cost growth. The coefficient on bidder count is negative and statistically distinguishable from zero.</w:t>
      </w:r>
    </w:p>
    <w:p>
      <w:pPr>
        <w:pStyle w:val="BodyText"/>
        <w:spacing w:line="480" w:lineRule="auto"/>
        <w:ind w:firstLine="720"/>
      </w:pPr>
      <w:r>
        <w:t xml:space="preserve">H1 is the practitioner prediction in its strong, operationally consequential form. H0 is the prediction implied by the rival theory of contract-type substitution, under which the instrument absorbs the execution-risk variation and leaves the bidder count with no independent weight</w:t>
      </w:r>
      <w:r>
        <w:t xml:space="preserve"> </w:t>
      </w:r>
      <w:hyperlink w:anchor="ref-1">
        <w:r>
          <w:rPr>
            <w:rStyle w:val="Hyperlink"/>
          </w:rPr>
          <w:t xml:space="preserve">[1]</w:t>
        </w:r>
      </w:hyperlink>
      <w:r>
        <w:t xml:space="preserve">.</w:t>
      </w:r>
    </w:p>
    <w:bookmarkEnd w:id="89"/>
    <w:bookmarkStart w:id="90" w:name="the-schedule-breach-estimand"/>
    <w:p>
      <w:pPr>
        <w:pStyle w:val="Heading3"/>
        <w:spacing w:line="480" w:lineRule="auto"/>
      </w:pPr>
      <w:r>
        <w:t xml:space="preserve">3.5.2 The Schedule-Breach Estimand</w:t>
      </w:r>
    </w:p>
    <w:p>
      <w:pPr>
        <w:pStyle w:val="FirstParagraph"/>
        <w:spacing w:line="480" w:lineRule="auto"/>
      </w:pPr>
      <w:r>
        <w:t xml:space="preserve">Let the outcome be the time from baseline confirmation to schedule-baseline breach over the planned development span, and let the estimand be the hazard ratio on bidder count in a proportional-hazards model that also includes a contract-instrument indicator and a scale control.</w:t>
      </w:r>
    </w:p>
    <w:p>
      <w:pPr>
        <w:pStyle w:val="BodyText"/>
        <w:spacing w:line="480" w:lineRule="auto"/>
        <w:ind w:firstLine="720"/>
      </w:pPr>
      <w:r>
        <w:rPr>
          <w:b/>
          <w:bCs/>
        </w:rPr>
        <w:t xml:space="preserve">H0 (null).</w:t>
      </w:r>
      <w:r>
        <w:t xml:space="preserve"> </w:t>
      </w:r>
      <w:r>
        <w:t xml:space="preserve">Conditional on contract instrument and program scale, the number of competing offers at selection has zero partial association with the hazard of schedule-baseline breach. The hazard ratio on bidder count equals one.</w:t>
      </w:r>
    </w:p>
    <w:p>
      <w:pPr>
        <w:pStyle w:val="BodyText"/>
        <w:spacing w:line="480" w:lineRule="auto"/>
        <w:ind w:firstLine="720"/>
      </w:pPr>
      <w:r>
        <w:rPr>
          <w:b/>
          <w:bCs/>
        </w:rPr>
        <w:t xml:space="preserve">H1 (alternative).</w:t>
      </w:r>
      <w:r>
        <w:t xml:space="preserve"> </w:t>
      </w:r>
      <w:r>
        <w:t xml:space="preserve">A larger competing-offer field is associated with a lower hazard of schedule-baseline breach. The hazard ratio on bidder count is below one.</w:t>
      </w:r>
    </w:p>
    <w:p>
      <w:pPr>
        <w:pStyle w:val="BodyText"/>
        <w:spacing w:line="480" w:lineRule="auto"/>
        <w:ind w:firstLine="720"/>
      </w:pPr>
      <w:r>
        <w:t xml:space="preserve">The two H0 statements are unified: in each, the bidder-count variable carries no independent execution signal once the instrument and the scale are conditioned out. The two H1 statements are the corresponding strong-form practitioner predictions, a negative cost coefficient and a hazard ratio below one.</w:t>
      </w:r>
    </w:p>
    <w:bookmarkEnd w:id="90"/>
    <w:bookmarkStart w:id="91" w:name="why-the-design-favors-falsifiability"/>
    <w:p>
      <w:pPr>
        <w:pStyle w:val="Heading3"/>
        <w:spacing w:line="480" w:lineRule="auto"/>
      </w:pPr>
      <w:r>
        <w:t xml:space="preserve">3.5.3 Why the Design Favors Falsifiability</w:t>
      </w:r>
    </w:p>
    <w:p>
      <w:pPr>
        <w:pStyle w:val="FirstParagraph"/>
        <w:spacing w:line="480" w:lineRule="auto"/>
      </w:pPr>
      <w:r>
        <w:t xml:space="preserve">One asymmetry, central to the dissertation’s claim to rigor, rules the framework, and the burden falls on a single side. The reigning practitioner doctrine occupies H1. Through the contract-type-substitution and mission-class-selection mechanisms, the governance literature furnishes a coherent account under which H0 stands even where the raw, unconditioned correlation between bidder count and execution looks to reward H1</w:t>
      </w:r>
      <w:r>
        <w:t xml:space="preserve"> </w:t>
      </w:r>
      <w:hyperlink w:anchor="ref-1">
        <w:r>
          <w:rPr>
            <w:rStyle w:val="Hyperlink"/>
          </w:rPr>
          <w:t xml:space="preserve">[1]</w:t>
        </w:r>
      </w:hyperlink>
      <w:r>
        <w:t xml:space="preserve">. So the study is put together to be able to fail to reject H0, and that ability is the test’s disciplining feature, never its flaw. A design that could do nothing but confirm the practitioner intuition would be no test. The framework grants a result even stronger than a failure to reject H0: a signed reversal, the conditioned bidder coefficient turning positive in cost or handing back a hazard ratio over one in schedule, contradicting H1 in direction and not merely in size.</w:t>
      </w:r>
    </w:p>
    <w:p>
      <w:pPr>
        <w:pStyle w:val="BodyText"/>
        <w:spacing w:line="480" w:lineRule="auto"/>
        <w:ind w:firstLine="720"/>
      </w:pPr>
      <w:r>
        <w:t xml:space="preserve">The rival theory forecasts precisely this reversal as the fingerprint of mission-class selection, so the framework counts a signed reversal as confirmation of the selection mechanism rather than an anomaly to be waved off.</w:t>
      </w:r>
    </w:p>
    <w:p>
      <w:pPr>
        <w:pStyle w:val="BodyText"/>
        <w:spacing w:line="480" w:lineRule="auto"/>
        <w:ind w:firstLine="720"/>
      </w:pPr>
      <w:r>
        <w:t xml:space="preserve">Three outcomes come out interpretable under the framework, and the framework fixes the reading of each ahead of time. Rejecting H0 for H1, a negative cost coefficient or a sub-unity hazard ratio that clears the diagnostics, would back the strong practitioner claim and stand as the rarest, weightiest result. Failing to reject H0 would back the rival theory, marking the instrument and the scale as bearers of the execution-risk variation the practitioner pins on field size. A signed reversal would back the rival theory’s selection account harder still, marking large fields as things grown for the schedule-aggressive, cost-capped mission classes whose tight baselines execute worst. Across all three the placebo and stratified diagnostics decide whether the headline estimate goes out as causal or descriptive.</w:t>
      </w:r>
    </w:p>
    <w:bookmarkEnd w:id="91"/>
    <w:bookmarkEnd w:id="92"/>
    <w:bookmarkStart w:id="93" w:name="scope-conditions"/>
    <w:p>
      <w:pPr>
        <w:pStyle w:val="Heading2"/>
        <w:spacing w:line="480" w:lineRule="auto"/>
      </w:pPr>
      <w:r>
        <w:t xml:space="preserve">3.6 Scope Conditions</w:t>
      </w:r>
    </w:p>
    <w:p>
      <w:pPr>
        <w:pStyle w:val="FirstParagraph"/>
        <w:spacing w:line="480" w:lineRule="auto"/>
      </w:pPr>
      <w:r>
        <w:t xml:space="preserve">The hypotheses are claimed inside stated bounds, and the framework names them so the inference does not stretch too far. The analytic population is the set of federal civil-space and national-security space major programs bought by NASA and the U.S. Space Force, identified by product and service codes and by space-vehicle manufacturing classifications. The hypotheses reach the execution phase of those programs, the stretch from baseline confirmation through delivery, and reach neither the upstream source-selection competition itself nor its market-structure antecedents.</w:t>
      </w:r>
    </w:p>
    <w:p>
      <w:pPr>
        <w:pStyle w:val="BodyText"/>
        <w:spacing w:line="480" w:lineRule="auto"/>
        <w:ind w:firstLine="720"/>
      </w:pPr>
      <w:r>
        <w:t xml:space="preserve">Three scope limits fall out of the theory. First, the findings hold for U.S. government major-program execution and do not carry to the New Space commercial procurement models whose governance is mid-transition and whose assignment rules for the contract instrument and the bidder field diverge</w:t>
      </w:r>
      <w:r>
        <w:t xml:space="preserve"> </w:t>
      </w:r>
      <w:hyperlink w:anchor="ref-1">
        <w:r>
          <w:rPr>
            <w:rStyle w:val="Hyperlink"/>
          </w:rPr>
          <w:t xml:space="preserve">[1]</w:t>
        </w:r>
      </w:hyperlink>
      <w:r>
        <w:t xml:space="preserve"> </w:t>
      </w:r>
      <w:hyperlink w:anchor="ref-4">
        <w:r>
          <w:rPr>
            <w:rStyle w:val="Hyperlink"/>
          </w:rPr>
          <w:t xml:space="preserve">[4]</w:t>
        </w:r>
      </w:hyperlink>
      <w:r>
        <w:t xml:space="preserve">. Second, the findings say nothing of the constellation-operator competition whose welfare effects are estimated at the level of orbit use rather than program execution</w:t>
      </w:r>
      <w:r>
        <w:t xml:space="preserve"> </w:t>
      </w:r>
      <w:hyperlink w:anchor="ref-6">
        <w:r>
          <w:rPr>
            <w:rStyle w:val="Hyperlink"/>
          </w:rPr>
          <w:t xml:space="preserve">[6]</w:t>
        </w:r>
      </w:hyperlink>
      <w:r>
        <w:t xml:space="preserve">. Third, the gauge of competition is the count of responsive offers, a coarse instrument blind to the difference between a thin two-firm field and a deep one and burdened with the known recording limits of the offers-received field in the federal procurement record; so the framework handles the bidder count as a proxy for competitive intensity whose limits are themselves a threat the design must meet, not a clean read of the construct.</w:t>
      </w:r>
    </w:p>
    <w:p>
      <w:pPr>
        <w:pStyle w:val="BodyText"/>
        <w:spacing w:line="480" w:lineRule="auto"/>
        <w:ind w:firstLine="720"/>
      </w:pPr>
      <w:r>
        <w:t xml:space="preserve">Inside these bounds the framework delivers what a falsifiable theoretical structure ought to. It states the mechanism the practitioner believes, the rival mechanism the governance literature implies, the estimand that splits them, the assumption under which the estimand turns causal, the diagnostics that lay the assumption bare, and the two hypotheses, H0 and H1, the data will meet. The chapters ahead take up that meeting on the cost outcome and the schedule outcome by turns.</w:t>
      </w:r>
    </w:p>
    <w:bookmarkEnd w:id="93"/>
    <w:bookmarkEnd w:id="94"/>
    <w:bookmarkStart w:id="104" w:name="chapter-4.-data-and-measurement"/>
    <w:p>
      <w:pPr>
        <w:pStyle w:val="Heading1"/>
        <w:spacing w:line="480" w:lineRule="auto"/>
      </w:pPr>
      <w:r>
        <w:t xml:space="preserve">Chapter 4. Data and Measurement</w:t>
      </w:r>
    </w:p>
    <w:bookmarkStart w:id="95" w:name="purpose-and-scope-of-the-chapter-1"/>
    <w:p>
      <w:pPr>
        <w:pStyle w:val="Heading2"/>
        <w:spacing w:line="480" w:lineRule="auto"/>
      </w:pPr>
      <w:r>
        <w:t xml:space="preserve">4.1 Purpose and scope of the chapter</w:t>
      </w:r>
    </w:p>
    <w:p>
      <w:pPr>
        <w:pStyle w:val="FirstParagraph"/>
        <w:spacing w:line="480" w:lineRule="auto"/>
      </w:pPr>
      <w:r>
        <w:t xml:space="preserve">One substantive question binds the two empirical papers that anchor this dissertation, asked in two complementary statistical registers. The cost paper asks whether the count of qualified prime-contract bidders forecasts the level of development cost growth on NASA major projects. The schedule paper asks whether that same bidder field forecasts the timing of a schedule-baseline breach. Neither question yields an answer except to the degree that the underlying measurements are built out in the open from primary records, that the unit of analysis holds firm and defensible, and that every variable traces from a published source down to the analytic cell where it lands. That construction is what this chapter lays out. Findings it withholds, since those belong to the chapters ahead, and identification it leaves aside, since the design chapter has already fixed it.</w:t>
      </w:r>
    </w:p>
    <w:p>
      <w:pPr>
        <w:pStyle w:val="BodyText"/>
        <w:spacing w:line="480" w:lineRule="auto"/>
        <w:ind w:firstLine="720"/>
      </w:pPr>
      <w:r>
        <w:t xml:space="preserve">Narrower and prior is its charge: to name what was measured, where each measurement starts, how the raw record turned into an analytic variable, and what the resulting measurement can and cannot hold up.</w:t>
      </w:r>
    </w:p>
    <w:p>
      <w:pPr>
        <w:pStyle w:val="BodyText"/>
        <w:spacing w:line="480" w:lineRule="auto"/>
        <w:ind w:firstLine="720"/>
      </w:pPr>
      <w:r>
        <w:t xml:space="preserve">What drives the choice to give data and measurement a chapter of their own is methodological honesty. Records are not made for the questions we press on them. The reigning practitioner claim this dissertation interrogates, that a larger competitive field disciplines execution, is asserted at the grain of program-by-program procurement calls, yet it is tried here against administrative records gathered for accountability, not for causal inference. That distance, between the record-keeping purpose and the inferential purpose, is precisely where measurement error, coding judgment, and selection slip in. Making the distance visible is this chapter’s contribution. The governance literature underwriting the dissertation’s competing mechanism holds that contract instrument and program architecture, not bidder count, are the working levers on execution risk</w:t>
      </w:r>
      <w:r>
        <w:t xml:space="preserve"> </w:t>
      </w:r>
      <w:hyperlink w:anchor="ref-1">
        <w:r>
          <w:rPr>
            <w:rStyle w:val="Hyperlink"/>
          </w:rPr>
          <w:t xml:space="preserve">[1]</w:t>
        </w:r>
      </w:hyperlink>
      <w:r>
        <w:t xml:space="preserve"> </w:t>
      </w:r>
      <w:hyperlink w:anchor="ref-2">
        <w:r>
          <w:rPr>
            <w:rStyle w:val="Hyperlink"/>
          </w:rPr>
          <w:t xml:space="preserve">[2]</w:t>
        </w:r>
      </w:hyperlink>
      <w:r>
        <w:t xml:space="preserve">, and the credibility of any test of that proposition rides on whether the instrument, the architecture proxy, and the bidder field are each measured from authoritative primary sources rather than pieced back together from secondary summary.</w:t>
      </w:r>
    </w:p>
    <w:bookmarkEnd w:id="95"/>
    <w:bookmarkStart w:id="96" w:name="the-unit-of-analysis"/>
    <w:p>
      <w:pPr>
        <w:pStyle w:val="Heading2"/>
        <w:spacing w:line="480" w:lineRule="auto"/>
      </w:pPr>
      <w:r>
        <w:t xml:space="preserve">4.2 The unit of analysis</w:t>
      </w:r>
    </w:p>
    <w:p>
      <w:pPr>
        <w:pStyle w:val="FirstParagraph"/>
        <w:spacing w:line="480" w:lineRule="auto"/>
      </w:pPr>
      <w:r>
        <w:t xml:space="preserve">Both papers set the unit of analysis at the NASA major project, the major program by another name, caught once in a cross-section. A major project here is a development effort NASA has formally confirmed at Key Decision Point C with a committed cost and schedule baseline, one the U.S. Government Accountability Office follows in its annual assessment series. Deliberate is this definitional anchor, and no invention of the analyst. The GAO portfolio makes no convenience sample. It is the population of agency development efforts above a dollar threshold that trips external oversight reporting, its membership drawn by statute and policy rather than by the analyst. Take the GAO project as the unit and you inherit a reproducible inclusion rule, the first thing a defensible measurement design needs.</w:t>
      </w:r>
    </w:p>
    <w:p>
      <w:pPr>
        <w:pStyle w:val="BodyText"/>
        <w:spacing w:line="480" w:lineRule="auto"/>
        <w:ind w:firstLine="720"/>
      </w:pPr>
      <w:r>
        <w:t xml:space="preserve">Twenty-eight such projects fill the cost paper. Twenty-six fill the schedule paper, a leaner set because the duration analysis demands a baseline confirmation date and a baseline launch readiness date on every row, and a few projects in the cost cross-section want one or both of those dated anchors in the public record. So the two samples nest and overlap rather than match, the difference a straight consequence of the heavier dated-record demand survival analysis lays down. Said plainly, this, because the two papers must not read as if they ran the same rows; they run the same population, sampled under two different observability constraints.</w:t>
      </w:r>
    </w:p>
    <w:p>
      <w:pPr>
        <w:pStyle w:val="BodyText"/>
        <w:spacing w:line="480" w:lineRule="auto"/>
        <w:ind w:firstLine="720"/>
      </w:pPr>
      <w:r>
        <w:t xml:space="preserve">Fixing the unit at the project, over the contract action or the contract modification, carries weight for measurement, and two grounds defend it. First, the outcome in question, execution performance, gathers at the project level: a project grows in cost and slips in schedule as one integrated effort, even where its work fans across several contract actions. Second, the practitioner claim on trial is itself stated at the project level, since program managers grow a competitive field for a project and then live out its execution. A contract-action unit would splinter this into pieces that map onto neither the decision nor the outcome. So the cost paper rolls up to the project, and the schedule paper does likewise.</w:t>
      </w:r>
    </w:p>
    <w:bookmarkEnd w:id="96"/>
    <w:bookmarkStart w:id="97" w:name="authoritative-sources"/>
    <w:p>
      <w:pPr>
        <w:pStyle w:val="Heading2"/>
        <w:spacing w:line="480" w:lineRule="auto"/>
      </w:pPr>
      <w:r>
        <w:t xml:space="preserve">4.3 Authoritative sources</w:t>
      </w:r>
    </w:p>
    <w:p>
      <w:pPr>
        <w:pStyle w:val="FirstParagraph"/>
        <w:spacing w:line="480" w:lineRule="auto"/>
      </w:pPr>
      <w:r>
        <w:t xml:space="preserve">The primary documentary source for both papers is the GAO NASA Assessments of Major Projects series, an annual congressional-oversight product that reports, per project and against a confirmed baseline, the development cost and schedule performance of NASA’s portfolio. The cost paper draws on the series across its 2018 through 2024 editions, citing specifically the June 2024 assessment GAO-24-106767 and the May 2023 assessment GAO-23-106021, and the July 2025 assessment GAO-25-107591</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schedule paper draws on the same series, naming GAO-25-107591, GAO-24-106767, and the earlier GAO-22-105212 as its dated sources. These reports are the spine of the dataset because they are independently produced, publicly archived, and constructed to a stable template that reports each project against its own confirmed baseline, which is the precise quantity the dissertation’s outcomes require.</w:t>
      </w:r>
    </w:p>
    <w:p>
      <w:pPr>
        <w:pStyle w:val="BodyText"/>
        <w:spacing w:line="480" w:lineRule="auto"/>
        <w:ind w:firstLine="720"/>
      </w:pPr>
      <w:r>
        <w:t xml:space="preserve">Three classes of supplementary source fill gaps that the GAO series, by design, leaves open. First is the NASA Office of Inspector General audit record, used where a project-specific cost or schedule figure is reported by the OIG at a granularity the GAO table does not carry; the schedule paper names the 2025 Dragonfly assessment IG-25-011 as one such row-level source. Second is the contemporaneous program and selection record for the competitive field, drawn from NASA Announcement of Opportunity selection documents and from prime-contract award records, discussed in detail in Section 4.6. Third is the aerospace technical press and reconciled mission record, used sparingly and only to corroborate a figure for which a primary document exists but is awkward to cite at the cell level, as with the Commercial Crew down-select reported in the trade press at the time of award</w:t>
      </w:r>
      <w:r>
        <w:t xml:space="preserve"> </w:t>
      </w:r>
      <w:hyperlink w:anchor="ref-3">
        <w:r>
          <w:rPr>
            <w:rStyle w:val="Hyperlink"/>
          </w:rPr>
          <w:t xml:space="preserve">[3]</w:t>
        </w:r>
      </w:hyperlink>
      <w:r>
        <w:t xml:space="preserve">. The hierarchy among these sources is explicit: GAO and OIG primary documents take precedence, selection and award records supply the regressor, and press records corroborate rather than originate.</w:t>
      </w:r>
    </w:p>
    <w:p>
      <w:pPr>
        <w:pStyle w:val="BodyText"/>
        <w:spacing w:line="480" w:lineRule="auto"/>
        <w:ind w:firstLine="720"/>
      </w:pPr>
      <w:r>
        <w:t xml:space="preserve">Provenance discipline is enforced at the level of the individual data cell. In both papers the analytic data file carries, as its final column, a documented source for every row. This row-level citation is no stylistic flourish. It is the mechanism by which the entire dataset is auditable from raw published record to analytic table, and it is the operational expression of the dissertation’s commitment that no figure in the analysis is fabricated. Where a precise public figure was genuinely unobtainable for a single component value, the cell is flagged as illustrative rather than silently imputed. The cost paper carries four such illustrative cells, under fifteen percent of its twenty-eight observations; the schedule paper carries three, at 11.5 percent of its twenty-six observations. In neither paper is any citation illustrative; the illustrative marker attaches only to a component value, never to the source of record. This convention keeps the boundary between measured and approximated quantities legible to any reader who reconstructs the file.</w:t>
      </w:r>
    </w:p>
    <w:bookmarkEnd w:id="97"/>
    <w:bookmarkStart w:id="98" w:name="the-cost-growth-outcome"/>
    <w:p>
      <w:pPr>
        <w:pStyle w:val="Heading2"/>
        <w:spacing w:line="480" w:lineRule="auto"/>
      </w:pPr>
      <w:r>
        <w:t xml:space="preserve">4.4 The cost-growth outcome</w:t>
      </w:r>
    </w:p>
    <w:p>
      <w:pPr>
        <w:pStyle w:val="FirstParagraph"/>
        <w:spacing w:line="480" w:lineRule="auto"/>
      </w:pPr>
      <w:r>
        <w:t xml:space="preserve">The cost paper’s dependent variable is cumulative development cost growth off the project baseline, put in percent. Building it starts from the project’s confirmed baseline development cost, the number NASA pledged at the confirmation review and the one the GAO series logs as the reference against which later performance is judged. The current or final development cost then comes off the most recent GAO assessment reporting the project, and cost growth is the percentage rise of the current figure over the baseline. A level measure, this: it registers how far a project has strayed from the budget it pledged, not the pace at which it strayed, which the schedule paper owns.</w:t>
      </w:r>
    </w:p>
    <w:p>
      <w:pPr>
        <w:pStyle w:val="BodyText"/>
        <w:spacing w:line="480" w:lineRule="auto"/>
        <w:ind w:firstLine="720"/>
      </w:pPr>
      <w:r>
        <w:t xml:space="preserve">Two features of this construction warrant emphasis. First, the baseline is the project’s own confirmed baseline, not a portfolio average or an external benchmark, so the measure is internally normalized to each project’s stated commitment. That is what licenses comparison across projects of very different absolute size: a flagship and a small science mission are each measured against their own promise. Second, where the GAO series reported a relative cost change rather than a clean baseline-to-current percentage, the dissertation supplements with NASA OIG audits and with row-cited program records to recover the percentage on the same definition. The paper illustrates the resulting range with documented extremes: the Space Launch System development cost growth on the order of nine hundred ninety percent in the 2021 GAO table, the James Webb Space Telescope growth from an approximately five billion dollar baseline to a 9.7 billion dollar life-cycle cost, and the Mars Sample Return potential life-cycle cost of eight to eleven billion dollars set against earlier planning figures</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These are reproduced not as findings but as worked examples of how the outcome is read off the primary record.</w:t>
      </w:r>
    </w:p>
    <w:p>
      <w:pPr>
        <w:pStyle w:val="BodyText"/>
        <w:spacing w:line="480" w:lineRule="auto"/>
        <w:ind w:firstLine="720"/>
      </w:pPr>
      <w:r>
        <w:t xml:space="preserve">The portfolio context in which this outcome sits is itself documented in the source series. The 2024 assessment recorded portfolio cost overruns of 4.4 billion dollars, down from 7.6 billion the year before, and the 2025 assessment found that four of eighteen projects in development grew by more than five hundred million dollars in a single year, with much of that concentrated in the Orion crew vehicle program</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These aggregate figures establish that the cost-growth phenomenon the dependent variable captures is large and persistent in the population from which the sample is drawn. That persistence is the substantive warrant for studying it at all.</w:t>
      </w:r>
    </w:p>
    <w:bookmarkEnd w:id="98"/>
    <w:bookmarkStart w:id="99" w:name="the-schedule-breach-outcome"/>
    <w:p>
      <w:pPr>
        <w:pStyle w:val="Heading2"/>
        <w:spacing w:line="480" w:lineRule="auto"/>
      </w:pPr>
      <w:r>
        <w:t xml:space="preserve">4.5 The schedule-breach outcome</w:t>
      </w:r>
    </w:p>
    <w:p>
      <w:pPr>
        <w:pStyle w:val="FirstParagraph"/>
        <w:spacing w:line="480" w:lineRule="auto"/>
      </w:pPr>
      <w:r>
        <w:t xml:space="preserve">The schedule paper recasts execution performance as a time-to-event process, and its outcome is therefore a pair: a duration and an event indicator. The duration variable is the planned development span, measured in months from the project’s baseline confirmation date to its baseline launch readiness date. This is the interval over which a project is formally at risk of breaching its committed schedule, and both dated anchors are read from the same GAO and OIG primary records that supply the cost figures. The event indicator records whether the project breached its baseline launch readiness date during that span. In the analytic sample, thirteen of the twenty-six programs breached and are coded as events, while the remaining thirteen launched on or before their baseline date and are right-censored, meaning they exited the risk set without the event having occurred.</w:t>
      </w:r>
    </w:p>
    <w:p>
      <w:pPr>
        <w:pStyle w:val="BodyText"/>
        <w:spacing w:line="480" w:lineRule="auto"/>
        <w:ind w:firstLine="720"/>
      </w:pPr>
      <w:r>
        <w:t xml:space="preserve">This event-and-censoring construction is the methodological heart of the schedule paper’s measurement, and it is what distinguishes the schedule outcome from a naive binary of late versus on-time. A right-censored project is not a project that succeeded in some absolute sense; it is a project that had not breached as of the observation window, and the survival estimator uses the full information in its at-risk duration rather than discarding it. The duration is therefore not the realized time-to-breach for every row, which would be undefined for the censored half, but the planned span over which each project is observed, with the event indicator marking which observations terminate in a breach. Constructing the outcome this way requires that every row carry a confirmed baseline confirmation date and a confirmed baseline launch readiness date, which is precisely the requirement that reduces the schedule sample to twenty-six from the cost paper’s twenty-eight.</w:t>
      </w:r>
    </w:p>
    <w:p>
      <w:pPr>
        <w:pStyle w:val="BodyText"/>
        <w:spacing w:line="480" w:lineRule="auto"/>
        <w:ind w:firstLine="720"/>
      </w:pPr>
      <w:r>
        <w:t xml:space="preserve">A measurement asymmetry between the two papers that a careful reader will notice traces to this dependence on dated baselines. The cost outcome needs only two dollar figures, a baseline and a current value, and is robust to missing dates. The schedule outcome needs two calendar dates per project and is robust to missing dollar values only in the regressors. The two outcomes therefore draw on partially different fields of the same primary documents, and a project can be measurable for one paper while not for the other. This is the proximate cause of the sample-size difference and is reported here so that the difference is understood as a measurement constraint rather than an analytic choice.</w:t>
      </w:r>
    </w:p>
    <w:bookmarkEnd w:id="99"/>
    <w:bookmarkStart w:id="100" w:name="the-bidder-field-regressor"/>
    <w:p>
      <w:pPr>
        <w:pStyle w:val="Heading2"/>
        <w:spacing w:line="480" w:lineRule="auto"/>
      </w:pPr>
      <w:r>
        <w:t xml:space="preserve">4.6 The bidder-field regressor</w:t>
      </w:r>
    </w:p>
    <w:p>
      <w:pPr>
        <w:pStyle w:val="FirstParagraph"/>
        <w:spacing w:line="480" w:lineRule="auto"/>
      </w:pPr>
      <w:r>
        <w:t xml:space="preserve">The key regressor in both papers is the number of qualified competitors for the prime-contract award, and its construction is the single most judgment-laden element of the measurement design. This is where coding judgment bites hardest. The variable is built from two distinct primary-record families, distinguished by the procurement pathway of the project. For openly competed awards, the count is taken from the documented number of competing proposals or down-select finalists. The clearest cases are the NASA Announcement of Opportunity selections for the Discovery, New Frontiers, and Explorer mission lines, where the Step-1 finalist pool or proposal count is published in the selection record; the 2015 Discovery competition carried five Step-1 finalists, and New Frontiers-4 carried two, and these figures enter the dataset directly from those records. The Commercial Crew down-select to SpaceX and Boeing is coded from its documented competitive field, with the contemporaneous award record corroborating the count</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For directed, sole-source, or in-house awards, the field is coded as a single competitor. This class includes the Boeing core-stage production contract awarded under a justification for other than full and open competition, the Lockheed Martin Orion award, and the in-house science spacecraft built at the Applied Physics Laboratory and the Jet Propulsion Laboratory. Coding these as one is a substantive measurement decision, not a default: a directed award has, by construction, a competitive field of size one, and the variable is meant to capture exactly that contrast between a cultivated multi-firm field and a single-source commitment. The coding rule is therefore that the bidder count equals the documented number of credible competing offers or finalists for competed awards, and equals one for awards the agency directed to a single source.</w:t>
      </w:r>
    </w:p>
    <w:p>
      <w:pPr>
        <w:pStyle w:val="BodyText"/>
        <w:spacing w:line="480" w:lineRule="auto"/>
        <w:ind w:firstLine="720"/>
      </w:pPr>
      <w:r>
        <w:t xml:space="preserve">This regressor is the locus of the measurement limitations the dissertation is most careful to disclose. The count is coarse. It flattens real differences: it does not distinguish a thin two-firm field from a deep one, so a project with two finalists and a project with two genuinely rivalrous bidders receive the same value even though the competitive pressure may differ. It is also the field most exposed to the illustrative-cell convention, since for a small number of projects a precise public count of competing offers was unobtainable and the cell carries the illustrative marker described in Section 4.3. Finally, the variable is endogenous to mission type by the very selection mechanism the dissertation’s governance reading predicts: agencies cultivate large competed fields for the small, cost-capped, schedule-aggressive mission classes and reserve single-source instruments for the large flagships</w:t>
      </w:r>
      <w:r>
        <w:t xml:space="preserve"> </w:t>
      </w:r>
      <w:hyperlink w:anchor="ref-1">
        <w:r>
          <w:rPr>
            <w:rStyle w:val="Hyperlink"/>
          </w:rPr>
          <w:t xml:space="preserve">[1]</w:t>
        </w:r>
      </w:hyperlink>
      <w:r>
        <w:t xml:space="preserve"> </w:t>
      </w:r>
      <w:hyperlink w:anchor="ref-5">
        <w:r>
          <w:rPr>
            <w:rStyle w:val="Hyperlink"/>
          </w:rPr>
          <w:t xml:space="preserve">[5]</w:t>
        </w:r>
      </w:hyperlink>
      <w:r>
        <w:t xml:space="preserve">. The measurement does not and cannot purge this endogeneity; it records the field size faithfully and leaves the confound to be addressed by the covariate structure and the explicit conditional-independence assumption the design chapter states. The honesty of the construction lies in measuring the regressor cleanly while naming, rather than concealing, what it is entangled with</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bookmarkEnd w:id="100"/>
    <w:bookmarkStart w:id="101" w:name="the-contract-type-covariate"/>
    <w:p>
      <w:pPr>
        <w:pStyle w:val="Heading2"/>
        <w:spacing w:line="480" w:lineRule="auto"/>
      </w:pPr>
      <w:r>
        <w:t xml:space="preserve">4.7 The contract-type covariate</w:t>
      </w:r>
    </w:p>
    <w:p>
      <w:pPr>
        <w:pStyle w:val="FirstParagraph"/>
        <w:spacing w:line="480" w:lineRule="auto"/>
      </w:pPr>
      <w:r>
        <w:t xml:space="preserve">Both papers enter contract type as a covariate, though they parameterize it to suit their respective outcomes. The cost paper uses a firm-fixed-price indicator, set to one when the prime award is firm-fixed-price and zero otherwise. The schedule paper uses a cost-plus instrument indicator, set to one when the prime award is cost-reimbursement and zero otherwise. These are two codings of the same underlying contract-pricing field, oriented so that each paper’s indicator points toward the instrument its theory predicts will dominate. The firm-fixed-price coding suits the cost paper because fixed-price awards transfer overrun risk to the contractor and should therefore depress measured agency cost growth. The cost-plus coding suits the schedule paper because the governance literature holds that cost-plus instruments are deliberately chosen to absorb delay and overrun risk, making the instrument endogenous to the very schedule hazard the model studies</w:t>
      </w:r>
      <w:r>
        <w:t xml:space="preserve"> </w:t>
      </w:r>
      <w:hyperlink w:anchor="ref-1">
        <w:r>
          <w:rPr>
            <w:rStyle w:val="Hyperlink"/>
          </w:rPr>
          <w:t xml:space="preserve">[1]</w:t>
        </w:r>
      </w:hyperlink>
      <w:r>
        <w:t xml:space="preserve">.</w:t>
      </w:r>
    </w:p>
    <w:p>
      <w:pPr>
        <w:pStyle w:val="BodyText"/>
        <w:spacing w:line="480" w:lineRule="auto"/>
        <w:ind w:firstLine="720"/>
      </w:pPr>
      <w:r>
        <w:t xml:space="preserve">The contract-type variable is read from the prime-contract record for each project, the same award documentation that supplies the bidder-field coding for directed missions. This shared provenance is deliberate: pricing type and competitive pathway are recorded together in the award action, so coding them from a common source guards against the inconsistency that would arise if one were taken from a procurement record and the other from a press summary. The measurement treats contract type as observed at award and held fixed for the project, which is appropriate for a cross-sectional design and is acknowledged as a simplification for projects whose instrument mix shifted across phases.</w:t>
      </w:r>
    </w:p>
    <w:bookmarkEnd w:id="101"/>
    <w:bookmarkStart w:id="102" w:name="the-program-scale-control"/>
    <w:p>
      <w:pPr>
        <w:pStyle w:val="Heading2"/>
        <w:spacing w:line="480" w:lineRule="auto"/>
      </w:pPr>
      <w:r>
        <w:t xml:space="preserve">4.8 The program-scale control</w:t>
      </w:r>
    </w:p>
    <w:p>
      <w:pPr>
        <w:pStyle w:val="FirstParagraph"/>
        <w:spacing w:line="480" w:lineRule="auto"/>
      </w:pPr>
      <w:r>
        <w:t xml:space="preserve">The third covariate in both papers is a program-scale control, included to absorb the mission-difficulty confound that the governance literature identifies as the operative driver of execution risk. The two papers proxy scale slightly differently, matched to their outcome’s functional form. The cost paper uses baseline life-cycle cost in billions of dollars, entered in levels, on the reasoning that larger flagship missions carry more technical unknowns and have historically been the worst overrun offenders, so the coefficient on scale is expected to be positive</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schedule paper uses the natural log of development cost in millions of dollars, the log transform chosen because the Cox proportional-hazards specification multiplies a baseline hazard by an exponential function of the covariates, and a logged scale control enters that multiplicative form more naturally than a level.</w:t>
      </w:r>
    </w:p>
    <w:p>
      <w:pPr>
        <w:pStyle w:val="BodyText"/>
        <w:spacing w:line="480" w:lineRule="auto"/>
        <w:ind w:firstLine="720"/>
      </w:pPr>
      <w:r>
        <w:t xml:space="preserve">Both scale measures are read from the same GAO and OIG records that supply the outcomes, so the scale control inherits the same provenance discipline. Choosing baseline rather than current cost for the scale proxy is intentional and matters for interpretation: scale is meant to capture the intrinsic size and difficulty of the mission as committed at confirmation, not the inflated figure that cost growth itself produces. Using a current cost would contaminate the control with the outcome, since a project that overran would appear larger and the regression would partly explain cost growth by cost growth. Anchoring scale to the baseline avoids that circularity and keeps the control a measure of mission ambition rather than of execution failure.</w:t>
      </w:r>
    </w:p>
    <w:bookmarkEnd w:id="102"/>
    <w:bookmarkStart w:id="103" w:name="Xe797ec4b6f64f27c17ebf8edd40937056f26980"/>
    <w:p>
      <w:pPr>
        <w:pStyle w:val="Heading2"/>
        <w:spacing w:line="480" w:lineRule="auto"/>
      </w:pPr>
      <w:r>
        <w:t xml:space="preserve">4.9 Measurement limitations and their disclosure</w:t>
      </w:r>
    </w:p>
    <w:p>
      <w:pPr>
        <w:pStyle w:val="FirstParagraph"/>
        <w:spacing w:line="480" w:lineRule="auto"/>
      </w:pPr>
      <w:r>
        <w:t xml:space="preserve">Three measurement limitations cut across both papers and are recorded here as a unified statement rather than scattered through the analysis. First is the coarseness and partial unobservability of the bidder-field count, addressed in Section 4.6, which the illustrative-cell convention makes visible and cannot repair. Second is the small population: twenty-eight projects in the cost paper and twenty-six in the schedule paper are the near-complete set of trackable NASA major projects, not a sample that can be enlarged at will, so the measurements support estimation with limited power, a constraint that belongs to the data rather than to the method. Third is the endogeneity of the procurement instrument and the competitive field to mission type, which the measurement records faithfully and does not resolve; the design chapter’s conditional-independence assumption is the explicit device by which the analysis proceeds in the presence of this confound, and the present chapter’s contribution is to have measured the entangled variables cleanly enough that the assumption can be stated and scrutinized rather than buried.</w:t>
      </w:r>
    </w:p>
    <w:p>
      <w:pPr>
        <w:pStyle w:val="BodyText"/>
        <w:spacing w:line="480" w:lineRule="auto"/>
        <w:ind w:firstLine="720"/>
      </w:pPr>
      <w:r>
        <w:t xml:space="preserve">These limitations are scoped, finally, by the population from which the data are drawn. Every variable in both papers describes NASA civil-space major projects observed through congressional-oversight and inspector-general records. The measurement therefore speaks to U.S. government civil-space execution and not to the New Space commercial procurement models whose governance is still in transition</w:t>
      </w:r>
      <w:r>
        <w:t xml:space="preserve"> </w:t>
      </w:r>
      <w:hyperlink w:anchor="ref-1">
        <w:r>
          <w:rPr>
            <w:rStyle w:val="Hyperlink"/>
          </w:rPr>
          <w:t xml:space="preserve">[1]</w:t>
        </w:r>
      </w:hyperlink>
      <w:r>
        <w:t xml:space="preserve"> </w:t>
      </w:r>
      <w:hyperlink w:anchor="ref-4">
        <w:r>
          <w:rPr>
            <w:rStyle w:val="Hyperlink"/>
          </w:rPr>
          <w:t xml:space="preserve">[4]</w:t>
        </w:r>
      </w:hyperlink>
      <w:r>
        <w:t xml:space="preserve">, nor to the constellation-operator competition whose welfare effects are estimated in a different literature on a different unit</w:t>
      </w:r>
      <w:r>
        <w:t xml:space="preserve"> </w:t>
      </w:r>
      <w:hyperlink w:anchor="ref-6">
        <w:r>
          <w:rPr>
            <w:rStyle w:val="Hyperlink"/>
          </w:rPr>
          <w:t xml:space="preserve">[6]</w:t>
        </w:r>
      </w:hyperlink>
      <w:r>
        <w:t xml:space="preserve">. The data are authoritative for what they measure and silent beyond it, and the chapters that follow read the estimates strictly within that boundary.</w:t>
      </w:r>
    </w:p>
    <w:bookmarkEnd w:id="103"/>
    <w:bookmarkEnd w:id="104"/>
    <w:bookmarkStart w:id="112" w:name="chapter-5.-methods-and-identification"/>
    <w:p>
      <w:pPr>
        <w:pStyle w:val="Heading1"/>
        <w:spacing w:line="480" w:lineRule="auto"/>
      </w:pPr>
      <w:r>
        <w:t xml:space="preserve">Chapter 5. Methods and Identification</w:t>
      </w:r>
    </w:p>
    <w:bookmarkStart w:id="105" w:name="purpose-and-organization-of-the-chapter"/>
    <w:p>
      <w:pPr>
        <w:pStyle w:val="Heading2"/>
        <w:spacing w:line="480" w:lineRule="auto"/>
      </w:pPr>
      <w:r>
        <w:t xml:space="preserve">5.1 Purpose and Organization of the Chapter</w:t>
      </w:r>
    </w:p>
    <w:p>
      <w:pPr>
        <w:pStyle w:val="FirstParagraph"/>
        <w:spacing w:line="480" w:lineRule="auto"/>
      </w:pPr>
      <w:r>
        <w:t xml:space="preserve">This chapter specifies the estimators that carry the dissertation’s empirical argument, states the identification strategy on which their interpretation rests, and enumerates the threats to validity together with the bound placed on each. The dissertation pursues a single, narrow, and falsifiable question: holding contract type and program scale fixed, does the number of responsive bidders at award predict the cost and schedule execution outcomes of major federal space programs, Two companion estimands answer that question on two distinct outcome surfaces. The first treats execution as a level, regressing normalized development cost growth on the bidder field. The second treats execution as a timing process, modeling the hazard of schedule-baseline breach over a program’s planned development span. The two estimators are not redundant. A cross-sectional regression of cost growth is silent about when a program loses control of its baseline, and a duration model of schedule breach is silent about how much budget a program ultimately consumes. The chapter therefore presents both as a coordinated pair, each conditioned on the same covariate set, so that a finding on one surface can be read against the other.</w:t>
      </w:r>
    </w:p>
    <w:p>
      <w:pPr>
        <w:pStyle w:val="BodyText"/>
        <w:spacing w:line="480" w:lineRule="auto"/>
        <w:ind w:firstLine="720"/>
      </w:pPr>
      <w:r>
        <w:t xml:space="preserve">Chapter architecture follows the logic of inference rather than the order of computation. Section 5.2 restates the estimands and the hypotheses they adjudicate. Section 5.3 specifies the ordinary-least-squares cost estimator. Section 5.4 specifies the Cox proportional-hazards schedule estimator. Section 5.5 sets out the identification strategy common to both, anchored on a conditional-independence assumption and the supporting analyses that probe it. Section 5.6 enumerates the threats to validity and states, for each, the specific design feature that bounds it and the residual exposure that remains after the bound is applied. Section 5.7 records the operational decisions that make the analysis reproducible from the public record.</w:t>
      </w:r>
    </w:p>
    <w:bookmarkEnd w:id="105"/>
    <w:bookmarkStart w:id="106" w:name="estimands-and-hypotheses"/>
    <w:p>
      <w:pPr>
        <w:pStyle w:val="Heading2"/>
        <w:spacing w:line="480" w:lineRule="auto"/>
      </w:pPr>
      <w:r>
        <w:t xml:space="preserve">5.2 Estimands and Hypotheses</w:t>
      </w:r>
    </w:p>
    <w:p>
      <w:pPr>
        <w:pStyle w:val="FirstParagraph"/>
        <w:spacing w:line="480" w:lineRule="auto"/>
      </w:pPr>
      <w:r>
        <w:t xml:space="preserve">The quantity of interest is the partial association between the count of responsive bidders at award and a program-execution outcome, with contract type and program scale entered as covariates rather than left in the error term. This is a deliberately modest target. The dissertation does not claim to recover the causal effect of competitive intensity on execution, and the chapter is explicit on this point because the most common error in the practitioner literature is to read a raw bidder-to-outcome correlation as if it were such an effect. The governance literature supplies the reason for caution. Agencies have historically deployed cost-plus contracts as the instrument through which they aim to mitigate delays and overruns</w:t>
      </w:r>
      <w:r>
        <w:t xml:space="preserve"> </w:t>
      </w:r>
      <w:hyperlink w:anchor="ref-1">
        <w:r>
          <w:rPr>
            <w:rStyle w:val="Hyperlink"/>
          </w:rPr>
          <w:t xml:space="preserve">[1]</w:t>
        </w:r>
      </w:hyperlink>
      <w:r>
        <w:t xml:space="preserve">, which means the contract instrument, not the size of the bidder field, has carried the burden of execution risk in the Legacy Space model.</w:t>
      </w:r>
    </w:p>
    <w:p>
      <w:pPr>
        <w:pStyle w:val="BodyText"/>
        <w:spacing w:line="480" w:lineRule="auto"/>
        <w:ind w:firstLine="720"/>
      </w:pPr>
      <w:r>
        <w:t xml:space="preserve">If the instrument and the program architecture are the operative levers, the bidder count may be epiphenomenal, correlated with execution success only because agencies cultivate larger fields for the mature, commoditized programs that were going to execute well in any case.</w:t>
      </w:r>
    </w:p>
    <w:p>
      <w:pPr>
        <w:pStyle w:val="BodyText"/>
        <w:spacing w:line="480" w:lineRule="auto"/>
        <w:ind w:firstLine="720"/>
      </w:pPr>
      <w:r>
        <w:t xml:space="preserve">The cost estimand is the coefficient on bidder count in a regression of normalized cost growth on bidder count, a contract-type indicator, and a continuous scale control. Its null and alternative are stated in the prospectus and carried forward here without modification. The null holds that, conditional on contract type and program scale, bidder count has zero partial association with cost growth. The alternative holds that a larger field is associated with lower cost growth, so that the coefficient is negative and statistically distinguishable from zero. The schedule estimand is the hazard ratio on the competing-offer count in a Cox model of schedule-baseline breach. Its null holds that the hazard ratio equals one; the practitioner alternative holds that it lies below one, indicating that a larger field slows the rate of breach.</w:t>
      </w:r>
    </w:p>
    <w:p>
      <w:pPr>
        <w:pStyle w:val="BodyText"/>
        <w:spacing w:line="480" w:lineRule="auto"/>
        <w:ind w:firstLine="720"/>
      </w:pPr>
      <w:r>
        <w:t xml:space="preserve">Both designs are constructed to be capable of failing to support the practitioner alternative, because the disciplining value of the test lies precisely in its capacity to return a null or a signed reversal where the prevailing doctrine predicts a protective effect.</w:t>
      </w:r>
    </w:p>
    <w:bookmarkEnd w:id="106"/>
    <w:bookmarkStart w:id="107" w:name="X65e75e4d98c8892e3acea09ff33cd06b3cbba3a"/>
    <w:p>
      <w:pPr>
        <w:pStyle w:val="Heading2"/>
        <w:spacing w:line="480" w:lineRule="auto"/>
      </w:pPr>
      <w:r>
        <w:t xml:space="preserve">5.3 The Cost Estimator: Ordinary Least Squares</w:t>
      </w:r>
    </w:p>
    <w:p>
      <w:pPr>
        <w:pStyle w:val="FirstParagraph"/>
        <w:spacing w:line="480" w:lineRule="auto"/>
      </w:pPr>
      <w:r>
        <w:t xml:space="preserve">Ordinary least squares with heteroskedasticity-robust standard errors carries the cost-side analysis. The dependent variable is cumulative development cost growth from the confirmed program baseline, expressed as a normalized index so that agency-level base-rate differences do not enter the comparison. The regressors are the count of responsive bidders for the prime-contract award, an indicator for the contract pricing type, and a continuous scale control given by the baseline obligated value. OLS is the appropriate first estimator for three reasons. The outcome is a continuous quantity, the hypothesis concerns the sign and magnitude of a partial association under fixed covariates, and the parsimony of a three-regressor specification is warranted by the size of the analytic sample. Robust standard errors are not a cosmetic addition. They earn their place. Cost growth in this population is sharply right-skewed because a small number of flagship overruns sit alongside many near-baseline missions, and that configuration produces exactly the unequal error variance that the heteroskedasticity-consistent estimator is designed to accommodate.</w:t>
      </w:r>
    </w:p>
    <w:p>
      <w:pPr>
        <w:pStyle w:val="BodyText"/>
        <w:spacing w:line="480" w:lineRule="auto"/>
        <w:ind w:firstLine="720"/>
      </w:pPr>
      <w:r>
        <w:t xml:space="preserve">The specification is read descriptively. The coefficient on bidder count is interpreted as the partial association between an additional responsive offer and normalized cost growth, holding instrument and scale fixed, and not as the effect of adding a bidder to a fixed program. Why that restraint is mandatory the companion cost paper demonstrates. In a cross-section of twenty-eight NASA major projects, the estimated coefficient on bidder count was positive rather than negative, statistically indistinguishable from zero, and pointed against the practitioner alternative once project scale entered the model, while scale itself was the variable that moved cost growth. That pattern is consistent with a selection story in which competed, fixed-price awards are reserved for missions whose requirements are already stable, while the hardest missions remain directed and cost-reimbursable</w:t>
      </w:r>
      <w:r>
        <w:t xml:space="preserve"> </w:t>
      </w:r>
      <w:hyperlink w:anchor="ref-5">
        <w:r>
          <w:rPr>
            <w:rStyle w:val="Hyperlink"/>
          </w:rPr>
          <w:t xml:space="preserve">[5]</w:t>
        </w:r>
      </w:hyperlink>
      <w:r>
        <w:t xml:space="preserve">. The OLS estimator cannot break that confound by itself, which is why the identification strategy of Section 5.5 adds the stratified and placebo analyses that probe it.</w:t>
      </w:r>
    </w:p>
    <w:p>
      <w:pPr>
        <w:pStyle w:val="BodyText"/>
        <w:spacing w:line="480" w:lineRule="auto"/>
        <w:ind w:firstLine="720"/>
      </w:pPr>
      <w:r>
        <w:t xml:space="preserve">Two supplementary OLS specifications discipline the headline estimate. The first stratifies the estimation by contract-type stratum, reporting the bidder-count coefficient separately within the cost-plus and fixed-price subsamples. The governance literature predicts that the instrument absorbs the variation the practitioner attributes to the field</w:t>
      </w:r>
      <w:r>
        <w:t xml:space="preserve"> </w:t>
      </w:r>
      <w:hyperlink w:anchor="ref-1">
        <w:r>
          <w:rPr>
            <w:rStyle w:val="Hyperlink"/>
          </w:rPr>
          <w:t xml:space="preserve">[1]</w:t>
        </w:r>
      </w:hyperlink>
      <w:r>
        <w:t xml:space="preserve">, so the stratified estimates reveal whether any bidder-count signal survives within instrument or is merely a between-instrument artifact. The second is a sensitivity specification that drops actions carrying implausible offer counts, isolating the headline estimate from the known recording pathologies of the offers-received field.</w:t>
      </w:r>
    </w:p>
    <w:bookmarkEnd w:id="107"/>
    <w:bookmarkStart w:id="108" w:name="X3e970128dee6dc57acf5ec4a6c0215bd1862df9"/>
    <w:p>
      <w:pPr>
        <w:pStyle w:val="Heading2"/>
        <w:spacing w:line="480" w:lineRule="auto"/>
      </w:pPr>
      <w:r>
        <w:t xml:space="preserve">5.4 The Schedule Estimator: Cox Proportional Hazards</w:t>
      </w:r>
    </w:p>
    <w:p>
      <w:pPr>
        <w:pStyle w:val="FirstParagraph"/>
        <w:spacing w:line="480" w:lineRule="auto"/>
      </w:pPr>
      <w:r>
        <w:t xml:space="preserve">A Cox proportional-hazards model fit by partial likelihood carries the schedule-side analysis. The outcome is time to schedule-baseline breach, measured over the planned development span from baseline confirmation to baseline launch readiness, the interval over which a program is at risk of slipping its committed date. The event indicator records whether a program breached its baseline launch readiness date; programs that launched on or before baseline are right-censored. The covariates mirror the cost model: the competing-offer count, a cost-plus instrument indicator, and the natural log of development cost as the scale control. The hazard for a program with covariate vector X is modeled as an unspecified baseline hazard multiplied by an exponential function of the covariates, so that each coefficient exponentiates to a hazard ratio, with a ratio above one indicating an accelerated rate of breach and a ratio below one a slowed rate.</w:t>
      </w:r>
    </w:p>
    <w:p>
      <w:pPr>
        <w:pStyle w:val="BodyText"/>
        <w:spacing w:line="480" w:lineRule="auto"/>
        <w:ind w:firstLine="720"/>
      </w:pPr>
      <w:r>
        <w:t xml:space="preserve">For reasons the OLS estimator cannot satisfy, the Cox model is the correct instrument here. Execution is a survival process. A program does not simply arrive at a final schedule outcome; it survives, or fails to survive, a development span during which breach may occur at any point, and the practitioner doctrine that a larger field disciplines execution is at bottom a claim about that survival process. The Cox specification uses the full timing information in the planned span, accommodates right-censored programs that launched on or before baseline without discarding them, and imposes no parametric form on the baseline hazard, which is desirable because there is no theoretical warrant for assuming a particular shape for the breach hazard of space programs. The companion schedule paper reports that the competing-offer count carried a hazard ratio above one and statistically distinguishable from one, a signed reversal of the practitioner alternative rather than a mere failure to confirm it, while log development cost carried a hazard ratio well below one, indicating that larger programs face a lower per-month breach hazard within their generously dated baselines.</w:t>
      </w:r>
    </w:p>
    <w:p>
      <w:pPr>
        <w:pStyle w:val="BodyText"/>
        <w:spacing w:line="480" w:lineRule="auto"/>
        <w:ind w:firstLine="720"/>
      </w:pPr>
      <w:r>
        <w:t xml:space="preserve">The reversal is read not as competition causing slips but as a selection artifact, in which competed mission classes that attract larger fields are also the cost-capped, schedule-aggressive classes whose tight baselines breach most readily.</w:t>
      </w:r>
    </w:p>
    <w:p>
      <w:pPr>
        <w:pStyle w:val="BodyText"/>
        <w:spacing w:line="480" w:lineRule="auto"/>
        <w:ind w:firstLine="720"/>
      </w:pPr>
      <w:r>
        <w:t xml:space="preserve">The proportional-hazards assumption the Cox model imposes is itself a testable restriction. Where the hazard ratio of a covariate is not constant over the planned span, the proportionality assumption is violated and the reported ratio is an average over a changing relationship.</w:t>
      </w:r>
    </w:p>
    <w:p>
      <w:pPr>
        <w:pStyle w:val="BodyText"/>
        <w:spacing w:line="480" w:lineRule="auto"/>
        <w:ind w:firstLine="720"/>
      </w:pPr>
      <w:r>
        <w:t xml:space="preserve">The design treats this as a diagnostic to be reported rather than asserted, so that the reader can judge whether the constant-ratio interpretation is warranted for each covariate.</w:t>
      </w:r>
    </w:p>
    <w:bookmarkEnd w:id="108"/>
    <w:bookmarkStart w:id="109" w:name="identification-strategy"/>
    <w:p>
      <w:pPr>
        <w:pStyle w:val="Heading2"/>
        <w:spacing w:line="480" w:lineRule="auto"/>
      </w:pPr>
      <w:r>
        <w:t xml:space="preserve">5.5 Identification Strategy</w:t>
      </w:r>
    </w:p>
    <w:p>
      <w:pPr>
        <w:pStyle w:val="FirstParagraph"/>
        <w:spacing w:line="480" w:lineRule="auto"/>
      </w:pPr>
      <w:r>
        <w:t xml:space="preserve">Both estimators rest on a single conditional-independence assumption: that within a contract-type stratum and a scale band, the assignment of programs to larger or smaller bidder fields is unconfounded with unobserved execution difficulty. Under this assumption the partial coefficient on bidder count recovers the association of interest free of the contract-type and scale confounds that travel with it. The assumption is strong, and the chapter neither hides that nor rests the inference on it alone. The identification strategy is built around the recognition that the assumption is most likely to fail through a specific channel, namely the agency’s selection of which programs to cultivate large competed fields for, and the design therefore adds analyses that make that channel observable.</w:t>
      </w:r>
    </w:p>
    <w:p>
      <w:pPr>
        <w:pStyle w:val="BodyText"/>
        <w:spacing w:line="480" w:lineRule="auto"/>
        <w:ind w:firstLine="720"/>
      </w:pPr>
      <w:r>
        <w:t xml:space="preserve">The first supporting analysis is the contract-type stratification described in Section 5.3. If the bidder-count coefficient is generated by the instrument rather than by competitive discipline, it should attenuate or vanish once the estimation is run within instrument. The governance mechanism predicts exactly this, because the contract instrument is chosen to absorb the overrun and schedule risk the practitioner attributes to the field</w:t>
      </w:r>
      <w:r>
        <w:t xml:space="preserve"> </w:t>
      </w:r>
      <w:hyperlink w:anchor="ref-1">
        <w:r>
          <w:rPr>
            <w:rStyle w:val="Hyperlink"/>
          </w:rPr>
          <w:t xml:space="preserve">[1]</w:t>
        </w:r>
      </w:hyperlink>
      <w:r>
        <w:t xml:space="preserve">. The stratified estimates therefore function as a partial test of the identifying assumption rather than as a mere robustness check.</w:t>
      </w:r>
    </w:p>
    <w:p>
      <w:pPr>
        <w:pStyle w:val="BodyText"/>
        <w:spacing w:line="480" w:lineRule="auto"/>
        <w:ind w:firstLine="720"/>
      </w:pPr>
      <w:r>
        <w:t xml:space="preserve">The second supporting analysis is a placebo specification that regresses bidder count on pre-award program characteristics. If pre-award characteristics predict the size of the field, then agencies are cultivating larger fields for programs they have already judged on grounds correlated with execution difficulty, and the conditional-independence assumption is compromised. A placebo that detects such prediction does not repair the estimate; it disqualifies the causal reading and licenses only a descriptive one. The placebo is reported precisely so that the reader can see the selection channel operate rather than take its absence on faith.</w:t>
      </w:r>
    </w:p>
    <w:p>
      <w:pPr>
        <w:pStyle w:val="BodyText"/>
        <w:spacing w:line="480" w:lineRule="auto"/>
        <w:ind w:firstLine="720"/>
      </w:pPr>
      <w:r>
        <w:t xml:space="preserve">Third in the strategy is the deliberate pairing of the two outcome surfaces. Because the cost and schedule estimators are conditioned on the same covariate set and applied to overlapping program populations, a consistent pattern across them strengthens the descriptive inference, while a divergence localizes where the selection story bites. The schedule reversal and the cost null are mutually informative in this respect: a field-size variable entangled with cost-capped, schedule-aggressive mission classes should show up as a higher breach hazard and a weak or wrong-signed cost coefficient, which is the joint pattern the companion papers report. The identification strategy thus treats the two estimators as a single coordinated design whose joint behavior is more interpretable than either estimate read in isolation.</w:t>
      </w:r>
    </w:p>
    <w:bookmarkEnd w:id="109"/>
    <w:bookmarkStart w:id="110" w:name="threats-to-validity-and-their-bounds"/>
    <w:p>
      <w:pPr>
        <w:pStyle w:val="Heading2"/>
        <w:spacing w:line="480" w:lineRule="auto"/>
      </w:pPr>
      <w:r>
        <w:t xml:space="preserve">5.6 Threats to Validity and Their Bounds</w:t>
      </w:r>
    </w:p>
    <w:p>
      <w:pPr>
        <w:pStyle w:val="FirstParagraph"/>
        <w:spacing w:line="480" w:lineRule="auto"/>
      </w:pPr>
      <w:r>
        <w:t xml:space="preserve">Four threats the chapter treats as material, stating for each the design feature that bounds it and the exposure that survives the bound.</w:t>
      </w:r>
    </w:p>
    <w:p>
      <w:pPr>
        <w:pStyle w:val="BodyText"/>
        <w:spacing w:line="480" w:lineRule="auto"/>
        <w:ind w:firstLine="720"/>
      </w:pPr>
      <w:r>
        <w:t xml:space="preserve">The first threat is selection on unobservables. It is the gravest of the four. Agencies may cultivate larger bidder fields for programs they already judge low-risk, inducing a spurious negative cost coefficient and a misread of the schedule hazard that has nothing to do with competitive discipline. The placebo specification of Section 5.5 is the direct check, and it bounds the threat asymmetrically. If pre-award characteristics fail to predict bidder count, the conditional-independence assumption survives a meaningful test; if they predict it, the estimate is reported as descriptive only and no causal claim is advanced. The residual exposure is that a placebo built from observed pre-award characteristics cannot rule out selection on genuinely unobserved difficulty, so the bound is informative but not conclusive.</w:t>
      </w:r>
    </w:p>
    <w:p>
      <w:pPr>
        <w:pStyle w:val="BodyText"/>
        <w:spacing w:line="480" w:lineRule="auto"/>
        <w:ind w:firstLine="720"/>
      </w:pPr>
      <w:r>
        <w:t xml:space="preserve">Contract-type endogeneity is the second threat. The governance literature holds that cost-plus instruments are themselves chosen to absorb overrun and schedule risk</w:t>
      </w:r>
      <w:r>
        <w:t xml:space="preserve"> </w:t>
      </w:r>
      <w:hyperlink w:anchor="ref-1">
        <w:r>
          <w:rPr>
            <w:rStyle w:val="Hyperlink"/>
          </w:rPr>
          <w:t xml:space="preserve">[1]</w:t>
        </w:r>
      </w:hyperlink>
      <w:r>
        <w:t xml:space="preserve">, so contract type is not exogenous, and controlling for it may absorb the very variation the practitioner alternative predicts. The stratified estimation bounds this threat by exposing the bidder-count signal within each instrument, so that the reader can distinguish a within-instrument association from a between-instrument artifact. The residual exposure is that stratification reduces the effective sample in each cell and widens the confidence intervals, so the within-instrument estimates are bounded in interpretation by their own imprecision.</w:t>
      </w:r>
    </w:p>
    <w:p>
      <w:pPr>
        <w:pStyle w:val="BodyText"/>
        <w:spacing w:line="480" w:lineRule="auto"/>
        <w:ind w:firstLine="720"/>
      </w:pPr>
      <w:r>
        <w:t xml:space="preserve">Third is measurement error in the offers-received field. The regressor is noisy at the source. The federal procurement record is known to under-record offers on certain action types and to conflate responsive with non-responsive offers, which injects noise and potential bias into the key regressor. The design bounds this threat in two stages: the analytic sample is restricted to competitively solicited major space actions, which removes the action types most prone to under-recording, and a sensitivity analysis drops actions with implausible offer counts to confirm the headline estimate is not driven by recording pathology. The residual exposure is that classical measurement error in the regressor attenuates the coefficient toward zero, so a null on bidder count must be read as consistent with both a true null and an attenuated true effect, and the chapter does not over-interpret a null as decisive.</w:t>
      </w:r>
    </w:p>
    <w:p>
      <w:pPr>
        <w:pStyle w:val="BodyText"/>
        <w:spacing w:line="480" w:lineRule="auto"/>
        <w:ind w:firstLine="720"/>
      </w:pPr>
      <w:r>
        <w:t xml:space="preserve">External validity is the fourth threat. The analytic population is NASA and U.S. Space Force major space-system procurement, and the findings speak to federal major-program execution and not to the New Space commercial procurement models whose governance is still in transition</w:t>
      </w:r>
      <w:r>
        <w:t xml:space="preserve"> </w:t>
      </w:r>
      <w:hyperlink w:anchor="ref-1">
        <w:r>
          <w:rPr>
            <w:rStyle w:val="Hyperlink"/>
          </w:rPr>
          <w:t xml:space="preserve">[1]</w:t>
        </w:r>
      </w:hyperlink>
      <w:r>
        <w:t xml:space="preserve"> </w:t>
      </w:r>
      <w:hyperlink w:anchor="ref-4">
        <w:r>
          <w:rPr>
            <w:rStyle w:val="Hyperlink"/>
          </w:rPr>
          <w:t xml:space="preserve">[4]</w:t>
        </w:r>
      </w:hyperlink>
      <w:r>
        <w:t xml:space="preserve">, nor to the constellation-operator competition whose welfare effects are estimated elsewhere</w:t>
      </w:r>
      <w:r>
        <w:t xml:space="preserve"> </w:t>
      </w:r>
      <w:hyperlink w:anchor="ref-6">
        <w:r>
          <w:rPr>
            <w:rStyle w:val="Hyperlink"/>
          </w:rPr>
          <w:t xml:space="preserve">[6]</w:t>
        </w:r>
      </w:hyperlink>
      <w:r>
        <w:t xml:space="preserve">. The bound here is one of explicit scoping: the claims are restricted to the federal major-program execution context and made no more broadly. The residual exposure is that the very selection mechanism the design is built to detect may operate differently in the commercial models, so the scope restriction protects the internal claim at the cost of generality.</w:t>
      </w:r>
    </w:p>
    <w:p>
      <w:pPr>
        <w:pStyle w:val="BodyText"/>
        <w:spacing w:line="480" w:lineRule="auto"/>
        <w:ind w:firstLine="720"/>
      </w:pPr>
      <w:r>
        <w:t xml:space="preserve">A fifth, statistical, threat warrants brief mention because it conditions how all four substantive threats are read. The analytic samples are small, on the order of dozens of programs, which limits power and widens confidence intervals on both estimators. The bound is procedural: coefficients are reported as suggestive partial associations, whole-model significance is reported alongside individual coefficients so that explained variation is not overstated, and no claim rests on a single marginally significant estimate. The residual exposure is that small samples cannot adjudicate small true effects, so the design is honest about the difference between evidence of absence and absence of evidence.</w:t>
      </w:r>
    </w:p>
    <w:bookmarkEnd w:id="110"/>
    <w:bookmarkStart w:id="111" w:name="Xbcd74cf0b3350744cbb3c4630cc7b42403bb238"/>
    <w:p>
      <w:pPr>
        <w:pStyle w:val="Heading2"/>
        <w:spacing w:line="480" w:lineRule="auto"/>
      </w:pPr>
      <w:r>
        <w:t xml:space="preserve">5.7 Reproducibility and Operational Decisions</w:t>
      </w:r>
    </w:p>
    <w:p>
      <w:pPr>
        <w:pStyle w:val="FirstParagraph"/>
        <w:spacing w:line="480" w:lineRule="auto"/>
      </w:pPr>
      <w:r>
        <w:t xml:space="preserve">Auditable end to end from the public record is how the analysis is constructed. The primary source is the Federal Procurement Data System accessed through public award and sub-award interfaces and bulk archives, supplemented for the outcome variables by the GAO Assessments of Major Projects series and NASA Office of Inspector General audits, with each program row in the analytic table naming a documented source. The bidder-count variable is taken from the number of offers received on competed actions and from announcement-of-opportunity finalist pools for competed science missions, with directed single-source awards coded as a single-firm field. The contract-type indicator is taken from the recorded pricing type, and the scale control from the baseline obligated value, so that every covariate is traceable to a documented field rather than to analyst judgment. Where a precise figure is genuinely unobtainable, the affected component is flagged as illustrative and held below an admissible threshold, and no citation is ever illustrative.</w:t>
      </w:r>
    </w:p>
    <w:p>
      <w:pPr>
        <w:pStyle w:val="BodyText"/>
        <w:spacing w:line="480" w:lineRule="auto"/>
        <w:ind w:firstLine="720"/>
      </w:pPr>
      <w:r>
        <w:t xml:space="preserve">These decisions are recorded here rather than in the results chapters so that the estimators, the identification strategy, and the threats they answer can be evaluated against a single, transparent account of how the data were built.</w:t>
      </w:r>
    </w:p>
    <w:bookmarkEnd w:id="111"/>
    <w:bookmarkEnd w:id="112"/>
    <w:bookmarkStart w:id="126" w:name="chapter-6.-results"/>
    <w:p>
      <w:pPr>
        <w:pStyle w:val="Heading1"/>
        <w:spacing w:line="480" w:lineRule="auto"/>
      </w:pPr>
      <w:r>
        <w:t xml:space="preserve">Chapter 6. Results</w:t>
      </w:r>
    </w:p>
    <w:p>
      <w:pPr>
        <w:pStyle w:val="FirstParagraph"/>
        <w:spacing w:line="480" w:lineRule="auto"/>
      </w:pPr>
      <w:r>
        <w:t xml:space="preserve">This chapter presents the empirical findings of the two studies that together adjudicate the dissertation’s central question: whether the number of competing bidders for a prime-contract award predicts execution outcomes on major space programs once contract type and program scale are held fixed. The first study estimates a cross-sectional association between bidder count and development cost growth using ordinary least squares. The second treats schedule-baseline breach as a time-to-event outcome and estimates a Cox proportional-hazards model on the same population of federal civil-space programs. The two estimators interrogate complementary faces of the practitioner theorem. One asks whether a larger field disciplines the level of cost growth a program ultimately incurs; the other asks whether a larger field slows the rate at which a program slips its committed schedule. Read together, they supply a more complete verdict than either could alone, because the practitioner claim is, at bottom, a joint assertion about both the magnitude and the timing of execution failure.</w:t>
      </w:r>
    </w:p>
    <w:p>
      <w:pPr>
        <w:pStyle w:val="BodyText"/>
        <w:spacing w:line="480" w:lineRule="auto"/>
        <w:ind w:firstLine="720"/>
      </w:pPr>
      <w:r>
        <w:t xml:space="preserve">The chapter presents the numbers first and interprets them immediately afterward, study by study, before drawing the cross-study synthesis. The supporting tables, the estimating equations, the chart of the fitted relationships, and the underlying analytic data are reproduced in Appendix A and are not repeated here. Every coefficient, standard error, p-value, and fit statistic reported below is taken directly from the estimator output for the respective specification, and no quantity is introduced that does not appear in that output. This chapter’s interpretive burden is to explain what each estimate means, what it does not mean, and how the two estimates speak to the null and alternative hypotheses set out in the prospectus and refined in the two papers.</w:t>
      </w:r>
    </w:p>
    <w:bookmarkStart w:id="118" w:name="the-cost-growth-model"/>
    <w:p>
      <w:pPr>
        <w:pStyle w:val="Heading2"/>
        <w:spacing w:line="480" w:lineRule="auto"/>
      </w:pPr>
      <w:r>
        <w:t xml:space="preserve">6.1 The Cost-Growth Model</w:t>
      </w:r>
    </w:p>
    <w:bookmarkStart w:id="113" w:name="specification-and-fit"/>
    <w:p>
      <w:pPr>
        <w:pStyle w:val="Heading3"/>
        <w:spacing w:line="480" w:lineRule="auto"/>
      </w:pPr>
      <w:r>
        <w:t xml:space="preserve">6.1.1 Specification and Fit</w:t>
      </w:r>
    </w:p>
    <w:p>
      <w:pPr>
        <w:pStyle w:val="FirstParagraph"/>
        <w:spacing w:line="480" w:lineRule="auto"/>
      </w:pPr>
      <w:r>
        <w:t xml:space="preserve">The first study regresses cumulative development cost growth, expressed in percent against the confirmed project baseline, on three covariates: the count of qualified prime-contract bidders, a firm-fixed-price indicator, and baseline life-cycle cost measured in billions of dollars as the scale control. The estimator is ordinary least squares with heteroskedasticity-robust standard errors of the HC1 form. Choosing a robust covariance estimator is not cosmetic. The sample is dominated by many near-baseline missions sitting alongside a small number of catastrophic flagship overruns, and that configuration produces exactly the unequal error variance a classical OLS standard error would misstate. The robust correction is the appropriate guard, and it is the variance estimator under which all of the cost-side inferences below are drawn.</w:t>
      </w:r>
    </w:p>
    <w:p>
      <w:pPr>
        <w:pStyle w:val="BodyText"/>
        <w:spacing w:line="480" w:lineRule="auto"/>
        <w:ind w:firstLine="720"/>
      </w:pPr>
      <w:r>
        <w:t xml:space="preserve">The model is fit on twenty-eight NASA major projects. It returns an R-squared of 0.3933 and an adjusted R-squared of 0.3175. Read plainly, the three regressors jointly account for roughly thirty-nine percent of the observed variation in development cost growth across the cross-section, and the adjustment for the three degrees of freedom consumed by the covariates leaves about thirty-two percent. A naive reading might treat a thirty-nine percent R-squared as a moderately explanatory model. That reading is wrong. The whole-model F-test forbids it. The overall F-statistic is 0.9131 with an associated p-value of 0.4494. The regression as a whole is therefore not statistically significant at any conventional threshold; one cannot reject the hypothesis that all three slope coefficients are jointly zero. The tension between a non-trivial R-squared and an insignificant F-statistic is precisely what a sample of twenty-eight observations with three regressors and heavy-tailed errors should be expected to produce.</w:t>
      </w:r>
    </w:p>
    <w:p>
      <w:pPr>
        <w:pStyle w:val="BodyText"/>
        <w:spacing w:line="480" w:lineRule="auto"/>
        <w:ind w:firstLine="720"/>
      </w:pPr>
      <w:r>
        <w:t xml:space="preserve">The explained variation is real in the descriptive sense that the fitted plane tracks some of the spread in the data, and the sample is too small, and the residual variance too concentrated in a few extreme programs, for that fit to clear the bar of joint statistical significance. This is the first and most important framing fact about the cost-side result: the model is a descriptive partition of variance in a small, skewed cross-section, not a powered inferential test, and every coefficient that follows must be read in that light.</w:t>
      </w:r>
    </w:p>
    <w:bookmarkEnd w:id="113"/>
    <w:bookmarkStart w:id="114" w:name="the-bidder-count-coefficient"/>
    <w:p>
      <w:pPr>
        <w:pStyle w:val="Heading3"/>
        <w:spacing w:line="480" w:lineRule="auto"/>
      </w:pPr>
      <w:r>
        <w:t xml:space="preserve">6.1.2 The Bidder-Count Coefficient</w:t>
      </w:r>
    </w:p>
    <w:p>
      <w:pPr>
        <w:pStyle w:val="FirstParagraph"/>
        <w:spacing w:line="480" w:lineRule="auto"/>
      </w:pPr>
      <w:r>
        <w:t xml:space="preserve">The coefficient of central interest is the partial slope on bidder count. It is estimated at 14.2796, with a robust standard error of 18.5375 and a p-value of 0.4411. Three features of this estimate carry the weight of the hypothesis test. First, the estimate is not statistically distinguishable from zero: the p-value of 0.44 is nowhere near any conventional rejection threshold, and the t-ratio implied by a coefficient of 14.28 against a standard error of 18.54 is below one in absolute value. The data supply no evidence that the partial association between bidder count and cost growth differs from zero. Second, the magnitude, taken at face value, would imply that each additional qualified bidder is associated with roughly fourteen additional percentage points of development cost growth, holding contract type and scale fixed. Third, and most consequentially for the theory, the sign is positive. The practitioner hypothesis, H1, predicts a negative coefficient: more bidders, less cost growth. The point estimate runs in the opposite direction. In this sample, projects with more bidders show, if anything, slightly higher measured cost growth, not lower.</w:t>
      </w:r>
    </w:p>
    <w:p>
      <w:pPr>
        <w:pStyle w:val="BodyText"/>
        <w:spacing w:line="480" w:lineRule="auto"/>
        <w:ind w:firstLine="720"/>
      </w:pPr>
      <w:r>
        <w:t xml:space="preserve">Over-reading the positive sign would be a mistake. With a standard error of 18.54 the estimate is consistent with a wide band of values on both sides of zero, and the wrong-signed point estimate is best understood not as evidence that competition raises cost growth but as evidence that the simple bidder count carries no reliable disciplining signal at all. The disciplined conclusion is the one the second paper’s introduction states directly: the raw count of prime-contract bidders does not predict lower cost growth, the estimated association is small and statistically indistinguishable from zero, and it points in the wrong direction once project scale is included.</w:t>
      </w:r>
    </w:p>
    <w:p>
      <w:pPr>
        <w:pStyle w:val="BodyText"/>
        <w:spacing w:line="480" w:lineRule="auto"/>
        <w:ind w:firstLine="720"/>
      </w:pPr>
      <w:r>
        <w:t xml:space="preserve">So the null hypothesis that bidder count has zero partial association with cost growth cannot be rejected, and the alternative that more bidders lower cost growth receives no support whatever from the cost-side data.</w:t>
      </w:r>
    </w:p>
    <w:bookmarkEnd w:id="114"/>
    <w:bookmarkStart w:id="115" w:name="the-contract-type-coefficient"/>
    <w:p>
      <w:pPr>
        <w:pStyle w:val="Heading3"/>
        <w:spacing w:line="480" w:lineRule="auto"/>
      </w:pPr>
      <w:r>
        <w:t xml:space="preserve">6.1.3 The Contract-Type Coefficient</w:t>
      </w:r>
    </w:p>
    <w:p>
      <w:pPr>
        <w:pStyle w:val="FirstParagraph"/>
        <w:spacing w:line="480" w:lineRule="auto"/>
      </w:pPr>
      <w:r>
        <w:t xml:space="preserve">The firm-fixed-price indicator is estimated at minus 5.6177, with a robust standard error of 36.3651 and a p-value of 0.8772. The sign is in the theoretically expected direction. Firm-fixed-price awards transfer overrun risk to the contractor and should, on the agency’s books, show lower measured cost growth than cost-reimbursement awards, and a negative coefficient is consistent with that expectation. The estimate is small relative to its standard error and is overwhelmingly insignificant, with a p-value approaching 0.88. The standard error of 36.37 is more than six times the magnitude of the point estimate, which means the data cannot localize the contract-type effect with any precision; the estimate is consistent with a large protective effect, no effect, or a substantial perverse effect. Contract type, entered on its own as a binary control in this small cross-section, does not separate the high-growth projects from the rest. This is a substantively important null in its own right, because the governance literature treats the contract instrument as the operative lever on overrun risk</w:t>
      </w:r>
      <w:r>
        <w:t xml:space="preserve"> </w:t>
      </w:r>
      <w:hyperlink w:anchor="ref-1">
        <w:r>
          <w:rPr>
            <w:rStyle w:val="Hyperlink"/>
          </w:rPr>
          <w:t xml:space="preserve">[1]</w:t>
        </w:r>
      </w:hyperlink>
      <w:r>
        <w:t xml:space="preserve">, and the cost-side data here are simply too thin to confirm or deny that the instrument is doing measurable work on the level of cost growth once scale and bidder count are also in the model.</w:t>
      </w:r>
    </w:p>
    <w:bookmarkEnd w:id="115"/>
    <w:bookmarkStart w:id="116" w:name="the-scale-coefficient"/>
    <w:p>
      <w:pPr>
        <w:pStyle w:val="Heading3"/>
        <w:spacing w:line="480" w:lineRule="auto"/>
      </w:pPr>
      <w:r>
        <w:t xml:space="preserve">6.1.4 The Scale Coefficient</w:t>
      </w:r>
    </w:p>
    <w:p>
      <w:pPr>
        <w:pStyle w:val="FirstParagraph"/>
        <w:spacing w:line="480" w:lineRule="auto"/>
      </w:pPr>
      <w:r>
        <w:t xml:space="preserve">Baseline life-cycle cost, the scale control, is the strongest relationship in the model. Its coefficient is 53.5006, with a robust standard error of 35.6593 and a p-value of 0.1335. Read literally, each additional billion dollars of baseline life-cycle cost is associated with roughly fifty-three and a half additional percentage points of development cost growth, holding bidder count and contract type fixed. This is the only regressor whose magnitude and t-ratio point toward a substantive association: the coefficient is roughly one and a half times its standard error, and the p-value of 0.13, while it falls just short of significance at the ten percent level, is by an order of magnitude the most suggestive of the three. The estimate’s confidence interval still admits zero, so the scale effect is not established at conventional confidence, and among the three regressors it is unmistakably the one carrying the signal.</w:t>
      </w:r>
    </w:p>
    <w:p>
      <w:pPr>
        <w:pStyle w:val="BodyText"/>
        <w:spacing w:line="480" w:lineRule="auto"/>
        <w:ind w:firstLine="720"/>
      </w:pPr>
      <w:r>
        <w:t xml:space="preserve">The pattern is consistent with the portfolio record from which the dependent variable is drawn, in which the largest flagship missions are also the largest overrun contributors</w:t>
      </w:r>
      <w:r>
        <w:t xml:space="preserve"> </w:t>
      </w:r>
      <w:hyperlink w:anchor="ref-1">
        <w:r>
          <w:rPr>
            <w:rStyle w:val="Hyperlink"/>
          </w:rPr>
          <w:t xml:space="preserve">[1]</w:t>
        </w:r>
      </w:hyperlink>
      <w:r>
        <w:t xml:space="preserve"> </w:t>
      </w:r>
      <w:hyperlink w:anchor="ref-2">
        <w:r>
          <w:rPr>
            <w:rStyle w:val="Hyperlink"/>
          </w:rPr>
          <w:t xml:space="preserve">[2]</w:t>
        </w:r>
      </w:hyperlink>
      <w:r>
        <w:t xml:space="preserve">. Substantively, the cost-side model says that what little variation in cost growth this cross-section reliably tracks is driven by sheer project scale, the proxy for mission difficulty and technical novelty, and not by the competitive structure of the award.</w:t>
      </w:r>
    </w:p>
    <w:bookmarkEnd w:id="116"/>
    <w:bookmarkStart w:id="117" w:name="reading-the-cost-side-model-as-a-whole"/>
    <w:p>
      <w:pPr>
        <w:pStyle w:val="Heading3"/>
        <w:spacing w:line="480" w:lineRule="auto"/>
      </w:pPr>
      <w:r>
        <w:t xml:space="preserve">6.1.5 Reading the Cost-Side Model as a Whole</w:t>
      </w:r>
    </w:p>
    <w:p>
      <w:pPr>
        <w:pStyle w:val="FirstParagraph"/>
        <w:spacing w:line="480" w:lineRule="auto"/>
      </w:pPr>
      <w:r>
        <w:t xml:space="preserve">Coherent and pointing to a single substantive conclusion, that is the joint reading of the four coefficients. The covariate the practitioner theory privileges, bidder count, is insignificant and wrong-signed. The covariate the governance literature privileges, contract type, is correctly signed and hopelessly imprecise in this sample. The covariate that proxies mission difficulty, baseline scale, is the largest and most reliably signed relationship in the model, even though it too falls short of conventional significance. The whole-model F-test confirms that this is a low-power exercise: with twenty-eight observations and a residual variance concentrated in a handful of flagship overruns, no individual coefficient and no joint test clears significance, and the moderate R-squared is best understood as descriptive partition rather than confirmed structure. The cost-side study therefore establishes a baseline finding rather than a powered causal estimate: bidder count is a poor single instrument for predicting cost outcomes, and to the extent the data speak, they say difficulty, not competition, governs cost growth.</w:t>
      </w:r>
    </w:p>
    <w:bookmarkEnd w:id="117"/>
    <w:bookmarkEnd w:id="118"/>
    <w:bookmarkStart w:id="124" w:name="the-schedule-breach-hazard-model"/>
    <w:p>
      <w:pPr>
        <w:pStyle w:val="Heading2"/>
        <w:spacing w:line="480" w:lineRule="auto"/>
      </w:pPr>
      <w:r>
        <w:t xml:space="preserve">6.2 The Schedule-Breach Hazard Model</w:t>
      </w:r>
    </w:p>
    <w:bookmarkStart w:id="119" w:name="specification-and-sample"/>
    <w:p>
      <w:pPr>
        <w:pStyle w:val="Heading3"/>
        <w:spacing w:line="480" w:lineRule="auto"/>
      </w:pPr>
      <w:r>
        <w:t xml:space="preserve">6.2.1 Specification and Sample</w:t>
      </w:r>
    </w:p>
    <w:p>
      <w:pPr>
        <w:pStyle w:val="FirstParagraph"/>
        <w:spacing w:line="480" w:lineRule="auto"/>
      </w:pPr>
      <w:r>
        <w:t xml:space="preserve">Study two reframes the question from levels to timing. Rather than asking how much cost growth a program accumulates, it asks how quickly a program slips its committed launch readiness date, treating schedule-baseline breach as a time-to-event outcome. The estimator is a Cox proportional-hazards model fit by partial likelihood. The hazard of breach for a program with a given covariate vector is modeled as an unspecified baseline hazard multiplied by an exponential function of three covariates: the competing-offer count, a cost-plus instrument indicator, and the natural logarithm of development cost in millions as the scale control. Each estimated coefficient exponentiates to a hazard ratio, where a ratio above one means the covariate accelerates the rate of breach and a ratio below one means it slows that rate. The Cox specification is the correct instrument for this question because it uses the full timing information embedded in each program’s planned development span and accommodates censored programs without imposing a parametric form on the baseline hazard.</w:t>
      </w:r>
    </w:p>
    <w:p>
      <w:pPr>
        <w:pStyle w:val="BodyText"/>
        <w:spacing w:line="480" w:lineRule="auto"/>
        <w:ind w:firstLine="720"/>
      </w:pPr>
      <w:r>
        <w:t xml:space="preserve">The model is fit on twenty-six NASA major programs, of which thirteen breached their baseline launch readiness date and are treated as events, while the remaining thirteen launched on or before baseline and are right-censored.</w:t>
      </w:r>
    </w:p>
    <w:p>
      <w:pPr>
        <w:pStyle w:val="BodyText"/>
        <w:spacing w:line="480" w:lineRule="auto"/>
        <w:ind w:firstLine="720"/>
      </w:pPr>
      <w:r>
        <w:t xml:space="preserve">That even split between events and censored observations is favorable for a duration analysis of this size, because it means the partial likelihood draws information from roughly half the sample at the moment of estimation rather than from a handful of events.</w:t>
      </w:r>
    </w:p>
    <w:bookmarkEnd w:id="119"/>
    <w:bookmarkStart w:id="120" w:name="the-bidder-count-hazard"/>
    <w:p>
      <w:pPr>
        <w:pStyle w:val="Heading3"/>
        <w:spacing w:line="480" w:lineRule="auto"/>
      </w:pPr>
      <w:r>
        <w:t xml:space="preserve">6.2.2 The Bidder-Count Hazard</w:t>
      </w:r>
    </w:p>
    <w:p>
      <w:pPr>
        <w:pStyle w:val="FirstParagraph"/>
        <w:spacing w:line="480" w:lineRule="auto"/>
      </w:pPr>
      <w:r>
        <w:t xml:space="preserve">The coefficient of central interest is the partial log-hazard on the competing-offer count. It is estimated at 0.4784, with a standard error of 0.2366, a z-statistic of 2.02, and a p-value of 0.0432. Exponentiating the coefficient yields a hazard ratio of approximately 1.61, with a ninety-five percent confidence interval running from about 1.01 to 2.57. Three features of this estimate define the schedule-side finding. First, unlike every coefficient in the cost-side model, this estimate is statistically distinguishable from zero: the p-value of 0.043 clears the conventional five percent threshold, and the z-ratio of just over two confirms it. Second, the magnitude implies that each additional competing offer at selection is associated with roughly a sixty-one percent increase in the instantaneous hazard of schedule-baseline breach, holding contract instrument and program scale fixed. Third, and decisively for the theory, the direction is the reverse of what the practitioner claim predicts.</w:t>
      </w:r>
    </w:p>
    <w:p>
      <w:pPr>
        <w:pStyle w:val="BodyText"/>
        <w:spacing w:line="480" w:lineRule="auto"/>
        <w:ind w:firstLine="720"/>
      </w:pPr>
      <w:r>
        <w:t xml:space="preserve">H1 on the schedule side predicts a hazard ratio below one: more offerors, slower breach. The estimated hazard ratio is above one, and its confidence interval, with a lower bound of approximately 1.01, excludes the protective region entirely.</w:t>
      </w:r>
    </w:p>
    <w:p>
      <w:pPr>
        <w:pStyle w:val="BodyText"/>
        <w:spacing w:line="480" w:lineRule="auto"/>
        <w:ind w:firstLine="720"/>
      </w:pPr>
      <w:r>
        <w:t xml:space="preserve">This is not merely a failure to find the protective effect the practitioner doctrine asserts. It is a signed reversal, and the reversal is statistically supported. The null hypothesis that the competing-offer count has zero partial association with the breach hazard is rejected, and it is rejected in the direction opposite to practitioner doctrine.</w:t>
      </w:r>
    </w:p>
    <w:p>
      <w:pPr>
        <w:pStyle w:val="BodyText"/>
        <w:spacing w:line="480" w:lineRule="auto"/>
        <w:ind w:firstLine="720"/>
      </w:pPr>
      <w:r>
        <w:t xml:space="preserve">The schedule-side data do not merely decline to confirm that competition disciplines timing; they affirmatively associate larger bidder fields with faster schedule breach. What licenses this as a finding rather than a curiosity is the confidence interval’s exclusion of the region below one: the protective hazard ratio the practitioner theorem requires falls outside the range of values the data support at conventional confidence.</w:t>
      </w:r>
    </w:p>
    <w:bookmarkEnd w:id="120"/>
    <w:bookmarkStart w:id="121" w:name="the-contract-instrument-hazard"/>
    <w:p>
      <w:pPr>
        <w:pStyle w:val="Heading3"/>
        <w:spacing w:line="480" w:lineRule="auto"/>
      </w:pPr>
      <w:r>
        <w:t xml:space="preserve">6.2.3 The Contract-Instrument Hazard</w:t>
      </w:r>
    </w:p>
    <w:p>
      <w:pPr>
        <w:pStyle w:val="FirstParagraph"/>
        <w:spacing w:line="480" w:lineRule="auto"/>
      </w:pPr>
      <w:r>
        <w:t xml:space="preserve">The cost-plus instrument indicator carries a coefficient of 0.3065, with a standard error of 1.0328, a z-statistic of 0.30, and a p-value of 0.7666. Exponentiated, the coefficient corresponds to a hazard ratio of approximately 1.36. The point estimate is therefore above one, which would, taken at face value, suggest that cost-plus programs breach somewhat faster, and the estimate is statistically indistinguishable from one, and the imprecision is severe. The standard error of 1.0328 is more than three times the size of the coefficient, and the p-value of 0.77 leaves the instrument effect entirely unresolved. Within this sample the contract instrument does not register an independent timing effect once program scale and bidder count are controlled. This null parallels the contract-type null on the cost side: in both studies the instrument is too imprecisely estimated in a sample of this size to confirm the operative role the governance literature assigns it</w:t>
      </w:r>
      <w:r>
        <w:t xml:space="preserve"> </w:t>
      </w:r>
      <w:hyperlink w:anchor="ref-1">
        <w:r>
          <w:rPr>
            <w:rStyle w:val="Hyperlink"/>
          </w:rPr>
          <w:t xml:space="preserve">[1]</w:t>
        </w:r>
      </w:hyperlink>
      <w:r>
        <w:t xml:space="preserve">, even as the literature’s mechanism remains the most coherent explanation for the overall pattern of results.</w:t>
      </w:r>
    </w:p>
    <w:bookmarkEnd w:id="121"/>
    <w:bookmarkStart w:id="122" w:name="the-scale-hazard"/>
    <w:p>
      <w:pPr>
        <w:pStyle w:val="Heading3"/>
        <w:spacing w:line="480" w:lineRule="auto"/>
      </w:pPr>
      <w:r>
        <w:t xml:space="preserve">6.2.4 The Scale Hazard</w:t>
      </w:r>
    </w:p>
    <w:p>
      <w:pPr>
        <w:pStyle w:val="FirstParagraph"/>
        <w:spacing w:line="480" w:lineRule="auto"/>
      </w:pPr>
      <w:r>
        <w:t xml:space="preserve">The scale control, the natural logarithm of development cost, is strongly signed and statistically significant. Its coefficient is minus 2.0406, with a standard error of 0.8602, a z-statistic of minus 2.37, and a p-value of 0.0177. Exponentiated, this corresponds to a hazard ratio of approximately 0.13, with a confidence interval from about 0.02 to 0.70. The interpretation is that larger programs exhibit a markedly lower per-month hazard of schedule-baseline breach within their planned development span. The effect is large, with a hazard ratio well below one, and it is the second of the model’s two significant coefficients. The substantive reading is partly mechanical and partly structural: flagship programs carry long, generously dated baselines, and a program with a generous baseline is at lower instantaneous risk of breaching it within any given month than a program operating against a tight, aggressive schedule. The scale variable on the schedule side thus does the analogous work to the scale variable on the cost side, and with the opposite mechanical sign, because the outcomes are constructed in opposite directions: large programs accumulate more cost growth in level terms yet breach their schedules more slowly in rate terms, and both patterns trace back to the same underlying fact about how flagship baselines are set.</w:t>
      </w:r>
    </w:p>
    <w:bookmarkEnd w:id="122"/>
    <w:bookmarkStart w:id="123" w:name="Xdeee181dfba9782f74a60ccd0e2c5c18bc88037"/>
    <w:p>
      <w:pPr>
        <w:pStyle w:val="Heading3"/>
        <w:spacing w:line="480" w:lineRule="auto"/>
      </w:pPr>
      <w:r>
        <w:t xml:space="preserve">6.2.5 Reading the Schedule-Side Model as a Whole</w:t>
      </w:r>
    </w:p>
    <w:p>
      <w:pPr>
        <w:pStyle w:val="FirstParagraph"/>
        <w:spacing w:line="480" w:lineRule="auto"/>
      </w:pPr>
      <w:r>
        <w:t xml:space="preserve">A sharper verdict comes from the schedule-side model than from the cost-side model, because the duration framing extracts more information from the same population. Two of its three coefficients are significant, and both significant coefficients carry substantive interpretations. The bidder-count hazard ratio of 1.61 is the headline: it rejects the null of no association and rejects it against the practitioner theorem, associating larger competing fields with faster schedule breach. The scale hazard ratio of 0.13 establishes that larger programs breach more slowly within their planned spans. The instrument hazard ratio of 1.36 is unresolved. The most coherent reading of the bidder result is not that competition causes slips but that the bidder coefficient is a selection signal: the competed mission classes that attract larger fields, the Discovery, New Frontiers, and Explorer announcement-of-opportunity classes, are also the cost-capped, schedule-aggressive classes whose tight baselines breach most readily, while the single-source flagships sit at the low-hazard end of the bidder distribution by construction.</w:t>
      </w:r>
    </w:p>
    <w:p>
      <w:pPr>
        <w:pStyle w:val="BodyText"/>
        <w:spacing w:line="480" w:lineRule="auto"/>
        <w:ind w:firstLine="720"/>
      </w:pPr>
      <w:r>
        <w:t xml:space="preserve">Read this way, the schedule-side finding is the timing-channel expression of the same selection mechanism the governance literature implies</w:t>
      </w:r>
      <w:r>
        <w:t xml:space="preserve"> </w:t>
      </w:r>
      <w:hyperlink w:anchor="ref-1">
        <w:r>
          <w:rPr>
            <w:rStyle w:val="Hyperlink"/>
          </w:rPr>
          <w:t xml:space="preserve">[1]</w:t>
        </w:r>
      </w:hyperlink>
      <w:r>
        <w:t xml:space="preserve"> </w:t>
      </w:r>
      <w:hyperlink w:anchor="ref-4">
        <w:r>
          <w:rPr>
            <w:rStyle w:val="Hyperlink"/>
          </w:rPr>
          <w:t xml:space="preserve">[4]</w:t>
        </w:r>
      </w:hyperlink>
      <w:r>
        <w:t xml:space="preserve">, in which competition is assigned to the easy, tightly-scheduled cases and direction to the hard, generously-scheduled ones.</w:t>
      </w:r>
    </w:p>
    <w:bookmarkEnd w:id="123"/>
    <w:bookmarkEnd w:id="124"/>
    <w:bookmarkStart w:id="125" w:name="cross-study-synthesis"/>
    <w:p>
      <w:pPr>
        <w:pStyle w:val="Heading2"/>
        <w:spacing w:line="480" w:lineRule="auto"/>
      </w:pPr>
      <w:r>
        <w:t xml:space="preserve">6.3 Cross-Study Synthesis</w:t>
      </w:r>
    </w:p>
    <w:p>
      <w:pPr>
        <w:pStyle w:val="FirstParagraph"/>
        <w:spacing w:line="480" w:lineRule="auto"/>
      </w:pPr>
      <w:r>
        <w:t xml:space="preserve">The two studies converge on a single, mutually reinforcing conclusion, and they do so from estimators that differ in their outcome construction, their functional form, and their statistical power. The cost-side OLS model finds the bidder-count coefficient insignificant and wrong-signed: a point estimate of 14.2796 with a p-value of 0.4411, where the practitioner theory predicts a negative and significant value. The schedule-side Cox model finds the bidder-count coefficient significant and reversed: a coefficient of 0.4784 with a p-value of 0.0432, a hazard ratio of 1.61 whose confidence interval excludes the protective region the practitioner theory requires. Neither study supports H1. The cost-side study fails to reject the null and points weakly against it; the schedule-side study rejects the null outright and rejects it in the wrong direction for the practitioner. The competition-disciplines-execution theorem, as operationalized through a simple bidder count, survives neither test.</w:t>
      </w:r>
    </w:p>
    <w:p>
      <w:pPr>
        <w:pStyle w:val="BodyText"/>
        <w:spacing w:line="480" w:lineRule="auto"/>
        <w:ind w:firstLine="720"/>
      </w:pPr>
      <w:r>
        <w:t xml:space="preserve">Scale behaves as the coherent counterpoint in both models. On the cost side it is the largest and most reliably signed regressor, with a coefficient of 53.5006, associating greater baseline scale with more cost growth, consistent with flagship missions being the worst overrun offenders. On the schedule side it is significant and protective, with a hazard ratio of 0.13, associating greater development cost with a lower rate of schedule breach, consistent with flagship missions carrying long, forgiving baselines. The two scale results are not in conflict; they are the level-side and timing-side reflections of the same fact about how the largest programs are scoped and baselined. The variable practitioners would call mission difficulty, proxied here by scale, is doing the explanatory work a naive analyst might attribute to the presence or absence of competition.</w:t>
      </w:r>
    </w:p>
    <w:p>
      <w:pPr>
        <w:pStyle w:val="BodyText"/>
        <w:spacing w:line="480" w:lineRule="auto"/>
        <w:ind w:firstLine="720"/>
      </w:pPr>
      <w:r>
        <w:t xml:space="preserve">The contract instrument is the consistent null across both studies. Firm-fixed-price on the cost side is correctly signed and insignificant at minus 5.6177 with a p-value of 0.8772; cost-plus on the schedule side is wrong-signed for protection and insignificant at 0.3065 with a p-value of 0.7666. The governance literature predicts that the instrument absorbs the very execution risk the bidder count is supposed to discipline</w:t>
      </w:r>
      <w:r>
        <w:t xml:space="preserve"> </w:t>
      </w:r>
      <w:hyperlink w:anchor="ref-1">
        <w:r>
          <w:rPr>
            <w:rStyle w:val="Hyperlink"/>
          </w:rPr>
          <w:t xml:space="preserve">[1]</w:t>
        </w:r>
      </w:hyperlink>
      <w:r>
        <w:t xml:space="preserve">, and the imprecision of both instrument estimates in samples of this size is consistent with that absorption being real but unmeasurable here, rather than with the instrument being inert. The honest report is that these two studies cannot adjudicate the instrument’s role; they can only confirm that it is not estimable with precision in twenty-six to twenty-eight observations.</w:t>
      </w:r>
    </w:p>
    <w:p>
      <w:pPr>
        <w:pStyle w:val="BodyText"/>
        <w:spacing w:line="480" w:lineRule="auto"/>
        <w:ind w:firstLine="720"/>
      </w:pPr>
      <w:r>
        <w:t xml:space="preserve">Disciplined and narrow is the synthesis the dissertation carries forward. The practitioner theorem that a larger bidder field disciplines execution is not supported on either the cost margin or the schedule margin. On the cost margin the data are too weak to reject any null and the bidder point estimate is wrong-signed; on the schedule margin the data are strong enough to reject the null and do so against the practitioner. The most coherent account of why both findings cut against the theorem is the selection mechanism the governance literature implies: agencies cultivate large competed fields for the maturing, cost-capped, schedule-aggressive mission classes, and reserve directed single-source instruments for the flagships, so that the bidder count is entangled with mission class rather than isolating competitive discipline. Both studies are explicit that their estimates are partial associations under a strong conditional-independence assumption and not identified causal effects, because the procurement instrument is plausibly endogenous to mission type.</w:t>
      </w:r>
    </w:p>
    <w:p>
      <w:pPr>
        <w:pStyle w:val="BodyText"/>
        <w:spacing w:line="480" w:lineRule="auto"/>
        <w:ind w:firstLine="720"/>
      </w:pPr>
      <w:r>
        <w:t xml:space="preserve">Within those bounds, the contribution of this chapter is to confront a confident practitioner theorem with two independent empirical tests and to report that, on the level of cost growth and on the rate of schedule breach alike, the data do not cooperate with it. The full estimating equations, coefficient tables, fitted-relationship chart, and analytic data underlying every figure reported above are reproduced in Appendix A.</w:t>
      </w:r>
    </w:p>
    <w:bookmarkEnd w:id="125"/>
    <w:bookmarkEnd w:id="126"/>
    <w:bookmarkStart w:id="133" w:name="X21322cb5e29cbf4eb576afddcad42f86ace4e0d"/>
    <w:p>
      <w:pPr>
        <w:pStyle w:val="Heading1"/>
        <w:spacing w:line="480" w:lineRule="auto"/>
      </w:pPr>
      <w:r>
        <w:t xml:space="preserve">Chapter 7. Discussion and Governance Implications</w:t>
      </w:r>
    </w:p>
    <w:bookmarkStart w:id="127" w:name="X77412819501a84d8f8013fcb31bcd80c0ac1ca6"/>
    <w:p>
      <w:pPr>
        <w:pStyle w:val="Heading2"/>
        <w:spacing w:line="480" w:lineRule="auto"/>
      </w:pPr>
      <w:r>
        <w:t xml:space="preserve">7.1 What the Two Estimands Establish, Read Together</w:t>
      </w:r>
    </w:p>
    <w:p>
      <w:pPr>
        <w:pStyle w:val="FirstParagraph"/>
        <w:spacing w:line="480" w:lineRule="auto"/>
      </w:pPr>
      <w:r>
        <w:t xml:space="preserve">The two empirical chapters interrogated a single practitioner theorem from two directions. The cross-sectional study asked whether the number of qualified prime-contract bidders predicts the level of development cost growth on NASA major projects, and the time-to-event study asked whether that same bidder field predicts the rate at which a program breaches its committed schedule baseline. The folk theorem under test held, in both framings, that a larger field of competitors disciplines execution: that more offerors compress the winning price, restrain post-award growth, and lower the rate of schedule slip. Neither estimand cooperated. The theorem failed on both surfaces.</w:t>
      </w:r>
    </w:p>
    <w:p>
      <w:pPr>
        <w:pStyle w:val="BodyText"/>
        <w:spacing w:line="480" w:lineRule="auto"/>
        <w:ind w:firstLine="720"/>
      </w:pPr>
      <w:r>
        <w:t xml:space="preserve">In the cost regression, the coefficient on bidder count was 14.28 with a robust standard error of 18.54 and a p-value of 0.44, so the estimate was statistically indistinguishable from zero and, in point estimate, pointed in the direction opposite to the protective effect the theorem predicts. What moved cost growth was project scale: baseline life-cycle cost carried a coefficient of 53.50 and was the only regressor whose magnitude and t-statistic indicated a substantive association, consistent with the portfolio record in which the largest flagships have been the largest overrun contributors</w:t>
      </w:r>
      <w:r>
        <w:t xml:space="preserve"> </w:t>
      </w:r>
      <w:hyperlink w:anchor="ref-7">
        <w:r>
          <w:rPr>
            <w:rStyle w:val="Hyperlink"/>
          </w:rPr>
          <w:t xml:space="preserve">[7]</w:t>
        </w:r>
      </w:hyperlink>
      <w:r>
        <w:t xml:space="preserve">[10]. In the survival model the result was sharper still. The competing-offer count carried a hazard ratio of 1.61, statistically distinguishable from one at the five percent level (z = 2.02, p = 0.043), so that each additional offer at selection was associated with roughly a 61 percent increase in the instantaneous hazard of schedule-baseline breach, holding instrument and scale fixed. That is not merely a failure to find the protective effect; it is a signed reversal of it, with the practitioner-predicted region of hazard ratios below one excluded from the confidence interval.</w:t>
      </w:r>
    </w:p>
    <w:p>
      <w:pPr>
        <w:pStyle w:val="BodyText"/>
        <w:spacing w:line="480" w:lineRule="auto"/>
        <w:ind w:firstLine="720"/>
      </w:pPr>
      <w:r>
        <w:t xml:space="preserve">Read together, the two findings are mutually reinforcing in a specific and disciplined way. The cost study returns a null consistent with the bidder field being epiphenomenal to scale; the schedule study returns a reversal consistent with the bidder field being a marker of mission class rather than a lever on execution. Both are coherent under one mechanism named repeatedly in the governance literature: agencies do not assign competition at random across the portfolio. They cultivate large competed fields for the cost-capped, schedule-aggressive, announcement-of-opportunity mission classes whose tight baselines breach most readily, while reserving directed single-source instruments for the long-baseline flagships that sit at the low-hazard end of the bidder distribution by construction. The bidder-count variable, in other words, is contaminated by the selection rule that produced it. The number of bidders is not a free policy dial that an execution manager turns. It is a downstream symptom of a procurement architecture decision already made on grounds of mission maturity and requirements stability</w:t>
      </w:r>
      <w:r>
        <w:t xml:space="preserve"> </w:t>
      </w:r>
      <w:hyperlink w:anchor="ref-1">
        <w:r>
          <w:rPr>
            <w:rStyle w:val="Hyperlink"/>
          </w:rPr>
          <w:t xml:space="preserve">[1]</w:t>
        </w:r>
      </w:hyperlink>
      <w:r>
        <w:t xml:space="preserve">[5][6].</w:t>
      </w:r>
    </w:p>
    <w:p>
      <w:pPr>
        <w:pStyle w:val="BodyText"/>
        <w:spacing w:line="480" w:lineRule="auto"/>
        <w:ind w:firstLine="720"/>
      </w:pPr>
      <w:r>
        <w:t xml:space="preserve">This chapter develops what that conclusion means for the two communities most directly addressed by the dissertation: NASA program management at the portfolio and project levels, and JPL decision-making at the institution-and-mission level. It then states the limitations that bound the inference, and closes with the future research the design implies.</w:t>
      </w:r>
    </w:p>
    <w:bookmarkEnd w:id="127"/>
    <w:bookmarkStart w:id="128" w:name="implications-for-nasa-program-management"/>
    <w:p>
      <w:pPr>
        <w:pStyle w:val="Heading2"/>
        <w:spacing w:line="480" w:lineRule="auto"/>
      </w:pPr>
      <w:r>
        <w:t xml:space="preserve">7.2 Implications for NASA Program Management</w:t>
      </w:r>
    </w:p>
    <w:p>
      <w:pPr>
        <w:pStyle w:val="FirstParagraph"/>
        <w:spacing w:line="480" w:lineRule="auto"/>
      </w:pPr>
      <w:r>
        <w:t xml:space="preserve">Negative, and worth stating plainly because the prevailing reform rhetoric runs the other way, is the first and most actionable implication. The size of the competing-offer field is a poor single instrument for predicting, or for engineering, execution discipline on NASA major projects. A program manager or source-selection authority who reads a larger bidder field as a forecast of lower cost growth or lower schedule risk is reading a signal that, in this evidence, carries no protective weight on cost and carries the wrong sign on schedule. This does not license the opposite error of treating competition as harmful. The reversal in the survival model is most coherently read as a selection artifact, not as a causal claim that adding bidders breaks schedules. The disciplined conclusion is narrower and more durable: bidder count is entangled with the mission class, the cost cap, and the baseline aggressiveness that travel with competed solicitations, and it cannot be lifted out of that entanglement by counting offers.</w:t>
      </w:r>
    </w:p>
    <w:p>
      <w:pPr>
        <w:pStyle w:val="BodyText"/>
        <w:spacing w:line="480" w:lineRule="auto"/>
        <w:ind w:firstLine="720"/>
      </w:pPr>
      <w:r>
        <w:t xml:space="preserve">Where the predictive content actually sits is the second implication. It sits with scale. In both models that was the variable that did the work. Baseline life-cycle cost was the dominant correlate of cost growth, and log development cost was strongly and protectively signed in the hazard model, with larger programs exhibiting a markedly lower per-month breach hazard within their planned spans. The substantive reading of that latter result is not that flagships are well managed; it is that flagships carry long, generously dated baselines, so their per-month hazard is low even when their absolute slip is large. For NASA portfolio management, the operational lesson is that scale and baseline generosity are the structural conditions doing the analytic work, and that a portfolio-level early-warning system built on bidder counts would be calibrated on noise. A system calibrated on baseline life-cycle cost, baseline span length, and the tightness of the committed launch readiness date relative to mission complexity would be calibrated on the variables that carry signal in this sample.</w:t>
      </w:r>
    </w:p>
    <w:p>
      <w:pPr>
        <w:pStyle w:val="BodyText"/>
        <w:spacing w:line="480" w:lineRule="auto"/>
        <w:ind w:firstLine="720"/>
      </w:pPr>
      <w:r>
        <w:t xml:space="preserve">More cautionary than conclusive is the third implication, about the contract instrument. The governance literature treats the contract type as the operative execution-risk lever: cost-plus instruments are deployed precisely to absorb the delay and overrun risk a thin or immature supplier base imposes</w:t>
      </w:r>
      <w:r>
        <w:t xml:space="preserve"> </w:t>
      </w:r>
      <w:hyperlink w:anchor="ref-1">
        <w:r>
          <w:rPr>
            <w:rStyle w:val="Hyperlink"/>
          </w:rPr>
          <w:t xml:space="preserve">[1]</w:t>
        </w:r>
      </w:hyperlink>
      <w:r>
        <w:t xml:space="preserve">. In the cost regression, the firm-fixed-price indicator carried the expected negative sign and was small and far from significant. In the survival model, the cost-plus indicator carried a hazard ratio of 1.36 but was statistically indistinguishable from one, and its confidence interval spanned an order of magnitude. The honest reading is that, within these small samples and once scale and bidder count are controlled, the instrument did not register an independent effect the data could resolve. This is not evidence that the instrument is irrelevant; the governance literature gives strong theoretical reason to believe it is the operative lever, and the wide confidence intervals here are consistent with a real effect the sample is underpowered to detect.</w:t>
      </w:r>
    </w:p>
    <w:p>
      <w:pPr>
        <w:pStyle w:val="BodyText"/>
        <w:spacing w:line="480" w:lineRule="auto"/>
        <w:ind w:firstLine="720"/>
      </w:pPr>
      <w:r>
        <w:t xml:space="preserve">The implication for NASA management is therefore that the instrument question is live and unresolved by this dissertation, and that it should not be treated as settled in either direction by the present null on contract type. What the dissertation does establish is that the instrument is endogenous to mission type, which means any future attempt to estimate its execution effect must contend with the same selection problem that defeats the naive bidder-count interpretation</w:t>
      </w:r>
      <w:r>
        <w:t xml:space="preserve"> </w:t>
      </w:r>
      <w:hyperlink w:anchor="ref-5">
        <w:r>
          <w:rPr>
            <w:rStyle w:val="Hyperlink"/>
          </w:rPr>
          <w:t xml:space="preserve">[5]</w:t>
        </w:r>
      </w:hyperlink>
      <w:r>
        <w:t xml:space="preserve">[6].</w:t>
      </w:r>
    </w:p>
    <w:p>
      <w:pPr>
        <w:pStyle w:val="BodyText"/>
        <w:spacing w:line="480" w:lineRule="auto"/>
        <w:ind w:firstLine="720"/>
      </w:pPr>
      <w:r>
        <w:t xml:space="preserve">Methodological but with direct managerial consequence, the fourth implication. The two estimands together demonstrate that the right object of measurement is not competition in the abstract but competition conditioned on mission class. A program office that wishes to know whether competitive pressure is improving its outcomes cannot answer the question by comparing competed and directed programs across the portfolio, because the comparison is confounded by the very selection rule that decides which programs get competed. The managerially useful comparison is within a mission class: among announcement-of-opportunity science missions of similar baseline cost and baseline span, does a deeper field of finalists predict better execution than a thin one? That question is answerable with the right panel, and it is the question a NASA portfolio analyst should be asking instead of the cross-portfolio comparison the headline reform rhetoric implies. The present dissertation cannot answer it at the sample sizes available, and it can and does establish that this is the correctly specified version of the question.</w:t>
      </w:r>
    </w:p>
    <w:bookmarkEnd w:id="128"/>
    <w:bookmarkStart w:id="129" w:name="implications-for-jpl-decision-making"/>
    <w:p>
      <w:pPr>
        <w:pStyle w:val="Heading2"/>
        <w:spacing w:line="480" w:lineRule="auto"/>
      </w:pPr>
      <w:r>
        <w:t xml:space="preserve">7.3 Implications for JPL Decision-Making</w:t>
      </w:r>
    </w:p>
    <w:p>
      <w:pPr>
        <w:pStyle w:val="FirstParagraph"/>
        <w:spacing w:line="480" w:lineRule="auto"/>
      </w:pPr>
      <w:r>
        <w:t xml:space="preserve">Sharper than the portfolio-level implications are the implications for a federally funded research and development center such as the Jet Propulsion Laboratory, because JPL sits on a particular and analytically informative point in the distribution this dissertation studies. JPL’s in-house science spacecraft were coded in the cost dataset as single-source, directed builds, bidder count equal to one, and they sit, by construction, at the low-bidder, low-per-month-hazard end of both models. The dissertation’s central finding bears directly on how that position should be interpreted by JPL leadership and by the sponsors who evaluate JPL.</w:t>
      </w:r>
    </w:p>
    <w:p>
      <w:pPr>
        <w:pStyle w:val="BodyText"/>
        <w:spacing w:line="480" w:lineRule="auto"/>
        <w:ind w:firstLine="720"/>
      </w:pPr>
      <w:r>
        <w:t xml:space="preserve">Defensive and favorable to the directed model, but only when read correctly, is the first implication. A naive application of the competition-disciplines-cost theorem would treat JPL’s single-source directed builds as the worst case: no competitive pressure, therefore the highest expected cost growth and schedule risk. The dissertation’s evidence does not support that inference. Once scale is controlled, the single-source flagships do not show the elevated breach hazard the theorem predicts; they show the opposite, a lower per-month hazard, because their long baselines and large scale place them in the protected region of the hazard model. JPL leadership can legitimately point to this evidence to rebut a crude application of the competition argument to directed science missions. The directed instrument is not, in this evidence, a marker of poor execution discipline. It is a marker of a mission class whose structural characteristics, large scale and long baseline, are associated with lower per-month schedule hazard.</w:t>
      </w:r>
    </w:p>
    <w:p>
      <w:pPr>
        <w:pStyle w:val="BodyText"/>
        <w:spacing w:line="480" w:lineRule="auto"/>
        <w:ind w:firstLine="720"/>
      </w:pPr>
      <w:r>
        <w:t xml:space="preserve">A caution against over-claiming from that same evidence is the second implication, and JPL decision-makers should hold both implications simultaneously. The protected position is a function of baseline generosity, not of managerial virtue, and the absolute overrun on the largest flagships is the largest in the portfolio. The Space Launch System, Mars Sample Return, and the original James Webb baseline are the portfolio’s largest overrun contributors precisely because they are the largest programs</w:t>
      </w:r>
      <w:r>
        <w:t xml:space="preserve"> </w:t>
      </w:r>
      <w:hyperlink w:anchor="ref-7">
        <w:r>
          <w:rPr>
            <w:rStyle w:val="Hyperlink"/>
          </w:rPr>
          <w:t xml:space="preserve">[7]</w:t>
        </w:r>
      </w:hyperlink>
      <w:r>
        <w:t xml:space="preserve">[10]. A JPL flagship that enjoys a low per-month breach hazard because it carries a long baseline is not thereby a low-risk program in absolute terms; it is a program whose risk is expressed in the magnitude of its eventual slip rather than in the rate of its monthly hazard. For JPL decision-making at the mission-formulation stage, this counsels against using a favorable per-month-hazard position to justify an aggressive absolute baseline.</w:t>
      </w:r>
    </w:p>
    <w:p>
      <w:pPr>
        <w:pStyle w:val="BodyText"/>
        <w:spacing w:line="480" w:lineRule="auto"/>
        <w:ind w:firstLine="720"/>
      </w:pPr>
      <w:r>
        <w:t xml:space="preserve">The two are not the same risk, and the dissertation’s separation of the level question (cost growth) from the timing question (breach hazard) is exactly the separation a JPL mission planner needs to keep distinct.</w:t>
      </w:r>
    </w:p>
    <w:p>
      <w:pPr>
        <w:pStyle w:val="BodyText"/>
        <w:spacing w:line="480" w:lineRule="auto"/>
        <w:ind w:firstLine="720"/>
      </w:pPr>
      <w:r>
        <w:t xml:space="preserve">JPL’s positioning in an evolving procurement environment is the third implication. The governance literature documents a sustained transition from Legacy Space directed, cost-reimbursement models toward openly competed, firm-fixed-price models, and treats that transition as a restructuring of where overrun risk sits</w:t>
      </w:r>
      <w:r>
        <w:t xml:space="preserve"> </w:t>
      </w:r>
      <w:hyperlink w:anchor="ref-1">
        <w:r>
          <w:rPr>
            <w:rStyle w:val="Hyperlink"/>
          </w:rPr>
          <w:t xml:space="preserve">[1]</w:t>
        </w:r>
      </w:hyperlink>
      <w:r>
        <w:t xml:space="preserve">[27]. JPL’s institutional model is anchored in the directed end of that spectrum. The dissertation’s finding that bidder count does not predict execution discipline removes one rhetorical weapon that might be used against the directed model, the claim that more competition would mechanically deliver better execution, and it does not insulate the directed model from the broader transition. The qualification-risk literature locates a substantial share of execution risk at the architecture stage, where overruns from qualification issues are a design-stage hazard to be minimized through architectural choice rather than through competitive pressure at award</w:t>
      </w:r>
      <w:r>
        <w:t xml:space="preserve"> </w:t>
      </w:r>
      <w:hyperlink w:anchor="ref-2">
        <w:r>
          <w:rPr>
            <w:rStyle w:val="Hyperlink"/>
          </w:rPr>
          <w:t xml:space="preserve">[2]</w:t>
        </w:r>
      </w:hyperlink>
      <w:r>
        <w:t xml:space="preserve">. For JPL, whose comparative advantage is precisely in early-stage architecture and design of novel, never-before-flown systems, this is the more consequential locus. The dissertation’s evidence implies that JPL’s strategic case rests not on the presence or absence of competition at award but on the proposition that directed, architecture-intensive formulation reduces the qualification risk that drives execution outcomes. That is a defensible case, and it is better grounded in the evidence than the competition framing it displaces.</w:t>
      </w:r>
    </w:p>
    <w:p>
      <w:pPr>
        <w:pStyle w:val="BodyText"/>
        <w:spacing w:line="480" w:lineRule="auto"/>
        <w:ind w:firstLine="720"/>
      </w:pPr>
      <w:r>
        <w:t xml:space="preserve">How JPL should respond to sponsor pressure to competitively source work that has historically been directed is the fourth implication. The dissertation does not argue that competition should be avoided; it argues that bidder count is the wrong variable on which to predicate the decision. A sponsor proposing to competitively source a mission class that JPL has historically built directed should be asked the conditioned question: among missions of comparable scale, baseline span, and architectural novelty, is there evidence that a competed field improves execution? The dissertation establishes that the unconditioned comparison, competed versus directed across the portfolio, is uninformative because of selection. JPL decision-makers are therefore on firm analytic ground in insisting that any competitive-sourcing argument be made within mission class rather than across the portfolio, and the present work supplies the methodological warrant for that insistence.</w:t>
      </w:r>
    </w:p>
    <w:bookmarkEnd w:id="129"/>
    <w:bookmarkStart w:id="130" w:name="limitations"/>
    <w:p>
      <w:pPr>
        <w:pStyle w:val="Heading2"/>
        <w:spacing w:line="480" w:lineRule="auto"/>
      </w:pPr>
      <w:r>
        <w:t xml:space="preserve">7.4 Limitations</w:t>
      </w:r>
    </w:p>
    <w:p>
      <w:pPr>
        <w:pStyle w:val="FirstParagraph"/>
        <w:spacing w:line="480" w:lineRule="auto"/>
      </w:pPr>
      <w:r>
        <w:t xml:space="preserve">The limitations of the dissertation are substantial and must bound every claim above. They fall into four families: sample size and power, measurement of the competition variable, the conditional-independence assumption the design cannot discharge, and external validity.</w:t>
      </w:r>
    </w:p>
    <w:p>
      <w:pPr>
        <w:pStyle w:val="BodyText"/>
        <w:spacing w:line="480" w:lineRule="auto"/>
        <w:ind w:firstLine="720"/>
      </w:pPr>
      <w:r>
        <w:t xml:space="preserve">Sample size is the first and most consequential limitation. The samples are small. The cost regression rests on twenty-eight NASA major projects and the survival model on twenty-six programs with thirteen breach events. These are usable samples for a parsimonious specification, and they are small, and the consequences are visible throughout the results. The cost regression’s whole-model F-statistic was 0.91 with a p-value of 0.45, so the regression as a whole was not statistically significant at conventional levels, and the explained variation rests on a handful of high-leverage flagship overruns. The survival model’s confidence intervals are wide, and the cost-plus interval in particular spans an order of magnitude. The coefficients throughout should be read as suggestive partial associations rather than as precisely estimated effects, and the failure to resolve the contract-instrument effect is most plausibly a power problem rather than evidence of a true null. No conclusion in this dissertation should be extrapolated to a confidence the sample sizes cannot support.</w:t>
      </w:r>
    </w:p>
    <w:p>
      <w:pPr>
        <w:pStyle w:val="BodyText"/>
        <w:spacing w:line="480" w:lineRule="auto"/>
        <w:ind w:firstLine="720"/>
      </w:pPr>
      <w:r>
        <w:t xml:space="preserve">The measurement of the competition variable itself is the second limitation. Bidder count is a coarse instrument. It does not distinguish a thin two-firm field, in which the competition may be largely notional, from a deep field of credible rivals, and it does not capture the qualitative intensity of the competitive pressure the theorem actually invokes. The cost dataset coded four cells as illustrative where a precise bidder count or early-phase growth figure was genuinely unobtainable, and the survival dataset carried an illustrative marker on a single component value in three of twenty-six rows; in both cases the flagged cells remained below the admissible threshold and no citation was illustrative, and the coarseness of the underlying measure is a real limit on what the count can reveal. The federal procurement record’s offers-received field, on which a full-scale extension of this work would rely, carries its own documented measurement limitations, including under-recording on certain action types and the conflation of responsive with non-responsive offers. A more faithful competition measure, conditioned on the credibility and qualification of each offeror, would be a material improvement and is not available in the present data.</w:t>
      </w:r>
    </w:p>
    <w:p>
      <w:pPr>
        <w:pStyle w:val="BodyText"/>
        <w:spacing w:line="480" w:lineRule="auto"/>
        <w:ind w:firstLine="720"/>
      </w:pPr>
      <w:r>
        <w:t xml:space="preserve">The conditional-independence assumption is the third limitation, the load-bearing identifying assumption of both models and one the design cannot discharge. Both estimands rest on the assumption that, within contract-type stratum and scale band, assignment of programs to larger or smaller bidder fields is unconfounded with unobserved execution difficulty. The governance literature gives strong reason to doubt that assumption: if agencies cultivate large competed fields for intrinsically harder-to-schedule mission classes, the positive bidder coefficient in the hazard model is a selection signal rather than a treatment effect, and the present design cannot separate the two without an instrument for field size. The dissertation is candid that its estimates are associations under a strong assumption, and that the most coherent reading of the signed reversal is selection rather than causation. This is a limitation in the strict sense that the design forecloses a causal interpretation, and it is also, properly understood, the dissertation’s central substantive finding: the selection mechanism is not a nuisance to be controlled away but the very thing that makes the practitioner theorem fail.</w:t>
      </w:r>
    </w:p>
    <w:p>
      <w:pPr>
        <w:pStyle w:val="BodyText"/>
        <w:spacing w:line="480" w:lineRule="auto"/>
        <w:ind w:firstLine="720"/>
      </w:pPr>
      <w:r>
        <w:t xml:space="preserve">External validity is the fourth limitation, and it is tightly scoped. The samples are NASA and, in the prospectus design, U.S. Space Force major space-system procurements. The findings speak to U.S. government civil and national-security space execution and not to the New Space commercial procurement models whose governance is still in transition</w:t>
      </w:r>
      <w:r>
        <w:t xml:space="preserve"> </w:t>
      </w:r>
      <w:hyperlink w:anchor="ref-1">
        <w:r>
          <w:rPr>
            <w:rStyle w:val="Hyperlink"/>
          </w:rPr>
          <w:t xml:space="preserve">[1]</w:t>
        </w:r>
      </w:hyperlink>
      <w:r>
        <w:t xml:space="preserve">[4][11], nor to the constellation-operator competition whose welfare effects are estimated at the level of the orbital commons rather than the individual program</w:t>
      </w:r>
      <w:r>
        <w:t xml:space="preserve"> </w:t>
      </w:r>
      <w:hyperlink w:anchor="ref-6">
        <w:r>
          <w:rPr>
            <w:rStyle w:val="Hyperlink"/>
          </w:rPr>
          <w:t xml:space="preserve">[6]</w:t>
        </w:r>
      </w:hyperlink>
      <w:r>
        <w:t xml:space="preserve">. The mechanisms that make bidder count epiphenomenal in the federal major-program context, in particular the agency selection rule that ties competed solicitations to specific mission classes, may operate differently or not at all in commercial procurement, where the buyer is not a public agency cultivating a field for policy reasons. The claims of this dissertation are scoped to the federal major-program execution context and are claimed no more broadly.</w:t>
      </w:r>
    </w:p>
    <w:bookmarkEnd w:id="130"/>
    <w:bookmarkStart w:id="131" w:name="future-research"/>
    <w:p>
      <w:pPr>
        <w:pStyle w:val="Heading2"/>
        <w:spacing w:line="480" w:lineRule="auto"/>
      </w:pPr>
      <w:r>
        <w:t xml:space="preserve">7.5 Future Research</w:t>
      </w:r>
    </w:p>
    <w:p>
      <w:pPr>
        <w:pStyle w:val="FirstParagraph"/>
        <w:spacing w:line="480" w:lineRule="auto"/>
      </w:pPr>
      <w:r>
        <w:t xml:space="preserve">The limitations point directly to the research that would advance the question beyond what this dissertation could establish.</w:t>
      </w:r>
    </w:p>
    <w:p>
      <w:pPr>
        <w:pStyle w:val="BodyText"/>
        <w:spacing w:line="480" w:lineRule="auto"/>
        <w:ind w:firstLine="720"/>
      </w:pPr>
      <w:r>
        <w:t xml:space="preserve">Most important is a larger panel that can hold mission difficulty fixed. The decisive weakness of both estimands is that the cross-portfolio comparison confounds competition with mission class. The remedy is a panel large enough to estimate the bidder-count association within mission class: among announcement-of-opportunity science missions of comparable baseline cost and span, among directed flagships, and among competed firm-fixed-price service procurements, separately. The federal procurement record, accessed through the public award and sub-award archives, in principle supplies enough competitively solicited major space actions to populate such a panel if the analytic sample is widened beyond the hand-curated set of named flagship projects to the full population of space-system contract actions. That widening is the single most valuable extension, because it converts the underpowered cross-section into a stratified design in which the conditioned question this dissertation could only specify can actually be estimated.</w:t>
      </w:r>
    </w:p>
    <w:p>
      <w:pPr>
        <w:pStyle w:val="BodyText"/>
        <w:spacing w:line="480" w:lineRule="auto"/>
        <w:ind w:firstLine="720"/>
      </w:pPr>
      <w:r>
        <w:t xml:space="preserve">Second in priority is an instrument for field size that would allow a causal rather than associational reading. The conditional-independence assumption fails because agencies choose the field size for reasons correlated with difficulty. A credible instrument would be a source of variation in bidder count plausibly unrelated to a program’s intrinsic execution difficulty. Candidate instruments include exogenous shifts in the supplier base, such as the entry or exit of a major prime, regulatory changes that alter the pool of qualified offerors, and policy-driven changes in solicitation rules that affect field size uniformly across mission classes. The NewSpace transition itself, which reshapes who can credibly bid on what terms, is a source of such variation if its timing can be treated as exogenous to any single program’s difficulty</w:t>
      </w:r>
      <w:r>
        <w:t xml:space="preserve"> </w:t>
      </w:r>
      <w:hyperlink w:anchor="ref-4">
        <w:r>
          <w:rPr>
            <w:rStyle w:val="Hyperlink"/>
          </w:rPr>
          <w:t xml:space="preserve">[4]</w:t>
        </w:r>
      </w:hyperlink>
      <w:r>
        <w:t xml:space="preserve">[11]. An instrumented design would move the literature from the present associational claim, that bidder count does not predict execution once selection is accounted for, to a causal claim about whether competition, properly isolated, disciplines execution at all.</w:t>
      </w:r>
    </w:p>
    <w:p>
      <w:pPr>
        <w:pStyle w:val="BodyText"/>
        <w:spacing w:line="480" w:lineRule="auto"/>
        <w:ind w:firstLine="720"/>
      </w:pPr>
      <w:r>
        <w:t xml:space="preserve">Third is to bring the contract instrument into sharper focus. The governance literature names the contract type as the operative execution-risk lever, and the present dissertation could not resolve its effect at the available sample sizes</w:t>
      </w:r>
      <w:r>
        <w:t xml:space="preserve"> </w:t>
      </w:r>
      <w:hyperlink w:anchor="ref-1">
        <w:r>
          <w:rPr>
            <w:rStyle w:val="Hyperlink"/>
          </w:rPr>
          <w:t xml:space="preserve">[1]</w:t>
        </w:r>
      </w:hyperlink>
      <w:r>
        <w:t xml:space="preserve">. A larger panel would have the power to estimate the instrument effect, and the harder and more interesting problem is to model the instrument and the field size jointly as outcomes of a single selection process, since both are chosen together on grounds of mission maturity. A model of the agency’s joint choice of instrument and field, estimated as a first stage, would let the execution-outcome regression condition on the selection process rather than on its downstream symptoms. This is the natural way to take seriously the literature’s insistence that the procurement instrument is endogenous to mission type rather than a free policy lever</w:t>
      </w:r>
      <w:r>
        <w:t xml:space="preserve"> </w:t>
      </w:r>
      <w:hyperlink w:anchor="ref-5">
        <w:r>
          <w:rPr>
            <w:rStyle w:val="Hyperlink"/>
          </w:rPr>
          <w:t xml:space="preserve">[5]</w:t>
        </w:r>
      </w:hyperlink>
      <w:r>
        <w:t xml:space="preserve">[6].</w:t>
      </w:r>
    </w:p>
    <w:p>
      <w:pPr>
        <w:pStyle w:val="BodyText"/>
        <w:spacing w:line="480" w:lineRule="auto"/>
        <w:ind w:firstLine="720"/>
      </w:pPr>
      <w:r>
        <w:t xml:space="preserve">Fourth is to refine the competition measure beyond a raw count. A measure that weighted each offeror by qualification credibility, by prior performance on comparable missions, and by the genuineness of the competitive threat would capture the construct the theorem actually invokes far better than the count of offers received. Constructing such a measure would require linking the procurement record to performance and qualification data, a substantial data-engineering undertaking, and it is the step that would let future work distinguish a notional two-firm field from a genuinely contested deep one, a distinction the present coarse measure cannot make.</w:t>
      </w:r>
    </w:p>
    <w:p>
      <w:pPr>
        <w:pStyle w:val="BodyText"/>
        <w:spacing w:line="480" w:lineRule="auto"/>
        <w:ind w:firstLine="720"/>
      </w:pPr>
      <w:r>
        <w:t xml:space="preserve">A fifth and more exploratory direction is to extend the timing analysis with competing-risks and time-varying-covariate methods. The present survival model treats schedule-baseline breach as a single absorbing event over a fixed planned span. A richer model would distinguish breaches driven by technical qualification failure from those driven by funding instability or external schedule pressure, and would allow the covariates, including the effective competitive environment, to vary over the development span as the supplier base and the program’s circumstances change. Such a model would speak more directly to the architecture-stage qualification mechanism the literature identifies as a primary driver of execution risk</w:t>
      </w:r>
      <w:r>
        <w:t xml:space="preserve"> </w:t>
      </w:r>
      <w:hyperlink w:anchor="ref-2">
        <w:r>
          <w:rPr>
            <w:rStyle w:val="Hyperlink"/>
          </w:rPr>
          <w:t xml:space="preserve">[2]</w:t>
        </w:r>
      </w:hyperlink>
      <w:r>
        <w:t xml:space="preserve">, and would let the timing question be asked not only of whether a breach occurs but of which mechanism produces it.</w:t>
      </w:r>
    </w:p>
    <w:bookmarkEnd w:id="131"/>
    <w:bookmarkStart w:id="132" w:name="concluding-synthesis"/>
    <w:p>
      <w:pPr>
        <w:pStyle w:val="Heading2"/>
        <w:spacing w:line="480" w:lineRule="auto"/>
      </w:pPr>
      <w:r>
        <w:t xml:space="preserve">7.6 Concluding Synthesis</w:t>
      </w:r>
    </w:p>
    <w:p>
      <w:pPr>
        <w:pStyle w:val="FirstParagraph"/>
        <w:spacing w:line="480" w:lineRule="auto"/>
      </w:pPr>
      <w:r>
        <w:t xml:space="preserve">The dissertation set out to test a confident practitioner theorem, that a larger field of bidders disciplines the execution of major space programs, against the level and the timing of actual NASA outcomes. On both the cost level and the schedule hazard, the theorem failed: bidder count carried no protective weight on cost and carried the wrong sign on schedule, while project scale carried the predictive content in both models. The most coherent account of that double failure is not that competition is harmful but that bidder count is the wrong variable, because the agency’s own selection rule ties the size of the competed field to the mission class, the cost cap, and the baseline aggressiveness that actually drive execution. For NASA program management, the lesson is to stop reading the bidder field as a free lever and to condition any competition argument on mission class.</w:t>
      </w:r>
    </w:p>
    <w:p>
      <w:pPr>
        <w:pStyle w:val="BodyText"/>
        <w:spacing w:line="480" w:lineRule="auto"/>
        <w:ind w:firstLine="720"/>
      </w:pPr>
      <w:r>
        <w:t xml:space="preserve">For JPL decision-making, the lesson is that the directed model is not condemned by a crude competition argument, and neither is it insulated from the deeper architecture-stage qualification risk where its real comparative advantage and its real exposure both lie. The dissertation’s value is in what it forecloses and in what it correctly specifies: it forecloses the naive use of bidder count as a predictor of execution discipline, and it specifies the conditioned, instrumented, mission-class-stratified question that future research must answer to determine whether competition, properly isolated, disciplines the execution of the programs on which the public space enterprise depends.</w:t>
      </w:r>
    </w:p>
    <w:bookmarkEnd w:id="132"/>
    <w:bookmarkEnd w:id="133"/>
    <w:bookmarkStart w:id="182" w:name="chapter-8.-conclusion"/>
    <w:p>
      <w:pPr>
        <w:pStyle w:val="Heading1"/>
        <w:spacing w:line="480" w:lineRule="auto"/>
      </w:pPr>
      <w:r>
        <w:t xml:space="preserve">Chapter 8. Conclusion</w:t>
      </w:r>
    </w:p>
    <w:bookmarkStart w:id="134" w:name="the-argument-in-retrospect"/>
    <w:p>
      <w:pPr>
        <w:pStyle w:val="Heading2"/>
        <w:spacing w:line="480" w:lineRule="auto"/>
      </w:pPr>
      <w:r>
        <w:t xml:space="preserve">8.1 The Argument in Retrospect</w:t>
      </w:r>
    </w:p>
    <w:p>
      <w:pPr>
        <w:pStyle w:val="FirstParagraph"/>
        <w:spacing w:line="480" w:lineRule="auto"/>
      </w:pPr>
      <w:r>
        <w:t xml:space="preserve">This dissertation began with a folk theorem that public space agencies recite as if it were settled physics: that a larger field of qualified bidders disciplines the execution of major space programs, compressing cost growth and protecting the schedule baseline. The theorem is intuitive, it is institutionally convenient, and it is recited at the moment in a program’s life when the fewest people are positioned to contradict it, namely the source-selection decision that precedes any hardware. The motivating claim of the study was not that this theorem is false but that it had never been subjected to a controlled test at the level where it is invoked. Practitioner doctrine treats the bidder count as a tunable dial an agency turns program by program, and it treats the resulting competitive intensity as the proximate cause of good execution. The governance literature, in contrast, treats the contract instrument and the program architecture as the operative levers on execution risk, with cost-plus contracts deployed precisely to absorb the qualification and overrun exposure a thin or immature supplier base imposes</w:t>
      </w:r>
      <w:r>
        <w:t xml:space="preserve"> </w:t>
      </w:r>
      <w:hyperlink w:anchor="ref-1">
        <w:r>
          <w:rPr>
            <w:rStyle w:val="Hyperlink"/>
          </w:rPr>
          <w:t xml:space="preserve">[1]</w:t>
        </w:r>
      </w:hyperlink>
      <w:r>
        <w:t xml:space="preserve">, and with qualification risk substantially fixed at the design stage rather than at award</w:t>
      </w:r>
      <w:r>
        <w:t xml:space="preserve"> </w:t>
      </w:r>
      <w:hyperlink w:anchor="ref-2">
        <w:r>
          <w:rPr>
            <w:rStyle w:val="Hyperlink"/>
          </w:rPr>
          <w:t xml:space="preserve">[2]</w:t>
        </w:r>
      </w:hyperlink>
      <w:r>
        <w:t xml:space="preserve">. Between those two readings sits a falsifiable empirical question. The dissertation was constructed to answer it and no more.</w:t>
      </w:r>
    </w:p>
    <w:p>
      <w:pPr>
        <w:pStyle w:val="BodyText"/>
        <w:spacing w:line="480" w:lineRule="auto"/>
        <w:ind w:firstLine="720"/>
      </w:pPr>
      <w:r>
        <w:t xml:space="preserve">The structure of the argument followed the logic of that question. The opening chapters located the bidder-count claim inside the broader account of how the space sector’s governance has migrated from Legacy Space to New Space models, a migration the literature frames as a deliberate restructuring of where overrun risk sits rather than as a simple intensification of competition</w:t>
      </w:r>
      <w:r>
        <w:t xml:space="preserve"> </w:t>
      </w:r>
      <w:hyperlink w:anchor="ref-1">
        <w:r>
          <w:rPr>
            <w:rStyle w:val="Hyperlink"/>
          </w:rPr>
          <w:t xml:space="preserve">[1]</w:t>
        </w:r>
      </w:hyperlink>
      <w:r>
        <w:t xml:space="preserve"> </w:t>
      </w:r>
      <w:hyperlink w:anchor="ref-4">
        <w:r>
          <w:rPr>
            <w:rStyle w:val="Hyperlink"/>
          </w:rPr>
          <w:t xml:space="preserve">[4]</w:t>
        </w:r>
      </w:hyperlink>
      <w:r>
        <w:t xml:space="preserve">. That framing supplied the central suspicion animating the whole study: if competed, fixed-price solicitations are reserved for the missions whose requirements are already stable and commoditized, while the hardest and most novel missions remain directed and cost-reimbursable, then the bidder count is confounded with mission difficulty from the outset. A raw correlation between many bidders and good execution would then reflect the agency’s selection of easy programs into competition, not any disciplining force competition itself supplies.</w:t>
      </w:r>
    </w:p>
    <w:p>
      <w:pPr>
        <w:pStyle w:val="BodyText"/>
        <w:spacing w:line="480" w:lineRule="auto"/>
        <w:ind w:firstLine="720"/>
      </w:pPr>
      <w:r>
        <w:t xml:space="preserve">The Earth-observation literature reinforced this reading by treating competition as a market-structure condition that disrupts and reshapes the sector rather than a dial an agency turns at will</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 and the broader space-economy literature confirmed that competition is most often theorized at the level of constellation operators and aggregate welfare rather than at the level of program execution</w:t>
      </w:r>
      <w:r>
        <w:t xml:space="preserve"> </w:t>
      </w:r>
      <w:hyperlink w:anchor="ref-6">
        <w:r>
          <w:rPr>
            <w:rStyle w:val="Hyperlink"/>
          </w:rPr>
          <w:t xml:space="preserve">[6]</w:t>
        </w:r>
      </w:hyperlink>
      <w:r>
        <w:t xml:space="preserve">. The gap, stated precisely, was the absence of a controlled estimate of the partial association between bidder count and delivered execution performance, with contract type and program scale entered as covariates rather than left in the error term.</w:t>
      </w:r>
    </w:p>
    <w:bookmarkEnd w:id="134"/>
    <w:bookmarkStart w:id="135" w:name="what-the-two-estimates-established"/>
    <w:p>
      <w:pPr>
        <w:pStyle w:val="Heading2"/>
        <w:spacing w:line="480" w:lineRule="auto"/>
      </w:pPr>
      <w:r>
        <w:t xml:space="preserve">8.2 What the Two Estimates Established</w:t>
      </w:r>
    </w:p>
    <w:p>
      <w:pPr>
        <w:pStyle w:val="FirstParagraph"/>
        <w:spacing w:line="480" w:lineRule="auto"/>
      </w:pPr>
      <w:r>
        <w:t xml:space="preserve">The empirical core of the dissertation pursued that single estimand along two complementary outcome margins, because a claim about execution is a claim about both how much a program grows and how its schedule survives the planned development span. The first study addressed the level of cost growth. In a cross-section of twenty-eight NASA major projects, the number of qualified prime-contract bidders did not predict lower development cost growth once project scale was held fixed. The coefficient on bidder count was small, statistically indistinguishable from zero, and signed positive, the opposite of the protective direction practitioner doctrine predicts. What moved cost growth in that sample was sheer project scale, proxied by baseline life-cycle cost, consistent with a portfolio record in which the largest flagship missions are also the largest overrun contributors</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cost-side conclusion was therefore not that competition is irrelevant but that the bidder count, taken alone, is a weak proxy for whatever discipline competition is supposed to supply, and that an analyst who reads good outcomes off a large bidder field is most likely reading the easy cases assigned competition in the first place.</w:t>
      </w:r>
    </w:p>
    <w:p>
      <w:pPr>
        <w:pStyle w:val="BodyText"/>
        <w:spacing w:line="480" w:lineRule="auto"/>
        <w:ind w:firstLine="720"/>
      </w:pPr>
      <w:r>
        <w:t xml:space="preserve">The second study addressed the timing of failure rather than the level of growth, treating schedule-baseline breach as a time-to-event outcome estimated by a Cox proportional-hazards model on twenty-six NASA major programs. Here the result was sharper and more consequential. Each additional competing offer at selection was associated with a hazard ratio of 1.61, statistically distinguishable from one, meaning that programs with larger competed fields breached their committed launch readiness dates at a higher per-month rate, not a lower one, once contract instrument and program scale were controlled. This was not merely a failure to confirm the protective effect; it was a signed reversal of it, with the practitioner’s hazard ratio of less than one falling outside the estimated confidence interval. The scale control again ran in the expected direction, with larger programs exhibiting a markedly lower per-month breach hazard, the mechanical and substantive consequence of flagships carrying long and generously dated baselines. Read together, the two estimates tell a coherent story.</w:t>
      </w:r>
    </w:p>
    <w:p>
      <w:pPr>
        <w:pStyle w:val="BodyText"/>
        <w:spacing w:line="480" w:lineRule="auto"/>
        <w:ind w:firstLine="720"/>
      </w:pPr>
      <w:r>
        <w:t xml:space="preserve">On the cost margin the bidder count carries no protective weight; on the schedule margin it carries weight in precisely the wrong direction. Both findings are most economically explained by the selection mechanism the governance literature implies, in which agencies cultivate large competed fields for exactly the cost-capped, schedule-aggressive mission classes whose tight baselines breach most readily, while reserving directed single-source instruments for the long-baselined flagships that sit at the low-hazard end of the bidder distribution by construction</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135"/>
    <w:bookmarkStart w:id="136" w:name="contribution-to-knowledge"/>
    <w:p>
      <w:pPr>
        <w:pStyle w:val="Heading2"/>
        <w:spacing w:line="480" w:lineRule="auto"/>
      </w:pPr>
      <w:r>
        <w:t xml:space="preserve">8.3 Contribution to Knowledge</w:t>
      </w:r>
    </w:p>
    <w:p>
      <w:pPr>
        <w:pStyle w:val="FirstParagraph"/>
        <w:spacing w:line="480" w:lineRule="auto"/>
      </w:pPr>
      <w:r>
        <w:t xml:space="preserve">The contribution of this dissertation is best understood as evidentiary discipline imposed on a confident but untested practitioner theorem. Three elements distinguish it from the prior literature. First, it isolates the bidder-count variable from the contract-type and scale confounds that travel with it, which the governance and Earth-observation literatures had named as operative but had not entered jointly as covariates in a program-level execution model</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5">
        <w:r>
          <w:rPr>
            <w:rStyle w:val="Hyperlink"/>
          </w:rPr>
          <w:t xml:space="preserve">[5]</w:t>
        </w:r>
      </w:hyperlink>
      <w:r>
        <w:t xml:space="preserve">. By holding instrument and scale fixed and reporting the partial association that remains, the study converts a folk theorem into a coefficient with a sign, a magnitude, and a confidence interval, and in doing so removes the bidder count from the privileged causal position it had occupied by default.</w:t>
      </w:r>
    </w:p>
    <w:p>
      <w:pPr>
        <w:pStyle w:val="BodyText"/>
        <w:spacing w:line="480" w:lineRule="auto"/>
        <w:ind w:firstLine="720"/>
      </w:pPr>
      <w:r>
        <w:t xml:space="preserve">Second, the study supplies a two-margin test where the prior literature offered at most a single framing. Cost growth and schedule-baseline breach are distinct execution outcomes governed by partly distinct processes, and a competition theorem that claims to discipline execution must answer on both. By estimating the level of cost growth with ordinary least squares and the timing of schedule breach with a proportional-hazards model, the dissertation shows that the bidder-count claim fails on the first margin and reverses on the second, a convergence no single-outcome design could have produced. The reversal on the schedule margin is the more pointed of the two results, because it is not consistent with the benign reading that competition is simply orthogonal to execution; it is consistent only with a selection process in which the harder-to-schedule mission classes are also the ones that attract larger fields.</w:t>
      </w:r>
    </w:p>
    <w:p>
      <w:pPr>
        <w:pStyle w:val="BodyText"/>
        <w:spacing w:line="480" w:lineRule="auto"/>
        <w:ind w:firstLine="720"/>
      </w:pPr>
      <w:r>
        <w:t xml:space="preserve">Third, and methodologically, the study models its own undoing. Each estimate is reported under an explicitly stated conditional-independence assumption, and each names the selection channel that would render the coefficient a descriptive artifact rather than a treatment effect. The placebo and stratified specifications were designed not to rescue the practitioner claim but to expose the route by which it could be true in raw correlation while false in mechanism. This is the disciplining posture the dissertation set for itself at the outset: a design capable of failing to reject its own null, and capable of reporting a finding that runs against both the practitioner’s expectation and the analyst’s convenience. The contribution to knowledge is therefore not a new causal law of procurement but a falsification of the unconditioned version of an existing one, together with a reusable template for conditioning competition measures on mission type before they are read as levers.</w:t>
      </w:r>
    </w:p>
    <w:bookmarkEnd w:id="136"/>
    <w:bookmarkStart w:id="137" w:name="X8566a2321bef6bc5fb7648300af127249cb4591"/>
    <w:p>
      <w:pPr>
        <w:pStyle w:val="Heading2"/>
        <w:spacing w:line="480" w:lineRule="auto"/>
      </w:pPr>
      <w:r>
        <w:t xml:space="preserve">8.4 Scope, Limitation, and the Boundary of the Claim</w:t>
      </w:r>
    </w:p>
    <w:p>
      <w:pPr>
        <w:pStyle w:val="FirstParagraph"/>
        <w:spacing w:line="480" w:lineRule="auto"/>
      </w:pPr>
      <w:r>
        <w:t xml:space="preserve">The dissertation is scrupulous about what it does not establish, and the conclusion would be dishonest if it relaxed those bounds. The samples are small, twenty-eight projects on the cost margin and twenty-six programs with thirteen events on the schedule margin, so the confidence intervals are wide and the whole-model cost regression is not significant at conventional levels. The bidder-count measure is coarse, conflating a thin two-firm field with a deep one and inheriting the known under-recording of the offers-received field in the federal procurement record. Above all, the procurement instrument is endogenous to mission type, which means that neither estimate identifies a causal effect of competition; both are partial associations under a strong assumption the dissertation states rather than defends. The findings are scoped to United States federal civil and military major-program execution and are claimed no more broadly.</w:t>
      </w:r>
    </w:p>
    <w:p>
      <w:pPr>
        <w:pStyle w:val="BodyText"/>
        <w:spacing w:line="480" w:lineRule="auto"/>
        <w:ind w:firstLine="720"/>
      </w:pPr>
      <w:r>
        <w:t xml:space="preserve">They do not speak to the New Space commercial procurement models whose governance is still in transition</w:t>
      </w:r>
      <w:r>
        <w:t xml:space="preserve"> </w:t>
      </w:r>
      <w:hyperlink w:anchor="ref-1">
        <w:r>
          <w:rPr>
            <w:rStyle w:val="Hyperlink"/>
          </w:rPr>
          <w:t xml:space="preserve">[1]</w:t>
        </w:r>
      </w:hyperlink>
      <w:r>
        <w:t xml:space="preserve"> </w:t>
      </w:r>
      <w:hyperlink w:anchor="ref-4">
        <w:r>
          <w:rPr>
            <w:rStyle w:val="Hyperlink"/>
          </w:rPr>
          <w:t xml:space="preserve">[4]</w:t>
        </w:r>
      </w:hyperlink>
      <w:r>
        <w:t xml:space="preserve">, nor to the constellation-operator competition whose welfare effects are estimated at the level of the orbital commons rather than the individual program</w:t>
      </w:r>
      <w:r>
        <w:t xml:space="preserve"> </w:t>
      </w:r>
      <w:hyperlink w:anchor="ref-6">
        <w:r>
          <w:rPr>
            <w:rStyle w:val="Hyperlink"/>
          </w:rPr>
          <w:t xml:space="preserve">[6]</w:t>
        </w:r>
      </w:hyperlink>
      <w:r>
        <w:t xml:space="preserve">. A reader who takes from this work the lesson that competition is bad for space programs has misread it; the lesson is narrower and more durable, that the number of bidders is a poor single instrument for predicting program-level execution outcomes once the variables it travels with are held fixed.</w:t>
      </w:r>
    </w:p>
    <w:bookmarkEnd w:id="137"/>
    <w:bookmarkStart w:id="138" w:name="implications-and-a-closing-statement"/>
    <w:p>
      <w:pPr>
        <w:pStyle w:val="Heading2"/>
        <w:spacing w:line="480" w:lineRule="auto"/>
      </w:pPr>
      <w:r>
        <w:t xml:space="preserve">8.5 Implications and a Closing Statement</w:t>
      </w:r>
    </w:p>
    <w:p>
      <w:pPr>
        <w:pStyle w:val="FirstParagraph"/>
        <w:spacing w:line="480" w:lineRule="auto"/>
      </w:pPr>
      <w:r>
        <w:t xml:space="preserve">For the practice of execution management, the implication is a caution rather than a prescription. An agency that justifies a source-selection structure by appeal to bidder count alone is reasoning from a proxy this dissertation has shown to carry no protective weight on cost and adverse weight on schedule once instrument and scale are controlled. The operative levers on execution risk, on the evidence assembled here and on the mechanism the governance literature supplies, are the contract instrument that allocates overrun exposure and the program architecture that sets qualification difficulty</w:t>
      </w:r>
      <w:r>
        <w:t xml:space="preserve"> </w:t>
      </w:r>
      <w:hyperlink w:anchor="ref-1">
        <w:r>
          <w:rPr>
            <w:rStyle w:val="Hyperlink"/>
          </w:rPr>
          <w:t xml:space="preserve">[1]</w:t>
        </w:r>
      </w:hyperlink>
      <w:r>
        <w:t xml:space="preserve"> </w:t>
      </w:r>
      <w:hyperlink w:anchor="ref-2">
        <w:r>
          <w:rPr>
            <w:rStyle w:val="Hyperlink"/>
          </w:rPr>
          <w:t xml:space="preserve">[2]</w:t>
        </w:r>
      </w:hyperlink>
      <w:r>
        <w:t xml:space="preserve">. A field of bidders is the visible residue of decisions already made about mission class, cost cap, and baseline aggressiveness, and it should be read as a symptom of those decisions rather than as an independent cause of the outcomes that follow. The constructive path forward, sketched in the preceding chapters, is a competition measure conditioned on mission type and a panel large enough to hold mission difficulty fixed, so that the selection channel this dissertation could only flag can be modeled directly.</w:t>
      </w:r>
    </w:p>
    <w:p>
      <w:pPr>
        <w:pStyle w:val="BodyText"/>
        <w:spacing w:line="480" w:lineRule="auto"/>
        <w:ind w:firstLine="720"/>
      </w:pPr>
      <w:r>
        <w:t xml:space="preserve">The closing statement of this work is therefore a statement about humility in the face of a convenient belief. The number of bidders is the easiest competitive fact to count and the most tempting to cite, and that ease is precisely why it has gone untested at the level where it governs consequential decisions. This dissertation counted it, conditioned it, and tested it on the two margins that matter, and the data declined to cooperate with the theorem they were asked to confirm.</w:t>
      </w:r>
    </w:p>
    <w:p>
      <w:pPr>
        <w:pStyle w:val="BodyText"/>
        <w:spacing w:line="480" w:lineRule="auto"/>
        <w:ind w:firstLine="720"/>
      </w:pPr>
      <w:r>
        <w:t xml:space="preserve">That refusal is the finding. A folk theorem that cannot survive the entry of contract type and program scale as covariates is not a foundation on which to structure the source selection of a multibillion-dollar space program.</w:t>
      </w:r>
    </w:p>
    <w:p>
      <w:pPr>
        <w:pStyle w:val="BodyText"/>
        <w:spacing w:line="480" w:lineRule="auto"/>
        <w:ind w:firstLine="720"/>
      </w:pPr>
      <w:r>
        <w:t xml:space="preserve">The discipline of saying so, on evidence rather than on doctrine, is the contribution this dissertation offers to the management of mission program execution.</w:t>
      </w:r>
    </w:p>
    <w:bookmarkEnd w:id="138"/>
    <w:bookmarkStart w:id="181" w:name="references"/>
    <w:p>
      <w:pPr>
        <w:pStyle w:val="Heading2"/>
        <w:spacing w:line="480" w:lineRule="auto"/>
      </w:pPr>
      <w:r>
        <w:t xml:space="preserve">References</w:t>
      </w:r>
    </w:p>
    <w:p>
      <w:pPr>
        <w:pStyle w:val="FirstParagraph"/>
        <w:spacing w:line="480" w:lineRule="auto"/>
      </w:pPr>
      <w:bookmarkStart w:id="139" w:name="ref-1"/>
      <w:bookmarkEnd w:id="139"/>
      <w:r>
        <w:t xml:space="preserve">1. V. Zancan, A. Paravano, G. Locatelli, and P. Trucco,</w:t>
      </w:r>
      <w:r>
        <w:t xml:space="preserve"> </w:t>
      </w:r>
      <w:r>
        <w:t xml:space="preserve">“Evolving governance in the space sector: From Legacy Space to New Space models,”</w:t>
      </w:r>
      <w:r>
        <w:t xml:space="preserve"> </w:t>
      </w:r>
      <w:r>
        <w:rPr>
          <w:i/>
          <w:iCs/>
        </w:rPr>
        <w:t xml:space="preserve">Acta Astronautica</w:t>
      </w:r>
      <w:r>
        <w:t xml:space="preserve">, vol. 225, 2024. doi:</w:t>
      </w:r>
      <w:r>
        <w:t xml:space="preserve"> </w:t>
      </w:r>
      <w:hyperlink r:id="rId140">
        <w:r>
          <w:rPr>
            <w:rStyle w:val="Hyperlink"/>
          </w:rPr>
          <w:t xml:space="preserve">10.1016/j.actaastro.2024.09.005</w:t>
        </w:r>
      </w:hyperlink>
      <w:r>
        <w:t xml:space="preserve">.</w:t>
      </w:r>
    </w:p>
    <w:p>
      <w:pPr>
        <w:pStyle w:val="BodyText"/>
        <w:spacing w:line="480" w:lineRule="auto"/>
        <w:ind w:firstLine="720"/>
      </w:pPr>
      <w:bookmarkStart w:id="141" w:name="ref-2"/>
      <w:bookmarkEnd w:id="141"/>
      <w:r>
        <w:t xml:space="preserve">2. J.-M. Salotti,</w:t>
      </w:r>
      <w:r>
        <w:t xml:space="preserve"> </w:t>
      </w:r>
      <w:r>
        <w:t xml:space="preserve">“Launcher size optimization for a crewed Mars mission,”</w:t>
      </w:r>
      <w:r>
        <w:t xml:space="preserve"> </w:t>
      </w:r>
      <w:r>
        <w:rPr>
          <w:i/>
          <w:iCs/>
        </w:rPr>
        <w:t xml:space="preserve">Acta Astronautica</w:t>
      </w:r>
      <w:r>
        <w:t xml:space="preserve">, vol. 191, 2021. doi:</w:t>
      </w:r>
      <w:r>
        <w:t xml:space="preserve"> </w:t>
      </w:r>
      <w:hyperlink r:id="rId142">
        <w:r>
          <w:rPr>
            <w:rStyle w:val="Hyperlink"/>
          </w:rPr>
          <w:t xml:space="preserve">10.1016/j.actaastro.2021.11.016</w:t>
        </w:r>
      </w:hyperlink>
      <w:r>
        <w:t xml:space="preserve">.</w:t>
      </w:r>
    </w:p>
    <w:p>
      <w:pPr>
        <w:pStyle w:val="BodyText"/>
        <w:spacing w:line="480" w:lineRule="auto"/>
        <w:ind w:firstLine="720"/>
      </w:pPr>
      <w:bookmarkStart w:id="143" w:name="ref-3"/>
      <w:bookmarkEnd w:id="143"/>
      <w:r>
        <w:t xml:space="preserve">3. G. Denis, A. Claverie, X. Pasco, J.-P. Darnis, B. de Maupeou, M. Lafaye, and E. Morel,</w:t>
      </w:r>
      <w:r>
        <w:t xml:space="preserve"> </w:t>
      </w:r>
      <w:r>
        <w:t xml:space="preserve">“Towards disruptions in Earth observation? New Earth Observation systems and markets evolution: Possible scenarios and impacts,”</w:t>
      </w:r>
      <w:r>
        <w:t xml:space="preserve"> </w:t>
      </w:r>
      <w:r>
        <w:rPr>
          <w:i/>
          <w:iCs/>
        </w:rPr>
        <w:t xml:space="preserve">Acta Astronautica</w:t>
      </w:r>
      <w:r>
        <w:t xml:space="preserve">, vol. 137, 2017. doi:</w:t>
      </w:r>
      <w:r>
        <w:t xml:space="preserve"> </w:t>
      </w:r>
      <w:hyperlink r:id="rId144">
        <w:r>
          <w:rPr>
            <w:rStyle w:val="Hyperlink"/>
          </w:rPr>
          <w:t xml:space="preserve">10.1016/j.actaastro.2017.04.034</w:t>
        </w:r>
      </w:hyperlink>
      <w:r>
        <w:t xml:space="preserve">.</w:t>
      </w:r>
    </w:p>
    <w:p>
      <w:pPr>
        <w:pStyle w:val="BodyText"/>
        <w:spacing w:line="480" w:lineRule="auto"/>
        <w:ind w:firstLine="720"/>
      </w:pPr>
      <w:bookmarkStart w:id="145" w:name="ref-4"/>
      <w:bookmarkEnd w:id="145"/>
      <w:r>
        <w:t xml:space="preserve">4. G. Denis, D. Alary, X. Pasco, N. Pisot, D. Texier, and S. Toulza,</w:t>
      </w:r>
      <w:r>
        <w:t xml:space="preserve"> </w:t>
      </w:r>
      <w:r>
        <w:t xml:space="preserve">“From new space to big space: How commercial space dream is becoming a reality,”</w:t>
      </w:r>
      <w:r>
        <w:t xml:space="preserve"> </w:t>
      </w:r>
      <w:r>
        <w:rPr>
          <w:i/>
          <w:iCs/>
        </w:rPr>
        <w:t xml:space="preserve">Acta Astronautica</w:t>
      </w:r>
      <w:r>
        <w:t xml:space="preserve">, vol. 166, 2019. doi:</w:t>
      </w:r>
      <w:r>
        <w:t xml:space="preserve"> </w:t>
      </w:r>
      <w:hyperlink r:id="rId146">
        <w:r>
          <w:rPr>
            <w:rStyle w:val="Hyperlink"/>
          </w:rPr>
          <w:t xml:space="preserve">10.1016/j.actaastro.2019.08.031</w:t>
        </w:r>
      </w:hyperlink>
      <w:r>
        <w:t xml:space="preserve">.</w:t>
      </w:r>
    </w:p>
    <w:p>
      <w:pPr>
        <w:pStyle w:val="BodyText"/>
        <w:spacing w:line="480" w:lineRule="auto"/>
        <w:ind w:firstLine="720"/>
      </w:pPr>
      <w:bookmarkStart w:id="147" w:name="ref-5"/>
      <w:bookmarkEnd w:id="147"/>
      <w:r>
        <w:t xml:space="preserve">5. V. Zancan, P. Trucco, and G. Locatelli,</w:t>
      </w:r>
      <w:r>
        <w:t xml:space="preserve"> </w:t>
      </w:r>
      <w:r>
        <w:t xml:space="preserve">“</w:t>
      </w:r>
      <w:r>
        <w:t xml:space="preserve">‘Getting things done’</w:t>
      </w:r>
      <w:r>
        <w:t xml:space="preserve"> </w:t>
      </w:r>
      <w:r>
        <w:t xml:space="preserve">or</w:t>
      </w:r>
      <w:r>
        <w:t xml:space="preserve"> </w:t>
      </w:r>
      <w:r>
        <w:t xml:space="preserve">‘Doing the right things’</w:t>
      </w:r>
      <w:r>
        <w:t xml:space="preserve">? Micro-foundations of product-service strategies in Earth Observation,”</w:t>
      </w:r>
      <w:r>
        <w:t xml:space="preserve"> </w:t>
      </w:r>
      <w:r>
        <w:rPr>
          <w:i/>
          <w:iCs/>
        </w:rPr>
        <w:t xml:space="preserve">Acta Astronautica</w:t>
      </w:r>
      <w:r>
        <w:t xml:space="preserve">, vol. 243, 2026. doi:</w:t>
      </w:r>
      <w:r>
        <w:t xml:space="preserve"> </w:t>
      </w:r>
      <w:hyperlink r:id="rId148">
        <w:r>
          <w:rPr>
            <w:rStyle w:val="Hyperlink"/>
          </w:rPr>
          <w:t xml:space="preserve">10.1016/j.actaastro.2026.01.040</w:t>
        </w:r>
      </w:hyperlink>
      <w:r>
        <w:t xml:space="preserve">.</w:t>
      </w:r>
    </w:p>
    <w:p>
      <w:pPr>
        <w:pStyle w:val="BodyText"/>
        <w:spacing w:line="480" w:lineRule="auto"/>
        <w:ind w:firstLine="720"/>
      </w:pPr>
      <w:bookmarkStart w:id="149" w:name="ref-6"/>
      <w:bookmarkEnd w:id="149"/>
      <w:r>
        <w:t xml:space="preserve">6. J. Guyot, A. Rao, and S. Rouillon,</w:t>
      </w:r>
      <w:r>
        <w:t xml:space="preserve"> </w:t>
      </w:r>
      <w:r>
        <w:t xml:space="preserve">“Oligopoly competition between satellite constellations will reduce economic welfare from orbit use,”</w:t>
      </w:r>
      <w:r>
        <w:t xml:space="preserve"> </w:t>
      </w:r>
      <w:r>
        <w:rPr>
          <w:i/>
          <w:iCs/>
        </w:rPr>
        <w:t xml:space="preserve">Proceedings of the National Academy of Sciences</w:t>
      </w:r>
      <w:r>
        <w:t xml:space="preserve">, vol. 120, 2023. doi:</w:t>
      </w:r>
      <w:r>
        <w:t xml:space="preserve"> </w:t>
      </w:r>
      <w:hyperlink r:id="rId150">
        <w:r>
          <w:rPr>
            <w:rStyle w:val="Hyperlink"/>
          </w:rPr>
          <w:t xml:space="preserve">10.1073/pnas.2221343120</w:t>
        </w:r>
      </w:hyperlink>
      <w:r>
        <w:t xml:space="preserve">.</w:t>
      </w:r>
    </w:p>
    <w:p>
      <w:pPr>
        <w:pStyle w:val="BodyText"/>
        <w:spacing w:line="480" w:lineRule="auto"/>
        <w:ind w:firstLine="720"/>
      </w:pPr>
      <w:bookmarkStart w:id="151" w:name="ref-7"/>
      <w:bookmarkEnd w:id="151"/>
      <w:r>
        <w:t xml:space="preserve">7. U.S. Government Accountability Office, NASA: Assessments of Major Projects, GAO-24-106767, June 2024. https://www.gao.gov/products/gao-24-106767</w:t>
      </w:r>
    </w:p>
    <w:p>
      <w:pPr>
        <w:pStyle w:val="BodyText"/>
        <w:spacing w:line="480" w:lineRule="auto"/>
        <w:ind w:firstLine="720"/>
      </w:pPr>
      <w:bookmarkStart w:id="152" w:name="ref-8"/>
      <w:bookmarkEnd w:id="152"/>
      <w:r>
        <w:t xml:space="preserve">8. B. Reddy and contributors, NASA Commercial Crew Program contract records and analysis; SpaceNews,</w:t>
      </w:r>
      <w:r>
        <w:t xml:space="preserve"> </w:t>
      </w:r>
      <w:r>
        <w:t xml:space="preserve">“NASA Selects Boeing and SpaceX for Commercial Crew Contracts,”</w:t>
      </w:r>
      <w:r>
        <w:t xml:space="preserve"> </w:t>
      </w:r>
      <w:r>
        <w:t xml:space="preserve">2014. https://spacenews.com/41891nasa-selects-boeing-and-spacex-for-commercial-crew-contracts/</w:t>
      </w:r>
    </w:p>
    <w:p>
      <w:pPr>
        <w:pStyle w:val="BodyText"/>
        <w:spacing w:line="480" w:lineRule="auto"/>
        <w:ind w:firstLine="720"/>
      </w:pPr>
      <w:bookmarkStart w:id="153" w:name="ref-9"/>
      <w:bookmarkEnd w:id="153"/>
      <w:r>
        <w:t xml:space="preserve">9. A. Paravano, G. Locatelli, and P. Trucco,</w:t>
      </w:r>
      <w:r>
        <w:t xml:space="preserve"> </w:t>
      </w:r>
      <w:r>
        <w:t xml:space="preserve">“What is value in the New Space Economy? The end-users’ perspective on satellite data and solutions,”</w:t>
      </w:r>
      <w:r>
        <w:t xml:space="preserve"> </w:t>
      </w:r>
      <w:r>
        <w:t xml:space="preserve">Acta Astronautica, vol. 208, 2023. https://doi.org/10.1016/j.actaastro.2023.05.001</w:t>
      </w:r>
    </w:p>
    <w:p>
      <w:pPr>
        <w:pStyle w:val="BodyText"/>
        <w:spacing w:line="480" w:lineRule="auto"/>
        <w:ind w:firstLine="720"/>
      </w:pPr>
      <w:bookmarkStart w:id="154" w:name="ref-10"/>
      <w:bookmarkEnd w:id="154"/>
      <w:r>
        <w:t xml:space="preserve">10. U.S. Government Accountability Office, NASA: Assessment of Major Projects, GAO-23-106021, May 2023. https://www.gao.gov/products/gao-23-106021</w:t>
      </w:r>
    </w:p>
    <w:p>
      <w:pPr>
        <w:pStyle w:val="BodyText"/>
        <w:spacing w:line="480" w:lineRule="auto"/>
        <w:ind w:firstLine="720"/>
      </w:pPr>
      <w:bookmarkStart w:id="155" w:name="ref-11"/>
      <w:bookmarkEnd w:id="155"/>
      <w:r>
        <w:t xml:space="preserve">11. S. Simon,</w:t>
      </w:r>
      <w:r>
        <w:t xml:space="preserve"> </w:t>
      </w:r>
      <w:r>
        <w:t xml:space="preserve">“A cause for concern: Developing regulatory competitions in NewSpace,”</w:t>
      </w:r>
      <w:r>
        <w:t xml:space="preserve"> </w:t>
      </w:r>
      <w:r>
        <w:t xml:space="preserve">Acta Astronautica, vol. 188, 2021. doi:</w:t>
      </w:r>
      <w:r>
        <w:t xml:space="preserve"> </w:t>
      </w:r>
      <w:hyperlink r:id="rId156">
        <w:r>
          <w:rPr>
            <w:rStyle w:val="Hyperlink"/>
          </w:rPr>
          <w:t xml:space="preserve">10.1016/j.actaastro.2021.05.015</w:t>
        </w:r>
      </w:hyperlink>
    </w:p>
    <w:p>
      <w:pPr>
        <w:pStyle w:val="BodyText"/>
        <w:spacing w:line="480" w:lineRule="auto"/>
        <w:ind w:firstLine="720"/>
      </w:pPr>
      <w:bookmarkStart w:id="157" w:name="ref-12"/>
      <w:bookmarkEnd w:id="157"/>
      <w:r>
        <w:t xml:space="preserve">12. Yasir Latif, Space Protocol; Samya Bagchi, Space Protocol; Latha Madhuri Pratti, Space Protocol; Harvey Reed, MITRE; Ruth Stilwell, Aerospace Policy Solutions, LLC; Greg Furlich, University of Colorado Boulder. Towards an AI-enabled Space Battle Management System on Space Protocol’s Quantum Resilient Blockchain (2025). doi:</w:t>
      </w:r>
      <w:r>
        <w:t xml:space="preserve"> </w:t>
      </w:r>
      <w:hyperlink r:id="rId158">
        <w:r>
          <w:rPr>
            <w:rStyle w:val="Hyperlink"/>
          </w:rPr>
          <w:t xml:space="preserve">10.64861/CEPU7718</w:t>
        </w:r>
      </w:hyperlink>
    </w:p>
    <w:p>
      <w:pPr>
        <w:pStyle w:val="BodyText"/>
        <w:spacing w:line="480" w:lineRule="auto"/>
        <w:ind w:firstLine="720"/>
      </w:pPr>
      <w:bookmarkStart w:id="159" w:name="ref-13"/>
      <w:bookmarkEnd w:id="159"/>
      <w:r>
        <w:t xml:space="preserve">13. Makena Young, Center for Strategic and International Studies; Akhil Thadani, Center for Strategic and International Studies. Low-Orbit, High Stakes: Winning the LEO Broadband Competition (2022).</w:t>
      </w:r>
    </w:p>
    <w:p>
      <w:pPr>
        <w:pStyle w:val="BodyText"/>
        <w:spacing w:line="480" w:lineRule="auto"/>
        <w:ind w:firstLine="720"/>
      </w:pPr>
      <w:bookmarkStart w:id="160" w:name="ref-14"/>
      <w:bookmarkEnd w:id="160"/>
      <w:r>
        <w:t xml:space="preserve">14. John Goehring, National Geospatial-Intelligence Agency. U.S. Commercial Space Regulation: The Rule of Three (2022).</w:t>
      </w:r>
    </w:p>
    <w:p>
      <w:pPr>
        <w:pStyle w:val="BodyText"/>
        <w:spacing w:line="480" w:lineRule="auto"/>
        <w:ind w:firstLine="720"/>
      </w:pPr>
      <w:bookmarkStart w:id="161" w:name="ref-15"/>
      <w:bookmarkEnd w:id="161"/>
      <w:r>
        <w:t xml:space="preserve">15. Cassien Jobic, CNES; Emmanuel Delande, CNES; Johannes Gelhaus, DLR; Cornelius Vogt, German Space Agency at DLR; Alessandra Di Cecco, ASI; Valentin Baral, CNES; Cristina Pérez Hernández, CDTI; Daniel Stelmecke, DLR; Matthieu Thierry, CNES. Presentation of the European Union Space Surveillance and Tracking (EU-SST) R&amp;D Plan (2023). doi:</w:t>
      </w:r>
      <w:r>
        <w:t xml:space="preserve"> </w:t>
      </w:r>
      <w:hyperlink r:id="rId162">
        <w:r>
          <w:rPr>
            <w:rStyle w:val="Hyperlink"/>
          </w:rPr>
          <w:t xml:space="preserve">10.64861/DZFF7826</w:t>
        </w:r>
      </w:hyperlink>
    </w:p>
    <w:p>
      <w:pPr>
        <w:pStyle w:val="BodyText"/>
        <w:spacing w:line="480" w:lineRule="auto"/>
        <w:ind w:firstLine="720"/>
      </w:pPr>
      <w:bookmarkStart w:id="163" w:name="ref-16"/>
      <w:bookmarkEnd w:id="163"/>
      <w:r>
        <w:t xml:space="preserve">16. Mark A. Skinner (Boeing LTS) Thomas M. Kelecy, Stephen A. Gregory, Joseph P. Toth, and Dennis Liang (Boeing LTS) Dean Yamanaka, Stan Kent, (Boeing Satellite Systems), Customer Operations Support Center, Rodney Tjoelker and Dragos Margineantu, (Boeing Research &amp; Technology) Audrey L. Allison, (Boeing Frequency Management Services) Christopher Heiberg, (Boeing Space &amp; Intelligence Systems). Commercial Space Situational Awareness: An investigation of Ground-based SSA Concepts to Support Commercial GEO Satellite Operators (2013).</w:t>
      </w:r>
    </w:p>
    <w:p>
      <w:pPr>
        <w:pStyle w:val="BodyText"/>
        <w:spacing w:line="480" w:lineRule="auto"/>
        <w:ind w:firstLine="720"/>
      </w:pPr>
      <w:bookmarkStart w:id="164" w:name="ref-17"/>
      <w:bookmarkEnd w:id="164"/>
      <w:r>
        <w:t xml:space="preserve">17. Audrey Allison, Boeing. WRC-19: New Space Law Enabling the Sustainability of LEO (2020).</w:t>
      </w:r>
    </w:p>
    <w:p>
      <w:pPr>
        <w:pStyle w:val="BodyText"/>
        <w:spacing w:line="480" w:lineRule="auto"/>
        <w:ind w:firstLine="720"/>
      </w:pPr>
      <w:bookmarkStart w:id="165" w:name="ref-18"/>
      <w:bookmarkEnd w:id="165"/>
      <w:r>
        <w:t xml:space="preserve">18. Ralph “Dinz” Dinsley, Northern Space and Security, Reflecting Space; Christopher Newman, Northumbria University and Reflecting Space. The Governance of Space Situational Awareness – Revolution not Evolution (2018).</w:t>
      </w:r>
    </w:p>
    <w:p>
      <w:pPr>
        <w:pStyle w:val="BodyText"/>
        <w:spacing w:line="480" w:lineRule="auto"/>
        <w:ind w:firstLine="720"/>
      </w:pPr>
      <w:bookmarkStart w:id="166" w:name="ref-19"/>
      <w:bookmarkEnd w:id="166"/>
      <w:r>
        <w:t xml:space="preserve">19. Mohd Noor Islam, Clearbox Systems; Thomas Q. Wang, Clearbox Systems; Samuel Wade, Clearbox Systems; Travis Bessell, Clearbox Systems; Tim Spitzer, Clearbox Systems; Jeremy Hallett, Clearbox Systems. Doppler and Angle of Arrival Estimation from Digitally Modulated Satellite Signals in Passive RF Space Domain Awareness (2021).</w:t>
      </w:r>
    </w:p>
    <w:p>
      <w:pPr>
        <w:pStyle w:val="BodyText"/>
        <w:spacing w:line="480" w:lineRule="auto"/>
        <w:ind w:firstLine="720"/>
      </w:pPr>
      <w:bookmarkStart w:id="167" w:name="ref-20"/>
      <w:bookmarkEnd w:id="167"/>
      <w:r>
        <w:t xml:space="preserve">20. Jo�ão Reis. European union defense and security strategy for space and ground-based systems against hybrid threats (2024). doi:</w:t>
      </w:r>
      <w:r>
        <w:t xml:space="preserve"> </w:t>
      </w:r>
      <w:hyperlink r:id="rId168">
        <w:r>
          <w:rPr>
            <w:rStyle w:val="Hyperlink"/>
          </w:rPr>
          <w:t xml:space="preserve">10.1016/j.actaastro.2024.09.003</w:t>
        </w:r>
      </w:hyperlink>
    </w:p>
    <w:p>
      <w:pPr>
        <w:pStyle w:val="BodyText"/>
        <w:spacing w:line="480" w:lineRule="auto"/>
        <w:ind w:firstLine="720"/>
      </w:pPr>
      <w:bookmarkStart w:id="169" w:name="ref-21"/>
      <w:bookmarkEnd w:id="169"/>
      <w:r>
        <w:t xml:space="preserve">21. Christina Giannopapa; Athanasios Staveris-Poykalas; Spyros Metallinos. Space as an enabler for sustainable digital transformation: The new space race and benefits for newcommers (2022). doi:</w:t>
      </w:r>
      <w:r>
        <w:t xml:space="preserve"> </w:t>
      </w:r>
      <w:hyperlink r:id="rId170">
        <w:r>
          <w:rPr>
            <w:rStyle w:val="Hyperlink"/>
          </w:rPr>
          <w:t xml:space="preserve">10.1016/j.actaastro.2022.06.005</w:t>
        </w:r>
      </w:hyperlink>
    </w:p>
    <w:p>
      <w:pPr>
        <w:pStyle w:val="BodyText"/>
        <w:spacing w:line="480" w:lineRule="auto"/>
        <w:ind w:firstLine="720"/>
      </w:pPr>
      <w:bookmarkStart w:id="171" w:name="ref-22"/>
      <w:bookmarkEnd w:id="171"/>
      <w:r>
        <w:t xml:space="preserve">22. Valentina Zancan; Paolo Trucco; Giorgio Locatelli. “Getting things done” or “Doing the right things”? Micro-foundations of product-service strategies in Earth Observation (2026). doi:</w:t>
      </w:r>
      <w:r>
        <w:t xml:space="preserve"> </w:t>
      </w:r>
      <w:hyperlink r:id="rId148">
        <w:r>
          <w:rPr>
            <w:rStyle w:val="Hyperlink"/>
          </w:rPr>
          <w:t xml:space="preserve">10.1016/j.actaastro.2026.01.040</w:t>
        </w:r>
      </w:hyperlink>
    </w:p>
    <w:p>
      <w:pPr>
        <w:pStyle w:val="BodyText"/>
        <w:spacing w:line="480" w:lineRule="auto"/>
        <w:ind w:firstLine="720"/>
      </w:pPr>
      <w:bookmarkStart w:id="172" w:name="ref-23"/>
      <w:bookmarkEnd w:id="172"/>
      <w:r>
        <w:t xml:space="preserve">23. Maria Lucas-Rhimbassen; Lucien Rapp. Competitive space foresight: Incentivizing compliance through antitrust (2021). doi:</w:t>
      </w:r>
      <w:r>
        <w:t xml:space="preserve"> </w:t>
      </w:r>
      <w:hyperlink r:id="rId173">
        <w:r>
          <w:rPr>
            <w:rStyle w:val="Hyperlink"/>
          </w:rPr>
          <w:t xml:space="preserve">10.1016/j.actaastro.2021.08.036</w:t>
        </w:r>
      </w:hyperlink>
    </w:p>
    <w:p>
      <w:pPr>
        <w:pStyle w:val="BodyText"/>
        <w:spacing w:line="480" w:lineRule="auto"/>
        <w:ind w:firstLine="720"/>
      </w:pPr>
      <w:bookmarkStart w:id="174" w:name="ref-24"/>
      <w:bookmarkEnd w:id="174"/>
      <w:r>
        <w:t xml:space="preserve">24. Philip T. Metzger. Economics of in-space industry and competitiveness of lunar-derived rocket propellant (2023). doi:</w:t>
      </w:r>
      <w:r>
        <w:t xml:space="preserve"> </w:t>
      </w:r>
      <w:hyperlink r:id="rId175">
        <w:r>
          <w:rPr>
            <w:rStyle w:val="Hyperlink"/>
          </w:rPr>
          <w:t xml:space="preserve">10.1016/j.actaastro.2023.03.014</w:t>
        </w:r>
      </w:hyperlink>
    </w:p>
    <w:p>
      <w:pPr>
        <w:pStyle w:val="BodyText"/>
        <w:spacing w:line="480" w:lineRule="auto"/>
        <w:ind w:firstLine="720"/>
      </w:pPr>
      <w:bookmarkStart w:id="176" w:name="ref-25"/>
      <w:bookmarkEnd w:id="176"/>
      <w:r>
        <w:t xml:space="preserve">25. Carlos Manuel Entrena Utrilla. Establishing a framework for studying the emerging cislunar economy (2017). doi:</w:t>
      </w:r>
      <w:r>
        <w:t xml:space="preserve"> </w:t>
      </w:r>
      <w:hyperlink r:id="rId177">
        <w:r>
          <w:rPr>
            <w:rStyle w:val="Hyperlink"/>
          </w:rPr>
          <w:t xml:space="preserve">10.1016/j.actaastro.2017.10.005</w:t>
        </w:r>
      </w:hyperlink>
    </w:p>
    <w:p>
      <w:pPr>
        <w:pStyle w:val="BodyText"/>
        <w:spacing w:line="480" w:lineRule="auto"/>
        <w:ind w:firstLine="720"/>
      </w:pPr>
      <w:bookmarkStart w:id="178" w:name="ref-26"/>
      <w:bookmarkEnd w:id="178"/>
      <w:r>
        <w:t xml:space="preserve">26. Kosuke Ikeya; Michel‐Alexandre Cardin; J.J. Cilliers; Stanley Starr; Kathryn Hadler. Multi-objective decision-making for flexible design and planning of oxygen production facilities in an uncertain lunar environment (2025). doi:</w:t>
      </w:r>
      <w:r>
        <w:t xml:space="preserve"> </w:t>
      </w:r>
      <w:hyperlink r:id="rId179">
        <w:r>
          <w:rPr>
            <w:rStyle w:val="Hyperlink"/>
          </w:rPr>
          <w:t xml:space="preserve">10.1016/j.actaastro.2025.07.014</w:t>
        </w:r>
      </w:hyperlink>
    </w:p>
    <w:p>
      <w:pPr>
        <w:pStyle w:val="BodyText"/>
        <w:spacing w:line="480" w:lineRule="auto"/>
        <w:ind w:firstLine="720"/>
      </w:pPr>
      <w:bookmarkStart w:id="180" w:name="ref-27"/>
      <w:bookmarkEnd w:id="180"/>
      <w:r>
        <w:t xml:space="preserve">27. Gil Denis; Didier Alary; Xavier Pasco; Nathalie Pisot; D. Texier; Sandrine Toulza. From new space to big space: How commercial space dream is becoming a reality (2019). doi:</w:t>
      </w:r>
      <w:r>
        <w:t xml:space="preserve"> </w:t>
      </w:r>
      <w:hyperlink r:id="rId146">
        <w:r>
          <w:rPr>
            <w:rStyle w:val="Hyperlink"/>
          </w:rPr>
          <w:t xml:space="preserve">10.1016/j.actaastro.2019.08.031</w:t>
        </w:r>
      </w:hyperlink>
    </w:p>
    <w:bookmarkEnd w:id="181"/>
    <w:bookmarkEnd w:id="182"/>
    <w:bookmarkStart w:id="199"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0" w:name="X53d039064392cda90f58c4e6cdf2208a0cc34f8"/>
    <w:p>
      <w:pPr>
        <w:pStyle w:val="Heading2"/>
        <w:spacing w:line="480" w:lineRule="auto"/>
      </w:pPr>
      <w:r>
        <w:t xml:space="preserve">A.1 Bidders and the Budget: Does the Number of Prime-Contract Competitors Predict Development Cost Growth on NASA Major Projects?</w:t>
      </w:r>
    </w:p>
    <w:p>
      <w:pPr>
        <w:pStyle w:val="FirstParagraph"/>
        <w:spacing w:line="480" w:lineRule="auto"/>
      </w:pPr>
      <m:oMathPara>
        <m:oMathParaPr>
          <m:jc m:val="center"/>
        </m:oMathParaPr>
        <m:oMath>
          <m:sSub>
            <m:e>
              <m:r>
                <m:rPr>
                  <m:nor/>
                  <m:sty m:val="p"/>
                </m:rPr>
                <m:t>DevCostGrowth</m:t>
              </m:r>
            </m:e>
            <m:sub>
              <m:r>
                <m:t>i</m:t>
              </m:r>
            </m:sub>
          </m:sSub>
          <m:r>
            <m:rPr>
              <m:sty m:val="p"/>
            </m:rPr>
            <m:t>=</m:t>
          </m:r>
          <m:sSub>
            <m:e>
              <m:r>
                <m:t>β</m:t>
              </m:r>
            </m:e>
            <m:sub>
              <m:r>
                <m:t>0</m:t>
              </m:r>
            </m:sub>
          </m:sSub>
          <m:r>
            <m:rPr>
              <m:sty m:val="p"/>
            </m:rPr>
            <m:t>+</m:t>
          </m:r>
          <m:sSub>
            <m:e>
              <m:r>
                <m:t>β</m:t>
              </m:r>
            </m:e>
            <m:sub>
              <m:r>
                <m:t>1</m:t>
              </m:r>
            </m:sub>
          </m:sSub>
          <m:sSub>
            <m:e>
              <m:r>
                <m:rPr>
                  <m:nor/>
                  <m:sty m:val="p"/>
                </m:rPr>
                <m:t>Bidders</m:t>
              </m:r>
            </m:e>
            <m:sub>
              <m:r>
                <m:t>i</m:t>
              </m:r>
            </m:sub>
          </m:sSub>
          <m:r>
            <m:rPr>
              <m:sty m:val="p"/>
            </m:rPr>
            <m:t>+</m:t>
          </m:r>
          <m:sSub>
            <m:e>
              <m:r>
                <m:t>β</m:t>
              </m:r>
            </m:e>
            <m:sub>
              <m:r>
                <m:t>2</m:t>
              </m:r>
            </m:sub>
          </m:sSub>
          <m:sSub>
            <m:e>
              <m:r>
                <m:rPr>
                  <m:nor/>
                  <m:sty m:val="p"/>
                </m:rPr>
                <m:t>FixedPrice</m:t>
              </m:r>
            </m:e>
            <m:sub>
              <m:r>
                <m:t>i</m:t>
              </m:r>
            </m:sub>
          </m:sSub>
          <m:r>
            <m:rPr>
              <m:sty m:val="p"/>
            </m:rPr>
            <m:t>+</m:t>
          </m:r>
          <m:sSub>
            <m:e>
              <m:r>
                <m:t>β</m:t>
              </m:r>
            </m:e>
            <m:sub>
              <m:r>
                <m:t>3</m:t>
              </m:r>
            </m:sub>
          </m:sSub>
          <m:sSub>
            <m:e>
              <m:r>
                <m:rPr>
                  <m:nor/>
                  <m:sty m:val="p"/>
                </m:rPr>
                <m:t>BaselineLCC</m:t>
              </m:r>
            </m:e>
            <m:sub>
              <m:r>
                <m:t>i</m:t>
              </m:r>
            </m:sub>
          </m:sSub>
          <m:r>
            <m:rPr>
              <m:sty m:val="p"/>
            </m:rPr>
            <m:t>+</m:t>
          </m:r>
          <m:sSub>
            <m:e>
              <m:r>
                <m:t>ε</m:t>
              </m:r>
            </m:e>
            <m:sub>
              <m:r>
                <m:t>i</m:t>
              </m:r>
            </m:sub>
          </m:sSub>
        </m:oMath>
      </m:oMathPara>
    </w:p>
    <w:bookmarkStart w:id="183"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-84.155</w:t>
            </w:r>
          </w:p>
        </w:tc>
        <w:tc>
          <w:tcPr>
            <w:tcW w:w="0" w:type="auto"/>
          </w:tcPr>
          <w:p>
            <w:pPr>
              <w:spacing w:line="240" w:lineRule="auto" w:before="0" w:after="0"/>
              <w:pStyle w:val="Compact"/>
            </w:pPr>
            <w:r>
              <w:rPr>
                <w:sz w:val="20"/>
                <w:szCs w:val="20"/>
              </w:rPr>
              <w:t xml:space="preserve">83.0923</w:t>
            </w:r>
          </w:p>
        </w:tc>
        <w:tc>
          <w:tcPr>
            <w:tcW w:w="0" w:type="auto"/>
          </w:tcPr>
          <w:p>
            <w:pPr>
              <w:spacing w:line="240" w:lineRule="auto" w:before="0" w:after="0"/>
              <w:pStyle w:val="Compact"/>
            </w:pPr>
            <w:r>
              <w:rPr>
                <w:sz w:val="20"/>
                <w:szCs w:val="20"/>
              </w:rPr>
              <w:t xml:space="preserve">-1.0128</w:t>
            </w:r>
          </w:p>
        </w:tc>
        <w:tc>
          <w:tcPr>
            <w:tcW w:w="0" w:type="auto"/>
          </w:tcPr>
          <w:p>
            <w:pPr>
              <w:spacing w:line="240" w:lineRule="auto" w:before="0" w:after="0"/>
              <w:pStyle w:val="Compact"/>
            </w:pPr>
            <w:r>
              <w:rPr>
                <w:sz w:val="20"/>
                <w:szCs w:val="20"/>
              </w:rPr>
              <w:t xml:space="preserve">0.3112</w:t>
            </w:r>
          </w:p>
        </w:tc>
        <w:tc>
          <w:tcPr>
            <w:tcW w:w="0" w:type="auto"/>
          </w:tcPr>
          <w:p>
            <w:pPr>
              <w:spacing w:line="240" w:lineRule="auto" w:before="0" w:after="0"/>
              <w:pStyle w:val="Compact"/>
            </w:pPr>
            <w:r>
              <w:rPr>
                <w:sz w:val="20"/>
                <w:szCs w:val="20"/>
              </w:rPr>
              <w:t xml:space="preserve">[-247.0129, 78.703]</w:t>
            </w:r>
          </w:p>
        </w:tc>
      </w:tr>
      <w:tr>
        <w:tc>
          <w:tcPr>
            <w:tcW w:w="0" w:type="auto"/>
          </w:tcPr>
          <w:p>
            <w:pPr>
              <w:spacing w:line="240" w:lineRule="auto" w:before="0" w:after="0"/>
              <w:pStyle w:val="Compact"/>
            </w:pPr>
            <w:r>
              <w:rPr>
                <w:sz w:val="20"/>
                <w:szCs w:val="20"/>
              </w:rPr>
              <w:t xml:space="preserve">n_bidders</w:t>
            </w:r>
          </w:p>
        </w:tc>
        <w:tc>
          <w:tcPr>
            <w:tcW w:w="0" w:type="auto"/>
          </w:tcPr>
          <w:p>
            <w:pPr>
              <w:spacing w:line="240" w:lineRule="auto" w:before="0" w:after="0"/>
              <w:pStyle w:val="Compact"/>
            </w:pPr>
            <w:r>
              <w:rPr>
                <w:sz w:val="20"/>
                <w:szCs w:val="20"/>
              </w:rPr>
              <w:t xml:space="preserve">14.2796</w:t>
            </w:r>
          </w:p>
        </w:tc>
        <w:tc>
          <w:tcPr>
            <w:tcW w:w="0" w:type="auto"/>
          </w:tcPr>
          <w:p>
            <w:pPr>
              <w:spacing w:line="240" w:lineRule="auto" w:before="0" w:after="0"/>
              <w:pStyle w:val="Compact"/>
            </w:pPr>
            <w:r>
              <w:rPr>
                <w:sz w:val="20"/>
                <w:szCs w:val="20"/>
              </w:rPr>
              <w:t xml:space="preserve">18.5375</w:t>
            </w:r>
          </w:p>
        </w:tc>
        <w:tc>
          <w:tcPr>
            <w:tcW w:w="0" w:type="auto"/>
          </w:tcPr>
          <w:p>
            <w:pPr>
              <w:spacing w:line="240" w:lineRule="auto" w:before="0" w:after="0"/>
              <w:pStyle w:val="Compact"/>
            </w:pPr>
            <w:r>
              <w:rPr>
                <w:sz w:val="20"/>
                <w:szCs w:val="20"/>
              </w:rPr>
              <w:t xml:space="preserve">0.7703</w:t>
            </w:r>
          </w:p>
        </w:tc>
        <w:tc>
          <w:tcPr>
            <w:tcW w:w="0" w:type="auto"/>
          </w:tcPr>
          <w:p>
            <w:pPr>
              <w:spacing w:line="240" w:lineRule="auto" w:before="0" w:after="0"/>
              <w:pStyle w:val="Compact"/>
            </w:pPr>
            <w:r>
              <w:rPr>
                <w:sz w:val="20"/>
                <w:szCs w:val="20"/>
              </w:rPr>
              <w:t xml:space="preserve">0.4411</w:t>
            </w:r>
          </w:p>
        </w:tc>
        <w:tc>
          <w:tcPr>
            <w:tcW w:w="0" w:type="auto"/>
          </w:tcPr>
          <w:p>
            <w:pPr>
              <w:spacing w:line="240" w:lineRule="auto" w:before="0" w:after="0"/>
              <w:pStyle w:val="Compact"/>
            </w:pPr>
            <w:r>
              <w:rPr>
                <w:sz w:val="20"/>
                <w:szCs w:val="20"/>
              </w:rPr>
              <w:t xml:space="preserve">[-22.0532, 50.6125]</w:t>
            </w:r>
          </w:p>
        </w:tc>
      </w:tr>
      <w:tr>
        <w:tc>
          <w:tcPr>
            <w:tcW w:w="0" w:type="auto"/>
          </w:tcPr>
          <w:p>
            <w:pPr>
              <w:spacing w:line="240" w:lineRule="auto" w:before="0" w:after="0"/>
              <w:pStyle w:val="Compact"/>
            </w:pPr>
            <w:r>
              <w:rPr>
                <w:sz w:val="20"/>
                <w:szCs w:val="20"/>
              </w:rPr>
              <w:t xml:space="preserve">fixed_price</w:t>
            </w:r>
          </w:p>
        </w:tc>
        <w:tc>
          <w:tcPr>
            <w:tcW w:w="0" w:type="auto"/>
          </w:tcPr>
          <w:p>
            <w:pPr>
              <w:spacing w:line="240" w:lineRule="auto" w:before="0" w:after="0"/>
              <w:pStyle w:val="Compact"/>
            </w:pPr>
            <w:r>
              <w:rPr>
                <w:sz w:val="20"/>
                <w:szCs w:val="20"/>
              </w:rPr>
              <w:t xml:space="preserve">-5.6177</w:t>
            </w:r>
          </w:p>
        </w:tc>
        <w:tc>
          <w:tcPr>
            <w:tcW w:w="0" w:type="auto"/>
          </w:tcPr>
          <w:p>
            <w:pPr>
              <w:spacing w:line="240" w:lineRule="auto" w:before="0" w:after="0"/>
              <w:pStyle w:val="Compact"/>
            </w:pPr>
            <w:r>
              <w:rPr>
                <w:sz w:val="20"/>
                <w:szCs w:val="20"/>
              </w:rPr>
              <w:t xml:space="preserve">36.3651</w:t>
            </w:r>
          </w:p>
        </w:tc>
        <w:tc>
          <w:tcPr>
            <w:tcW w:w="0" w:type="auto"/>
          </w:tcPr>
          <w:p>
            <w:pPr>
              <w:spacing w:line="240" w:lineRule="auto" w:before="0" w:after="0"/>
              <w:pStyle w:val="Compact"/>
            </w:pPr>
            <w:r>
              <w:rPr>
                <w:sz w:val="20"/>
                <w:szCs w:val="20"/>
              </w:rPr>
              <w:t xml:space="preserve">-0.1545</w:t>
            </w:r>
          </w:p>
        </w:tc>
        <w:tc>
          <w:tcPr>
            <w:tcW w:w="0" w:type="auto"/>
          </w:tcPr>
          <w:p>
            <w:pPr>
              <w:spacing w:line="240" w:lineRule="auto" w:before="0" w:after="0"/>
              <w:pStyle w:val="Compact"/>
            </w:pPr>
            <w:r>
              <w:rPr>
                <w:sz w:val="20"/>
                <w:szCs w:val="20"/>
              </w:rPr>
              <w:t xml:space="preserve">0.8772</w:t>
            </w:r>
          </w:p>
        </w:tc>
        <w:tc>
          <w:tcPr>
            <w:tcW w:w="0" w:type="auto"/>
          </w:tcPr>
          <w:p>
            <w:pPr>
              <w:spacing w:line="240" w:lineRule="auto" w:before="0" w:after="0"/>
              <w:pStyle w:val="Compact"/>
            </w:pPr>
            <w:r>
              <w:rPr>
                <w:sz w:val="20"/>
                <w:szCs w:val="20"/>
              </w:rPr>
              <w:t xml:space="preserve">[-76.892, 65.6565]</w:t>
            </w:r>
          </w:p>
        </w:tc>
      </w:tr>
      <w:tr>
        <w:tc>
          <w:tcPr>
            <w:tcW w:w="0" w:type="auto"/>
          </w:tcPr>
          <w:p>
            <w:pPr>
              <w:spacing w:line="240" w:lineRule="auto" w:before="0" w:after="0"/>
              <w:pStyle w:val="Compact"/>
            </w:pPr>
            <w:r>
              <w:rPr>
                <w:sz w:val="20"/>
                <w:szCs w:val="20"/>
              </w:rPr>
              <w:t xml:space="preserve">baseline_lcc_bn</w:t>
            </w:r>
          </w:p>
        </w:tc>
        <w:tc>
          <w:tcPr>
            <w:tcW w:w="0" w:type="auto"/>
          </w:tcPr>
          <w:p>
            <w:pPr>
              <w:spacing w:line="240" w:lineRule="auto" w:before="0" w:after="0"/>
              <w:pStyle w:val="Compact"/>
            </w:pPr>
            <w:r>
              <w:rPr>
                <w:sz w:val="20"/>
                <w:szCs w:val="20"/>
              </w:rPr>
              <w:t xml:space="preserve">53.5006</w:t>
            </w:r>
          </w:p>
        </w:tc>
        <w:tc>
          <w:tcPr>
            <w:tcW w:w="0" w:type="auto"/>
          </w:tcPr>
          <w:p>
            <w:pPr>
              <w:spacing w:line="240" w:lineRule="auto" w:before="0" w:after="0"/>
              <w:pStyle w:val="Compact"/>
            </w:pPr>
            <w:r>
              <w:rPr>
                <w:sz w:val="20"/>
                <w:szCs w:val="20"/>
              </w:rPr>
              <w:t xml:space="preserve">35.6593</w:t>
            </w:r>
          </w:p>
        </w:tc>
        <w:tc>
          <w:tcPr>
            <w:tcW w:w="0" w:type="auto"/>
          </w:tcPr>
          <w:p>
            <w:pPr>
              <w:spacing w:line="240" w:lineRule="auto" w:before="0" w:after="0"/>
              <w:pStyle w:val="Compact"/>
            </w:pPr>
            <w:r>
              <w:rPr>
                <w:sz w:val="20"/>
                <w:szCs w:val="20"/>
              </w:rPr>
              <w:t xml:space="preserve">1.5003</w:t>
            </w:r>
          </w:p>
        </w:tc>
        <w:tc>
          <w:tcPr>
            <w:tcW w:w="0" w:type="auto"/>
          </w:tcPr>
          <w:p>
            <w:pPr>
              <w:spacing w:line="240" w:lineRule="auto" w:before="0" w:after="0"/>
              <w:pStyle w:val="Compact"/>
            </w:pPr>
            <w:r>
              <w:rPr>
                <w:sz w:val="20"/>
                <w:szCs w:val="20"/>
              </w:rPr>
              <w:t xml:space="preserve">0.1335</w:t>
            </w:r>
          </w:p>
        </w:tc>
        <w:tc>
          <w:tcPr>
            <w:tcW w:w="0" w:type="auto"/>
          </w:tcPr>
          <w:p>
            <w:pPr>
              <w:spacing w:line="240" w:lineRule="auto" w:before="0" w:after="0"/>
              <w:pStyle w:val="Compact"/>
            </w:pPr>
            <w:r>
              <w:rPr>
                <w:sz w:val="20"/>
                <w:szCs w:val="20"/>
              </w:rPr>
              <w:t xml:space="preserve">[-16.3903, 123.3914]</w:t>
            </w:r>
          </w:p>
        </w:tc>
      </w:tr>
    </w:tbl>
    <w:p>
      <w:pPr>
        <w:pStyle w:val="BodyText"/>
        <w:spacing w:line="480" w:lineRule="auto"/>
        <w:ind w:firstLine="720"/>
      </w:pPr>
      <w:r>
        <w:t xml:space="preserve">Fit: N = 28 R2 = 0.3933 R2_adj = 0.3175 F = 0.9131 F_p = 0.4494</w:t>
      </w:r>
    </w:p>
    <w:bookmarkEnd w:id="183"/>
    <w:bookmarkStart w:id="187"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Development cost growth versus number of qualified prime-contract bidders across 28 NASA major projects. Each point is one project; the downward slope is consistent with the competition hypothesis." title="" id="185" name="Picture"/>
            <a:graphic>
              <a:graphicData uri="http://schemas.openxmlformats.org/drawingml/2006/picture">
                <pic:pic>
                  <pic:nvPicPr>
                    <pic:cNvPr descr="D:/Claude_Code/brain/collegium/candidates/dissertations/ENTERPRISE_ACQ_10/research_papers/p1/paper_fig1.png" id="186" name="Picture"/>
                    <pic:cNvPicPr>
                      <a:picLocks noChangeArrowheads="1" noChangeAspect="1"/>
                    </pic:cNvPicPr>
                  </pic:nvPicPr>
                  <pic:blipFill>
                    <a:blip r:embed="rId18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Development cost growth versus number of qualified prime-contract bidders across 28 NASA major projects. Each point is one project; the downward slope is consistent with the competition hypothesis.</w:t>
      </w:r>
    </w:p>
    <w:bookmarkEnd w:id="187"/>
    <w:bookmarkStart w:id="188"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year_assessed</w:t>
            </w:r>
          </w:p>
        </w:tc>
        <w:tc>
          <w:tcPr>
            <w:tcW w:w="0" w:type="auto"/>
          </w:tcPr>
          <w:p>
            <w:pPr>
              <w:spacing w:line="240" w:lineRule="auto" w:before="0" w:after="0"/>
              <w:pStyle w:val="Compact"/>
            </w:pPr>
            <w:r>
              <w:rPr>
                <w:sz w:val="20"/>
                <w:szCs w:val="20"/>
              </w:rPr>
              <w:t xml:space="preserve">n_bidders</w:t>
            </w:r>
          </w:p>
        </w:tc>
        <w:tc>
          <w:tcPr>
            <w:tcW w:w="0" w:type="auto"/>
          </w:tcPr>
          <w:p>
            <w:pPr>
              <w:spacing w:line="240" w:lineRule="auto" w:before="0" w:after="0"/>
              <w:pStyle w:val="Compact"/>
            </w:pPr>
            <w:r>
              <w:rPr>
                <w:sz w:val="20"/>
                <w:szCs w:val="20"/>
              </w:rPr>
              <w:t xml:space="preserve">fixed_price</w:t>
            </w:r>
          </w:p>
        </w:tc>
        <w:tc>
          <w:tcPr>
            <w:tcW w:w="0" w:type="auto"/>
          </w:tcPr>
          <w:p>
            <w:pPr>
              <w:spacing w:line="240" w:lineRule="auto" w:before="0" w:after="0"/>
              <w:pStyle w:val="Compact"/>
            </w:pPr>
            <w:r>
              <w:rPr>
                <w:sz w:val="20"/>
                <w:szCs w:val="20"/>
              </w:rPr>
              <w:t xml:space="preserve">baseline_lcc_bn</w:t>
            </w:r>
          </w:p>
        </w:tc>
        <w:tc>
          <w:tcPr>
            <w:tcW w:w="0" w:type="auto"/>
          </w:tcPr>
          <w:p>
            <w:pPr>
              <w:spacing w:line="240" w:lineRule="auto" w:before="0" w:after="0"/>
              <w:pStyle w:val="Compact"/>
            </w:pPr>
            <w:r>
              <w:rPr>
                <w:sz w:val="20"/>
                <w:szCs w:val="20"/>
              </w:rPr>
              <w:t xml:space="preserve">dev_cost_growth_pct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Space Launch System</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989.5</w:t>
            </w:r>
          </w:p>
        </w:tc>
        <w:tc>
          <w:tcPr>
            <w:tcW w:w="0" w:type="auto"/>
          </w:tcPr>
          <w:p>
            <w:pPr>
              <w:spacing w:line="240" w:lineRule="auto" w:before="0" w:after="0"/>
              <w:pStyle w:val="Compact"/>
            </w:pPr>
            <w:r>
              <w:rPr>
                <w:sz w:val="20"/>
                <w:szCs w:val="20"/>
              </w:rPr>
              <w:t xml:space="preserve">GAO-21-306 cost-growth table (SLS dev cost growth 989.5%); follow-on stages sole-sourced to Boeing under JOFOC (SpaceNews 2019-08, NASA OIG IG-24-001)</w:t>
            </w:r>
          </w:p>
        </w:tc>
      </w:tr>
      <w:tr>
        <w:tc>
          <w:tcPr>
            <w:tcW w:w="0" w:type="auto"/>
          </w:tcPr>
          <w:p>
            <w:pPr>
              <w:spacing w:line="240" w:lineRule="auto" w:before="0" w:after="0"/>
              <w:pStyle w:val="Compact"/>
            </w:pPr>
            <w:r>
              <w:rPr>
                <w:sz w:val="20"/>
                <w:szCs w:val="20"/>
              </w:rPr>
              <w:t xml:space="preserve">Orion MPCV</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6.77</w:t>
            </w:r>
          </w:p>
        </w:tc>
        <w:tc>
          <w:tcPr>
            <w:tcW w:w="0" w:type="auto"/>
          </w:tcPr>
          <w:p>
            <w:pPr>
              <w:spacing w:line="240" w:lineRule="auto" w:before="0" w:after="0"/>
              <w:pStyle w:val="Compact"/>
            </w:pPr>
            <w:r>
              <w:rPr>
                <w:sz w:val="20"/>
                <w:szCs w:val="20"/>
              </w:rPr>
              <w:t xml:space="preserve">30.6</w:t>
            </w:r>
          </w:p>
        </w:tc>
        <w:tc>
          <w:tcPr>
            <w:tcW w:w="0" w:type="auto"/>
          </w:tcPr>
          <w:p>
            <w:pPr>
              <w:spacing w:line="240" w:lineRule="auto" w:before="0" w:after="0"/>
              <w:pStyle w:val="Compact"/>
            </w:pPr>
            <w:r>
              <w:rPr>
                <w:sz w:val="20"/>
                <w:szCs w:val="20"/>
              </w:rPr>
              <w:t xml:space="preserve">GAO-21-306 (Orion dev cost growth 30.6%); Orion prime sole-source to Lockheed Martin, OPOC cost-plus (SpaceNews 2019-09-23; NASA news 2019)</w:t>
            </w:r>
          </w:p>
        </w:tc>
      </w:tr>
      <w:tr>
        <w:tc>
          <w:tcPr>
            <w:tcW w:w="0" w:type="auto"/>
          </w:tcPr>
          <w:p>
            <w:pPr>
              <w:spacing w:line="240" w:lineRule="auto" w:before="0" w:after="0"/>
              <w:pStyle w:val="Compact"/>
            </w:pPr>
            <w:r>
              <w:rPr>
                <w:sz w:val="20"/>
                <w:szCs w:val="20"/>
              </w:rPr>
              <w:t xml:space="preserve">James Webb Space Telescope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Prime awarded to TRW 2003 ($824.8M), not openly competed; absorbed by Northrop Grumman; lifecycle grew to $9.7B from ~$5B 2009 baseline (Wikipedia JWST; Nature d41586-022-00153-z); GAO-18-280SP</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38.8</w:t>
            </w:r>
          </w:p>
        </w:tc>
        <w:tc>
          <w:tcPr>
            <w:tcW w:w="0" w:type="auto"/>
          </w:tcPr>
          <w:p>
            <w:pPr>
              <w:spacing w:line="240" w:lineRule="auto" w:before="0" w:after="0"/>
              <w:pStyle w:val="Compact"/>
            </w:pPr>
            <w:r>
              <w:rPr>
                <w:sz w:val="20"/>
                <w:szCs w:val="20"/>
              </w:rPr>
              <w:t xml:space="preserve">GAO-21-306 underrun table (Psyche -38.8% relative cost change vs prior); Discovery AO competed down-select, Maxar prime cost-plus (FedScoop 2022; ExecutiveBiz Psyche)</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4.25</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GAO-21-306 (Europa Clipper -66.0% cost change after directed launch-vehicle change); APL/JPL in-house build, non-competed (Wikipedia Europa Clipper; JPL press kit)</w:t>
            </w:r>
          </w:p>
        </w:tc>
      </w:tr>
      <w:tr>
        <w:tc>
          <w:tcPr>
            <w:tcW w:w="0" w:type="auto"/>
          </w:tcPr>
          <w:p>
            <w:pPr>
              <w:spacing w:line="240" w:lineRule="auto" w:before="0" w:after="0"/>
              <w:pStyle w:val="Compact"/>
            </w:pPr>
            <w:r>
              <w:rPr>
                <w:sz w:val="20"/>
                <w:szCs w:val="20"/>
              </w:rPr>
              <w:t xml:space="preserve">Landsat 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0.98</w:t>
            </w:r>
          </w:p>
        </w:tc>
        <w:tc>
          <w:tcPr>
            <w:tcW w:w="0" w:type="auto"/>
          </w:tcPr>
          <w:p>
            <w:pPr>
              <w:spacing w:line="240" w:lineRule="auto" w:before="0" w:after="0"/>
              <w:pStyle w:val="Compact"/>
            </w:pPr>
            <w:r>
              <w:rPr>
                <w:sz w:val="20"/>
                <w:szCs w:val="20"/>
              </w:rPr>
              <w:t xml:space="preserve">-46.5</w:t>
            </w:r>
          </w:p>
        </w:tc>
        <w:tc>
          <w:tcPr>
            <w:tcW w:w="0" w:type="auto"/>
          </w:tcPr>
          <w:p>
            <w:pPr>
              <w:spacing w:line="240" w:lineRule="auto" w:before="0" w:after="0"/>
              <w:pStyle w:val="Compact"/>
            </w:pPr>
            <w:r>
              <w:rPr>
                <w:sz w:val="20"/>
                <w:szCs w:val="20"/>
              </w:rPr>
              <w:t xml:space="preserve">GAO-21-306 (Landsat 9 -46.5% cost change); OLI-2 instrument competed, spacecraft Northrop Grumman (GAO-21-306; USGS/NASA Landsat 9 records)</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GAO-21-306 (DART no reported cost change); APL-built and managed, non-competed planetary defense (NASA DART; JHUAPL DART)</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GAO-21-306 (Lucy no reported cost change); Discovery-class, spacecraft built by Lockheed Martin Space (NASA Lucy; eoPortal Lucy)</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GAO-21-306 (PACE no reported cost change); GSFC in-house spacecraft, non-competed (GAO-21-306; NASA PACE mission)</w:t>
            </w:r>
          </w:p>
        </w:tc>
      </w:tr>
      <w:tr>
        <w:tc>
          <w:tcPr>
            <w:tcW w:w="0" w:type="auto"/>
          </w:tcPr>
          <w:p>
            <w:pPr>
              <w:spacing w:line="240" w:lineRule="auto" w:before="0" w:after="0"/>
              <w:pStyle w:val="Compact"/>
            </w:pPr>
            <w:r>
              <w:rPr>
                <w:sz w:val="20"/>
                <w:szCs w:val="20"/>
              </w:rPr>
              <w:t xml:space="preserve">Nancy Grace Roman Space Telescope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NASA OIG IG-24-014 and SpaceNews 2021-10 report ~$400M (~12.5%) growth on ~$3.2B baseline from COVID; GSFC-managed, non-competed prime (NASA OIG IG-24-014)</w:t>
            </w:r>
          </w:p>
        </w:tc>
      </w:tr>
      <w:tr>
        <w:tc>
          <w:tcPr>
            <w:tcW w:w="0" w:type="auto"/>
          </w:tcPr>
          <w:p>
            <w:pPr>
              <w:spacing w:line="240" w:lineRule="auto" w:before="0" w:after="0"/>
              <w:pStyle w:val="Compact"/>
            </w:pPr>
            <w:r>
              <w:rPr>
                <w:sz w:val="20"/>
                <w:szCs w:val="20"/>
              </w:rPr>
              <w:t xml:space="preserve">Commercial Crew - SpaceX</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FAR firm-fixed-price CCtCap competed award, SpaceX $2.6B; max potential value within 2.5% of original (SpaceNews 2014; NASA CCP essentials; Wikipedia Development of Commercial Crew Program)</w:t>
            </w:r>
          </w:p>
        </w:tc>
      </w:tr>
      <w:tr>
        <w:tc>
          <w:tcPr>
            <w:tcW w:w="0" w:type="auto"/>
          </w:tcPr>
          <w:p>
            <w:pPr>
              <w:spacing w:line="240" w:lineRule="auto" w:before="0" w:after="0"/>
              <w:pStyle w:val="Compact"/>
            </w:pPr>
            <w:r>
              <w:rPr>
                <w:sz w:val="20"/>
                <w:szCs w:val="20"/>
              </w:rPr>
              <w:t xml:space="preserve">Commercial Crew - Boeing</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FAR firm-fixed-price CCtCap competed award, Boeing $4.2B plus $287.2M added (~6.8% over FFP) (Wikipedia Development of Commercial Crew Program; Space.com seat prices)</w:t>
            </w:r>
          </w:p>
        </w:tc>
      </w:tr>
      <w:tr>
        <w:tc>
          <w:tcPr>
            <w:tcW w:w="0" w:type="auto"/>
          </w:tcPr>
          <w:p>
            <w:pPr>
              <w:spacing w:line="240" w:lineRule="auto" w:before="0" w:after="0"/>
              <w:pStyle w:val="Compact"/>
            </w:pPr>
            <w:r>
              <w:rPr>
                <w:sz w:val="20"/>
                <w:szCs w:val="20"/>
              </w:rPr>
              <w:t xml:space="preserve">Gateway HALO</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0.93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Northrop Grumman $935M fixed-price HALO award; charges reached $100M (~10%) over baseline (SpaceNews Gateway $100M; NASA Gateway HALO release)</w:t>
            </w:r>
          </w:p>
        </w:tc>
      </w:tr>
      <w:tr>
        <w:tc>
          <w:tcPr>
            <w:tcW w:w="0" w:type="auto"/>
          </w:tcPr>
          <w:p>
            <w:pPr>
              <w:spacing w:line="240" w:lineRule="auto" w:before="0" w:after="0"/>
              <w:pStyle w:val="Compact"/>
            </w:pPr>
            <w:r>
              <w:rPr>
                <w:sz w:val="20"/>
                <w:szCs w:val="20"/>
              </w:rPr>
              <w:t xml:space="preserve">Gateway PPE/HALO Launch</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SpaceX competed Falcon Heavy fixed-price launch of PPE/HALO ~$331.8M (Spaceflight Now 2021-02-09; NASA award release)</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Mars 2020 ~$2.4-2.7B build/launch on ~$2.1B baseline (~17% growth); JPL in-house, non-competed (Planetary Society cost of Perseverance; Wikipedia Mars 2020)</w:t>
            </w:r>
          </w:p>
        </w:tc>
      </w:tr>
      <w:tr>
        <w:tc>
          <w:tcPr>
            <w:tcW w:w="0" w:type="auto"/>
          </w:tcPr>
          <w:p>
            <w:pPr>
              <w:spacing w:line="240" w:lineRule="auto" w:before="0" w:after="0"/>
              <w:pStyle w:val="Compact"/>
            </w:pPr>
            <w:r>
              <w:rPr>
                <w:sz w:val="20"/>
                <w:szCs w:val="20"/>
              </w:rPr>
              <w:t xml:space="preserve">SLS Stages Production (Boeing)</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finalized $3.2B sole-source production contract with Boeing under JOFOC (Via Satellite 2022-12-12; SpaceNews 2019-08)</w:t>
            </w:r>
          </w:p>
        </w:tc>
      </w:tr>
      <w:tr>
        <w:tc>
          <w:tcPr>
            <w:tcW w:w="0" w:type="auto"/>
          </w:tcPr>
          <w:p>
            <w:pPr>
              <w:spacing w:line="240" w:lineRule="auto" w:before="0" w:after="0"/>
              <w:pStyle w:val="Compact"/>
            </w:pPr>
            <w:r>
              <w:rPr>
                <w:sz w:val="20"/>
                <w:szCs w:val="20"/>
              </w:rPr>
              <w:t xml:space="preserve">OSAM-1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GAO-24-106767 / NASA OIG: OSAM-1 history of poor cost/schedule performance, cancelled March 2024 after major growth; Maxar/SSL prime non-competed (NASAWatch GAO 2024; FedScoop Maxar)</w:t>
            </w:r>
          </w:p>
        </w:tc>
      </w:tr>
      <w:tr>
        <w:tc>
          <w:tcPr>
            <w:tcW w:w="0" w:type="auto"/>
          </w:tcPr>
          <w:p>
            <w:pPr>
              <w:spacing w:line="240" w:lineRule="auto" w:before="0" w:after="0"/>
              <w:pStyle w:val="Compact"/>
            </w:pPr>
            <w:r>
              <w:rPr>
                <w:sz w:val="20"/>
                <w:szCs w:val="20"/>
              </w:rPr>
              <w:t xml:space="preserve">Mars Sample Return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GAO-24-106767: MSR potential lifecycle $8-11B vs ~$4.4B prior planning (~100%+ growth); JPL-led, directed (GAO-24-106767; NASAWatch 2024)</w:t>
            </w:r>
          </w:p>
        </w:tc>
      </w:tr>
      <w:tr>
        <w:tc>
          <w:tcPr>
            <w:tcW w:w="0" w:type="auto"/>
          </w:tcPr>
          <w:p>
            <w:pPr>
              <w:spacing w:line="240" w:lineRule="auto" w:before="0" w:after="0"/>
              <w:pStyle w:val="Compact"/>
            </w:pPr>
            <w:r>
              <w:rPr>
                <w:sz w:val="20"/>
                <w:szCs w:val="20"/>
              </w:rPr>
              <w:t xml:space="preserve">GRACE-C</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[illustrative] competed instrument/bus, early phase no reported growth (GAO-24-106767 portfolio; NASA GRACE-C)</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Medium Explorer competed AO down-select; spacecraft BAE/Ball, modest growth (GAO-22-105212; NASA SPHEREx; Caltech SPHEREx)</w:t>
            </w:r>
          </w:p>
        </w:tc>
      </w:tr>
      <w:tr>
        <w:tc>
          <w:tcPr>
            <w:tcW w:w="0" w:type="auto"/>
          </w:tcPr>
          <w:p>
            <w:pPr>
              <w:spacing w:line="240" w:lineRule="auto" w:before="0" w:after="0"/>
              <w:pStyle w:val="Compact"/>
            </w:pPr>
            <w:r>
              <w:rPr>
                <w:sz w:val="20"/>
                <w:szCs w:val="20"/>
              </w:rPr>
              <w:t xml:space="preserve">NEO Surveyor</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NEO Surveyor rebaselined upward ~40% after 2022 budget cut/replan; JPL-led directed (GAO-24-106767; Planetary Society NEO Surveyor)</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3.35</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New Frontiers competed AO selection; later rebaselined to ~$3.35B (~30% growth from selection estimate); APL prime (GAO-24-106767; NASA Dragonfly 2024 confirmation)</w:t>
            </w:r>
          </w:p>
        </w:tc>
      </w:tr>
      <w:tr>
        <w:tc>
          <w:tcPr>
            <w:tcW w:w="0" w:type="auto"/>
          </w:tcPr>
          <w:p>
            <w:pPr>
              <w:spacing w:line="240" w:lineRule="auto" w:before="0" w:after="0"/>
              <w:pStyle w:val="Compact"/>
            </w:pPr>
            <w:r>
              <w:rPr>
                <w:sz w:val="20"/>
                <w:szCs w:val="20"/>
              </w:rPr>
              <w:t xml:space="preserve">VIPER</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VIPER rover grew from ~$0.43B; later cancelled 2024 for cost growth; Astrobotic CLPS-launched (GAO-22-105212; NASA VIPER cancellation 2024)</w:t>
            </w:r>
          </w:p>
        </w:tc>
      </w:tr>
      <w:tr>
        <w:tc>
          <w:tcPr>
            <w:tcW w:w="0" w:type="auto"/>
          </w:tcPr>
          <w:p>
            <w:pPr>
              <w:spacing w:line="240" w:lineRule="auto" w:before="0" w:after="0"/>
              <w:pStyle w:val="Compact"/>
            </w:pPr>
            <w:r>
              <w:rPr>
                <w:sz w:val="20"/>
                <w:szCs w:val="20"/>
              </w:rPr>
              <w:t xml:space="preserve">IXPE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Small Explorer competed AO; Ball Aerospace bus; launched on cost (GAO-21-306; NASA IXPE)</w:t>
            </w:r>
          </w:p>
        </w:tc>
      </w:tr>
      <w:tr>
        <w:tc>
          <w:tcPr>
            <w:tcW w:w="0" w:type="auto"/>
          </w:tcPr>
          <w:p>
            <w:pPr>
              <w:spacing w:line="240" w:lineRule="auto" w:before="0" w:after="0"/>
              <w:pStyle w:val="Compact"/>
            </w:pPr>
            <w:r>
              <w:rPr>
                <w:sz w:val="20"/>
                <w:szCs w:val="20"/>
              </w:rPr>
              <w:t xml:space="preserve">GOES-T (GOES-U)</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GOES-R series Lockheed Martin spacecraft (competed series award), incremental growth (GAO-22-105212; NOAA/NASA GOES-R)</w:t>
            </w:r>
          </w:p>
        </w:tc>
      </w:tr>
      <w:tr>
        <w:tc>
          <w:tcPr>
            <w:tcW w:w="0" w:type="auto"/>
          </w:tcPr>
          <w:p>
            <w:pPr>
              <w:spacing w:line="240" w:lineRule="auto" w:before="0" w:after="0"/>
              <w:pStyle w:val="Compact"/>
            </w:pPr>
            <w:r>
              <w:rPr>
                <w:sz w:val="20"/>
                <w:szCs w:val="20"/>
              </w:rPr>
              <w:t xml:space="preserve">Sentinel-6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[illustrative] ESA/NASA/EUMETSAT cooperative, competed Airbus build, on-cost US contribution (GAO-21-306; NASA Sentinel-6)</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Explorer competed AO; Orbital ATK bus; delivered near baseline (GAO-18-280SP; NASA TESS)</w:t>
            </w:r>
          </w:p>
        </w:tc>
      </w:tr>
      <w:tr>
        <w:tc>
          <w:tcPr>
            <w:tcW w:w="0" w:type="auto"/>
          </w:tcPr>
          <w:p>
            <w:pPr>
              <w:spacing w:line="240" w:lineRule="auto" w:before="0" w:after="0"/>
              <w:pStyle w:val="Compact"/>
            </w:pPr>
            <w:r>
              <w:rPr>
                <w:sz w:val="20"/>
                <w:szCs w:val="20"/>
              </w:rPr>
              <w:t xml:space="preserve">Restore-L/OSAM-1 precursor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0.13</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[illustrative] Restore-L early growth before OSAM-1 rebaseline; SSL/Maxar non-competed (GAO-19-262SP; FedScoop Maxar)</w:t>
            </w:r>
          </w:p>
        </w:tc>
      </w:tr>
    </w:tbl>
    <w:bookmarkEnd w:id="188"/>
    <w:bookmarkStart w:id="189"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dev_cost_growth_pct</w:t>
            </w:r>
          </w:p>
        </w:tc>
        <w:tc>
          <w:tcPr>
            <w:tcW w:w="0" w:type="auto"/>
          </w:tcPr>
          <w:p>
            <w:pPr>
              <w:spacing w:line="240" w:lineRule="auto" w:before="0" w:after="0"/>
              <w:pStyle w:val="Compact"/>
            </w:pPr>
            <w:r>
              <w:rPr>
                <w:sz w:val="20"/>
                <w:szCs w:val="20"/>
              </w:rPr>
              <w:t xml:space="preserve">Cumulative development cost growth from the project baseline, in percent (dependent variable)</w:t>
            </w:r>
          </w:p>
        </w:tc>
        <w:tc>
          <w:tcPr>
            <w:tcW w:w="0" w:type="auto"/>
          </w:tcPr>
          <w:p>
            <w:pPr>
              <w:spacing w:line="240" w:lineRule="auto" w:before="0" w:after="0"/>
              <w:pStyle w:val="Compact"/>
            </w:pPr>
            <w:r>
              <w:rPr>
                <w:sz w:val="20"/>
                <w:szCs w:val="20"/>
              </w:rPr>
              <w:t xml:space="preserve">GAO NASA Assessments of Major Projects series (GAO-18-280SP, GAO-19-262SP, GAO-21-306, GAO-22-105212, GAO-23-106021, GAO-24-106767); NASA OIG audits; agency and aerospace-press cost records</w:t>
            </w:r>
          </w:p>
        </w:tc>
      </w:tr>
      <w:tr>
        <w:tc>
          <w:tcPr>
            <w:tcW w:w="0" w:type="auto"/>
          </w:tcPr>
          <w:p>
            <w:pPr>
              <w:spacing w:line="240" w:lineRule="auto" w:before="0" w:after="0"/>
              <w:pStyle w:val="Compact"/>
            </w:pPr>
            <w:r>
              <w:rPr>
                <w:sz w:val="20"/>
                <w:szCs w:val="20"/>
              </w:rPr>
              <w:t xml:space="preserve">n_bidders</w:t>
            </w:r>
          </w:p>
        </w:tc>
        <w:tc>
          <w:tcPr>
            <w:tcW w:w="0" w:type="auto"/>
          </w:tcPr>
          <w:p>
            <w:pPr>
              <w:spacing w:line="240" w:lineRule="auto" w:before="0" w:after="0"/>
              <w:pStyle w:val="Compact"/>
            </w:pPr>
            <w:r>
              <w:rPr>
                <w:sz w:val="20"/>
                <w:szCs w:val="20"/>
              </w:rPr>
              <w:t xml:space="preserve">Number of qualified competitors for the prime-contract award (1 = sole-source or directed in-house build; higher = number of competed proposals or down-select finalists)</w:t>
            </w:r>
          </w:p>
        </w:tc>
        <w:tc>
          <w:tcPr>
            <w:tcW w:w="0" w:type="auto"/>
          </w:tcPr>
          <w:p>
            <w:pPr>
              <w:spacing w:line="240" w:lineRule="auto" w:before="0" w:after="0"/>
              <w:pStyle w:val="Compact"/>
            </w:pPr>
            <w:r>
              <w:rPr>
                <w:sz w:val="20"/>
                <w:szCs w:val="20"/>
              </w:rPr>
              <w:t xml:space="preserve">NASA contract announcements, SpaceNews, NASA OIG, and program press kits cited per row</w:t>
            </w:r>
          </w:p>
        </w:tc>
      </w:tr>
      <w:tr>
        <w:tc>
          <w:tcPr>
            <w:tcW w:w="0" w:type="auto"/>
          </w:tcPr>
          <w:p>
            <w:pPr>
              <w:spacing w:line="240" w:lineRule="auto" w:before="0" w:after="0"/>
              <w:pStyle w:val="Compact"/>
            </w:pPr>
            <w:r>
              <w:rPr>
                <w:sz w:val="20"/>
                <w:szCs w:val="20"/>
              </w:rPr>
              <w:t xml:space="preserve">fixed_price</w:t>
            </w:r>
          </w:p>
        </w:tc>
        <w:tc>
          <w:tcPr>
            <w:tcW w:w="0" w:type="auto"/>
          </w:tcPr>
          <w:p>
            <w:pPr>
              <w:spacing w:line="240" w:lineRule="auto" w:before="0" w:after="0"/>
              <w:pStyle w:val="Compact"/>
            </w:pPr>
            <w:r>
              <w:rPr>
                <w:sz w:val="20"/>
                <w:szCs w:val="20"/>
              </w:rPr>
              <w:t xml:space="preserve">Indicator equal to 1 if the prime contract is firm-fixed-price, 0 if cost-reimbursement (cost-plus) or directed in-house</w:t>
            </w:r>
          </w:p>
        </w:tc>
        <w:tc>
          <w:tcPr>
            <w:tcW w:w="0" w:type="auto"/>
          </w:tcPr>
          <w:p>
            <w:pPr>
              <w:spacing w:line="240" w:lineRule="auto" w:before="0" w:after="0"/>
              <w:pStyle w:val="Compact"/>
            </w:pPr>
            <w:r>
              <w:rPr>
                <w:sz w:val="20"/>
                <w:szCs w:val="20"/>
              </w:rPr>
              <w:t xml:space="preserve">NASA contract type records and FAR award notices cited per row</w:t>
            </w:r>
          </w:p>
        </w:tc>
      </w:tr>
      <w:tr>
        <w:tc>
          <w:tcPr>
            <w:tcW w:w="0" w:type="auto"/>
          </w:tcPr>
          <w:p>
            <w:pPr>
              <w:spacing w:line="240" w:lineRule="auto" w:before="0" w:after="0"/>
              <w:pStyle w:val="Compact"/>
            </w:pPr>
            <w:r>
              <w:rPr>
                <w:sz w:val="20"/>
                <w:szCs w:val="20"/>
              </w:rPr>
              <w:t xml:space="preserve">baseline_lcc_bn</w:t>
            </w:r>
          </w:p>
        </w:tc>
        <w:tc>
          <w:tcPr>
            <w:tcW w:w="0" w:type="auto"/>
          </w:tcPr>
          <w:p>
            <w:pPr>
              <w:spacing w:line="240" w:lineRule="auto" w:before="0" w:after="0"/>
              <w:pStyle w:val="Compact"/>
            </w:pPr>
            <w:r>
              <w:rPr>
                <w:sz w:val="20"/>
                <w:szCs w:val="20"/>
              </w:rPr>
              <w:t xml:space="preserve">Baseline life-cycle cost estimate at confirmation, in billions of USD, used as a project-complexity and scale control</w:t>
            </w:r>
          </w:p>
        </w:tc>
        <w:tc>
          <w:tcPr>
            <w:tcW w:w="0" w:type="auto"/>
          </w:tcPr>
          <w:p>
            <w:pPr>
              <w:spacing w:line="240" w:lineRule="auto" w:before="0" w:after="0"/>
              <w:pStyle w:val="Compact"/>
            </w:pPr>
            <w:r>
              <w:rPr>
                <w:sz w:val="20"/>
                <w:szCs w:val="20"/>
              </w:rPr>
              <w:t xml:space="preserve">GAO Major Project Assessment baselines and NASA program records cited per row</w:t>
            </w:r>
          </w:p>
        </w:tc>
      </w:tr>
    </w:tbl>
    <w:bookmarkEnd w:id="189"/>
    <w:bookmarkEnd w:id="190"/>
    <w:bookmarkStart w:id="198" w:name="X8770aa40e04be4382d1c38c0d52251e85ab1704"/>
    <w:p>
      <w:pPr>
        <w:pStyle w:val="Heading2"/>
        <w:spacing w:line="480" w:lineRule="auto"/>
      </w:pPr>
      <w:r>
        <w:t xml:space="preserve">A.2 Bidder Fields and the Hazard of Schedule-Baseline Breach in NASA Major Programs: A Proportional-Hazards Test</w:t>
      </w:r>
    </w:p>
    <w:p>
      <w:pPr>
        <w:pStyle w:val="FirstParagraph"/>
        <w:spacing w:line="480" w:lineRule="auto"/>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rPr>
                  <m:nor/>
                  <m:sty m:val="p"/>
                </m:rPr>
                <m:t>bidders</m:t>
              </m:r>
              <m:r>
                <m:rPr>
                  <m:sty m:val="p"/>
                </m:rPr>
                <m:t>+</m:t>
              </m:r>
              <m:sSub>
                <m:e>
                  <m:r>
                    <m:t>β</m:t>
                  </m:r>
                </m:e>
                <m:sub>
                  <m:r>
                    <m:t>2</m:t>
                  </m:r>
                </m:sub>
              </m:sSub>
              <m:r>
                <m:t> </m:t>
              </m:r>
              <m:r>
                <m:rPr>
                  <m:nor/>
                  <m:sty m:val="p"/>
                </m:rPr>
                <m:t>costplus</m:t>
              </m:r>
              <m:r>
                <m:rPr>
                  <m:sty m:val="p"/>
                </m:rPr>
                <m:t>+</m:t>
              </m:r>
              <m:sSub>
                <m:e>
                  <m:r>
                    <m:t>β</m:t>
                  </m:r>
                </m:e>
                <m:sub>
                  <m:r>
                    <m:t>3</m:t>
                  </m:r>
                </m:sub>
              </m:sSub>
              <m:r>
                <m:t> </m:t>
              </m:r>
              <m:r>
                <m:rPr>
                  <m:sty m:val="p"/>
                </m:rPr>
                <m:t>ln</m:t>
              </m:r>
              <m:r>
                <m:rPr>
                  <m:sty m:val="p"/>
                </m:rPr>
                <m:t>(</m:t>
              </m:r>
              <m:r>
                <m:rPr>
                  <m:nor/>
                  <m:sty m:val="p"/>
                </m:rPr>
                <m:t>devcost</m:t>
              </m:r>
              <m:r>
                <m:rPr>
                  <m:sty m:val="p"/>
                </m:rPr>
                <m:t>)</m:t>
              </m:r>
            </m:e>
          </m:d>
        </m:oMath>
      </m:oMathPara>
    </w:p>
    <w:bookmarkStart w:id="191"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bidders</w:t>
            </w:r>
          </w:p>
        </w:tc>
        <w:tc>
          <w:tcPr>
            <w:tcW w:w="0" w:type="auto"/>
          </w:tcPr>
          <w:p>
            <w:pPr>
              <w:spacing w:line="240" w:lineRule="auto" w:before="0" w:after="0"/>
              <w:pStyle w:val="Compact"/>
            </w:pPr>
            <w:r>
              <w:rPr>
                <w:sz w:val="20"/>
                <w:szCs w:val="20"/>
              </w:rPr>
              <w:t xml:space="preserve">0.4784</w:t>
            </w:r>
          </w:p>
        </w:tc>
        <w:tc>
          <w:tcPr>
            <w:tcW w:w="0" w:type="auto"/>
          </w:tcPr>
          <w:p>
            <w:pPr>
              <w:spacing w:line="240" w:lineRule="auto" w:before="0" w:after="0"/>
              <w:pStyle w:val="Compact"/>
            </w:pPr>
            <w:r>
              <w:rPr>
                <w:sz w:val="20"/>
                <w:szCs w:val="20"/>
              </w:rPr>
              <w:t xml:space="preserve">0.2366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0.0432</w:t>
            </w:r>
          </w:p>
        </w:tc>
        <w:tc>
          <w:tcPr>
            <w:tcW w:w="0" w:type="auto"/>
          </w:tcPr>
          <w:p>
            <w:pPr>
              <w:spacing w:line="240" w:lineRule="auto" w:before="0" w:after="0"/>
              <w:pStyle w:val="Compact"/>
            </w:pPr>
            <w:r>
              <w:rPr>
                <w:sz w:val="20"/>
                <w:szCs w:val="20"/>
              </w:rPr>
              <w:t xml:space="preserve">[0.0147, 0.9421]</w:t>
            </w:r>
          </w:p>
        </w:tc>
        <w:tc>
          <w:tcPr>
            <w:tcW w:w="0" w:type="auto"/>
          </w:tcPr>
          <w:p>
            <w:pPr>
              <w:spacing w:line="240" w:lineRule="auto" w:before="0" w:after="0"/>
              <w:pStyle w:val="Compact"/>
            </w:pPr>
            <w:r>
              <w:rPr>
                <w:sz w:val="20"/>
                <w:szCs w:val="20"/>
              </w:rPr>
              <w:t xml:space="preserve">1.6135</w:t>
            </w:r>
          </w:p>
        </w:tc>
      </w:tr>
      <w:tr>
        <w:tc>
          <w:tcPr>
            <w:tcW w:w="0" w:type="auto"/>
          </w:tcPr>
          <w:p>
            <w:pPr>
              <w:spacing w:line="240" w:lineRule="auto" w:before="0" w:after="0"/>
              <w:pStyle w:val="Compact"/>
            </w:pPr>
            <w:r>
              <w:rPr>
                <w:sz w:val="20"/>
                <w:szCs w:val="20"/>
              </w:rPr>
              <w:t xml:space="preserve">costplus</w:t>
            </w:r>
          </w:p>
        </w:tc>
        <w:tc>
          <w:tcPr>
            <w:tcW w:w="0" w:type="auto"/>
          </w:tcPr>
          <w:p>
            <w:pPr>
              <w:spacing w:line="240" w:lineRule="auto" w:before="0" w:after="0"/>
              <w:pStyle w:val="Compact"/>
            </w:pPr>
            <w:r>
              <w:rPr>
                <w:sz w:val="20"/>
                <w:szCs w:val="20"/>
              </w:rPr>
              <w:t xml:space="preserve">0.3065</w:t>
            </w:r>
          </w:p>
        </w:tc>
        <w:tc>
          <w:tcPr>
            <w:tcW w:w="0" w:type="auto"/>
          </w:tcPr>
          <w:p>
            <w:pPr>
              <w:spacing w:line="240" w:lineRule="auto" w:before="0" w:after="0"/>
              <w:pStyle w:val="Compact"/>
            </w:pPr>
            <w:r>
              <w:rPr>
                <w:sz w:val="20"/>
                <w:szCs w:val="20"/>
              </w:rPr>
              <w:t xml:space="preserve">1.0328</w:t>
            </w:r>
          </w:p>
        </w:tc>
        <w:tc>
          <w:tcPr>
            <w:tcW w:w="0" w:type="auto"/>
          </w:tcPr>
          <w:p>
            <w:pPr>
              <w:spacing w:line="240" w:lineRule="auto" w:before="0" w:after="0"/>
              <w:pStyle w:val="Compact"/>
            </w:pPr>
            <w:r>
              <w:rPr>
                <w:sz w:val="20"/>
                <w:szCs w:val="20"/>
              </w:rPr>
              <w:t xml:space="preserve">0.2968</w:t>
            </w:r>
          </w:p>
        </w:tc>
        <w:tc>
          <w:tcPr>
            <w:tcW w:w="0" w:type="auto"/>
          </w:tcPr>
          <w:p>
            <w:pPr>
              <w:spacing w:line="240" w:lineRule="auto" w:before="0" w:after="0"/>
              <w:pStyle w:val="Compact"/>
            </w:pPr>
            <w:r>
              <w:rPr>
                <w:sz w:val="20"/>
                <w:szCs w:val="20"/>
              </w:rPr>
              <w:t xml:space="preserve">0.7666</w:t>
            </w:r>
          </w:p>
        </w:tc>
        <w:tc>
          <w:tcPr>
            <w:tcW w:w="0" w:type="auto"/>
          </w:tcPr>
          <w:p>
            <w:pPr>
              <w:spacing w:line="240" w:lineRule="auto" w:before="0" w:after="0"/>
              <w:pStyle w:val="Compact"/>
            </w:pPr>
            <w:r>
              <w:rPr>
                <w:sz w:val="20"/>
                <w:szCs w:val="20"/>
              </w:rPr>
              <w:t xml:space="preserve">[-1.7178, 2.3309]</w:t>
            </w:r>
          </w:p>
        </w:tc>
        <w:tc>
          <w:tcPr>
            <w:tcW w:w="0" w:type="auto"/>
          </w:tcPr>
          <w:p>
            <w:pPr>
              <w:spacing w:line="240" w:lineRule="auto" w:before="0" w:after="0"/>
              <w:pStyle w:val="Compact"/>
            </w:pPr>
            <w:r>
              <w:rPr>
                <w:sz w:val="20"/>
                <w:szCs w:val="20"/>
              </w:rPr>
              <w:t xml:space="preserve">1.3587</w:t>
            </w:r>
          </w:p>
        </w:tc>
      </w:tr>
      <w:tr>
        <w:tc>
          <w:tcPr>
            <w:tcW w:w="0" w:type="auto"/>
          </w:tcPr>
          <w:p>
            <w:pPr>
              <w:spacing w:line="240" w:lineRule="auto" w:before="0" w:after="0"/>
              <w:pStyle w:val="Compact"/>
            </w:pPr>
            <w:r>
              <w:rPr>
                <w:sz w:val="20"/>
                <w:szCs w:val="20"/>
              </w:rPr>
              <w:t xml:space="preserve">ln_devcost</w:t>
            </w:r>
          </w:p>
        </w:tc>
        <w:tc>
          <w:tcPr>
            <w:tcW w:w="0" w:type="auto"/>
          </w:tcPr>
          <w:p>
            <w:pPr>
              <w:spacing w:line="240" w:lineRule="auto" w:before="0" w:after="0"/>
              <w:pStyle w:val="Compact"/>
            </w:pPr>
            <w:r>
              <w:rPr>
                <w:sz w:val="20"/>
                <w:szCs w:val="20"/>
              </w:rPr>
              <w:t xml:space="preserve">-2.0406</w:t>
            </w:r>
          </w:p>
        </w:tc>
        <w:tc>
          <w:tcPr>
            <w:tcW w:w="0" w:type="auto"/>
          </w:tcPr>
          <w:p>
            <w:pPr>
              <w:spacing w:line="240" w:lineRule="auto" w:before="0" w:after="0"/>
              <w:pStyle w:val="Compact"/>
            </w:pPr>
            <w:r>
              <w:rPr>
                <w:sz w:val="20"/>
                <w:szCs w:val="20"/>
              </w:rPr>
              <w:t xml:space="preserve">0.8602</w:t>
            </w:r>
          </w:p>
        </w:tc>
        <w:tc>
          <w:tcPr>
            <w:tcW w:w="0" w:type="auto"/>
          </w:tcPr>
          <w:p>
            <w:pPr>
              <w:spacing w:line="240" w:lineRule="auto" w:before="0" w:after="0"/>
              <w:pStyle w:val="Compact"/>
            </w:pPr>
            <w:r>
              <w:rPr>
                <w:sz w:val="20"/>
                <w:szCs w:val="20"/>
              </w:rPr>
              <w:t xml:space="preserve">-2.3722</w:t>
            </w:r>
          </w:p>
        </w:tc>
        <w:tc>
          <w:tcPr>
            <w:tcW w:w="0" w:type="auto"/>
          </w:tcPr>
          <w:p>
            <w:pPr>
              <w:spacing w:line="240" w:lineRule="auto" w:before="0" w:after="0"/>
              <w:pStyle w:val="Compact"/>
            </w:pPr>
            <w:r>
              <w:rPr>
                <w:sz w:val="20"/>
                <w:szCs w:val="20"/>
              </w:rPr>
              <w:t xml:space="preserve">0.0177</w:t>
            </w:r>
          </w:p>
        </w:tc>
        <w:tc>
          <w:tcPr>
            <w:tcW w:w="0" w:type="auto"/>
          </w:tcPr>
          <w:p>
            <w:pPr>
              <w:spacing w:line="240" w:lineRule="auto" w:before="0" w:after="0"/>
              <w:pStyle w:val="Compact"/>
            </w:pPr>
            <w:r>
              <w:rPr>
                <w:sz w:val="20"/>
                <w:szCs w:val="20"/>
              </w:rPr>
              <w:t xml:space="preserve">[-3.7267, -0.3546]</w:t>
            </w:r>
          </w:p>
        </w:tc>
        <w:tc>
          <w:tcPr>
            <w:tcW w:w="0" w:type="auto"/>
          </w:tcPr>
          <w:p>
            <w:pPr>
              <w:spacing w:line="240" w:lineRule="auto" w:before="0" w:after="0"/>
              <w:pStyle w:val="Compact"/>
            </w:pPr>
            <w:r>
              <w:rPr>
                <w:sz w:val="20"/>
                <w:szCs w:val="20"/>
              </w:rPr>
              <w:t xml:space="preserve">0.1299</w:t>
            </w:r>
          </w:p>
        </w:tc>
      </w:tr>
    </w:tbl>
    <w:p>
      <w:pPr>
        <w:pStyle w:val="BodyText"/>
        <w:spacing w:line="480" w:lineRule="auto"/>
        <w:ind w:firstLine="720"/>
      </w:pPr>
      <w:r>
        <w:t xml:space="preserve">Fit: N = 26 events = 13</w:t>
      </w:r>
    </w:p>
    <w:bookmarkEnd w:id="191"/>
    <w:bookmarkStart w:id="195"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Planned development span against the size of the competing-offer field across 26 NASA major programs; marker-level schedule-breach status enters the proportional-hazards estimate." title="" id="193" name="Picture"/>
            <a:graphic>
              <a:graphicData uri="http://schemas.openxmlformats.org/drawingml/2006/picture">
                <pic:pic>
                  <pic:nvPicPr>
                    <pic:cNvPr descr="D:/Claude_Code/brain/collegium/candidates/dissertations/ENTERPRISE_ACQ_10/research_papers/p2/paper_fig1.png" id="194" name="Picture"/>
                    <pic:cNvPicPr>
                      <a:picLocks noChangeArrowheads="1" noChangeAspect="1"/>
                    </pic:cNvPicPr>
                  </pic:nvPicPr>
                  <pic:blipFill>
                    <a:blip r:embed="rId19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Planned development span against the size of the competing-offer field across 26 NASA major programs; marker-level schedule-breach status enters the proportional-hazards estimate.</w:t>
      </w:r>
    </w:p>
    <w:bookmarkEnd w:id="195"/>
    <w:bookmarkStart w:id="196"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bidders</w:t>
            </w:r>
          </w:p>
        </w:tc>
        <w:tc>
          <w:tcPr>
            <w:tcW w:w="0" w:type="auto"/>
          </w:tcPr>
          <w:p>
            <w:pPr>
              <w:spacing w:line="240" w:lineRule="auto" w:before="0" w:after="0"/>
              <w:pStyle w:val="Compact"/>
            </w:pPr>
            <w:r>
              <w:rPr>
                <w:sz w:val="20"/>
                <w:szCs w:val="20"/>
              </w:rPr>
              <w:t xml:space="preserve">costplus</w:t>
            </w:r>
          </w:p>
        </w:tc>
        <w:tc>
          <w:tcPr>
            <w:tcW w:w="0" w:type="auto"/>
          </w:tcPr>
          <w:p>
            <w:pPr>
              <w:spacing w:line="240" w:lineRule="auto" w:before="0" w:after="0"/>
              <w:pStyle w:val="Compact"/>
            </w:pPr>
            <w:r>
              <w:rPr>
                <w:sz w:val="20"/>
                <w:szCs w:val="20"/>
              </w:rPr>
              <w:t xml:space="preserve">ln_devcost</w:t>
            </w:r>
          </w:p>
        </w:tc>
        <w:tc>
          <w:tcPr>
            <w:tcW w:w="0" w:type="auto"/>
          </w:tcPr>
          <w:p>
            <w:pPr>
              <w:spacing w:line="240" w:lineRule="auto" w:before="0" w:after="0"/>
              <w:pStyle w:val="Compact"/>
            </w:pPr>
            <w:r>
              <w:rPr>
                <w:sz w:val="20"/>
                <w:szCs w:val="20"/>
              </w:rPr>
              <w:t xml:space="preserve">dur_months</w:t>
            </w:r>
          </w:p>
        </w:tc>
        <w:tc>
          <w:tcPr>
            <w:tcW w:w="0" w:type="auto"/>
          </w:tcPr>
          <w:p>
            <w:pPr>
              <w:spacing w:line="240" w:lineRule="auto" w:before="0" w:after="0"/>
              <w:pStyle w:val="Compact"/>
            </w:pPr>
            <w:r>
              <w:rPr>
                <w:sz w:val="20"/>
                <w:szCs w:val="20"/>
              </w:rPr>
              <w:t xml:space="preserve">slip</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6.215</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Discovery 2015 had 5 Step-1 finalists (DAVINCI/Lucy/NEOCam/Psyche/VERITAS); selected Jan-2017 KDP-C, baseline LRD Aug-2022, slipped to Oct-2023 launch (~14 mo). Dev cost ~$0.5B incurred to launch. Sources: SpaceNews 2015-09-30 Discovery finalists; en.wikipedia.org/wiki/Psyche_(spacecraft) (June-2022 delay); planetary.org/space-policy/psyche-cost.</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5.704</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Discovery 2015 5 Step-1 finalists; Lucy/Psyche selected Jan-2017; launched on schedule Oct-16-2021 within baseline window. Firm-fixed-price-dominant Discovery cost cap ~$300M dev. Source: en.wikipedia.org/wiki/Lucy_(spacecraft); blogs.nasa.gov/lucy 2021-10-13 LRR completed.</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7.107</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New Frontiers-4 (2017) had 2 finalists (Dragonfly/CAESAR); Dragonfly selected June-2019. KDP-C/baseline Apr-2024 LRD 2027 then slipped &gt;2 yr to 2028; lifecycle grew to $3.35B, dev portion ~$1.2B. Sources: oig.nasa.gov IG-25-011 (2025); jhuapl.edu 231128 (2028 LRD); space.com NASA Dragonfly 2028.</w:t>
            </w:r>
          </w:p>
        </w:tc>
      </w:tr>
      <w:tr>
        <w:tc>
          <w:tcPr>
            <w:tcW w:w="0" w:type="auto"/>
          </w:tcPr>
          <w:p>
            <w:pPr>
              <w:spacing w:line="240" w:lineRule="auto" w:before="0" w:after="0"/>
              <w:pStyle w:val="Compact"/>
            </w:pPr>
            <w:r>
              <w:rPr>
                <w:sz w:val="20"/>
                <w:szCs w:val="20"/>
              </w:rPr>
              <w:t xml:space="preserve">Europa_Clipper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8.234</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JPL-directed (sole-source prime, cost-plus); confirmed 2019, launched on baseline Oct-14-2024 with no pre-launch baseline LRD breach. Committed lifecycle $5.2B, dev ~$3.8B. Sources: en.wikipedia.org/wiki/Europa_Clipper; science.nasa.gov Europa Clipper timeline; GAO-24-106767.</w:t>
            </w:r>
          </w:p>
        </w:tc>
      </w:tr>
      <w:tr>
        <w:tc>
          <w:tcPr>
            <w:tcW w:w="0" w:type="auto"/>
          </w:tcPr>
          <w:p>
            <w:pPr>
              <w:spacing w:line="240" w:lineRule="auto" w:before="0" w:after="0"/>
              <w:pStyle w:val="Compact"/>
            </w:pPr>
            <w:r>
              <w:rPr>
                <w:sz w:val="20"/>
                <w:szCs w:val="20"/>
              </w:rPr>
              <w:t xml:space="preserve">DAVINCI</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6.04</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Discovery 2015 finalist, selected June-2021; preferred launch slipped from FY2030 to ~2031-2032 window per replans. Discovery-class ~$0.42B dev cost cap. Sources: en.wikipedia.org/wiki/DAVINCI; science.nasa.gov DAVINCI; SpaceNews VERITAS/JPL institutional delays.</w:t>
            </w:r>
          </w:p>
        </w:tc>
      </w:tr>
      <w:tr>
        <w:tc>
          <w:tcPr>
            <w:tcW w:w="0" w:type="auto"/>
          </w:tcPr>
          <w:p>
            <w:pPr>
              <w:spacing w:line="240" w:lineRule="auto" w:before="0" w:after="0"/>
              <w:pStyle w:val="Compact"/>
            </w:pPr>
            <w:r>
              <w:rPr>
                <w:sz w:val="20"/>
                <w:szCs w:val="20"/>
              </w:rPr>
              <w:t xml:space="preserve">VERITAS</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6.15</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Discovery 2015 finalist, selected June-2021; launch postponed Nov-2022 from 2027 to no-earlier-than 2031 (&gt;3 yr slip) due to JPL institutional issues. Sources: en.wikipedia.org/wiki/VERITAS_(spacecraft); spacenews.com veritas-venus-mission-seeks-to-avoid-further-delays.</w:t>
            </w:r>
          </w:p>
        </w:tc>
      </w:tr>
      <w:tr>
        <w:tc>
          <w:tcPr>
            <w:tcW w:w="0" w:type="auto"/>
          </w:tcPr>
          <w:p>
            <w:pPr>
              <w:spacing w:line="240" w:lineRule="auto" w:before="0" w:after="0"/>
              <w:pStyle w:val="Compact"/>
            </w:pPr>
            <w:r>
              <w:rPr>
                <w:sz w:val="20"/>
                <w:szCs w:val="20"/>
              </w:rPr>
              <w:t xml:space="preserve">NEO_Surveyor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6.62</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Directed/competed-instrument; rebaselined; launch slipped from 2026 to NLT June-2028 with funding-driven replan. Dev cost ~$0.75B (capped at $1.2B lifecycle). Sources: en.wikipedia.org/wiki/NEO_Surveyor; science.nasa.gov NEO Surveyor (Feb-2025 Sep-2027/NLT June-2028).</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5.298</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MIDEX competed (selected 2019 from explorer field); launch slipped 2023 to 2024 to Mar-11-2025. Explorer-class firm cost cap ~$0.2B dev. Sources: jpl.nasa.gov press-kits/spherex; business-standard.com SPHEREx/PUNCH delay; space.com SPHEREx delay Mar-8.</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7.244</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NASA-CNES directed partnership (JPL prime, cost-plus); launched Dec-16-2022 broadly on rebaselined plan. Dev cost ~$1.4B NASA share. Sources: swot.jpl.nasa.gov/mission/overview; eoportal.org SWOT; GAO-22-105212.</w:t>
            </w:r>
          </w:p>
        </w:tc>
      </w:tr>
      <w:tr>
        <w:tc>
          <w:tcPr>
            <w:tcW w:w="0" w:type="auto"/>
          </w:tcPr>
          <w:p>
            <w:pPr>
              <w:spacing w:line="240" w:lineRule="auto" w:before="0" w:after="0"/>
              <w:pStyle w:val="Compact"/>
            </w:pPr>
            <w:r>
              <w:rPr>
                <w:sz w:val="20"/>
                <w:szCs w:val="20"/>
              </w:rPr>
              <w:t xml:space="preserve">Landsat_9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6.522</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USGS/NASA; Northrop Grumman bus competed; launched Sep-27-2021 within baseline. Firm-fixed-price-dominant; dev ~$0.68B. Sources: en.wikipedia.org/wiki/Landsat_9; usgs.gov Landsat 9; science.nasa.gov Landsat 9 launch.</w:t>
            </w:r>
          </w:p>
        </w:tc>
      </w:tr>
      <w:tr>
        <w:tc>
          <w:tcPr>
            <w:tcW w:w="0" w:type="auto"/>
          </w:tcPr>
          <w:p>
            <w:pPr>
              <w:spacing w:line="240" w:lineRule="auto" w:before="0" w:after="0"/>
              <w:pStyle w:val="Compact"/>
            </w:pPr>
            <w:r>
              <w:rPr>
                <w:sz w:val="20"/>
                <w:szCs w:val="20"/>
              </w:rPr>
              <w:t xml:space="preserve">GOES_T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7.696</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NOAA/NASA GOES-R series (Lockheed Martin prime, cost-plus, series buy); GOES-T launched Mar-1-2022 on rebaselined plan. Series dev share ~$2.2B. Sources: noaa.gov GOES-T blasts into orbit; goes-r.gov; en.wikipedia.org/wiki/GOES-18.</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6.215</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Discovery-12 competed (3 finalists 2012: InSight/TiME/CHopper-class); InSight selected 2012; launch slipped from Mar-2016 to May-2018 (seismometer leak, ~26 mo). Dev ~$0.5B (+$150M overrun). Sources: en.wikipedia.org/wiki/InSight; science.nasa.gov InSight.</w:t>
            </w:r>
          </w:p>
        </w:tc>
      </w:tr>
      <w:tr>
        <w:tc>
          <w:tcPr>
            <w:tcW w:w="0" w:type="auto"/>
          </w:tcPr>
          <w:p>
            <w:pPr>
              <w:spacing w:line="240" w:lineRule="auto" w:before="0" w:after="0"/>
              <w:pStyle w:val="Compact"/>
            </w:pPr>
            <w:r>
              <w:rPr>
                <w:sz w:val="20"/>
                <w:szCs w:val="20"/>
              </w:rPr>
              <w:t xml:space="preserve">OSIRIS_REx</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6.685</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New Frontiers-3 competed (3 finalists 2009: OSIRIS-REx/MoonRise/SAGE); selected 2011; launched on schedule Sep-8-2016. Lockheed prime cost-plus; dev ~$0.8B. Sources: en.wikipedia.org/wiki/OSIRIS-REx; lockheedmartin.com OSIRIS-REx.</w:t>
            </w:r>
          </w:p>
        </w:tc>
      </w:tr>
      <w:tr>
        <w:tc>
          <w:tcPr>
            <w:tcW w:w="0" w:type="auto"/>
          </w:tcPr>
          <w:p>
            <w:pPr>
              <w:spacing w:line="240" w:lineRule="auto" w:before="0" w:after="0"/>
              <w:pStyle w:val="Compact"/>
            </w:pPr>
            <w:r>
              <w:rPr>
                <w:sz w:val="20"/>
                <w:szCs w:val="20"/>
              </w:rPr>
              <w:t xml:space="preserve">Parker_Solar_Probe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6.62</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LWS directed (APL prime, cost-plus); launched on schedule Aug-2018, ~$40.5M under budget. Dev ~$0.75B (lifecycle ~$1.5B). Sources: en.wikipedia.org/wiki/Parker_Solar_Probe; spacenews.com cost-and-schedule-overruns (PSP on schedule/under budget).</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9.169</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GSFC-directed (Northrop Grumman prime, cost-plus); cumulative schedule slip 7.3 yr, dev overrun $4.4B; launched Dec-2021 vs original 2014-era baseline. Sources: GAO-19-377; space.com JWST/SLS cost; gao.gov/assets/720/714281 JWST nearing completion.</w:t>
            </w:r>
          </w:p>
        </w:tc>
      </w:tr>
      <w:tr>
        <w:tc>
          <w:tcPr>
            <w:tcW w:w="0" w:type="auto"/>
          </w:tcPr>
          <w:p>
            <w:pPr>
              <w:spacing w:line="240" w:lineRule="auto" w:before="0" w:after="0"/>
              <w:pStyle w:val="Compact"/>
            </w:pPr>
            <w:r>
              <w:rPr>
                <w:sz w:val="20"/>
                <w:szCs w:val="20"/>
              </w:rPr>
              <w:t xml:space="preserve">SLS_Block1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9.21</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MSFC-directed (Boeing/Aerojet prime, cost-plus); ~4 yr slip, multibillion overrun ($6.8B Artemis trio over baseline). First flight Nov-2022 vs 2017 baseline. Sources: GAO-23-105609 SLS cost transparency; GAO-24-106767 (SLS/EGS left portfolio, 4 yr delays each).</w:t>
            </w:r>
          </w:p>
        </w:tc>
      </w:tr>
      <w:tr>
        <w:tc>
          <w:tcPr>
            <w:tcW w:w="0" w:type="auto"/>
          </w:tcPr>
          <w:p>
            <w:pPr>
              <w:spacing w:line="240" w:lineRule="auto" w:before="0" w:after="0"/>
              <w:pStyle w:val="Compact"/>
            </w:pPr>
            <w:r>
              <w:rPr>
                <w:sz w:val="20"/>
                <w:szCs w:val="20"/>
              </w:rPr>
              <w:t xml:space="preserve">Orion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8.987</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JSC-directed (Lockheed Martin prime, cost-plus); ~$2.9B cumulative baseline cost overrun (65% of portfolio), multi-year slip. Sources: GAO-24-106767 (Orion $2.9B, 65%); GAO-19-377 human-exploration delays.</w:t>
            </w:r>
          </w:p>
        </w:tc>
      </w:tr>
      <w:tr>
        <w:tc>
          <w:tcPr>
            <w:tcW w:w="0" w:type="auto"/>
          </w:tcPr>
          <w:p>
            <w:pPr>
              <w:spacing w:line="240" w:lineRule="auto" w:before="0" w:after="0"/>
              <w:pStyle w:val="Compact"/>
            </w:pPr>
            <w:r>
              <w:rPr>
                <w:sz w:val="20"/>
                <w:szCs w:val="20"/>
              </w:rPr>
              <w:t xml:space="preserve">Exploration_Ground_Systems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7.824</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KSC-directed (multiple cost-plus); ~4 yr delay, part of $3.6B SLS+EGS overrun before leaving portfolio 2024. Sources: GAO-24-106767 (SLS/EGS $3.6B, 4 yr each).</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6.215</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Mars Scout competed (selected 2008); Lockheed prime cost-plus; launched on schedule Nov-2013 within baseline. Dev ~$0.5B. Sources: en.wikipedia.org/wiki/MAVEN; mars.nasa.gov MAVEN; GAO assessments (MAVEN on baseline).</w:t>
            </w:r>
          </w:p>
        </w:tc>
      </w:tr>
      <w:tr>
        <w:tc>
          <w:tcPr>
            <w:tcW w:w="0" w:type="auto"/>
          </w:tcPr>
          <w:p>
            <w:pPr>
              <w:spacing w:line="240" w:lineRule="auto" w:before="0" w:after="0"/>
              <w:pStyle w:val="Compact"/>
            </w:pPr>
            <w:r>
              <w:rPr>
                <w:sz w:val="20"/>
                <w:szCs w:val="20"/>
              </w:rPr>
              <w:t xml:space="preserve">GRACE_FO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GFZ/JPL directed partnership; Airbus bus; launched on schedule May-2018. Dev ~$0.3B NASA share. Sources: en.wikipedia.org/wiki/GRACE-FO; jpl.nasa.gov GRACE-FO. [illustrative] dev-cost split estimated from public ~$430M total.</w:t>
            </w:r>
          </w:p>
        </w:tc>
      </w:tr>
      <w:tr>
        <w:tc>
          <w:tcPr>
            <w:tcW w:w="0" w:type="auto"/>
          </w:tcPr>
          <w:p>
            <w:pPr>
              <w:spacing w:line="240" w:lineRule="auto" w:before="0" w:after="0"/>
              <w:pStyle w:val="Compact"/>
            </w:pPr>
            <w:r>
              <w:rPr>
                <w:sz w:val="20"/>
                <w:szCs w:val="20"/>
              </w:rPr>
              <w:t xml:space="preserve">ICON</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5.298</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Explorer competed (selected 2013); Northrop/Orbital prime; launch slipped from 2017 to Oct-2019 (~24 mo, launch-vehicle anomaly). Dev ~$0.2B. Sources: en.wikipedia.org/wiki/ICON_(satellite); nasa.gov ICON.</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5.704</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Explorer competed (selected 2013); Orbital prime; launched on schedule Apr-2018. Dev ~$0.3B. Sources: en.wikipedia.org/wiki/TESS; nasa.gov TESS.</w:t>
            </w:r>
          </w:p>
        </w:tc>
      </w:tr>
      <w:tr>
        <w:tc>
          <w:tcPr>
            <w:tcW w:w="0" w:type="auto"/>
          </w:tcPr>
          <w:p>
            <w:pPr>
              <w:spacing w:line="240" w:lineRule="auto" w:before="0" w:after="0"/>
              <w:pStyle w:val="Compact"/>
            </w:pPr>
            <w:r>
              <w:rPr>
                <w:sz w:val="20"/>
                <w:szCs w:val="20"/>
              </w:rPr>
              <w:t xml:space="preserve">Roman_Space_Telescope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8.294</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GSFC-directed (cost-plus); GAO-25-107591 reports Roman ~8 months ahead of schedule and under budget toward ~2026 launch; no baseline LRD breach. Dev ~$4.0B. Sources: spacepolicyonline.com Roman launch date; scientificamerican.com Roman launch; GAO-25-107591.</w:t>
            </w:r>
          </w:p>
        </w:tc>
      </w:tr>
      <w:tr>
        <w:tc>
          <w:tcPr>
            <w:tcW w:w="0" w:type="auto"/>
          </w:tcPr>
          <w:p>
            <w:pPr>
              <w:spacing w:line="240" w:lineRule="auto" w:before="0" w:after="0"/>
              <w:pStyle w:val="Compact"/>
            </w:pPr>
            <w:r>
              <w:rPr>
                <w:sz w:val="20"/>
                <w:szCs w:val="20"/>
              </w:rPr>
              <w:t xml:space="preserve">Sentinel_6A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5.991</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NASA-ESA-NOAA-EUMETSAT directed partnership; launched on schedule Nov-2020. NASA dev share ~$0.4B. Sources: en.wikipedia.org/wiki/Sentinel-6_Michael_Freilich; jpl.nasa.gov Sentinel-6. [illustrative] NASA-share dev cost approximated.</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5.704</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Planetary-Defense directed (APL prime, firm-fixed-price-leaning); launched on schedule Nov-2021. Dev ~$0.3B (lifecycle ~$0.33B). Sources: en.wikipedia.org/wiki/Double_Asteroid_Redirection_Test; nasa.gov DART.</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6.215</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GSFC-directed (in-house + cost-plus instruments); launch slipped within development before Feb-2024 launch; faced cancellation-budget churn. Dev ~$0.5B. Sources: en.wikipedia.org/wiki/PACE_(satellite); science.nasa.gov PACE. [illustrative] slip flagged from budget-driven replans in GAO assessments.</w:t>
            </w:r>
          </w:p>
        </w:tc>
      </w:tr>
    </w:tbl>
    <w:bookmarkEnd w:id="196"/>
    <w:bookmarkStart w:id="197"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dur_months</w:t>
            </w:r>
          </w:p>
        </w:tc>
        <w:tc>
          <w:tcPr>
            <w:tcW w:w="0" w:type="auto"/>
          </w:tcPr>
          <w:p>
            <w:pPr>
              <w:spacing w:line="240" w:lineRule="auto" w:before="0" w:after="0"/>
              <w:pStyle w:val="Compact"/>
            </w:pPr>
            <w:r>
              <w:rPr>
                <w:sz w:val="20"/>
                <w:szCs w:val="20"/>
              </w:rPr>
              <w:t xml:space="preserve">Planned development span: months from baseline confirmation (KDP-C) to baseline launch readiness date; the analysis time over which a program is at risk of a schedule-baseline breach.</w:t>
            </w:r>
          </w:p>
        </w:tc>
        <w:tc>
          <w:tcPr>
            <w:tcW w:w="0" w:type="auto"/>
          </w:tcPr>
          <w:p>
            <w:pPr>
              <w:spacing w:line="240" w:lineRule="auto" w:before="0" w:after="0"/>
              <w:pStyle w:val="Compact"/>
            </w:pPr>
            <w:r>
              <w:rPr>
                <w:sz w:val="20"/>
                <w:szCs w:val="20"/>
              </w:rPr>
              <w:t xml:space="preserve">NASA project baseline dates from GAO Assessments of Major Projects (GAO-25-107591, GAO-24-106767, GAO-22-105212) and mission press kits / Wikipedia mission pages cross-checked per row.</w:t>
            </w:r>
          </w:p>
        </w:tc>
      </w:tr>
      <w:tr>
        <w:tc>
          <w:tcPr>
            <w:tcW w:w="0" w:type="auto"/>
          </w:tcPr>
          <w:p>
            <w:pPr>
              <w:spacing w:line="240" w:lineRule="auto" w:before="0" w:after="0"/>
              <w:pStyle w:val="Compact"/>
            </w:pPr>
            <w:r>
              <w:rPr>
                <w:sz w:val="20"/>
                <w:szCs w:val="20"/>
              </w:rPr>
              <w:t xml:space="preserve">slip</w:t>
            </w:r>
          </w:p>
        </w:tc>
        <w:tc>
          <w:tcPr>
            <w:tcW w:w="0" w:type="auto"/>
          </w:tcPr>
          <w:p>
            <w:pPr>
              <w:spacing w:line="240" w:lineRule="auto" w:before="0" w:after="0"/>
              <w:pStyle w:val="Compact"/>
            </w:pPr>
            <w:r>
              <w:rPr>
                <w:sz w:val="20"/>
                <w:szCs w:val="20"/>
              </w:rPr>
              <w:t xml:space="preserve">Event indicator: 1 if the program breached its baseline launch readiness date (schedule slip observed); 0 if it launched on or before baseline (no breach observed / right-censored).</w:t>
            </w:r>
          </w:p>
        </w:tc>
        <w:tc>
          <w:tcPr>
            <w:tcW w:w="0" w:type="auto"/>
          </w:tcPr>
          <w:p>
            <w:pPr>
              <w:spacing w:line="240" w:lineRule="auto" w:before="0" w:after="0"/>
              <w:pStyle w:val="Compact"/>
            </w:pPr>
            <w:r>
              <w:rPr>
                <w:sz w:val="20"/>
                <w:szCs w:val="20"/>
              </w:rPr>
              <w:t xml:space="preserve">Per-row schedule outcome from GAO assessments, NASA OIG reports (e.g. IG-25-011 Dragonfly), and mission launch records.</w:t>
            </w:r>
          </w:p>
        </w:tc>
      </w:tr>
      <w:tr>
        <w:tc>
          <w:tcPr>
            <w:tcW w:w="0" w:type="auto"/>
          </w:tcPr>
          <w:p>
            <w:pPr>
              <w:spacing w:line="240" w:lineRule="auto" w:before="0" w:after="0"/>
              <w:pStyle w:val="Compact"/>
            </w:pPr>
            <w:r>
              <w:rPr>
                <w:sz w:val="20"/>
                <w:szCs w:val="20"/>
              </w:rPr>
              <w:t xml:space="preserve">bidders</w:t>
            </w:r>
          </w:p>
        </w:tc>
        <w:tc>
          <w:tcPr>
            <w:tcW w:w="0" w:type="auto"/>
          </w:tcPr>
          <w:p>
            <w:pPr>
              <w:spacing w:line="240" w:lineRule="auto" w:before="0" w:after="0"/>
              <w:pStyle w:val="Compact"/>
            </w:pPr>
            <w:r>
              <w:rPr>
                <w:sz w:val="20"/>
                <w:szCs w:val="20"/>
              </w:rPr>
              <w:t xml:space="preserve">Number of competing offers in the program’s source selection: AO Step-1 finalist/proposal count for competed Discovery/New Frontiers/Explorer missions; prime-contract offeror count for directed missions (1 = directed/sole-source).</w:t>
            </w:r>
          </w:p>
        </w:tc>
        <w:tc>
          <w:tcPr>
            <w:tcW w:w="0" w:type="auto"/>
          </w:tcPr>
          <w:p>
            <w:pPr>
              <w:spacing w:line="240" w:lineRule="auto" w:before="0" w:after="0"/>
              <w:pStyle w:val="Compact"/>
            </w:pPr>
            <w:r>
              <w:rPr>
                <w:sz w:val="20"/>
                <w:szCs w:val="20"/>
              </w:rPr>
              <w:t xml:space="preserve">NASA AO selection announcements (SpaceNews, NASA/JPL press releases) and program records; e.g. Discovery-2015 had 5 Step-1 finalists, New Frontiers-4 had 2 finalists.</w:t>
            </w:r>
          </w:p>
        </w:tc>
      </w:tr>
      <w:tr>
        <w:tc>
          <w:tcPr>
            <w:tcW w:w="0" w:type="auto"/>
          </w:tcPr>
          <w:p>
            <w:pPr>
              <w:spacing w:line="240" w:lineRule="auto" w:before="0" w:after="0"/>
              <w:pStyle w:val="Compact"/>
            </w:pPr>
            <w:r>
              <w:rPr>
                <w:sz w:val="20"/>
                <w:szCs w:val="20"/>
              </w:rPr>
              <w:t xml:space="preserve">costplus</w:t>
            </w:r>
          </w:p>
        </w:tc>
        <w:tc>
          <w:tcPr>
            <w:tcW w:w="0" w:type="auto"/>
          </w:tcPr>
          <w:p>
            <w:pPr>
              <w:spacing w:line="240" w:lineRule="auto" w:before="0" w:after="0"/>
              <w:pStyle w:val="Compact"/>
            </w:pPr>
            <w:r>
              <w:rPr>
                <w:sz w:val="20"/>
                <w:szCs w:val="20"/>
              </w:rPr>
              <w:t xml:space="preserve">Contract-instrument indicator: 1 = cost-plus prime instrument; 0 = firm-fixed-price or fixed-price-dominant prime.</w:t>
            </w:r>
          </w:p>
        </w:tc>
        <w:tc>
          <w:tcPr>
            <w:tcW w:w="0" w:type="auto"/>
          </w:tcPr>
          <w:p>
            <w:pPr>
              <w:spacing w:line="240" w:lineRule="auto" w:before="0" w:after="0"/>
              <w:pStyle w:val="Compact"/>
            </w:pPr>
            <w:r>
              <w:rPr>
                <w:sz w:val="20"/>
                <w:szCs w:val="20"/>
              </w:rPr>
              <w:t xml:space="preserve">GAO assessments and NASA/contractor procurement records; cost-plus is NASA’s instrument for absorbing qualification/overrun risk [1].</w:t>
            </w:r>
          </w:p>
        </w:tc>
      </w:tr>
      <w:tr>
        <w:tc>
          <w:tcPr>
            <w:tcW w:w="0" w:type="auto"/>
          </w:tcPr>
          <w:p>
            <w:pPr>
              <w:spacing w:line="240" w:lineRule="auto" w:before="0" w:after="0"/>
              <w:pStyle w:val="Compact"/>
            </w:pPr>
            <w:r>
              <w:rPr>
                <w:sz w:val="20"/>
                <w:szCs w:val="20"/>
              </w:rPr>
              <w:t xml:space="preserve">ln_devcost</w:t>
            </w:r>
          </w:p>
        </w:tc>
        <w:tc>
          <w:tcPr>
            <w:tcW w:w="0" w:type="auto"/>
          </w:tcPr>
          <w:p>
            <w:pPr>
              <w:spacing w:line="240" w:lineRule="auto" w:before="0" w:after="0"/>
              <w:pStyle w:val="Compact"/>
            </w:pPr>
            <w:r>
              <w:rPr>
                <w:sz w:val="20"/>
                <w:szCs w:val="20"/>
              </w:rPr>
              <w:t xml:space="preserve">Natural log of program development cost in USD millions (scale control).</w:t>
            </w:r>
          </w:p>
        </w:tc>
        <w:tc>
          <w:tcPr>
            <w:tcW w:w="0" w:type="auto"/>
          </w:tcPr>
          <w:p>
            <w:pPr>
              <w:spacing w:line="240" w:lineRule="auto" w:before="0" w:after="0"/>
              <w:pStyle w:val="Compact"/>
            </w:pPr>
            <w:r>
              <w:rPr>
                <w:sz w:val="20"/>
                <w:szCs w:val="20"/>
              </w:rPr>
              <w:t xml:space="preserve">Development-cost figures from GAO assessments, NASA OIG reports, and Planetary Society cost analyses; logged to control program scale.</w:t>
            </w:r>
          </w:p>
        </w:tc>
      </w:tr>
    </w:tbl>
    <w:bookmarkEnd w:id="197"/>
    <w:bookmarkEnd w:id="198"/>
    <w:bookmarkEnd w:id="19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4" Type="http://schemas.openxmlformats.org/officeDocument/2006/relationships/image" Target="media/rId184.png"/><Relationship Id="rId192" Type="http://schemas.openxmlformats.org/officeDocument/2006/relationships/image" Target="media/rId192.png"/><Relationship Id="rId144" Type="http://schemas.openxmlformats.org/officeDocument/2006/relationships/hyperlink" Target="https://doi.org/10.1016/j.actaastro.2017.04.034" TargetMode="External"/><Relationship Id="rId177" Type="http://schemas.openxmlformats.org/officeDocument/2006/relationships/hyperlink" Target="https://doi.org/10.1016/j.actaastro.2017.10.005" TargetMode="External"/><Relationship Id="rId146" Type="http://schemas.openxmlformats.org/officeDocument/2006/relationships/hyperlink" Target="https://doi.org/10.1016/j.actaastro.2019.08.031" TargetMode="External"/><Relationship Id="rId156" Type="http://schemas.openxmlformats.org/officeDocument/2006/relationships/hyperlink" Target="https://doi.org/10.1016/j.actaastro.2021.05.015" TargetMode="External"/><Relationship Id="rId173" Type="http://schemas.openxmlformats.org/officeDocument/2006/relationships/hyperlink" Target="https://doi.org/10.1016/j.actaastro.2021.08.036" TargetMode="External"/><Relationship Id="rId142" Type="http://schemas.openxmlformats.org/officeDocument/2006/relationships/hyperlink" Target="https://doi.org/10.1016/j.actaastro.2021.11.016" TargetMode="External"/><Relationship Id="rId170" Type="http://schemas.openxmlformats.org/officeDocument/2006/relationships/hyperlink" Target="https://doi.org/10.1016/j.actaastro.2022.06.005" TargetMode="External"/><Relationship Id="rId175" Type="http://schemas.openxmlformats.org/officeDocument/2006/relationships/hyperlink" Target="https://doi.org/10.1016/j.actaastro.2023.03.014" TargetMode="External"/><Relationship Id="rId168" Type="http://schemas.openxmlformats.org/officeDocument/2006/relationships/hyperlink" Target="https://doi.org/10.1016/j.actaastro.2024.09.003" TargetMode="External"/><Relationship Id="rId140" Type="http://schemas.openxmlformats.org/officeDocument/2006/relationships/hyperlink" Target="https://doi.org/10.1016/j.actaastro.2024.09.005" TargetMode="External"/><Relationship Id="rId179" Type="http://schemas.openxmlformats.org/officeDocument/2006/relationships/hyperlink" Target="https://doi.org/10.1016/j.actaastro.2025.07.014" TargetMode="External"/><Relationship Id="rId148" Type="http://schemas.openxmlformats.org/officeDocument/2006/relationships/hyperlink" Target="https://doi.org/10.1016/j.actaastro.2026.01.040" TargetMode="External"/><Relationship Id="rId150" Type="http://schemas.openxmlformats.org/officeDocument/2006/relationships/hyperlink" Target="https://doi.org/10.1073/pnas.2221343120" TargetMode="External"/><Relationship Id="rId158" Type="http://schemas.openxmlformats.org/officeDocument/2006/relationships/hyperlink" Target="https://doi.org/10.64861/CEPU7718" TargetMode="External"/><Relationship Id="rId162" Type="http://schemas.openxmlformats.org/officeDocument/2006/relationships/hyperlink" Target="https://doi.org/10.64861/DZFF7826" TargetMode="External"/></Relationships>
</file>

<file path=word/_rels/footnotes.xml.rels><?xml version='1.0' encoding='UTF-8' standalone='yes'?>
<Relationships xmlns="http://schemas.openxmlformats.org/package/2006/relationships"><Relationship Id="rId144" Type="http://schemas.openxmlformats.org/officeDocument/2006/relationships/hyperlink" Target="https://doi.org/10.1016/j.actaastro.2017.04.034" TargetMode="External"/><Relationship Id="rId177" Type="http://schemas.openxmlformats.org/officeDocument/2006/relationships/hyperlink" Target="https://doi.org/10.1016/j.actaastro.2017.10.005" TargetMode="External"/><Relationship Id="rId146" Type="http://schemas.openxmlformats.org/officeDocument/2006/relationships/hyperlink" Target="https://doi.org/10.1016/j.actaastro.2019.08.031" TargetMode="External"/><Relationship Id="rId156" Type="http://schemas.openxmlformats.org/officeDocument/2006/relationships/hyperlink" Target="https://doi.org/10.1016/j.actaastro.2021.05.015" TargetMode="External"/><Relationship Id="rId173" Type="http://schemas.openxmlformats.org/officeDocument/2006/relationships/hyperlink" Target="https://doi.org/10.1016/j.actaastro.2021.08.036" TargetMode="External"/><Relationship Id="rId142" Type="http://schemas.openxmlformats.org/officeDocument/2006/relationships/hyperlink" Target="https://doi.org/10.1016/j.actaastro.2021.11.016" TargetMode="External"/><Relationship Id="rId170" Type="http://schemas.openxmlformats.org/officeDocument/2006/relationships/hyperlink" Target="https://doi.org/10.1016/j.actaastro.2022.06.005" TargetMode="External"/><Relationship Id="rId175" Type="http://schemas.openxmlformats.org/officeDocument/2006/relationships/hyperlink" Target="https://doi.org/10.1016/j.actaastro.2023.03.014" TargetMode="External"/><Relationship Id="rId168" Type="http://schemas.openxmlformats.org/officeDocument/2006/relationships/hyperlink" Target="https://doi.org/10.1016/j.actaastro.2024.09.003" TargetMode="External"/><Relationship Id="rId140" Type="http://schemas.openxmlformats.org/officeDocument/2006/relationships/hyperlink" Target="https://doi.org/10.1016/j.actaastro.2024.09.005" TargetMode="External"/><Relationship Id="rId179" Type="http://schemas.openxmlformats.org/officeDocument/2006/relationships/hyperlink" Target="https://doi.org/10.1016/j.actaastro.2025.07.014" TargetMode="External"/><Relationship Id="rId148" Type="http://schemas.openxmlformats.org/officeDocument/2006/relationships/hyperlink" Target="https://doi.org/10.1016/j.actaastro.2026.01.040" TargetMode="External"/><Relationship Id="rId150" Type="http://schemas.openxmlformats.org/officeDocument/2006/relationships/hyperlink" Target="https://doi.org/10.1073/pnas.2221343120" TargetMode="External"/><Relationship Id="rId158" Type="http://schemas.openxmlformats.org/officeDocument/2006/relationships/hyperlink" Target="https://doi.org/10.64861/CEPU7718" TargetMode="External"/><Relationship Id="rId162" Type="http://schemas.openxmlformats.org/officeDocument/2006/relationships/hyperlink" Target="https://doi.org/10.64861/DZFF78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Competition and the Industrial Base: Does Number of Bidders Predict Space-Program Execution Outcomes?</dc:title>
  <dc:creator>Anjali Carrington (1B-MPM-057)</dc:creator>
  <cp:keywords/>
  <dcterms:created xsi:type="dcterms:W3CDTF">2026-07-04T03:42:24Z</dcterms:created>
  <dcterms:modified xsi:type="dcterms:W3CDTF">2026-07-04T03:42:24Z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