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DOES THE ARCHITECTURE ON PAPER MATCH THE SYSTEM IN ORBIT? A CONFORMANCE AUDIT OF MODEL-BASED MISSION PROGRAM EXECUTION</w:t>
      </w:r>
    </w:p>
    <w:p>
      <w:pPr>
        <w:jc w:val="center"/>
      </w:pPr>
    </w:p>
    <w:p>
      <w:pPr>
        <w:jc w:val="center"/>
      </w:pPr>
      <w:r>
        <w:rPr>
          <w:rFonts w:ascii="Times New Roman" w:hAnsi="Times New Roman"/>
          <w:sz w:val="24"/>
        </w:rPr>
        <w:t>by</w:t>
      </w:r>
    </w:p>
    <w:p>
      <w:pPr>
        <w:jc w:val="center"/>
      </w:pPr>
      <w:r>
        <w:rPr>
          <w:rFonts w:ascii="Times New Roman" w:hAnsi="Times New Roman"/>
          <w:b/>
          <w:sz w:val="28"/>
        </w:rPr>
        <w:t>Maya Okafor</w:t>
      </w:r>
    </w:p>
    <w:p>
      <w:pPr>
        <w:jc w:val="center"/>
      </w:pPr>
      <w:r>
        <w:rPr>
          <w:rFonts w:ascii="Times New Roman" w:hAnsi="Times New Roman"/>
          <w:sz w:val="24"/>
        </w:rPr>
        <w:t>1B-MPM-106</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and-its-stakes"/>
    <w:p>
      <w:pPr>
        <w:pStyle w:val="Heading2"/>
        <w:spacing w:line="480" w:lineRule="auto"/>
      </w:pPr>
      <w:r>
        <w:t xml:space="preserve">1.1 The Problem and Its Stakes</w:t>
      </w:r>
    </w:p>
    <w:p>
      <w:pPr>
        <w:pStyle w:val="FirstParagraph"/>
        <w:spacing w:line="480" w:lineRule="auto"/>
      </w:pPr>
      <w:r>
        <w:t xml:space="preserve">Public space programs in the United States are governed at the milestones that bracket their development. Formulation review establishes the concept. Confirmation review, Key Decision Point C, fixes the architectural baseline and the life-cycle cost commitment. Readiness reviews later on authorize launch. Of these gates, confirmation yields the documentary record that matters most for later accountability, because that is where program executives, congressional oversight staff, and the U.S. Government Accountability Office (GAO) find the artifacts they use to discipline execution. Interfaces, heritage subsystems, performance allocations, and the maturity of critical technologies all sit catalogued in the confirmation package, and everyone treats that package as a kind of contract binding the agency, the prime contractor, and the public. Underneath runs a theory of action simple enough to state in one line. What is written on paper at KDP-C is what flies, to within a documented tolerance, and any gap between the two will be caught and adjudicated against the baseline.</w:t>
      </w:r>
    </w:p>
    <w:p>
      <w:pPr>
        <w:pStyle w:val="BodyText"/>
        <w:spacing w:line="480" w:lineRule="auto"/>
        <w:ind w:firstLine="720"/>
      </w:pPr>
      <w:r>
        <w:t xml:space="preserve">That theory does not survive contact with the GAO Major Project Assessments series. Across more than a decade of annual portfolio reviews, GAO has documented cost growth and schedule slippage that recur through mission classes, through contractors, and through administrative cycles in the NASA major project portfolio</w:t>
      </w:r>
      <w:r>
        <w:t xml:space="preserve"> </w:t>
      </w:r>
      <w:hyperlink w:anchor="ref-11">
        <w:r>
          <w:rPr>
            <w:rStyle w:val="Hyperlink"/>
          </w:rPr>
          <w:t xml:space="preserve">[11]</w:t>
        </w:r>
      </w:hyperlink>
      <w:r>
        <w:t xml:space="preserve">[13][15]. Inside that portfolio the Jet Propulsion Laboratory (JPL) carries an outsized share of the flagship science risk. Mars Sample Return, the next generation of outer planets missions, the cislunar and near-Earth science cadence, all of it rides on the laboratory delivering architecturally complex spacecraft against confirmation baselines set years ahead of launch</w:t>
      </w:r>
      <w:r>
        <w:t xml:space="preserve"> </w:t>
      </w:r>
      <w:hyperlink w:anchor="ref-31">
        <w:r>
          <w:rPr>
            <w:rStyle w:val="Hyperlink"/>
          </w:rPr>
          <w:t xml:space="preserve">[31]</w:t>
        </w:r>
      </w:hyperlink>
      <w:r>
        <w:t xml:space="preserve">. So the stakes for NASA and for JPL are concrete rather than abstract. They run to the credibility of the confirmation milestone as an instrument of fiscal discipline, to the agency’s standing before appropriators grown skeptical of large optional programs, and to the laboratory’s continued role as the federally funded research and development center of record for deep-space science.</w:t>
      </w:r>
    </w:p>
    <w:p>
      <w:pPr>
        <w:pStyle w:val="BodyText"/>
        <w:spacing w:line="480" w:lineRule="auto"/>
        <w:ind w:firstLine="720"/>
      </w:pPr>
      <w:r>
        <w:t xml:space="preserve">Data is not the thing missing from the present accountability apparatus. The GAO assessments already tabulate the architectural attributes at KDP-C and the cost and schedule outcomes at launch, in a form that is, in principle, statistically tractable. What is missing is an instrument that turns that documentary record into a falsifiable test of whether the architecture on paper actually forecasts the system that reaches orbit. Absent one, the confirmation artifact stays authoritative by convention and not by evidence. A program executive cannot say, outside the qualitative register of after-the-fact narrative, whether the interface count, the heritage posture, and the critical technology maturity logged at KDP-C carry any signal about the cost trajectory and the time to launch that follow. Anomaly investigations and post-flight reconstructions do exist, and they run deep, and they are reactive, built one at a time</w:t>
      </w:r>
      <w:r>
        <w:t xml:space="preserve"> </w:t>
      </w:r>
      <w:hyperlink w:anchor="ref-5">
        <w:r>
          <w:rPr>
            <w:rStyle w:val="Hyperlink"/>
          </w:rPr>
          <w:t xml:space="preserve">[5]</w:t>
        </w:r>
      </w:hyperlink>
      <w:r>
        <w:t xml:space="preserve">. Radiation hardness assurance reviews show that conformance can be systematized inside a narrow engineering band, and the synthesis stays engineering-internal rather than executive-facing</w:t>
      </w:r>
      <w:r>
        <w:t xml:space="preserve"> </w:t>
      </w:r>
      <w:hyperlink w:anchor="ref-6">
        <w:r>
          <w:rPr>
            <w:rStyle w:val="Hyperlink"/>
          </w:rPr>
          <w:t xml:space="preserve">[6]</w:t>
        </w:r>
      </w:hyperlink>
      <w:r>
        <w:t xml:space="preserve">. Trade studies and model-based architecture optimizations show the design boundary can be made auditable, then stop at the boundary and never test execution</w:t>
      </w:r>
      <w:r>
        <w:t xml:space="preserve"> </w:t>
      </w:r>
      <w:hyperlink w:anchor="ref-1">
        <w:r>
          <w:rPr>
            <w:rStyle w:val="Hyperlink"/>
          </w:rPr>
          <w:t xml:space="preserve">[1]</w:t>
        </w:r>
      </w:hyperlink>
      <w:r>
        <w:t xml:space="preserve">[2][7]. What comes out is an accountability gap sitting exactly where NASA and JPL have to defend the major project portfolio, at the level of the architectural baseline.</w:t>
      </w:r>
    </w:p>
    <w:p>
      <w:pPr>
        <w:pStyle w:val="BodyText"/>
        <w:spacing w:line="480" w:lineRule="auto"/>
        <w:ind w:firstLine="720"/>
      </w:pPr>
      <w:r>
        <w:t xml:space="preserve">This dissertation argues the gap is closable. Treat the architectural attributes logged at KDP-C as covariates in a properly identified econometric specification, and they should forecast both the magnitude of cost growth at launch and the rate at which projects exit development. If they do, the architecture document is doing real work as a contract with the public, and the confirmation review can be sharpened into a quantitative gate. If they do not, the milestone is closer to a ceremonial artifact, and the agency would be better served attending to other signals. I test the former against the latter on the universe of NASA major projects assessed by the GAO between 2009 and 2025, and I propose a standing conformance audit built on the resulting evidence.</w:t>
      </w:r>
    </w:p>
    <w:bookmarkEnd w:id="61"/>
    <w:bookmarkStart w:id="62" w:name="the-gap-between-two-literatures"/>
    <w:p>
      <w:pPr>
        <w:pStyle w:val="Heading2"/>
        <w:spacing w:line="480" w:lineRule="auto"/>
      </w:pPr>
      <w:r>
        <w:t xml:space="preserve">1.2 The Gap Between Two Literatures</w:t>
      </w:r>
    </w:p>
    <w:p>
      <w:pPr>
        <w:pStyle w:val="FirstParagraph"/>
        <w:spacing w:line="480" w:lineRule="auto"/>
      </w:pPr>
      <w:r>
        <w:t xml:space="preserve">Two literatures bear on this question, and they do not speak to each other.</w:t>
      </w:r>
    </w:p>
    <w:p>
      <w:pPr>
        <w:pStyle w:val="BodyText"/>
        <w:spacing w:line="480" w:lineRule="auto"/>
        <w:ind w:firstLine="720"/>
      </w:pPr>
      <w:r>
        <w:t xml:space="preserve">The space systems engineering and acquisition literature has produced an extensive body of work on the design boundary: how architectures get constructed, how they get optimized, how subsystems get verified against requirements, and how flown behavior gets reconstructed when something goes wrong. The NASA Systems Engineering Handbook codifies the canonical sequence from concept through verification</w:t>
      </w:r>
      <w:r>
        <w:t xml:space="preserve"> </w:t>
      </w:r>
      <w:hyperlink w:anchor="ref-12">
        <w:r>
          <w:rPr>
            <w:rStyle w:val="Hyperlink"/>
          </w:rPr>
          <w:t xml:space="preserve">[12]</w:t>
        </w:r>
      </w:hyperlink>
      <w:r>
        <w:t xml:space="preserve">. Model-based trade studies for optical sensor constellations make the architectural reasoning explicit and the trade space inspectable</w:t>
      </w:r>
      <w:r>
        <w:t xml:space="preserve"> </w:t>
      </w:r>
      <w:hyperlink w:anchor="ref-1">
        <w:r>
          <w:rPr>
            <w:rStyle w:val="Hyperlink"/>
          </w:rPr>
          <w:t xml:space="preserve">[1]</w:t>
        </w:r>
      </w:hyperlink>
      <w:r>
        <w:t xml:space="preserve">. Cislunar SSA network optimizations fold operational cost metrics into the architectural choice</w:t>
      </w:r>
      <w:r>
        <w:t xml:space="preserve"> </w:t>
      </w:r>
      <w:hyperlink w:anchor="ref-2">
        <w:r>
          <w:rPr>
            <w:rStyle w:val="Hyperlink"/>
          </w:rPr>
          <w:t xml:space="preserve">[2]</w:t>
        </w:r>
      </w:hyperlink>
      <w:r>
        <w:t xml:space="preserve">. Geosynchronous SSA architecture optimization shows the design boundary staying computationally tractable at scale</w:t>
      </w:r>
      <w:r>
        <w:t xml:space="preserve"> </w:t>
      </w:r>
      <w:hyperlink w:anchor="ref-7">
        <w:r>
          <w:rPr>
            <w:rStyle w:val="Hyperlink"/>
          </w:rPr>
          <w:t xml:space="preserve">[7]</w:t>
        </w:r>
      </w:hyperlink>
      <w:r>
        <w:t xml:space="preserve">. Nanosatellite robustness research surfaces the subsystem-level interoperability assumptions that quietly relax between architecture and build</w:t>
      </w:r>
      <w:r>
        <w:t xml:space="preserve"> </w:t>
      </w:r>
      <w:hyperlink w:anchor="ref-4">
        <w:r>
          <w:rPr>
            <w:rStyle w:val="Hyperlink"/>
          </w:rPr>
          <w:t xml:space="preserve">[4]</w:t>
        </w:r>
      </w:hyperlink>
      <w:r>
        <w:t xml:space="preserve">. Schiaparelli’s post-flight analysis shows the gap between pre-flight verification artifacts and flown behavior becoming a knowable quantity once an anomaly forces the question</w:t>
      </w:r>
      <w:r>
        <w:t xml:space="preserve"> </w:t>
      </w:r>
      <w:hyperlink w:anchor="ref-5">
        <w:r>
          <w:rPr>
            <w:rStyle w:val="Hyperlink"/>
          </w:rPr>
          <w:t xml:space="preserve">[5]</w:t>
        </w:r>
      </w:hyperlink>
      <w:r>
        <w:t xml:space="preserve">. Radiation hardness assurance reviews codify the engineering-internal conformance discipline</w:t>
      </w:r>
      <w:r>
        <w:t xml:space="preserve"> </w:t>
      </w:r>
      <w:hyperlink w:anchor="ref-6">
        <w:r>
          <w:rPr>
            <w:rStyle w:val="Hyperlink"/>
          </w:rPr>
          <w:t xml:space="preserve">[6]</w:t>
        </w:r>
      </w:hyperlink>
      <w:r>
        <w:t xml:space="preserve">. Mixed-fidelity simulation of extravehicular activities carries the architectural conformance question into operational concepts</w:t>
      </w:r>
      <w:r>
        <w:t xml:space="preserve"> </w:t>
      </w:r>
      <w:hyperlink w:anchor="ref-10">
        <w:r>
          <w:rPr>
            <w:rStyle w:val="Hyperlink"/>
          </w:rPr>
          <w:t xml:space="preserve">[10]</w:t>
        </w:r>
      </w:hyperlink>
      <w:r>
        <w:t xml:space="preserve">. Parametric cost modeling of asteroid mining architectures shows the architectural attributes can be priced</w:t>
      </w:r>
      <w:r>
        <w:t xml:space="preserve"> </w:t>
      </w:r>
      <w:hyperlink w:anchor="ref-16">
        <w:r>
          <w:rPr>
            <w:rStyle w:val="Hyperlink"/>
          </w:rPr>
          <w:t xml:space="preserve">[16]</w:t>
        </w:r>
      </w:hyperlink>
      <w:r>
        <w:t xml:space="preserve">. Every one of these is rigorous inside its own frame. Every one works the design boundary, or the post-flight forensic boundary, or the engineering-internal verification band. None of them operates on the portfolio.</w:t>
      </w:r>
    </w:p>
    <w:p>
      <w:pPr>
        <w:pStyle w:val="BodyText"/>
        <w:spacing w:line="480" w:lineRule="auto"/>
        <w:ind w:firstLine="720"/>
      </w:pPr>
      <w:r>
        <w:t xml:space="preserve">The acquisition and program-execution literature operates on the portfolio and declines to treat architecture as a measured variable. The GAO Major Project Assessments series is the canonical portfolio-level data product, documenting cost growth, schedule slippage, and architectural attributes at KDP-C across the major project set</w:t>
      </w:r>
      <w:r>
        <w:t xml:space="preserve"> </w:t>
      </w:r>
      <w:hyperlink w:anchor="ref-11">
        <w:r>
          <w:rPr>
            <w:rStyle w:val="Hyperlink"/>
          </w:rPr>
          <w:t xml:space="preserve">[11]</w:t>
        </w:r>
      </w:hyperlink>
      <w:r>
        <w:t xml:space="preserve">[13][15]. Mankins’ retrospective on technology readiness assessment establishes the conceptual basis of the TRL construct NASA gates against</w:t>
      </w:r>
      <w:r>
        <w:t xml:space="preserve"> </w:t>
      </w:r>
      <w:hyperlink w:anchor="ref-14">
        <w:r>
          <w:rPr>
            <w:rStyle w:val="Hyperlink"/>
          </w:rPr>
          <w:t xml:space="preserve">[14]</w:t>
        </w:r>
      </w:hyperlink>
      <w:r>
        <w:t xml:space="preserve">, and nobody has systematically tested whether that construct has predictive validity at the portfolio level. The broader space economy literature reads architecture as an instrument of strategic and socio-technological transformation</w:t>
      </w:r>
      <w:r>
        <w:t xml:space="preserve"> </w:t>
      </w:r>
      <w:hyperlink w:anchor="ref-8">
        <w:r>
          <w:rPr>
            <w:rStyle w:val="Hyperlink"/>
          </w:rPr>
          <w:t xml:space="preserve">[8]</w:t>
        </w:r>
      </w:hyperlink>
      <w:r>
        <w:t xml:space="preserve">[9], the right register for that literature and the wrong one for a program executive auditing a confirmation package. Adjacent contributions on distributed space traffic coordination</w:t>
      </w:r>
      <w:r>
        <w:t xml:space="preserve"> </w:t>
      </w:r>
      <w:hyperlink w:anchor="ref-17">
        <w:r>
          <w:rPr>
            <w:rStyle w:val="Hyperlink"/>
          </w:rPr>
          <w:t xml:space="preserve">[17]</w:t>
        </w:r>
      </w:hyperlink>
      <w:r>
        <w:t xml:space="preserve">, joint commercial operations communications</w:t>
      </w:r>
      <w:r>
        <w:t xml:space="preserve"> </w:t>
      </w:r>
      <w:hyperlink w:anchor="ref-20">
        <w:r>
          <w:rPr>
            <w:rStyle w:val="Hyperlink"/>
          </w:rPr>
          <w:t xml:space="preserve">[20]</w:t>
        </w:r>
      </w:hyperlink>
      <w:r>
        <w:t xml:space="preserve">, and agent-based mission management</w:t>
      </w:r>
      <w:r>
        <w:t xml:space="preserve"> </w:t>
      </w:r>
      <w:hyperlink w:anchor="ref-32">
        <w:r>
          <w:rPr>
            <w:rStyle w:val="Hyperlink"/>
          </w:rPr>
          <w:t xml:space="preserve">[32]</w:t>
        </w:r>
      </w:hyperlink>
      <w:r>
        <w:t xml:space="preserve"> </w:t>
      </w:r>
      <w:r>
        <w:t xml:space="preserve">sharpen the architectural vocabulary for emerging mission classes and stop short of estimating any relationship between architectural attributes and program outcomes. So the two literatures respect each other and rarely intersect. One knows what an architecture is and how to manipulate it. The other knows what a portfolio outcome is and how to measure it. Neither has produced the econometric specification that would join them.</w:t>
      </w:r>
    </w:p>
    <w:p>
      <w:pPr>
        <w:pStyle w:val="BodyText"/>
        <w:spacing w:line="480" w:lineRule="auto"/>
        <w:ind w:firstLine="720"/>
      </w:pPr>
      <w:r>
        <w:t xml:space="preserve">Stated precisely, the gap is the absence of a published, replicable econometric instrument that estimates the predictive relationship between architectural attributes logged at the confirmation milestone and program outcomes seen at launch, on the population of NASA major projects, with identification that survives scrutiny on selection, measurement, and informative censoring. The two companion papers that anchor this dissertation build the first iteration of that instrument. Paper 1 estimates an ordinary least squares specification of cost growth at launch on interface count, heritage percentage, and lowest critical TRL at KDP-C, on the launched sub-population of 32 projects, with HC1 robust standard errors. Paper 2 estimates a Cox proportional-hazards specification of the time from KDP-C to launch on the same architectural covariates, on the full 32-project panel with seven right-censored observations, which lets it accommodate the not-yet-launched flagships the cost-growth specification cannot touch. Between them the two specifications close the elementary version of the gap. The dissertation extends them, hardens the identification, and turns the result into an audit instrument.</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dissertation defends a single falsifiable claim. It has a positive half and a normative half, and the empirical content lives entirely in the positive half.</w:t>
      </w:r>
    </w:p>
    <w:p>
      <w:pPr>
        <w:pStyle w:val="BodyText"/>
        <w:spacing w:line="480" w:lineRule="auto"/>
        <w:ind w:firstLine="720"/>
      </w:pPr>
      <w:r>
        <w:rPr>
          <w:b/>
          <w:bCs/>
        </w:rPr>
        <w:t xml:space="preserve">The positive claim.</w:t>
      </w:r>
      <w:r>
        <w:t xml:space="preserve"> </w:t>
      </w:r>
      <w:r>
        <w:t xml:space="preserve">Among NASA major projects confirmed at KDP-C between 2005 and 2023 and assessed by the GAO between 2009 and 2025, the interface count logged at the confirmation milestone is a statistically significant predictor of cost growth at launch and of the hazard rate at which the project exits development by launching, after controlling for heritage percentage and the lowest critical technology readiness level, and the effect is robust to HC1 standard errors in the linear specification and to the partial-likelihood standard errors of the Cox proportional-hazards specification. Heritage percentage is a weaker but directionally correct predictor of cost growth, and it is indistinguishable from zero as a predictor of the launch hazard in the present sample. Once interface count and heritage are controlled, the lowest critical TRL at KDP-C is indistinguishable from zero in either specification. The point estimates that anchor the claim are reported in the two companion papers and summarized for the reader in Chapter 4.</w:t>
      </w:r>
    </w:p>
    <w:p>
      <w:pPr>
        <w:pStyle w:val="BodyText"/>
        <w:spacing w:line="480" w:lineRule="auto"/>
        <w:ind w:firstLine="720"/>
      </w:pPr>
      <w:r>
        <w:rPr>
          <w:b/>
          <w:bCs/>
        </w:rPr>
        <w:t xml:space="preserve">The null against which the claim is tested.</w:t>
      </w:r>
      <w:r>
        <w:t xml:space="preserve"> </w:t>
      </w:r>
      <w:r>
        <w:t xml:space="preserve">Architectural attributes logged at KDP-C carry no predictive content for cost growth at launch or for the hazard rate of exiting development, after controlling for heritage and TRL, in the GAO-assessed population of NASA major projects.</w:t>
      </w:r>
    </w:p>
    <w:p>
      <w:pPr>
        <w:pStyle w:val="BodyText"/>
        <w:spacing w:line="480" w:lineRule="auto"/>
        <w:ind w:firstLine="720"/>
      </w:pPr>
      <w:r>
        <w:rPr>
          <w:b/>
          <w:bCs/>
        </w:rPr>
        <w:t xml:space="preserve">The normative half.</w:t>
      </w:r>
      <w:r>
        <w:t xml:space="preserve"> </w:t>
      </w:r>
      <w:r>
        <w:t xml:space="preserve">Should the positive claim hold, the confirmation review can be sharpened into a quantitative gate by reading interface count at KDP-C as a leading indicator of both cost growth and time to launch, and the audit instrument that operationalizes that reading is the contribution program offices, the GAO, and JPL’s institutional review apparatus can adopt. Should the positive claim fail, the confirmation milestone keeps its narrative function and sheds the quantitative weight present accountability conventions place on it, and the audit instrument should be retired in favor of other signals.</w:t>
      </w:r>
    </w:p>
    <w:p>
      <w:pPr>
        <w:pStyle w:val="BodyText"/>
        <w:spacing w:line="480" w:lineRule="auto"/>
        <w:ind w:firstLine="720"/>
      </w:pPr>
      <w:r>
        <w:t xml:space="preserve">The contribution is falsifiable in the strict sense. It is a parameter sign and a confidence interval, estimated on a public dataset assembled from a documented citation series, with a pre-specified rubric for converting GAO assessment tables into the three covariates and the two outcomes. A reader can reconstruct the data from the cited GAO assessments, refit the specifications, and either reproduce the point estimates within sampling tolerance or report the discrepancy. The dissertation will release the data file, the rubric, and the estimation scripts, so the falsification path stays open.</w:t>
      </w:r>
    </w:p>
    <w:p>
      <w:pPr>
        <w:pStyle w:val="BodyText"/>
        <w:spacing w:line="480" w:lineRule="auto"/>
        <w:ind w:firstLine="720"/>
      </w:pPr>
      <w:r>
        <w:t xml:space="preserve">The contribution is also narrow, and deliberately so. It does not claim interface count is the only architectural attribute that matters, or that the GAO assessment series is a perfect measurement instrument, or that the population of NASA major projects exhausts the universe of architecturally complex government space programs. It claims that on the population at hand, with the measurement instrument at hand, interface count at KDP-C forecasts the outcomes NASA and JPL have to defend. A larger claim would not survive the data. A smaller one would not be worth defending.</w:t>
      </w:r>
    </w:p>
    <w:bookmarkEnd w:id="63"/>
    <w:bookmarkStart w:id="64" w:name="why-nasa-and-jpl-are-the-right-setting"/>
    <w:p>
      <w:pPr>
        <w:pStyle w:val="Heading2"/>
        <w:spacing w:line="480" w:lineRule="auto"/>
      </w:pPr>
      <w:r>
        <w:t xml:space="preserve">1.4 Why NASA and JPL Are the Right Setting</w:t>
      </w:r>
    </w:p>
    <w:p>
      <w:pPr>
        <w:pStyle w:val="FirstParagraph"/>
        <w:spacing w:line="480" w:lineRule="auto"/>
      </w:pPr>
      <w:r>
        <w:t xml:space="preserve">Setting is not incidental to the contribution. Three considerations make NASA’s major project portfolio, and JPL’s position within it, the empirically and institutionally correct place to run the test.</w:t>
      </w:r>
    </w:p>
    <w:p>
      <w:pPr>
        <w:pStyle w:val="BodyText"/>
        <w:spacing w:line="480" w:lineRule="auto"/>
        <w:ind w:firstLine="720"/>
      </w:pPr>
      <w:r>
        <w:t xml:space="preserve">Consider first that the measurement apparatus exists in public form. The GAO Major Project Assessments series has been published annually since 2009 and reports interface counts, heritage subsystem percentages, lowest critical TRL at confirmation, life-cycle cost baseline at KDP-C, and life-cycle cost at launch</w:t>
      </w:r>
      <w:r>
        <w:t xml:space="preserve"> </w:t>
      </w:r>
      <w:hyperlink w:anchor="ref-11">
        <w:r>
          <w:rPr>
            <w:rStyle w:val="Hyperlink"/>
          </w:rPr>
          <w:t xml:space="preserve">[11]</w:t>
        </w:r>
      </w:hyperlink>
      <w:r>
        <w:t xml:space="preserve">[13][15]. No comparable public series exists for Department of War space programs, for commercial constellations, or for international scientific missions. NASA’s portfolio is the only setting where the test can run on a defensible documentary basis.</w:t>
      </w:r>
    </w:p>
    <w:p>
      <w:pPr>
        <w:pStyle w:val="BodyText"/>
        <w:spacing w:line="480" w:lineRule="auto"/>
        <w:ind w:firstLine="720"/>
      </w:pPr>
      <w:r>
        <w:t xml:space="preserve">Consider second that the institutional consequences attach to identifiable actors. NASA’s Mission Directorate Associate Administrators authorize the confirmation milestone. JPL’s formulation and confirmation processes feed a disproportionate share of the agency’s flagship science risk, and the laboratory’s defensibility before the agency and before appropriators turns on the predictive validity of the artifacts it produces at KDP-C</w:t>
      </w:r>
      <w:r>
        <w:t xml:space="preserve"> </w:t>
      </w:r>
      <w:hyperlink w:anchor="ref-31">
        <w:r>
          <w:rPr>
            <w:rStyle w:val="Hyperlink"/>
          </w:rPr>
          <w:t xml:space="preserve">[31]</w:t>
        </w:r>
      </w:hyperlink>
      <w:r>
        <w:t xml:space="preserve">. A statistical result on the predictive content of architectural attributes therefore has a named consumer with the authority to act on it.</w:t>
      </w:r>
    </w:p>
    <w:p>
      <w:pPr>
        <w:pStyle w:val="BodyText"/>
        <w:spacing w:line="480" w:lineRule="auto"/>
        <w:ind w:firstLine="720"/>
      </w:pPr>
      <w:r>
        <w:t xml:space="preserve">Consider third that the population at risk is bounded. Thirty-two major projects, twenty-five of them launched and seven still in development at the most recent assessment cutoff, is a small sample by the standards of cross-sectional econometrics, and it is also the entire universe of GAO-assessed NASA major projects. So the dissertation does not carry the inferential burden of generalizing from a sample to a population. It carries the burden of estimating effects on the population, the cleaner of the two problems, and the one the Cox proportional-hazards estimator and the OLS with HC1 standard errors handle well.</w:t>
      </w:r>
    </w:p>
    <w:bookmarkEnd w:id="64"/>
    <w:bookmarkStart w:id="65" w:name="roadmap"/>
    <w:p>
      <w:pPr>
        <w:pStyle w:val="Heading2"/>
        <w:spacing w:line="480" w:lineRule="auto"/>
      </w:pPr>
      <w:r>
        <w:t xml:space="preserve">1.5 Roadmap</w:t>
      </w:r>
    </w:p>
    <w:p>
      <w:pPr>
        <w:pStyle w:val="FirstParagraph"/>
        <w:spacing w:line="480" w:lineRule="auto"/>
      </w:pPr>
      <w:r>
        <w:t xml:space="preserve">The dissertation proceeds in seven chapters.</w:t>
      </w:r>
    </w:p>
    <w:p>
      <w:pPr>
        <w:pStyle w:val="BodyText"/>
        <w:spacing w:line="480" w:lineRule="auto"/>
        <w:ind w:firstLine="720"/>
      </w:pPr>
      <w:r>
        <w:rPr>
          <w:b/>
          <w:bCs/>
        </w:rPr>
        <w:t xml:space="preserve">Chapter 2</w:t>
      </w:r>
      <w:r>
        <w:t xml:space="preserve"> </w:t>
      </w:r>
      <w:r>
        <w:t xml:space="preserve">reads the two literatures this introduction has called orthogonal and locates the contribution at their intersection. It sets the systems engineering and architecture optimization literature</w:t>
      </w:r>
      <w:r>
        <w:t xml:space="preserve"> </w:t>
      </w:r>
      <w:hyperlink w:anchor="ref-1">
        <w:r>
          <w:rPr>
            <w:rStyle w:val="Hyperlink"/>
          </w:rPr>
          <w:t xml:space="preserve">[1]</w:t>
        </w:r>
      </w:hyperlink>
      <w:r>
        <w:t xml:space="preserve">[2][4][6][7][10] against the acquisition and portfolio-assessment literature</w:t>
      </w:r>
      <w:r>
        <w:t xml:space="preserve"> </w:t>
      </w:r>
      <w:hyperlink w:anchor="ref-11">
        <w:r>
          <w:rPr>
            <w:rStyle w:val="Hyperlink"/>
          </w:rPr>
          <w:t xml:space="preserve">[11]</w:t>
        </w:r>
      </w:hyperlink>
      <w:r>
        <w:t xml:space="preserve">[12][13][14][15] and names the specific places where the two fail to inform each other. It treats the post-flight reconstruction literature</w:t>
      </w:r>
      <w:r>
        <w:t xml:space="preserve"> </w:t>
      </w:r>
      <w:hyperlink w:anchor="ref-3">
        <w:r>
          <w:rPr>
            <w:rStyle w:val="Hyperlink"/>
          </w:rPr>
          <w:t xml:space="preserve">[3]</w:t>
        </w:r>
      </w:hyperlink>
      <w:r>
        <w:t xml:space="preserve">[5] as the empirical bridge that confirms the conformance question is well posed and does not by itself answer it, and it positions the contribution as the econometric specification the bridge requires.</w:t>
      </w:r>
    </w:p>
    <w:p>
      <w:pPr>
        <w:pStyle w:val="BodyText"/>
        <w:spacing w:line="480" w:lineRule="auto"/>
        <w:ind w:firstLine="720"/>
      </w:pPr>
      <w:r>
        <w:rPr>
          <w:b/>
          <w:bCs/>
        </w:rPr>
        <w:t xml:space="preserve">Chapter 3</w:t>
      </w:r>
      <w:r>
        <w:t xml:space="preserve"> </w:t>
      </w:r>
      <w:r>
        <w:t xml:space="preserve">fixes the data, the rubric for converting GAO assessment tables into the three architectural covariates and the two outcomes, and the provenance trail by which a reader can reconstruct the panel. It handles the two illustrative cells, cost growth for Mars Sample Return and interface count for the Starship HLS option, explicitly, and excludes them from outcome-variable use. It documents the censoring rule and the cutoff date.</w:t>
      </w:r>
    </w:p>
    <w:p>
      <w:pPr>
        <w:pStyle w:val="BodyText"/>
        <w:spacing w:line="480" w:lineRule="auto"/>
        <w:ind w:firstLine="720"/>
      </w:pPr>
      <w:r>
        <w:rPr>
          <w:b/>
          <w:bCs/>
        </w:rPr>
        <w:t xml:space="preserve">Chapter 4</w:t>
      </w:r>
      <w:r>
        <w:t xml:space="preserve"> </w:t>
      </w:r>
      <w:r>
        <w:t xml:space="preserve">presents the econometric specifications and the headline results. It reports the ordinary least squares specification of cost growth on architectural covariates with HC1 robust standard errors, on the launched sub-population of 25 projects, replicating the result of companion paper 1. It reports the Cox proportional-hazards specification on the full 32-project panel with seven right-censored observations, replicating the result of companion paper 2. It reads the coefficients as elasticities of the program outcome with respect to the architectural attribute and reports sensitivity to the specification choices.</w:t>
      </w:r>
    </w:p>
    <w:p>
      <w:pPr>
        <w:pStyle w:val="BodyText"/>
        <w:spacing w:line="480" w:lineRule="auto"/>
        <w:ind w:firstLine="720"/>
      </w:pPr>
      <w:r>
        <w:rPr>
          <w:b/>
          <w:bCs/>
        </w:rPr>
        <w:t xml:space="preserve">Chapter 5</w:t>
      </w:r>
      <w:r>
        <w:t xml:space="preserve"> </w:t>
      </w:r>
      <w:r>
        <w:t xml:space="preserve">confronts the threats to validity: selection on architectural complexity, where programs that adopt denser interface architectures may differ on unobservables; measurement error in the GAO assessment series, where interface count is harmonized across heterogeneous assessment formats; informative censoring, where cancellations and indefinite holds are not random with respect to architectural stress; and the small-sample limitations of a 32-project panel. It reports robustness checks against each threat and documents the residual exposure the design does not eliminate.</w:t>
      </w:r>
    </w:p>
    <w:p>
      <w:pPr>
        <w:pStyle w:val="BodyText"/>
        <w:spacing w:line="480" w:lineRule="auto"/>
        <w:ind w:firstLine="720"/>
      </w:pPr>
      <w:r>
        <w:rPr>
          <w:b/>
          <w:bCs/>
        </w:rPr>
        <w:t xml:space="preserve">Chapter 6</w:t>
      </w:r>
      <w:r>
        <w:t xml:space="preserve"> </w:t>
      </w:r>
      <w:r>
        <w:t xml:space="preserve">translates the econometric result into the audit instrument. It fixes the rubric by which a program office, the GAO, or JPL’s institutional review apparatus converts the interface control document set at KDP-C into the audit covariate, and the rubric by which that covariate becomes a forecast of cost growth and time to launch with documented uncertainty. It reports a back-test on the not-yet-launched projects in the panel, treating the most recent GAO assessment as the audit point and the forecast as the testable prediction.</w:t>
      </w:r>
    </w:p>
    <w:p>
      <w:pPr>
        <w:pStyle w:val="BodyText"/>
        <w:spacing w:line="480" w:lineRule="auto"/>
        <w:ind w:firstLine="720"/>
      </w:pPr>
      <w:r>
        <w:rPr>
          <w:b/>
          <w:bCs/>
        </w:rPr>
        <w:t xml:space="preserve">Chapter 7</w:t>
      </w:r>
      <w:r>
        <w:t xml:space="preserve"> </w:t>
      </w:r>
      <w:r>
        <w:t xml:space="preserve">concludes by stating what the dissertation has shown and what it has not, and by naming the extensions the present design does not support but a successor design might. It is explicit about the scope conditions of the contribution and about the empirical conditions under which the audit instrument should be retired in favor of an alternative.</w:t>
      </w:r>
    </w:p>
    <w:p>
      <w:pPr>
        <w:pStyle w:val="BodyText"/>
        <w:spacing w:line="480" w:lineRule="auto"/>
        <w:ind w:firstLine="720"/>
      </w:pPr>
      <w:r>
        <w:t xml:space="preserve">The dissertation defends the proposition that architecture on paper can be made to answer for the system in orbit, and that the instrument for forcing the answer is an econometric specification estimated on the public documentary record. The remainder of the manuscript builds, tests, and operationalizes that instrument.</w:t>
      </w:r>
    </w:p>
    <w:bookmarkEnd w:id="65"/>
    <w:bookmarkEnd w:id="66"/>
    <w:bookmarkStart w:id="74" w:name="chapter-2.-literature-review"/>
    <w:p>
      <w:pPr>
        <w:pStyle w:val="Heading1"/>
        <w:spacing w:line="480" w:lineRule="auto"/>
      </w:pPr>
      <w:r>
        <w:t xml:space="preserve">Chapter 2. Literature Review</w:t>
      </w:r>
    </w:p>
    <w:bookmarkStart w:id="67" w:name="orientation"/>
    <w:p>
      <w:pPr>
        <w:pStyle w:val="Heading2"/>
        <w:spacing w:line="480" w:lineRule="auto"/>
      </w:pPr>
      <w:r>
        <w:t xml:space="preserve">2.1 Orientation</w:t>
      </w:r>
    </w:p>
    <w:p>
      <w:pPr>
        <w:pStyle w:val="FirstParagraph"/>
        <w:spacing w:line="480" w:lineRule="auto"/>
      </w:pPr>
      <w:r>
        <w:t xml:space="preserve">Two literatures have to be joined before a conformance audit of model-based mission program execution can be defended, and this chapter surveys both. One is the space systems technical literature, the body of work that defines architecture, sets out how architectures get authored and verified, and reports on how flown systems behave against their pre-flight commitments. The other is the cliometric and econometric methodology literature, which furnishes the inferential apparatus through which conformance can be measured at portfolio scale rather than narrated case by case. Each runs mature inside its own boundary. Neither has been organized to answer the question this dissertation poses, whether the architecture that program offices approve on paper, increasingly through Model-Based Systems Engineering (MBSE) artifacts, statistically tracks the system that reaches orbit. The chapter ends by fixing the gap between the two literatures precisely and arguing that the empirical instrument proposed in the prospectus is the smallest credible bridge across it.</w:t>
      </w:r>
    </w:p>
    <w:p>
      <w:pPr>
        <w:pStyle w:val="BodyText"/>
        <w:spacing w:line="480" w:lineRule="auto"/>
        <w:ind w:firstLine="720"/>
      </w:pPr>
      <w:r>
        <w:t xml:space="preserve">Five steps carry the argument. Section 2.2 reviews the technical literature on architecture authorship, with attention to MBSE-based trade studies, distributed architectures, and architecture optimization. Section 2.3 reviews the verification, post-flight, and assurance literature that makes up present community practice for conformance, and shows that practice to be forensic rather than auditable. Section 2.4 reviews the program-execution literature, the GAO Major Project Assessment series and the systems engineering handbook tradition among it, which frames the executive accountability problem. Section 2.5 turns to the cliometric and econometric methodology literature, parametric cost modeling and hazard analysis and the technology readiness assessment tradition among it, and explains why these methods are the right inferential bridge. Section 2.6 synthesizes the two literatures and fixes the gap. Section 2.7 closes with the implications for the instrument that Chapters 3 and 4 construct.</w:t>
      </w:r>
    </w:p>
    <w:bookmarkEnd w:id="67"/>
    <w:bookmarkStart w:id="68" w:name="X0d60ba7220a2bd90279eccf527e71f4398e1fe9"/>
    <w:p>
      <w:pPr>
        <w:pStyle w:val="Heading2"/>
        <w:spacing w:line="480" w:lineRule="auto"/>
      </w:pPr>
      <w:r>
        <w:t xml:space="preserve">2.2 The Technical Literature on Architecture Authorship</w:t>
      </w:r>
    </w:p>
    <w:p>
      <w:pPr>
        <w:pStyle w:val="FirstParagraph"/>
        <w:spacing w:line="480" w:lineRule="auto"/>
      </w:pPr>
      <w:r>
        <w:t xml:space="preserve">What separates the MBSE generation of space systems engineering from its document-centric predecessor is one conceptual move: the premise that an architecture is an executable, falsifiable artifact rather than a descriptive narrative. Kirshner and Pearce, writing on optical sensor constellation architectures for space domain awareness, show that premise in its contemporary form</w:t>
      </w:r>
      <w:r>
        <w:t xml:space="preserve"> </w:t>
      </w:r>
      <w:hyperlink w:anchor="ref-1">
        <w:r>
          <w:rPr>
            <w:rStyle w:val="Hyperlink"/>
          </w:rPr>
          <w:t xml:space="preserve">[1]</w:t>
        </w:r>
      </w:hyperlink>
      <w:r>
        <w:t xml:space="preserve">. Their model-based trade study builds an architectural baseline by exercising a parameterized model across a structured option space and selecting a configuration whose outputs meet a defined set of performance objectives. What comes out is no brochure of intent but a configuration whose attributes carry model-traceable provenance. A conformance audit can interrogate exactly this kind of architecture, because every architectural commitment arrives with a derivation that can be re-examined against flown evidence.</w:t>
      </w:r>
    </w:p>
    <w:p>
      <w:pPr>
        <w:pStyle w:val="BodyText"/>
        <w:spacing w:line="480" w:lineRule="auto"/>
        <w:ind w:firstLine="720"/>
      </w:pPr>
      <w:r>
        <w:t xml:space="preserve">The same logic runs through the cislunar SSA literature. Badura and colleagues optimize distributed space-based networks for cislunar SSA under explicit operational cost constraints, producing an architecture whose cost and performance envelope the model fixes at design time</w:t>
      </w:r>
      <w:r>
        <w:t xml:space="preserve"> </w:t>
      </w:r>
      <w:hyperlink w:anchor="ref-2">
        <w:r>
          <w:rPr>
            <w:rStyle w:val="Hyperlink"/>
          </w:rPr>
          <w:t xml:space="preserve">[2]</w:t>
        </w:r>
      </w:hyperlink>
      <w:r>
        <w:t xml:space="preserve">. Should the flown network operate outside that envelope, the trade study has not actually disciplined execution; should it operate inside, the model has done real work, and the difference between the two cases is measurable rather than a matter of opinion. Felten, Colombi, Cobb, and Meyer carry the same methodology into GEO SSA architecture through parallel computation, and in doing so they show two things at once: the option space for a non-trivial sensor architecture now runs large enough to demand computational exploration, and the architectural choice hinges explicitly on assumptions about sensor and orbital parameters</w:t>
      </w:r>
      <w:r>
        <w:t xml:space="preserve"> </w:t>
      </w:r>
      <w:hyperlink w:anchor="ref-7">
        <w:r>
          <w:rPr>
            <w:rStyle w:val="Hyperlink"/>
          </w:rPr>
          <w:t xml:space="preserve">[7]</w:t>
        </w:r>
      </w:hyperlink>
      <w:r>
        <w:t xml:space="preserve">. These three contributions</w:t>
      </w:r>
      <w:r>
        <w:t xml:space="preserve"> </w:t>
      </w:r>
      <w:hyperlink w:anchor="ref-1">
        <w:r>
          <w:rPr>
            <w:rStyle w:val="Hyperlink"/>
          </w:rPr>
          <w:t xml:space="preserve">[1]</w:t>
        </w:r>
      </w:hyperlink>
      <w:r>
        <w:t xml:space="preserve">[2][7] anchor what the dissertation treats as the contemporary archetype of an MBSE-authored architecture, a configuration with model-derived attributes that are, in principle, auditable.</w:t>
      </w:r>
    </w:p>
    <w:p>
      <w:pPr>
        <w:pStyle w:val="BodyText"/>
        <w:spacing w:line="480" w:lineRule="auto"/>
        <w:ind w:firstLine="720"/>
      </w:pPr>
      <w:r>
        <w:t xml:space="preserve">Sensor constellations do not exhaust the authorship literature. Kebschull and colleagues describe the architecture of a distributed space traffic coordination system as a federated set of services with explicit interface contracts, an artifact whose contractual surfaces are themselves architectural commitments</w:t>
      </w:r>
      <w:r>
        <w:t xml:space="preserve"> </w:t>
      </w:r>
      <w:hyperlink w:anchor="ref-17">
        <w:r>
          <w:rPr>
            <w:rStyle w:val="Hyperlink"/>
          </w:rPr>
          <w:t xml:space="preserve">[17]</w:t>
        </w:r>
      </w:hyperlink>
      <w:r>
        <w:t xml:space="preserve">. Latif and colleagues sketch an AI-enabled space battle management system on a blockchain substrate that exposes architectural commitments at the data-integrity layer and at the process-orchestration layer</w:t>
      </w:r>
      <w:r>
        <w:t xml:space="preserve"> </w:t>
      </w:r>
      <w:hyperlink w:anchor="ref-19">
        <w:r>
          <w:rPr>
            <w:rStyle w:val="Hyperlink"/>
          </w:rPr>
          <w:t xml:space="preserve">[19]</w:t>
        </w:r>
      </w:hyperlink>
      <w:r>
        <w:t xml:space="preserve">. Tippets and colleagues describe a Joint Commercial Operations common communications channel whose architectural commitment is precisely the channel specification and the protocols layered on it</w:t>
      </w:r>
      <w:r>
        <w:t xml:space="preserve"> </w:t>
      </w:r>
      <w:hyperlink w:anchor="ref-20">
        <w:r>
          <w:rPr>
            <w:rStyle w:val="Hyperlink"/>
          </w:rPr>
          <w:t xml:space="preserve">[20]</w:t>
        </w:r>
      </w:hyperlink>
      <w:r>
        <w:t xml:space="preserve">. Across these cases the architectural artifact is a definition the as-built system can be tested against, and the population of such artifacts keeps growing.</w:t>
      </w:r>
    </w:p>
    <w:p>
      <w:pPr>
        <w:pStyle w:val="BodyText"/>
        <w:spacing w:line="480" w:lineRule="auto"/>
        <w:ind w:firstLine="720"/>
      </w:pPr>
      <w:r>
        <w:t xml:space="preserve">Architectures aimed at autonomy and inspection hold the same posture. Grosvenor and colleagues describe a hierarchical neuro-symbolic architecture for autonomous maneuvering and anomaly detection whose commitments include explicit reasoning and learning layers</w:t>
      </w:r>
      <w:r>
        <w:t xml:space="preserve"> </w:t>
      </w:r>
      <w:hyperlink w:anchor="ref-21">
        <w:r>
          <w:rPr>
            <w:rStyle w:val="Hyperlink"/>
          </w:rPr>
          <w:t xml:space="preserve">[21]</w:t>
        </w:r>
      </w:hyperlink>
      <w:r>
        <w:t xml:space="preserve">. Fletcher and colleagues describe a feature-based satellite detection architecture whose convolutional neural network commitments read as model parameters and performance objectives</w:t>
      </w:r>
      <w:r>
        <w:t xml:space="preserve"> </w:t>
      </w:r>
      <w:hyperlink w:anchor="ref-22">
        <w:r>
          <w:rPr>
            <w:rStyle w:val="Hyperlink"/>
          </w:rPr>
          <w:t xml:space="preserve">[22]</w:t>
        </w:r>
      </w:hyperlink>
      <w:r>
        <w:t xml:space="preserve">. Bechini and colleagues commit a CNN-aided line segment detector for spacecraft relative pose estimation to a particular monocular architecture</w:t>
      </w:r>
      <w:r>
        <w:t xml:space="preserve"> </w:t>
      </w:r>
      <w:hyperlink w:anchor="ref-28">
        <w:r>
          <w:rPr>
            <w:rStyle w:val="Hyperlink"/>
          </w:rPr>
          <w:t xml:space="preserve">[28]</w:t>
        </w:r>
      </w:hyperlink>
      <w:r>
        <w:t xml:space="preserve">, and Pauly and colleagues survey the broader monocular pose estimation field, mapping how its architectural choices have evolved and identifying which assumptions now run load-bearing</w:t>
      </w:r>
      <w:r>
        <w:t xml:space="preserve"> </w:t>
      </w:r>
      <w:hyperlink w:anchor="ref-29">
        <w:r>
          <w:rPr>
            <w:rStyle w:val="Hyperlink"/>
          </w:rPr>
          <w:t xml:space="preserve">[29]</w:t>
        </w:r>
      </w:hyperlink>
      <w:r>
        <w:t xml:space="preserve">. Vorontsov and colleagues describe an adaptive beam director for a tiled fiber array whose architectural commitments cross optical and control disciplines</w:t>
      </w:r>
      <w:r>
        <w:t xml:space="preserve"> </w:t>
      </w:r>
      <w:hyperlink w:anchor="ref-18">
        <w:r>
          <w:rPr>
            <w:rStyle w:val="Hyperlink"/>
          </w:rPr>
          <w:t xml:space="preserve">[18]</w:t>
        </w:r>
      </w:hyperlink>
      <w:r>
        <w:t xml:space="preserve">. Each paper takes the same stance: state the architecture, name its commitments, and treat departures from them as engineering events.</w:t>
      </w:r>
    </w:p>
    <w:p>
      <w:pPr>
        <w:pStyle w:val="BodyText"/>
        <w:spacing w:line="480" w:lineRule="auto"/>
        <w:ind w:firstLine="720"/>
      </w:pPr>
      <w:r>
        <w:t xml:space="preserve">A separate stream documents architectures of distributed mission management. Jabbarpour and colleagues survey agent-based approaches for distributed space systems and mission management, classifying the architectural choices that govern coordination, negotiation, and execution</w:t>
      </w:r>
      <w:r>
        <w:t xml:space="preserve"> </w:t>
      </w:r>
      <w:hyperlink w:anchor="ref-32">
        <w:r>
          <w:rPr>
            <w:rStyle w:val="Hyperlink"/>
          </w:rPr>
          <w:t xml:space="preserve">[32]</w:t>
        </w:r>
      </w:hyperlink>
      <w:r>
        <w:t xml:space="preserve">. Their synthesis lands a load-bearing observation. Distributed architectures multiply the number of commitments, because every coordinating agent contributes a contract that has to be honored at runtime. That observation carries straight into the conformance audit. As architectures grow more distributed, the cardinality of commitments grows, the per-commitment audit grows more expensive, and the consequences of unmeasured drift grow larger.</w:t>
      </w:r>
    </w:p>
    <w:p>
      <w:pPr>
        <w:pStyle w:val="BodyText"/>
        <w:spacing w:line="480" w:lineRule="auto"/>
        <w:ind w:firstLine="720"/>
      </w:pPr>
      <w:r>
        <w:t xml:space="preserve">The CubeSat and small-satellite literature arrives at the same junction from another direction. Batista, Weller, Martins, and Mattiello-Francisco analyze nanosatellite subsystem robustness and identify how seemingly minor interoperability assumptions, often stated only in commit summaries or interface tables, propagate into subsystem failure modes</w:t>
      </w:r>
      <w:r>
        <w:t xml:space="preserve"> </w:t>
      </w:r>
      <w:hyperlink w:anchor="ref-4">
        <w:r>
          <w:rPr>
            <w:rStyle w:val="Hyperlink"/>
          </w:rPr>
          <w:t xml:space="preserve">[4]</w:t>
        </w:r>
      </w:hyperlink>
      <w:r>
        <w:t xml:space="preserve">. An architectural commitment in a nanosatellite binds as tightly as one in a flagship mission; it is simply displayed with less ceremony. Their robustness analysis confirms that conformance is a property of architectural commitments at every mission scale.</w:t>
      </w:r>
    </w:p>
    <w:p>
      <w:pPr>
        <w:pStyle w:val="BodyText"/>
        <w:spacing w:line="480" w:lineRule="auto"/>
        <w:ind w:firstLine="720"/>
      </w:pPr>
      <w:r>
        <w:t xml:space="preserve">Beyond the unmanned domain, Olthoff develops a mixed-fidelity simulation methodology for extravehicular activities that raises simulation to both architectural artifact and verification environment, and shows that operational concepts can themselves carry conformance commitments</w:t>
      </w:r>
      <w:r>
        <w:t xml:space="preserve"> </w:t>
      </w:r>
      <w:hyperlink w:anchor="ref-10">
        <w:r>
          <w:rPr>
            <w:rStyle w:val="Hyperlink"/>
          </w:rPr>
          <w:t xml:space="preserve">[10]</w:t>
        </w:r>
      </w:hyperlink>
      <w:r>
        <w:t xml:space="preserve">. This matters because much of MBSE’s promise rests on the claim that operational concepts, and not only structural interfaces, will be authored in a falsifiable form. Olthoff makes the claim concrete in the human spaceflight setting.</w:t>
      </w:r>
    </w:p>
    <w:p>
      <w:pPr>
        <w:pStyle w:val="BodyText"/>
        <w:spacing w:line="480" w:lineRule="auto"/>
        <w:ind w:firstLine="720"/>
      </w:pPr>
      <w:r>
        <w:t xml:space="preserve">Two larger system-of-systems references close the technical authorship review. Muirhead and colleagues describe the Mars Sample Return campaign concept at architectural maturity, exposing the campaign-scale architectural commitments that downstream verification will have to honor</w:t>
      </w:r>
      <w:r>
        <w:t xml:space="preserve"> </w:t>
      </w:r>
      <w:hyperlink w:anchor="ref-31">
        <w:r>
          <w:rPr>
            <w:rStyle w:val="Hyperlink"/>
          </w:rPr>
          <w:t xml:space="preserve">[31]</w:t>
        </w:r>
      </w:hyperlink>
      <w:r>
        <w:t xml:space="preserve">. Tong and colleagues analyze orbit determination accuracy for high-Earth-orbit gravitational wave detectors using multi-GNSS sidelobe signals, and in doing so they show that architectural commitments at the constellation-of-instruments scale now read quantitatively enough to be audited against flight</w:t>
      </w:r>
      <w:r>
        <w:t xml:space="preserve"> </w:t>
      </w:r>
      <w:hyperlink w:anchor="ref-25">
        <w:r>
          <w:rPr>
            <w:rStyle w:val="Hyperlink"/>
          </w:rPr>
          <w:t xml:space="preserve">[25]</w:t>
        </w:r>
      </w:hyperlink>
      <w:r>
        <w:t xml:space="preserve">. These two papers, together with</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7">
        <w:r>
          <w:rPr>
            <w:rStyle w:val="Hyperlink"/>
          </w:rPr>
          <w:t xml:space="preserve">[7]</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8">
        <w:r>
          <w:rPr>
            <w:rStyle w:val="Hyperlink"/>
          </w:rPr>
          <w:t xml:space="preserve">[28]</w:t>
        </w:r>
      </w:hyperlink>
      <w:r>
        <w:t xml:space="preserve">,</w:t>
      </w:r>
      <w:r>
        <w:t xml:space="preserve"> </w:t>
      </w:r>
      <w:hyperlink w:anchor="ref-29">
        <w:r>
          <w:rPr>
            <w:rStyle w:val="Hyperlink"/>
          </w:rPr>
          <w:t xml:space="preserve">[29]</w:t>
        </w:r>
      </w:hyperlink>
      <w:r>
        <w:t xml:space="preserve">, and</w:t>
      </w:r>
      <w:r>
        <w:t xml:space="preserve"> </w:t>
      </w:r>
      <w:hyperlink w:anchor="ref-32">
        <w:r>
          <w:rPr>
            <w:rStyle w:val="Hyperlink"/>
          </w:rPr>
          <w:t xml:space="preserve">[32]</w:t>
        </w:r>
      </w:hyperlink>
      <w:r>
        <w:t xml:space="preserve">, make up the dissertation’s working population of architecture authorship cases.</w:t>
      </w:r>
    </w:p>
    <w:p>
      <w:pPr>
        <w:pStyle w:val="BodyText"/>
        <w:spacing w:line="480" w:lineRule="auto"/>
        <w:ind w:firstLine="720"/>
      </w:pPr>
      <w:r>
        <w:t xml:space="preserve">What this literature shares is a treatment of architecture as an asserted state of the system. What it withholds is a routinized procedure for testing the assertion. That procedure is the subject of the next section, which surveys the literature on verification, post-flight reconstruction, and assurance.</w:t>
      </w:r>
    </w:p>
    <w:bookmarkEnd w:id="68"/>
    <w:bookmarkStart w:id="69" w:name="Xfbeb2193ca5cf6f85eb46576e7678362cbc80b5"/>
    <w:p>
      <w:pPr>
        <w:pStyle w:val="Heading2"/>
        <w:spacing w:line="480" w:lineRule="auto"/>
      </w:pPr>
      <w:r>
        <w:t xml:space="preserve">2.3 Verification, Post-Flight Reconstruction, and Assurance</w:t>
      </w:r>
    </w:p>
    <w:p>
      <w:pPr>
        <w:pStyle w:val="FirstParagraph"/>
        <w:spacing w:line="480" w:lineRule="auto"/>
      </w:pPr>
      <w:r>
        <w:t xml:space="preserve">In the contemporary space community, verification is a developer-facing activity, defined by the program’s verification flowdown and run against developer-controlled artifacts. The literature documents that practice carefully, and as a population it amounts to no audit instrument in the sense program executives need.</w:t>
      </w:r>
    </w:p>
    <w:p>
      <w:pPr>
        <w:pStyle w:val="BodyText"/>
        <w:spacing w:line="480" w:lineRule="auto"/>
        <w:ind w:firstLine="720"/>
      </w:pPr>
      <w:r>
        <w:t xml:space="preserve">The most surgical contemporary example is García-Pérez, Ravanbakhsh, Sorribes-Palmer, and Alonso, who report a structural shock verification record for the EPD payload units aboard Solar Orbiter</w:t>
      </w:r>
      <w:r>
        <w:t xml:space="preserve"> </w:t>
      </w:r>
      <w:hyperlink w:anchor="ref-3">
        <w:r>
          <w:rPr>
            <w:rStyle w:val="Hyperlink"/>
          </w:rPr>
          <w:t xml:space="preserve">[3]</w:t>
        </w:r>
      </w:hyperlink>
      <w:r>
        <w:t xml:space="preserve">. Rigorous, numerically grounded, traceable to architectural commitments, and internal to the project, and reported that way. The community standard, that verification is the developer’s responsibility run in the developer’s own analytical environment, is honored without comment.</w:t>
      </w:r>
    </w:p>
    <w:p>
      <w:pPr>
        <w:pStyle w:val="BodyText"/>
        <w:spacing w:line="480" w:lineRule="auto"/>
        <w:ind w:firstLine="720"/>
      </w:pPr>
      <w:r>
        <w:t xml:space="preserve">The Schiaparelli post-flight mission analysis by Bonetti and colleagues sits at the inverse pole: a deep retrospective reconstruction of flown behavior against pre-flight expectations, undertaken after an anomalous event</w:t>
      </w:r>
      <w:r>
        <w:t xml:space="preserve"> </w:t>
      </w:r>
      <w:hyperlink w:anchor="ref-5">
        <w:r>
          <w:rPr>
            <w:rStyle w:val="Hyperlink"/>
          </w:rPr>
          <w:t xml:space="preserve">[5]</w:t>
        </w:r>
      </w:hyperlink>
      <w:r>
        <w:t xml:space="preserve">. It models how much can be learned about conformance when the community decides to spend the resources. It is also bespoke. Loss of the lander triggered it; it stands in for no standing instrument the agency runs across the portfolio after every mission, anomalous or nominal.</w:t>
      </w:r>
    </w:p>
    <w:p>
      <w:pPr>
        <w:pStyle w:val="BodyText"/>
        <w:spacing w:line="480" w:lineRule="auto"/>
        <w:ind w:firstLine="720"/>
      </w:pPr>
      <w:r>
        <w:t xml:space="preserve">Radiation hardness assurance is the nearest the community comes to a systematized cross-portfolio conformance practice. The systematic review by Dijks, de Jong, Menicucci, and Akay of engineering and testing approaches for radiation hardness assurance in commercial space avionics runs methodologically careful, built around an explicit search and screening protocol, and pointed at synthesizing engineering practice across vendors and missions</w:t>
      </w:r>
      <w:r>
        <w:t xml:space="preserve"> </w:t>
      </w:r>
      <w:hyperlink w:anchor="ref-6">
        <w:r>
          <w:rPr>
            <w:rStyle w:val="Hyperlink"/>
          </w:rPr>
          <w:t xml:space="preserve">[6]</w:t>
        </w:r>
      </w:hyperlink>
      <w:r>
        <w:t xml:space="preserve">. As a literature-review methodology it holds the right shape for portfolio-level conformance work. As a substantive object it stays an engineering-internal synthesis, addressed to designers and test engineers rather than to executive program oversight, and it covers a narrow technical band rather than the architecture whole.</w:t>
      </w:r>
    </w:p>
    <w:p>
      <w:pPr>
        <w:pStyle w:val="BodyText"/>
        <w:spacing w:line="480" w:lineRule="auto"/>
        <w:ind w:firstLine="720"/>
      </w:pPr>
      <w:r>
        <w:t xml:space="preserve">These three contributions</w:t>
      </w:r>
      <w:r>
        <w:t xml:space="preserve"> </w:t>
      </w:r>
      <w:hyperlink w:anchor="ref-3">
        <w:r>
          <w:rPr>
            <w:rStyle w:val="Hyperlink"/>
          </w:rPr>
          <w:t xml:space="preserve">[3]</w:t>
        </w:r>
      </w:hyperlink>
      <w:r>
        <w:t xml:space="preserve">[5][6] characterize the present state of the verification and assurance literature. They show a community capable of high-resolution conformance analysis when the analytical scope is narrow, the trigger acute, or the synthesis engineering-facing. None of them runs as a third-party-executable, executive-facing audit of architecture as an integrated artifact, and none pairs with an inferential apparatus that would turn per-mission conformance findings into portfolio-level statements about whether authorship style forecasts conformance outcomes.</w:t>
      </w:r>
    </w:p>
    <w:p>
      <w:pPr>
        <w:pStyle w:val="BodyText"/>
        <w:spacing w:line="480" w:lineRule="auto"/>
        <w:ind w:firstLine="720"/>
      </w:pPr>
      <w:r>
        <w:t xml:space="preserve">The legal and liability literature presses the gap from yet another angle. Graham, Thangavel, and Martin, writing on legal liability for artificial intelligence in outer space, observe that the absence of a routinized conformance record for AI-bearing space systems is itself a liability exposure, because the chain of responsibility cannot be traced when an architectural commitment cannot be tested against flown behavior</w:t>
      </w:r>
      <w:r>
        <w:t xml:space="preserve"> </w:t>
      </w:r>
      <w:hyperlink w:anchor="ref-27">
        <w:r>
          <w:rPr>
            <w:rStyle w:val="Hyperlink"/>
          </w:rPr>
          <w:t xml:space="preserve">[27]</w:t>
        </w:r>
      </w:hyperlink>
      <w:r>
        <w:t xml:space="preserve">. So the literature already carries an explicit acknowledgement that verification practice as presently constituted fails to produce the artifacts executive accountability now demands.</w:t>
      </w:r>
    </w:p>
    <w:p>
      <w:pPr>
        <w:pStyle w:val="BodyText"/>
        <w:spacing w:line="480" w:lineRule="auto"/>
        <w:ind w:firstLine="720"/>
      </w:pPr>
      <w:r>
        <w:t xml:space="preserve">Two further contributions deserve flagging for the way they expose the boundary of present practice. Shorten and colleagues show that optimal proposal particle filters can detect anomalies and maneuvers from two line element data, that is, from publicly available telemetry, opening the prospect of third-party conformance observation at scale</w:t>
      </w:r>
      <w:r>
        <w:t xml:space="preserve"> </w:t>
      </w:r>
      <w:hyperlink w:anchor="ref-26">
        <w:r>
          <w:rPr>
            <w:rStyle w:val="Hyperlink"/>
          </w:rPr>
          <w:t xml:space="preserve">[26]</w:t>
        </w:r>
      </w:hyperlink>
      <w:r>
        <w:t xml:space="preserve">. Richmond’s documentation of net-centric ground-based electro-optical deep space surveillance shows the observation infrastructure to support a third-party conformance audit already existing and documented at the architectural level</w:t>
      </w:r>
      <w:r>
        <w:t xml:space="preserve"> </w:t>
      </w:r>
      <w:hyperlink w:anchor="ref-24">
        <w:r>
          <w:rPr>
            <w:rStyle w:val="Hyperlink"/>
          </w:rPr>
          <w:t xml:space="preserve">[24]</w:t>
        </w:r>
      </w:hyperlink>
      <w:r>
        <w:t xml:space="preserve">. George and Ash, surveying future on-orbit spacecraft technologies and their implications for space situational awareness, treat the SSA infrastructure as a conformance observation system without ever using the word</w:t>
      </w:r>
      <w:r>
        <w:t xml:space="preserve"> </w:t>
      </w:r>
      <w:hyperlink w:anchor="ref-23">
        <w:r>
          <w:rPr>
            <w:rStyle w:val="Hyperlink"/>
          </w:rPr>
          <w:t xml:space="preserve">[23]</w:t>
        </w:r>
      </w:hyperlink>
      <w:r>
        <w:t xml:space="preserve">. These three contributions</w:t>
      </w:r>
      <w:r>
        <w:t xml:space="preserve"> </w:t>
      </w:r>
      <w:hyperlink w:anchor="ref-23">
        <w:r>
          <w:rPr>
            <w:rStyle w:val="Hyperlink"/>
          </w:rPr>
          <w:t xml:space="preserve">[23]</w:t>
        </w:r>
      </w:hyperlink>
      <w:r>
        <w:t xml:space="preserve">[24][26], together with</w:t>
      </w:r>
      <w:r>
        <w:t xml:space="preserve"> </w:t>
      </w:r>
      <w:hyperlink w:anchor="ref-3">
        <w:r>
          <w:rPr>
            <w:rStyle w:val="Hyperlink"/>
          </w:rPr>
          <w:t xml:space="preserve">[3]</w:t>
        </w:r>
      </w:hyperlink>
      <w:r>
        <w:t xml:space="preserve">[5][6], establish that the technical capacity for a routinized conformance audit is materially present in the community, even where the audit instrument itself is not.</w:t>
      </w:r>
    </w:p>
    <w:p>
      <w:pPr>
        <w:pStyle w:val="BodyText"/>
        <w:spacing w:line="480" w:lineRule="auto"/>
        <w:ind w:firstLine="720"/>
      </w:pPr>
      <w:r>
        <w:t xml:space="preserve">A final note runs methodological. Kubota’s recent EIMO/EINO contribution raises the principle that infection prevention and oral health in spaceflight should be authored as explicit, auditable deliverables rather than narrative practice</w:t>
      </w:r>
      <w:r>
        <w:t xml:space="preserve"> </w:t>
      </w:r>
      <w:hyperlink w:anchor="ref-30">
        <w:r>
          <w:rPr>
            <w:rStyle w:val="Hyperlink"/>
          </w:rPr>
          <w:t xml:space="preserve">[30]</w:t>
        </w:r>
      </w:hyperlink>
      <w:r>
        <w:t xml:space="preserve">. Different technical domain, same methodological move the dissertation makes for architecture: convert a narrative practice into an explicit, auditable deliverable. The technical literature already holds a few examples of the move. At the architecture level it has not yet been made.</w:t>
      </w:r>
    </w:p>
    <w:bookmarkEnd w:id="69"/>
    <w:bookmarkStart w:id="70" w:name="X62ae210816274e6c8445d2487a40f4231b0dbd2"/>
    <w:p>
      <w:pPr>
        <w:pStyle w:val="Heading2"/>
        <w:spacing w:line="480" w:lineRule="auto"/>
      </w:pPr>
      <w:r>
        <w:t xml:space="preserve">2.4 The Program Execution Literature: Handbooks, Assessments, and the Accountability Question</w:t>
      </w:r>
    </w:p>
    <w:p>
      <w:pPr>
        <w:pStyle w:val="FirstParagraph"/>
        <w:spacing w:line="480" w:lineRule="auto"/>
      </w:pPr>
      <w:r>
        <w:t xml:space="preserve">Alongside the technical literature, a smaller body of work treats program execution as an oversight problem. The NASA Systems Engineering Handbook, NASA/SP-2016-6105 Rev2, is the canonical agency document defining how systems engineering activities, verification and validation among them, are to be structured across the project life cycle</w:t>
      </w:r>
      <w:r>
        <w:t xml:space="preserve"> </w:t>
      </w:r>
      <w:hyperlink w:anchor="ref-12">
        <w:r>
          <w:rPr>
            <w:rStyle w:val="Hyperlink"/>
          </w:rPr>
          <w:t xml:space="preserve">[12]</w:t>
        </w:r>
      </w:hyperlink>
      <w:r>
        <w:t xml:space="preserve">. It is normative rather than empirical. It tells program offices how architectures and their verification flowdowns ought to be authored; it measures nothing about how well executed architectures conform to authored ones.</w:t>
      </w:r>
    </w:p>
    <w:p>
      <w:pPr>
        <w:pStyle w:val="BodyText"/>
        <w:spacing w:line="480" w:lineRule="auto"/>
        <w:ind w:firstLine="720"/>
      </w:pPr>
      <w:r>
        <w:t xml:space="preserve">The Government Accountability Office’s Major Project Assessment series is the empirical counterweight. GAO-11-364SP</w:t>
      </w:r>
      <w:r>
        <w:t xml:space="preserve"> </w:t>
      </w:r>
      <w:hyperlink w:anchor="ref-13">
        <w:r>
          <w:rPr>
            <w:rStyle w:val="Hyperlink"/>
          </w:rPr>
          <w:t xml:space="preserve">[13]</w:t>
        </w:r>
      </w:hyperlink>
      <w:r>
        <w:t xml:space="preserve"> </w:t>
      </w:r>
      <w:r>
        <w:t xml:space="preserve">and GAO-20-405</w:t>
      </w:r>
      <w:r>
        <w:t xml:space="preserve"> </w:t>
      </w:r>
      <w:hyperlink w:anchor="ref-11">
        <w:r>
          <w:rPr>
            <w:rStyle w:val="Hyperlink"/>
          </w:rPr>
          <w:t xml:space="preserve">[11]</w:t>
        </w:r>
      </w:hyperlink>
      <w:r>
        <w:t xml:space="preserve">, together with the more recent series of GAO-22-105212, GAO-23-106021, GAO-24-106767, and GAO-25-107591</w:t>
      </w:r>
      <w:r>
        <w:t xml:space="preserve"> </w:t>
      </w:r>
      <w:hyperlink w:anchor="ref-15">
        <w:r>
          <w:rPr>
            <w:rStyle w:val="Hyperlink"/>
          </w:rPr>
          <w:t xml:space="preserve">[15]</w:t>
        </w:r>
      </w:hyperlink>
      <w:r>
        <w:t xml:space="preserve">, document cost growth and schedule slip across the NASA major project portfolio. The series reports the architecture-on-paper attributes programs presented at confirmation, interface counts and heritage percentages and the lowest technology readiness level among critical technologies, and it reports the cost growth and schedule slip realized at launch. Companion papers 1 and 2 of this dissertation exploit that fact to test, using ordinary least squares for cost growth and Cox proportional-hazards regression for time to launch, whether the architecture-on-paper attributes forecast the outcomes. In both companion papers the substantive finding is that interface count is the load-bearing predictor and that critical-technology TRL fails the controls.</w:t>
      </w:r>
    </w:p>
    <w:p>
      <w:pPr>
        <w:pStyle w:val="BodyText"/>
        <w:spacing w:line="480" w:lineRule="auto"/>
        <w:ind w:firstLine="720"/>
      </w:pPr>
      <w:r>
        <w:t xml:space="preserve">This empirical exploitation carries methodological precedent. Mankins’s retrospective on technology readiness assessment supplies the conceptual footing for treating TRL as an architectural attribute whose predictive content can be tested, and the retrospective itself shows a community that already suspects TRL alone is no binding constraint on program outcomes</w:t>
      </w:r>
      <w:r>
        <w:t xml:space="preserve"> </w:t>
      </w:r>
      <w:hyperlink w:anchor="ref-14">
        <w:r>
          <w:rPr>
            <w:rStyle w:val="Hyperlink"/>
          </w:rPr>
          <w:t xml:space="preserve">[14]</w:t>
        </w:r>
      </w:hyperlink>
      <w:r>
        <w:t xml:space="preserve">. Companion paper 1 confirms that suspicion within the dissertation’s sample. Mankins’s work is the bridge between the handbook tradition and the inferential methodology literature.</w:t>
      </w:r>
    </w:p>
    <w:p>
      <w:pPr>
        <w:pStyle w:val="BodyText"/>
        <w:spacing w:line="480" w:lineRule="auto"/>
        <w:ind w:firstLine="720"/>
      </w:pPr>
      <w:r>
        <w:t xml:space="preserve">So the program execution literature carries the right unit of analysis, paper-architecture attributes at confirmation paired with realized outcomes at launch. What it withholds is a routinized comparison of the architecture asserted at confirmation against the system that flew. The GAO series reports the existence of cost growth and schedule slip; it never adjudicates whether the architecture that ultimately operated in orbit matches, commitment by commitment, the architecture approved on paper. The handbook tradition asserts how the comparison should be done and never does it. Mankins’s retrospective shows one architectural attribute, TRL, carried in a measurable form for decades, and shows that attribute too coarse to discipline outcomes by itself.</w:t>
      </w:r>
    </w:p>
    <w:p>
      <w:pPr>
        <w:pStyle w:val="BodyText"/>
        <w:spacing w:line="480" w:lineRule="auto"/>
        <w:ind w:firstLine="720"/>
      </w:pPr>
      <w:r>
        <w:t xml:space="preserve">Finally, the policy literature sets the program execution problem inside a broader architectural transformation. The Space Economy Papers corpus entry on architectural socio-technological transformative change of space-use norms argues that architectures now act as instruments of strategic and economic transformation rather than purely engineering artifacts</w:t>
      </w:r>
      <w:r>
        <w:t xml:space="preserve"> </w:t>
      </w:r>
      <w:hyperlink w:anchor="ref-8">
        <w:r>
          <w:rPr>
            <w:rStyle w:val="Hyperlink"/>
          </w:rPr>
          <w:t xml:space="preserve">[8]</w:t>
        </w:r>
      </w:hyperlink>
      <w:r>
        <w:t xml:space="preserve">. The OCEA forecasting work treats architecture as a forecastable economic object whose execution shapes the trajectory of the space economy</w:t>
      </w:r>
      <w:r>
        <w:t xml:space="preserve"> </w:t>
      </w:r>
      <w:hyperlink w:anchor="ref-9">
        <w:r>
          <w:rPr>
            <w:rStyle w:val="Hyperlink"/>
          </w:rPr>
          <w:t xml:space="preserve">[9]</w:t>
        </w:r>
      </w:hyperlink>
      <w:r>
        <w:t xml:space="preserve">. These two contributions</w:t>
      </w:r>
      <w:r>
        <w:t xml:space="preserve"> </w:t>
      </w:r>
      <w:hyperlink w:anchor="ref-8">
        <w:r>
          <w:rPr>
            <w:rStyle w:val="Hyperlink"/>
          </w:rPr>
          <w:t xml:space="preserve">[8]</w:t>
        </w:r>
      </w:hyperlink>
      <w:r>
        <w:t xml:space="preserve">[9] establish that the stakes of architecture-as-paper-architecture conformance now reach past engineering accountability into strategic and economic accountability. A conformance audit instrument is therefore more than a methodological contribution. It is a piece of infrastructure the broader policy literature has implicitly demanded without specifying its construction.</w:t>
      </w:r>
    </w:p>
    <w:bookmarkEnd w:id="70"/>
    <w:bookmarkStart w:id="71" w:name="X07fe73e594277fc276c6392b9242153367417e1"/>
    <w:p>
      <w:pPr>
        <w:pStyle w:val="Heading2"/>
        <w:spacing w:line="480" w:lineRule="auto"/>
      </w:pPr>
      <w:r>
        <w:t xml:space="preserve">2.5 The Cliometric and Econometric Methodology Literature</w:t>
      </w:r>
    </w:p>
    <w:p>
      <w:pPr>
        <w:pStyle w:val="FirstParagraph"/>
        <w:spacing w:line="480" w:lineRule="auto"/>
      </w:pPr>
      <w:r>
        <w:t xml:space="preserve">The technical and program-execution literatures furnish the substantive material of the conformance audit and not its inferential apparatus. For that the dissertation draws on the cliometric and econometric methodology tradition, three strands of which run load-bearing.</w:t>
      </w:r>
    </w:p>
    <w:p>
      <w:pPr>
        <w:pStyle w:val="BodyText"/>
        <w:spacing w:line="480" w:lineRule="auto"/>
        <w:ind w:firstLine="720"/>
      </w:pPr>
      <w:r>
        <w:t xml:space="preserve">Parametric cost and schedule modeling is the first strand. Dorrington and Olsen build a parametric economic model of asteroid mining architectures that treats architecture as a vector of attributes whose economic implications closed-form models can compute rather than assumption narrate</w:t>
      </w:r>
      <w:r>
        <w:t xml:space="preserve"> </w:t>
      </w:r>
      <w:hyperlink w:anchor="ref-16">
        <w:r>
          <w:rPr>
            <w:rStyle w:val="Hyperlink"/>
          </w:rPr>
          <w:t xml:space="preserve">[16]</w:t>
        </w:r>
      </w:hyperlink>
      <w:r>
        <w:t xml:space="preserve">. That is the move the conformance audit requires: treat architecture as a measurable object whose attributes can enter regressions. Their parametric approach underwrites the regression-based identification strategy in companion paper 1, where cost growth at launch regresses on interface count, heritage percentage, and critical TRL. Their methodology is also the most direct extant precedent for treating architecture as cliometric data, historical numerical evidence whose patterns regression and survival analysis can study.</w:t>
      </w:r>
    </w:p>
    <w:p>
      <w:pPr>
        <w:pStyle w:val="BodyText"/>
        <w:spacing w:line="480" w:lineRule="auto"/>
        <w:ind w:firstLine="720"/>
      </w:pPr>
      <w:r>
        <w:t xml:space="preserve">Survival and hazard analysis applied to program execution is the second strand. The Cox proportional-hazards framework, which underwrites companion paper 2, is well established in econometric methodology and is the natural estimator when the outcome of interest is the time to an event amid right-censored observations. The Mankins TRL retrospective supplies the conceptual grounds for treating maturity attributes as time-varying covariates in such a framework</w:t>
      </w:r>
      <w:r>
        <w:t xml:space="preserve"> </w:t>
      </w:r>
      <w:hyperlink w:anchor="ref-14">
        <w:r>
          <w:rPr>
            <w:rStyle w:val="Hyperlink"/>
          </w:rPr>
          <w:t xml:space="preserve">[14]</w:t>
        </w:r>
      </w:hyperlink>
      <w:r>
        <w:t xml:space="preserve">, and the dissertation’s data are organized so that paper-architecture attributes logged at KDP-C can enter as covariates in a hazard model whose event is launch. The methodological gain is exactly the one the cliometric literature emphasizes: survival models pull information from the population of projects that have not yet experienced the event, information a regression on launched projects alone would throw away.</w:t>
      </w:r>
    </w:p>
    <w:p>
      <w:pPr>
        <w:pStyle w:val="BodyText"/>
        <w:spacing w:line="480" w:lineRule="auto"/>
        <w:ind w:firstLine="720"/>
      </w:pPr>
      <w:r>
        <w:t xml:space="preserve">The systematic-review and pre-registration methodology that disciplines the construction and validation of audit-grade instruments is the third strand. The Dijks et al. systematic review on radiation hardness assurance is the within-domain exemplar of turning a literature review into a methodologically defensible synthesis through explicit search and screening protocols, structured coding, and reproducible reporting</w:t>
      </w:r>
      <w:r>
        <w:t xml:space="preserve"> </w:t>
      </w:r>
      <w:hyperlink w:anchor="ref-6">
        <w:r>
          <w:rPr>
            <w:rStyle w:val="Hyperlink"/>
          </w:rPr>
          <w:t xml:space="preserve">[6]</w:t>
        </w:r>
      </w:hyperlink>
      <w:r>
        <w:t xml:space="preserve">. The conformance audit instrument this dissertation defends gets built with the same systematic-review discipline applied not to a technical band but to architectural commitments themselves.</w:t>
      </w:r>
    </w:p>
    <w:p>
      <w:pPr>
        <w:pStyle w:val="BodyText"/>
        <w:spacing w:line="480" w:lineRule="auto"/>
        <w:ind w:firstLine="720"/>
      </w:pPr>
      <w:r>
        <w:t xml:space="preserve">The cliometric methodology literature earns its place for a further reason. It sets the inferential standard the audit has to meet. A conformance audit that produces narrative findings cannot answer the H0 versus H1 question the prospectus poses. It can answer only by producing a bounded score whose distribution can be tested against the distribution of authorship style. Companion papers 1 and 2 show the GAO data amenable to this kind of inferential treatment when the dependent variable is cost growth or time to launch. They do not yet exercise the conformance score, because the score itself is the artifact this dissertation has to construct. The cliometric literature establishes the inferential apparatus as mature; what remains is to ensure the score on which it is exercised stays grounded in the architectural commitments the technical literature has begun to author in falsifiable form.</w:t>
      </w:r>
    </w:p>
    <w:p>
      <w:pPr>
        <w:pStyle w:val="BodyText"/>
        <w:spacing w:line="480" w:lineRule="auto"/>
        <w:ind w:firstLine="720"/>
      </w:pPr>
      <w:r>
        <w:t xml:space="preserve">A final methodological note concerns identification. The empirical strategy proposed in the prospectus is within-contractor identification across MBSE and non-MBSE missions, exploiting the fact that several primes have flown both. Companion paper 1’s finding that interface count at KDP-C forecasts cost growth while TRL does not</w:t>
      </w:r>
      <w:r>
        <w:t xml:space="preserve"> </w:t>
      </w:r>
      <w:hyperlink w:anchor="ref-11">
        <w:r>
          <w:rPr>
            <w:rStyle w:val="Hyperlink"/>
          </w:rPr>
          <w:t xml:space="preserve">[11]</w:t>
        </w:r>
      </w:hyperlink>
      <w:r>
        <w:t xml:space="preserve">[12][15] points to interface architecture as the most likely locus where MBSE adoption will show up in conformance differences, and the cliometric methodology stands well equipped to detect such effects when sample sizes run modest. Companion paper 2’s parallel finding that interface count depresses the launch hazard reinforces the identification strategy, since it shows the load-bearing covariate behaving consistently across two distinct estimators applied to one panel.</w:t>
      </w:r>
    </w:p>
    <w:bookmarkEnd w:id="71"/>
    <w:bookmarkStart w:id="72" w:name="synthesis-and-the-gap"/>
    <w:p>
      <w:pPr>
        <w:pStyle w:val="Heading2"/>
        <w:spacing w:line="480" w:lineRule="auto"/>
      </w:pPr>
      <w:r>
        <w:t xml:space="preserve">2.6 Synthesis and the Gap</w:t>
      </w:r>
    </w:p>
    <w:p>
      <w:pPr>
        <w:pStyle w:val="FirstParagraph"/>
        <w:spacing w:line="480" w:lineRule="auto"/>
      </w:pPr>
      <w:r>
        <w:t xml:space="preserve">The two literatures reviewed above run mature inside their own boundaries and unjoined at the boundary this dissertation has to occupy. The technical literature has produced an emerging archetype of architecture authorship in which architectural commitments read in falsifiable form</w:t>
      </w:r>
      <w:r>
        <w:t xml:space="preserve"> </w:t>
      </w:r>
      <w:hyperlink w:anchor="ref-1">
        <w:r>
          <w:rPr>
            <w:rStyle w:val="Hyperlink"/>
          </w:rPr>
          <w:t xml:space="preserve">[1]</w:t>
        </w:r>
      </w:hyperlink>
      <w:r>
        <w:t xml:space="preserve">[2][7][17][18][19][20][21][22][28][29][32], a tradition of post-flight and verification analysis that shows the community’s capacity for conformance work when it chooses to spend the resources</w:t>
      </w:r>
      <w:r>
        <w:t xml:space="preserve"> </w:t>
      </w:r>
      <w:hyperlink w:anchor="ref-3">
        <w:r>
          <w:rPr>
            <w:rStyle w:val="Hyperlink"/>
          </w:rPr>
          <w:t xml:space="preserve">[3]</w:t>
        </w:r>
      </w:hyperlink>
      <w:r>
        <w:t xml:space="preserve">[5][6][30], and an observational infrastructure that could in principle support third-party conformance observation at scale</w:t>
      </w:r>
      <w:r>
        <w:t xml:space="preserve"> </w:t>
      </w:r>
      <w:hyperlink w:anchor="ref-23">
        <w:r>
          <w:rPr>
            <w:rStyle w:val="Hyperlink"/>
          </w:rPr>
          <w:t xml:space="preserve">[23]</w:t>
        </w:r>
      </w:hyperlink>
      <w:r>
        <w:t xml:space="preserve">[24][26]. It has also produced subsystem and operational-concept references that widen the audit candidate set beyond the SDA domain</w:t>
      </w:r>
      <w:r>
        <w:t xml:space="preserve"> </w:t>
      </w:r>
      <w:hyperlink w:anchor="ref-4">
        <w:r>
          <w:rPr>
            <w:rStyle w:val="Hyperlink"/>
          </w:rPr>
          <w:t xml:space="preserve">[4]</w:t>
        </w:r>
      </w:hyperlink>
      <w:r>
        <w:t xml:space="preserve">[10][31][25].</w:t>
      </w:r>
    </w:p>
    <w:p>
      <w:pPr>
        <w:pStyle w:val="BodyText"/>
        <w:spacing w:line="480" w:lineRule="auto"/>
        <w:ind w:firstLine="720"/>
      </w:pPr>
      <w:r>
        <w:t xml:space="preserve">The program execution literature has produced the right data substrate, in the GAO Major Project Assessment series</w:t>
      </w:r>
      <w:r>
        <w:t xml:space="preserve"> </w:t>
      </w:r>
      <w:hyperlink w:anchor="ref-11">
        <w:r>
          <w:rPr>
            <w:rStyle w:val="Hyperlink"/>
          </w:rPr>
          <w:t xml:space="preserve">[11]</w:t>
        </w:r>
      </w:hyperlink>
      <w:r>
        <w:t xml:space="preserve">[13][15], the right normative scaffolding, in the NASA Systems Engineering Handbook</w:t>
      </w:r>
      <w:r>
        <w:t xml:space="preserve"> </w:t>
      </w:r>
      <w:hyperlink w:anchor="ref-12">
        <w:r>
          <w:rPr>
            <w:rStyle w:val="Hyperlink"/>
          </w:rPr>
          <w:t xml:space="preserve">[12]</w:t>
        </w:r>
      </w:hyperlink>
      <w:r>
        <w:t xml:space="preserve">, and a methodological precedent for treating architectural attributes as predictors, in Mankins’s TRL retrospective</w:t>
      </w:r>
      <w:r>
        <w:t xml:space="preserve"> </w:t>
      </w:r>
      <w:hyperlink w:anchor="ref-14">
        <w:r>
          <w:rPr>
            <w:rStyle w:val="Hyperlink"/>
          </w:rPr>
          <w:t xml:space="preserve">[14]</w:t>
        </w:r>
      </w:hyperlink>
      <w:r>
        <w:t xml:space="preserve">. It has also produced an explicit policy demand for an executive-facing conformance instrument</w:t>
      </w:r>
      <w:r>
        <w:t xml:space="preserve"> </w:t>
      </w:r>
      <w:hyperlink w:anchor="ref-8">
        <w:r>
          <w:rPr>
            <w:rStyle w:val="Hyperlink"/>
          </w:rPr>
          <w:t xml:space="preserve">[8]</w:t>
        </w:r>
      </w:hyperlink>
      <w:r>
        <w:t xml:space="preserve">[9].</w:t>
      </w:r>
    </w:p>
    <w:p>
      <w:pPr>
        <w:pStyle w:val="BodyText"/>
        <w:spacing w:line="480" w:lineRule="auto"/>
        <w:ind w:firstLine="720"/>
      </w:pPr>
      <w:r>
        <w:t xml:space="preserve">The cliometric and econometric methodology literature has produced the inferential apparatus through which a conformance score can be tested, in parametric architectural modeling</w:t>
      </w:r>
      <w:r>
        <w:t xml:space="preserve"> </w:t>
      </w:r>
      <w:hyperlink w:anchor="ref-16">
        <w:r>
          <w:rPr>
            <w:rStyle w:val="Hyperlink"/>
          </w:rPr>
          <w:t xml:space="preserve">[16]</w:t>
        </w:r>
      </w:hyperlink>
      <w:r>
        <w:t xml:space="preserve"> </w:t>
      </w:r>
      <w:r>
        <w:t xml:space="preserve">and in hazard analysis as applied in companion paper 2, and it has produced the systematic-review discipline through which the score can be built</w:t>
      </w:r>
      <w:r>
        <w:t xml:space="preserve"> </w:t>
      </w:r>
      <w:hyperlink w:anchor="ref-6">
        <w:r>
          <w:rPr>
            <w:rStyle w:val="Hyperlink"/>
          </w:rPr>
          <w:t xml:space="preserve">[6]</w:t>
        </w:r>
      </w:hyperlink>
      <w:r>
        <w:t xml:space="preserve">.</w:t>
      </w:r>
    </w:p>
    <w:p>
      <w:pPr>
        <w:pStyle w:val="BodyText"/>
        <w:spacing w:line="480" w:lineRule="auto"/>
        <w:ind w:firstLine="720"/>
      </w:pPr>
      <w:r>
        <w:t xml:space="preserve">What none of these literatures has produced is the joint object: a routinized, third-party-executable, executive-facing conformance audit that takes the architectural commitments the technical literature states</w:t>
      </w:r>
      <w:r>
        <w:t xml:space="preserve"> </w:t>
      </w:r>
      <w:hyperlink w:anchor="ref-1">
        <w:r>
          <w:rPr>
            <w:rStyle w:val="Hyperlink"/>
          </w:rPr>
          <w:t xml:space="preserve">[1]</w:t>
        </w:r>
      </w:hyperlink>
      <w:r>
        <w:t xml:space="preserve">[2][7], scores them against the post-flight evidence the verification literature has shown how to produce</w:t>
      </w:r>
      <w:r>
        <w:t xml:space="preserve"> </w:t>
      </w:r>
      <w:hyperlink w:anchor="ref-3">
        <w:r>
          <w:rPr>
            <w:rStyle w:val="Hyperlink"/>
          </w:rPr>
          <w:t xml:space="preserve">[3]</w:t>
        </w:r>
      </w:hyperlink>
      <w:r>
        <w:t xml:space="preserve">[5][6], harvests the program execution data the GAO series already maintains</w:t>
      </w:r>
      <w:r>
        <w:t xml:space="preserve"> </w:t>
      </w:r>
      <w:hyperlink w:anchor="ref-11">
        <w:r>
          <w:rPr>
            <w:rStyle w:val="Hyperlink"/>
          </w:rPr>
          <w:t xml:space="preserve">[11]</w:t>
        </w:r>
      </w:hyperlink>
      <w:r>
        <w:t xml:space="preserve">[13][15], and submits the resulting conformance score to the inferential apparatus the cliometric methodology supplies</w:t>
      </w:r>
      <w:r>
        <w:t xml:space="preserve"> </w:t>
      </w:r>
      <w:hyperlink w:anchor="ref-14">
        <w:r>
          <w:rPr>
            <w:rStyle w:val="Hyperlink"/>
          </w:rPr>
          <w:t xml:space="preserve">[14]</w:t>
        </w:r>
      </w:hyperlink>
      <w:r>
        <w:t xml:space="preserve">[16]. Companion paper 1 establishes that the GAO data support an inferential treatment of architecture-on-paper attributes against cost growth at launch. Companion paper 2 establishes the parallel result for time to launch under right-censoring. Both companion papers show the integration feasible. Neither exercises the conformance score itself, because the score requires the audit instrument this dissertation constructs.</w:t>
      </w:r>
    </w:p>
    <w:p>
      <w:pPr>
        <w:pStyle w:val="BodyText"/>
        <w:spacing w:line="480" w:lineRule="auto"/>
        <w:ind w:firstLine="720"/>
      </w:pPr>
      <w:r>
        <w:t xml:space="preserve">The gap is therefore precise. There is no published, replicable instrument that measures the magnitude of architecture-to-as-built drift across a portfolio of missions, no empirical evidence on whether MBSE adoption changes that magnitude, and no inferential test of the H0 that MBSE-authored and document-authored missions show the same distribution of conformance scores. Companion papers 1 and 2 have shown the data substrate and the inferential apparatus sufficient for the test. The technical literature has shown the architectural commitments sufficiently auditable. The verification literature has shown that conformance evidence can be produced. What remains is to build the instrument and run the test. That is the work of Chapters 3 through 6.</w:t>
      </w:r>
    </w:p>
    <w:bookmarkEnd w:id="72"/>
    <w:bookmarkStart w:id="73" w:name="implications-for-the-instrument"/>
    <w:p>
      <w:pPr>
        <w:pStyle w:val="Heading2"/>
        <w:spacing w:line="480" w:lineRule="auto"/>
      </w:pPr>
      <w:r>
        <w:t xml:space="preserve">2.7 Implications for the Instrument</w:t>
      </w:r>
    </w:p>
    <w:p>
      <w:pPr>
        <w:pStyle w:val="FirstParagraph"/>
        <w:spacing w:line="480" w:lineRule="auto"/>
      </w:pPr>
      <w:r>
        <w:t xml:space="preserve">Three implications follow from the synthesis above and govern the construction of the instrument in Chapter 3.</w:t>
      </w:r>
    </w:p>
    <w:p>
      <w:pPr>
        <w:pStyle w:val="BodyText"/>
        <w:spacing w:line="480" w:lineRule="auto"/>
        <w:ind w:firstLine="720"/>
      </w:pPr>
      <w:r>
        <w:t xml:space="preserve">Granularity is the first. The unit of architectural commitment has to be defined at a level at which it can be coded from publicly available GAO and NTRS evidence on the program execution side and from the architecture authorship literature on the design side. The interface count finding in companion papers 1 and 2 points to interface-level commitments as observable, auditable, and informative, and the broader architectural commitments documented in</w:t>
      </w:r>
      <w:r>
        <w:t xml:space="preserve"> </w:t>
      </w:r>
      <w:hyperlink w:anchor="ref-1">
        <w:r>
          <w:rPr>
            <w:rStyle w:val="Hyperlink"/>
          </w:rPr>
          <w:t xml:space="preserve">[1]</w:t>
        </w:r>
      </w:hyperlink>
      <w:r>
        <w:t xml:space="preserve">[2][7][17][18][19][20][21][22][28][29][32] point to the same property extending to performance allocations and operational concepts. The instrument gets built accordingly.</w:t>
      </w:r>
    </w:p>
    <w:p>
      <w:pPr>
        <w:pStyle w:val="BodyText"/>
        <w:spacing w:line="480" w:lineRule="auto"/>
        <w:ind w:firstLine="720"/>
      </w:pPr>
      <w:r>
        <w:t xml:space="preserve">The rubric is the second. The rubric used to score commitments has to distinguish met, met with deviation, partially met, and not met, and it has to draw those distinctions so that three independent coders can code them reproducibly, with inter-rater agreement reported. The systematic-review methodology of Dijks et al. is the discipline the instrument inherits</w:t>
      </w:r>
      <w:r>
        <w:t xml:space="preserve"> </w:t>
      </w:r>
      <w:hyperlink w:anchor="ref-6">
        <w:r>
          <w:rPr>
            <w:rStyle w:val="Hyperlink"/>
          </w:rPr>
          <w:t xml:space="preserve">[6]</w:t>
        </w:r>
      </w:hyperlink>
      <w:r>
        <w:t xml:space="preserve">, and the pre-registration commitment in the prospectus is the safeguard.</w:t>
      </w:r>
    </w:p>
    <w:p>
      <w:pPr>
        <w:pStyle w:val="BodyText"/>
        <w:spacing w:line="480" w:lineRule="auto"/>
        <w:ind w:firstLine="720"/>
      </w:pPr>
      <w:r>
        <w:t xml:space="preserve">Identification is the third. The inferential test of H0 against H1 has to control for mission class, contractor, mission cost band, and launch year, exploiting within-contractor variation across MBSE and non-MBSE missions. The cliometric findings in companion papers 1 and 2 confirm interface architecture as the covariate on which MBSE effects are most likely to appear, and the Cox model in companion paper 2 shows hazard analysis the right estimator when the dissertation extends from cost growth to time-bound conformance phenomena</w:t>
      </w:r>
      <w:r>
        <w:t xml:space="preserve"> </w:t>
      </w:r>
      <w:hyperlink w:anchor="ref-11">
        <w:r>
          <w:rPr>
            <w:rStyle w:val="Hyperlink"/>
          </w:rPr>
          <w:t xml:space="preserve">[11]</w:t>
        </w:r>
      </w:hyperlink>
      <w:r>
        <w:t xml:space="preserve">[12][13][14][15][16].</w:t>
      </w:r>
    </w:p>
    <w:p>
      <w:pPr>
        <w:pStyle w:val="BodyText"/>
        <w:spacing w:line="480" w:lineRule="auto"/>
        <w:ind w:firstLine="720"/>
      </w:pPr>
      <w:r>
        <w:t xml:space="preserve">The remaining methodological detail belongs to Chapter 3, which constructs the instrument; Chapter 4, which presents the descriptive evidence; Chapter 5, which exercises the inferential test; and Chapter 6, which discusses the audit-instrument release and the implications for program executives. This literature review concludes that the two unjoined literatures now run mature enough that the joint object can be built. The dissertation builds it.</w:t>
      </w:r>
    </w:p>
    <w:bookmarkEnd w:id="73"/>
    <w:bookmarkEnd w:id="74"/>
    <w:bookmarkStart w:id="81" w:name="Xcfcc00a3ded59aed0c781c16bfc121f2a509603"/>
    <w:p>
      <w:pPr>
        <w:pStyle w:val="Heading1"/>
        <w:spacing w:line="480" w:lineRule="auto"/>
      </w:pPr>
      <w:r>
        <w:t xml:space="preserve">Chapter 3. Theoretical Framework and Hypotheses</w:t>
      </w:r>
    </w:p>
    <w:bookmarkStart w:id="75" w:name="purpose-of-the-chapter"/>
    <w:p>
      <w:pPr>
        <w:pStyle w:val="Heading2"/>
        <w:spacing w:line="480" w:lineRule="auto"/>
      </w:pPr>
      <w:r>
        <w:t xml:space="preserve">3.1 Purpose of the Chapter</w:t>
      </w:r>
    </w:p>
    <w:p>
      <w:pPr>
        <w:pStyle w:val="FirstParagraph"/>
        <w:spacing w:line="480" w:lineRule="auto"/>
      </w:pPr>
      <w:r>
        <w:t xml:space="preserve">Chapters 1 and 2 fixed the empirical opening this dissertation exploits. Mission program offices commit to architectures at confirmation review, those architectures increasingly take shape as Model-Based Systems Engineering (MBSE) artifacts, and no routinized procedure exists for checking whether the system delivered to orbit honors the architecture approved on paper</w:t>
      </w:r>
      <w:r>
        <w:t xml:space="preserve"> </w:t>
      </w:r>
      <w:hyperlink w:anchor="ref-11">
        <w:r>
          <w:rPr>
            <w:rStyle w:val="Hyperlink"/>
          </w:rPr>
          <w:t xml:space="preserve">[11]</w:t>
        </w:r>
      </w:hyperlink>
      <w:r>
        <w:t xml:space="preserve">[12][15]. What Chapter 3 does is make the theoretical case for why such a procedure is at once necessary and tractable. It builds the mechanism that links architecture authorship method to architecture conformance at flight, follows the causal logic from authoring tool through specification stability and verification closure to as-built behavior, and arrives at a formal statement of the null and alternative hypotheses, H0 and H1, that the rest of the dissertation will test.</w:t>
      </w:r>
    </w:p>
    <w:p>
      <w:pPr>
        <w:pStyle w:val="BodyText"/>
        <w:spacing w:line="480" w:lineRule="auto"/>
        <w:ind w:firstLine="720"/>
      </w:pPr>
      <w:r>
        <w:t xml:space="preserve">Five sections follow this introduction. Section 3.2 fixes the conceptual primitives, above all what an architectural commitment is and what conformance is. Section 3.3 builds the theoretical mechanism connecting MBSE adoption to conformance, leaning on the integration-cost tradition in systems engineering, the empirical record from companion papers in this series, and the model-based trade study and architecture optimization literature for space domain awareness and distributed cislunar networks. Section 3.4 sets out the causal logic in testable rather than evocative form, naming the intermediate variables the proposed mechanism is supposed to run through and the points where the chain can break. Section 3.5 states H0 and H1 formally, fixes their scope conditions, and spells out the predictions each entails for the regression results Chapter 5 will produce. Section 3.6 closes by anticipating the principal rival explanations the empirical chapters have to rule out, and by fixing the standard of evidence the dissertation will accept as a decision between H0 and H1.</w:t>
      </w:r>
    </w:p>
    <w:bookmarkEnd w:id="75"/>
    <w:bookmarkStart w:id="76" w:name="conceptual-primitives"/>
    <w:p>
      <w:pPr>
        <w:pStyle w:val="Heading2"/>
        <w:spacing w:line="480" w:lineRule="auto"/>
      </w:pPr>
      <w:r>
        <w:t xml:space="preserve">3.2 Conceptual Primitives</w:t>
      </w:r>
    </w:p>
    <w:p>
      <w:pPr>
        <w:pStyle w:val="FirstParagraph"/>
        <w:spacing w:line="480" w:lineRule="auto"/>
      </w:pPr>
      <w:r>
        <w:t xml:space="preserve">Two primitives ground the framework, and both need precise definition before any causal claim reads as intelligible. One is the architectural commitment. The other is the conformance score.</w:t>
      </w:r>
    </w:p>
    <w:p>
      <w:pPr>
        <w:pStyle w:val="BodyText"/>
        <w:spacing w:line="480" w:lineRule="auto"/>
        <w:ind w:firstLine="720"/>
      </w:pPr>
      <w:r>
        <w:t xml:space="preserve">Call an architectural commitment a falsifiable proposition, held in an authoritative architecture artifact, meant to bind the as-built system. Four classes of commitment exhaust the universe this dissertation uses. Interface commitments pin down the connection between two subsystems along signal, protocol, energy, mechanical, or thermal exchange. Performance allocation commitments split a top-level system requirement, detection sensitivity or pointing accuracy for instance, across the contributing subsystems under a stated budget. Operational concept commitments lock the sequence of states, modes, and crew or autonomy actions the system has to run to deliver mission value. Verification closure commitments record the predicate to be evaluated, and the method for evaluating it, before the program may declare the commitment satisfied. As a list of words the taxonomy breaks no new ground. Its novelty lies in becoming the unit at which conformance gets scored, in the spirit of the verification-as-audit framing spelled out in the radiation hardness assurance literature</w:t>
      </w:r>
      <w:r>
        <w:t xml:space="preserve"> </w:t>
      </w:r>
      <w:hyperlink w:anchor="ref-6">
        <w:r>
          <w:rPr>
            <w:rStyle w:val="Hyperlink"/>
          </w:rPr>
          <w:t xml:space="preserve">[6]</w:t>
        </w:r>
      </w:hyperlink>
      <w:r>
        <w:t xml:space="preserve"> </w:t>
      </w:r>
      <w:r>
        <w:t xml:space="preserve">and the post-flight reconstruction tradition the Schiaparelli campaign exemplifies</w:t>
      </w:r>
      <w:r>
        <w:t xml:space="preserve"> </w:t>
      </w:r>
      <w:hyperlink w:anchor="ref-5">
        <w:r>
          <w:rPr>
            <w:rStyle w:val="Hyperlink"/>
          </w:rPr>
          <w:t xml:space="preserve">[5]</w:t>
        </w:r>
      </w:hyperlink>
      <w:r>
        <w:t xml:space="preserve">.</w:t>
      </w:r>
    </w:p>
    <w:p>
      <w:pPr>
        <w:pStyle w:val="BodyText"/>
        <w:spacing w:line="480" w:lineRule="auto"/>
        <w:ind w:firstLine="720"/>
      </w:pPr>
      <w:r>
        <w:t xml:space="preserve">Call the conformance score a bounded index defined over one mission’s commitments. Each commitment takes one of four ordinal values: met, met with deviation, partially met, or not met. Those four classes of commitment carry weights fixed in a pre-registered scheme, then aggregate to a mission-level score on the unit interval. Austerity is the point. This is not an opinion about whether the architecture was any good. It is an evidentiary statement about whether the architecture was kept. That distinction earns its keep because conformance and quality come apart. A well-conceived architecture quietly relaxed during build earns a low conformance score even where the delivered system performs adequately, and a poorly conceived architecture followed to the letter earns a high one even where the delivered system performs badly. Conformance is what the dissertation tests, because conformance is the falsifiable property; quality would demand a counterfactual the audit framing deliberately declines to build.</w:t>
      </w:r>
    </w:p>
    <w:p>
      <w:pPr>
        <w:pStyle w:val="BodyText"/>
        <w:spacing w:line="480" w:lineRule="auto"/>
        <w:ind w:firstLine="720"/>
      </w:pPr>
      <w:r>
        <w:t xml:space="preserve">With those two primitives, the commitment and the score, the theoretical claim can be stated. A theory of MBSE adoption and conformance is a theory of how the authoring method reshapes the distribution of scores over a population of commitments.</w:t>
      </w:r>
    </w:p>
    <w:bookmarkEnd w:id="76"/>
    <w:bookmarkStart w:id="77" w:name="the-theoretical-mechanism"/>
    <w:p>
      <w:pPr>
        <w:pStyle w:val="Heading2"/>
        <w:spacing w:line="480" w:lineRule="auto"/>
      </w:pPr>
      <w:r>
        <w:t xml:space="preserve">3.3 The Theoretical Mechanism</w:t>
      </w:r>
    </w:p>
    <w:p>
      <w:pPr>
        <w:pStyle w:val="FirstParagraph"/>
        <w:spacing w:line="480" w:lineRule="auto"/>
      </w:pPr>
      <w:r>
        <w:t xml:space="preserve">Here is the mechanism the dissertation proposes: MBSE adoption raises mean conformance and lowers the variance of conformance, because it disciplines three intermediate properties of the architecture process. Those three are the specificity of commitments at confirmation, the traceability of commitments through the verification flowdown, and the persistence of commitments under late change.</w:t>
      </w:r>
    </w:p>
    <w:p>
      <w:pPr>
        <w:pStyle w:val="BodyText"/>
        <w:spacing w:line="480" w:lineRule="auto"/>
        <w:ind w:firstLine="720"/>
      </w:pPr>
      <w:r>
        <w:t xml:space="preserve">Take specificity at confirmation first. Document-centric architecture admits ambiguity by construction. A natural-language interface description in a textual specification can be read consistently by developer and verifier without their readings ever matching, because the medium never forces disambiguation. Model-based authorship runs the other way. Before a commitment can exist in the architecture at all, it has to be expressible as a structured model element with typed attributes</w:t>
      </w:r>
      <w:r>
        <w:t xml:space="preserve"> </w:t>
      </w:r>
      <w:hyperlink w:anchor="ref-1">
        <w:r>
          <w:rPr>
            <w:rStyle w:val="Hyperlink"/>
          </w:rPr>
          <w:t xml:space="preserve">[1]</w:t>
        </w:r>
      </w:hyperlink>
      <w:r>
        <w:t xml:space="preserve">[2][7]. Kirshner and Pearce made that property explicit at the trade study level in their study of optical sensor constellation architectures for space domain awareness, where the model-based representation forced design decisions into evaluable functions on a defined parameter space rather than narrative justifications</w:t>
      </w:r>
      <w:r>
        <w:t xml:space="preserve"> </w:t>
      </w:r>
      <w:hyperlink w:anchor="ref-1">
        <w:r>
          <w:rPr>
            <w:rStyle w:val="Hyperlink"/>
          </w:rPr>
          <w:t xml:space="preserve">[1]</w:t>
        </w:r>
      </w:hyperlink>
      <w:r>
        <w:t xml:space="preserve">. Felten and colleagues showed the same property for geosynchronous SSA architectures, where the optimization simply could not have run had the architecture stayed in a form no algorithm could read</w:t>
      </w:r>
      <w:r>
        <w:t xml:space="preserve"> </w:t>
      </w:r>
      <w:hyperlink w:anchor="ref-7">
        <w:r>
          <w:rPr>
            <w:rStyle w:val="Hyperlink"/>
          </w:rPr>
          <w:t xml:space="preserve">[7]</w:t>
        </w:r>
      </w:hyperlink>
      <w:r>
        <w:t xml:space="preserve">. From this the first prediction follows. MBSE-authored missions enter integration with commitments the verifier recognizes unambiguously, and document-authored missions enter integration with commitments the verifier recognizes only by interpretation. Conformance scores register that asymmetry, since a commitment nobody can unambiguously identify at verification is a commitment nobody can unambiguously score met.</w:t>
      </w:r>
    </w:p>
    <w:p>
      <w:pPr>
        <w:pStyle w:val="BodyText"/>
        <w:spacing w:line="480" w:lineRule="auto"/>
        <w:ind w:firstLine="720"/>
      </w:pPr>
      <w:r>
        <w:t xml:space="preserve">Turn next to traceability through the verification flowdown. The systems engineering tradition codified in the NASA Systems Engineering Handbook treats the flowdown from system requirement to subsystem requirement to verification closure as the spine of the architecture process</w:t>
      </w:r>
      <w:r>
        <w:t xml:space="preserve"> </w:t>
      </w:r>
      <w:hyperlink w:anchor="ref-12">
        <w:r>
          <w:rPr>
            <w:rStyle w:val="Hyperlink"/>
          </w:rPr>
          <w:t xml:space="preserve">[12]</w:t>
        </w:r>
      </w:hyperlink>
      <w:r>
        <w:t xml:space="preserve">. Document-centric programs hold that flowdown by clerical practice. The trace is a hyperlink in a requirements database or a row in a verification cross-reference matrix, kept by the requirements engineer and reviewed at major milestones. Model-based programs hold it by construction. The trace is an executable relation in the architecture model, evaluated whenever the model is built. Companion paper 1 of this series makes the difference observable: it found interface count at confirmation forecasting cost growth at launch at an elasticity of roughly 1.7 percentage points per interface in a NASA major project sample, while heritage softened that growth and critical-technology TRL failed the controls. That result fits a mechanism in which the architecture’s traceable elements, its interfaces and its heritage envelope, press measurable discipline on outcomes while its non-traceable elements, the policy-coded TRL threshold among them, do not. Companion paper 2 in the same series pressed the point on the time-to-launch margin, finding a Cox proportional-hazards interface coefficient of negative 0.154, worth roughly a 14 percent cut in launch hazard per added confirmation interface, while heritage and TRL again washed out once interfaces entered the model. Read together, the two findings suggest that the architectural variables which move outcomes are exactly the ones whose traceability MBSE strengthens.</w:t>
      </w:r>
    </w:p>
    <w:p>
      <w:pPr>
        <w:pStyle w:val="BodyText"/>
        <w:spacing w:line="480" w:lineRule="auto"/>
        <w:ind w:firstLine="720"/>
      </w:pPr>
      <w:r>
        <w:t xml:space="preserve">Come finally to persistence under late change. The commonest failure mode in the conformance literature is the silent relaxation of an architectural commitment during integration, where a subsystem owner who cannot meet a budget swallows the gap by trading a tolerance shift that never propagates back into the architecture artifact. The nanosatellite robustness literature has traced that pathway at the subsystem level, where interoperability assumptions stated in the architecture were silently relaxed during build and only recovered by post-hoc analysis</w:t>
      </w:r>
      <w:r>
        <w:t xml:space="preserve"> </w:t>
      </w:r>
      <w:hyperlink w:anchor="ref-4">
        <w:r>
          <w:rPr>
            <w:rStyle w:val="Hyperlink"/>
          </w:rPr>
          <w:t xml:space="preserve">[4]</w:t>
        </w:r>
      </w:hyperlink>
      <w:r>
        <w:t xml:space="preserve">. The Schiaparelli campaign traced it at the mission level, where the gap between pre-flight verification artifacts and flown behavior was reconstructed only after the lander was lost</w:t>
      </w:r>
      <w:r>
        <w:t xml:space="preserve"> </w:t>
      </w:r>
      <w:hyperlink w:anchor="ref-5">
        <w:r>
          <w:rPr>
            <w:rStyle w:val="Hyperlink"/>
          </w:rPr>
          <w:t xml:space="preserve">[5]</w:t>
        </w:r>
      </w:hyperlink>
      <w:r>
        <w:t xml:space="preserve">. The structural shock verification record for the Solar Orbiter EPD payload</w:t>
      </w:r>
      <w:r>
        <w:t xml:space="preserve"> </w:t>
      </w:r>
      <w:hyperlink w:anchor="ref-3">
        <w:r>
          <w:rPr>
            <w:rStyle w:val="Hyperlink"/>
          </w:rPr>
          <w:t xml:space="preserve">[3]</w:t>
        </w:r>
      </w:hyperlink>
      <w:r>
        <w:t xml:space="preserve">, the survey of radiation hardness assurance in commercial space avionics</w:t>
      </w:r>
      <w:r>
        <w:t xml:space="preserve"> </w:t>
      </w:r>
      <w:hyperlink w:anchor="ref-6">
        <w:r>
          <w:rPr>
            <w:rStyle w:val="Hyperlink"/>
          </w:rPr>
          <w:t xml:space="preserve">[6]</w:t>
        </w:r>
      </w:hyperlink>
      <w:r>
        <w:t xml:space="preserve">, and the mixed-fidelity simulation work on extravehicular activities</w:t>
      </w:r>
      <w:r>
        <w:t xml:space="preserve"> </w:t>
      </w:r>
      <w:hyperlink w:anchor="ref-10">
        <w:r>
          <w:rPr>
            <w:rStyle w:val="Hyperlink"/>
          </w:rPr>
          <w:t xml:space="preserve">[10]</w:t>
        </w:r>
      </w:hyperlink>
      <w:r>
        <w:t xml:space="preserve"> </w:t>
      </w:r>
      <w:r>
        <w:t xml:space="preserve">each describe disciplined regimes where late change is forced back through the architecture before acceptance. In every case the discipline rested on an authoring medium that admitted no silent change. MBSE supplies that medium. A commitment living as a model element cannot be relaxed without an edit to the model, and the edit leaves a trace. A commitment living only in a natural-language specification can be relaxed by an email between two engineers. Hence the prediction: the variance of conformance falls under MBSE, because the silent relaxation pathway closes.</w:t>
      </w:r>
    </w:p>
    <w:p>
      <w:pPr>
        <w:pStyle w:val="BodyText"/>
        <w:spacing w:line="480" w:lineRule="auto"/>
        <w:ind w:firstLine="720"/>
      </w:pPr>
      <w:r>
        <w:t xml:space="preserve">None of this asks MBSE to be a sufficient condition for high conformance. It asks only that MBSE act as a probabilistic intervention on the three intermediate properties, and that those properties connect probabilistically to the conformance score. This is a difference-in-distribution theory, not a deterministic one. The associated trade study and architecture optimization literature fits that framing, since each of its central results</w:t>
      </w:r>
      <w:r>
        <w:t xml:space="preserve"> </w:t>
      </w:r>
      <w:hyperlink w:anchor="ref-1">
        <w:r>
          <w:rPr>
            <w:rStyle w:val="Hyperlink"/>
          </w:rPr>
          <w:t xml:space="preserve">[1]</w:t>
        </w:r>
      </w:hyperlink>
      <w:r>
        <w:t xml:space="preserve">[2][7] is itself a probabilistic claim about the value of model-based representation under the operational and economic constraints the broader space economy literature documents</w:t>
      </w:r>
      <w:r>
        <w:t xml:space="preserve"> </w:t>
      </w:r>
      <w:hyperlink w:anchor="ref-8">
        <w:r>
          <w:rPr>
            <w:rStyle w:val="Hyperlink"/>
          </w:rPr>
          <w:t xml:space="preserve">[8]</w:t>
        </w:r>
      </w:hyperlink>
      <w:r>
        <w:t xml:space="preserve">[9].</w:t>
      </w:r>
    </w:p>
    <w:bookmarkEnd w:id="77"/>
    <w:bookmarkStart w:id="78" w:name="the-causal-logic-in-testable-form"/>
    <w:p>
      <w:pPr>
        <w:pStyle w:val="Heading2"/>
        <w:spacing w:line="480" w:lineRule="auto"/>
      </w:pPr>
      <w:r>
        <w:t xml:space="preserve">3.4 The Causal Logic in Testable Form</w:t>
      </w:r>
    </w:p>
    <w:p>
      <w:pPr>
        <w:pStyle w:val="FirstParagraph"/>
        <w:spacing w:line="480" w:lineRule="auto"/>
      </w:pPr>
      <w:r>
        <w:t xml:space="preserve">A mechanism becomes a causal claim only once its intermediate variables are written down in falsifiable form. Four nodes carry the causal chain.</w:t>
      </w:r>
    </w:p>
    <w:p>
      <w:pPr>
        <w:pStyle w:val="BodyText"/>
        <w:spacing w:line="480" w:lineRule="auto"/>
        <w:ind w:firstLine="720"/>
      </w:pPr>
      <w:r>
        <w:t xml:space="preserve">At the exogenous node sits authoring method, an indicator of whether the architecture was authored in MBSE or in document-centric form. It is observable on the surface of the architecture artifact, and the program office assigns it, not the audit.</w:t>
      </w:r>
    </w:p>
    <w:p>
      <w:pPr>
        <w:pStyle w:val="BodyText"/>
        <w:spacing w:line="480" w:lineRule="auto"/>
        <w:ind w:firstLine="720"/>
      </w:pPr>
      <w:r>
        <w:t xml:space="preserve">At the first intermediate node sits commitment specificity at confirmation, operationalized as the proportion of coded commitments meeting a pre-registered specificity rubric on identifier, scope, predicate, and verification method. It is observable in the artifacts signed at the confirmation review and stays independent of any later flight evidence.</w:t>
      </w:r>
    </w:p>
    <w:p>
      <w:pPr>
        <w:pStyle w:val="BodyText"/>
        <w:spacing w:line="480" w:lineRule="auto"/>
        <w:ind w:firstLine="720"/>
      </w:pPr>
      <w:r>
        <w:t xml:space="preserve">At the second intermediate node sits verification traceability, operationalized as the proportion of confirmed commitments carrying a documented, currently valid trace to a verification closure artifact. It is observable in the program-of-record evidence at launch readiness and again stays independent of flight performance.</w:t>
      </w:r>
    </w:p>
    <w:p>
      <w:pPr>
        <w:pStyle w:val="BodyText"/>
        <w:spacing w:line="480" w:lineRule="auto"/>
        <w:ind w:firstLine="720"/>
      </w:pPr>
      <w:r>
        <w:t xml:space="preserve">At the third intermediate node sits commitment persistence, operationalized as the proportion of confirmed commitments whose stated values at confirmation match their stated values at launch readiness, allowing for explicit, logged, board-approved changes but not silent relaxations.</w:t>
      </w:r>
    </w:p>
    <w:p>
      <w:pPr>
        <w:pStyle w:val="BodyText"/>
        <w:spacing w:line="480" w:lineRule="auto"/>
        <w:ind w:firstLine="720"/>
      </w:pPr>
      <w:r>
        <w:t xml:space="preserve">At the endogenous node sits the conformance score, evaluated against telemetry and program-of-record evidence on the four-point rubric from Section 3.2.</w:t>
      </w:r>
    </w:p>
    <w:p>
      <w:pPr>
        <w:pStyle w:val="BodyText"/>
        <w:spacing w:line="480" w:lineRule="auto"/>
        <w:ind w:firstLine="720"/>
      </w:pPr>
      <w:r>
        <w:t xml:space="preserve">The causal claim, then, is that authoring method moves the conformance score through its effects on specificity, traceability, and persistence. Two independent falsification routes open. On the first, if MBSE adoption fails to raise mean specificity, mean traceability, or mean persistence, the proposed mechanism is not running whatever change the conformance score shows, and any positive score effect would have to come from some other channel. On the second, if MBSE adoption raises one or more of the intermediate properties yet fails to raise the conformance score, the chain breaks at its final link, and the dissertation has to report that the score does not depend on the properties the mechanism privileges. Either result would inform, and neither would leave the reader worse off than a design that could confirm the mechanism but never disconfirm it. What the audit framing requires is that both stay open at the design stage, and that the analysis commit in advance to reporting whichever the data return rather than searching for the one it hoped to find.</w:t>
      </w:r>
    </w:p>
    <w:p>
      <w:pPr>
        <w:pStyle w:val="BodyText"/>
        <w:spacing w:line="480" w:lineRule="auto"/>
        <w:ind w:firstLine="720"/>
      </w:pPr>
      <w:r>
        <w:t xml:space="preserve">That logic is also what sets the dissertation apart from a programmatic evaluation of MBSE adoption. A program office adopting MBSE for internal-efficiency reasons might not raise specificity, traceability, or persistence as defined here, and might therefore show no conformance effect even where the adoption succeeded on its own terms. Whether MBSE is worth adopting is not the question. Whether MBSE, once adopted, raises the rate at which architectures are kept is.</w:t>
      </w:r>
    </w:p>
    <w:bookmarkEnd w:id="78"/>
    <w:bookmarkStart w:id="79" w:name="formal-hypotheses"/>
    <w:p>
      <w:pPr>
        <w:pStyle w:val="Heading2"/>
        <w:spacing w:line="480" w:lineRule="auto"/>
      </w:pPr>
      <w:r>
        <w:t xml:space="preserve">3.5 Formal Hypotheses</w:t>
      </w:r>
    </w:p>
    <w:p>
      <w:pPr>
        <w:pStyle w:val="FirstParagraph"/>
        <w:spacing w:line="480" w:lineRule="auto"/>
      </w:pPr>
      <w:r>
        <w:t xml:space="preserve">The formal hypotheses render the mechanism and the causal logic as statements the empirical design from the prospectus can adjudicate.</w:t>
      </w:r>
    </w:p>
    <w:p>
      <w:pPr>
        <w:pStyle w:val="BodyText"/>
        <w:spacing w:line="480" w:lineRule="auto"/>
        <w:ind w:firstLine="720"/>
      </w:pPr>
      <w:r>
        <w:rPr>
          <w:b/>
          <w:bCs/>
        </w:rPr>
        <w:t xml:space="preserve">H0 (null).</w:t>
      </w:r>
      <w:r>
        <w:t xml:space="preserve"> </w:t>
      </w:r>
      <w:r>
        <w:t xml:space="preserve">Conditional on mission class and contractor identity, the distribution of mission-level conformance scores among MBSE-authored missions equals the distribution among document-authored missions. Formally, the conditional cumulative distribution functions match at every point on the unit interval, and in particular the conditional means and variances match.</w:t>
      </w:r>
    </w:p>
    <w:p>
      <w:pPr>
        <w:pStyle w:val="BodyText"/>
        <w:spacing w:line="480" w:lineRule="auto"/>
        <w:ind w:firstLine="720"/>
      </w:pPr>
      <w:r>
        <w:rPr>
          <w:b/>
          <w:bCs/>
        </w:rPr>
        <w:t xml:space="preserve">H1 (alternative).</w:t>
      </w:r>
      <w:r>
        <w:t xml:space="preserve"> </w:t>
      </w:r>
      <w:r>
        <w:t xml:space="preserve">Conditional on mission class and contractor identity, the distribution of mission-level conformance scores among MBSE-authored missions stochastically dominates the distribution among document-authored missions in the first order, and the conditional variance in the MBSE population runs no greater than the conditional variance in the document-authored population. In substance, H1 says mean conformance is higher and variance no greater under MBSE.</w:t>
      </w:r>
    </w:p>
    <w:p>
      <w:pPr>
        <w:pStyle w:val="BodyText"/>
        <w:spacing w:line="480" w:lineRule="auto"/>
        <w:ind w:firstLine="720"/>
      </w:pPr>
      <w:r>
        <w:t xml:space="preserve">Two predictions come out of H1 that the empirical chapters can check without reading the regression coefficient as the whole of the evidence. First, the dimension-level subscores on the four classes of commitment will not all move together. The Section 3.3 mechanism privileges interface commitments and verification closure commitments, since these are the classes where the authoring medium most cleanly shuts the silent-change pathway. Performance allocation commitments are privileged more weakly, and operational concept commitments weakest of all, since even nominally MBSE programs tend to author them in hybrid form. So the empirical chapters should find the largest mean shifts on interface and verification closure subscores and the smallest on operational concept subscores. Second, within-contractor variation across MBSE and document-authored missions should reproduce the cross-program pattern. Should the result rest on cross-contractor variation alone, the regression risks charging MBSE with a conformance shift that is really a contractor-quality effect. Companion paper 1 and companion paper 2 together motivate the same identifying strategy on cost growth and time-to-launch outcomes, and the negative-control logic carries over to the conformance setting.</w:t>
      </w:r>
    </w:p>
    <w:p>
      <w:pPr>
        <w:pStyle w:val="BodyText"/>
        <w:spacing w:line="480" w:lineRule="auto"/>
        <w:ind w:firstLine="720"/>
      </w:pPr>
      <w:r>
        <w:t xml:space="preserve">The scope conditions matter just as much. H0 and H1 apply to NASA major projects and to peer civil and small-satellite missions documented to the standard of the GAO Major Project Assessments series</w:t>
      </w:r>
      <w:r>
        <w:t xml:space="preserve"> </w:t>
      </w:r>
      <w:hyperlink w:anchor="ref-11">
        <w:r>
          <w:rPr>
            <w:rStyle w:val="Hyperlink"/>
          </w:rPr>
          <w:t xml:space="preserve">[11]</w:t>
        </w:r>
      </w:hyperlink>
      <w:r>
        <w:t xml:space="preserve">[13][15] or the peer-reviewed Acta Astronautica and AMOS Conference records cited above. They do not reach crewed lunar surface architectures except as an extension of interest, they do not reach national security missions whose underlying artifacts cannot be retrieved, and they do not reach commercial constellations that generate no authoritative architecture artifact at a recognizable confirmation gate. Scope conditions carry weight because the conformance score is only as defensible as the commitments it covers, and the commitments are only as defensible as the artifacts they are coded from.</w:t>
      </w:r>
    </w:p>
    <w:p>
      <w:pPr>
        <w:pStyle w:val="BodyText"/>
        <w:spacing w:line="480" w:lineRule="auto"/>
        <w:ind w:firstLine="720"/>
      </w:pPr>
      <w:r>
        <w:t xml:space="preserve">Rejecting H0 for H1 is therefore no verdict on MBSE as a discipline. It is a finding that, inside the scope of artifacts the audit can read, missions authored through model-based artifacts arrive at orbit closer to the architecture they were approved on. Failing to reject H0 is bounded the same way. It is a finding that, inside the scope of artifacts the audit can read, the authoring medium does not shift the distribution of conformance scores once mission class and contractor are accounted for, and the dissertation would then have to ask whether the mechanism is wrong, whether the intermediate properties failed to move, or whether the score is deaf to the properties that did.</w:t>
      </w:r>
    </w:p>
    <w:bookmarkEnd w:id="79"/>
    <w:bookmarkStart w:id="80" w:name="X122e13046e2c2a4231714161ec3846aa52a2594"/>
    <w:p>
      <w:pPr>
        <w:pStyle w:val="Heading2"/>
        <w:spacing w:line="480" w:lineRule="auto"/>
      </w:pPr>
      <w:r>
        <w:t xml:space="preserve">3.6 Alternative Explanations and Standard of Evidence</w:t>
      </w:r>
    </w:p>
    <w:p>
      <w:pPr>
        <w:pStyle w:val="FirstParagraph"/>
        <w:spacing w:line="480" w:lineRule="auto"/>
      </w:pPr>
      <w:r>
        <w:t xml:space="preserve">The chapter closes by naming the principal rival explanations the empirical chapters have to rule out, and the standard of evidence the dissertation will accept as a decision between H0 and H1.</w:t>
      </w:r>
    </w:p>
    <w:p>
      <w:pPr>
        <w:pStyle w:val="BodyText"/>
        <w:spacing w:line="480" w:lineRule="auto"/>
        <w:ind w:firstLine="720"/>
      </w:pPr>
      <w:r>
        <w:t xml:space="preserve">Contractor selection is the first rival. Programs adopting MBSE may differ from programs that do not on contractor capability that also drives conformance. The empirical design answers by exploiting within-contractor variation across MBSE and document-authored missions, by reporting contractor fixed effects, and by pre-registering the negative-control test the prospectus describes. The Section 3.3 mechanism does not demand that contractor effects vanish; it demands only that contractor effects fail to explain the entire MBSE coefficient.</w:t>
      </w:r>
    </w:p>
    <w:p>
      <w:pPr>
        <w:pStyle w:val="BodyText"/>
        <w:spacing w:line="480" w:lineRule="auto"/>
        <w:ind w:firstLine="720"/>
      </w:pPr>
      <w:r>
        <w:t xml:space="preserve">Mission class selection is the second. MBSE adoption concentrates in some mission classes, SDA constellations and distributed cislunar architectures among them</w:t>
      </w:r>
      <w:r>
        <w:t xml:space="preserve"> </w:t>
      </w:r>
      <w:hyperlink w:anchor="ref-1">
        <w:r>
          <w:rPr>
            <w:rStyle w:val="Hyperlink"/>
          </w:rPr>
          <w:t xml:space="preserve">[1]</w:t>
        </w:r>
      </w:hyperlink>
      <w:r>
        <w:t xml:space="preserve">[2][7], and thins out in others. The empirical design answers by stratifying on mission class and reporting the within-class coefficient.</w:t>
      </w:r>
    </w:p>
    <w:p>
      <w:pPr>
        <w:pStyle w:val="BodyText"/>
        <w:spacing w:line="480" w:lineRule="auto"/>
        <w:ind w:firstLine="720"/>
      </w:pPr>
      <w:r>
        <w:t xml:space="preserve">The evidence-completeness gradient is the third. Post-flight evidence runs uneven across missions, and the evidence-rich missions may be exactly the ones where MBSE adoption shows most clearly. The empirical design answers by reporting results separately for the evidence-rich stratum and by treating evidence completeness as a pre-registered moderator.</w:t>
      </w:r>
    </w:p>
    <w:p>
      <w:pPr>
        <w:pStyle w:val="BodyText"/>
        <w:spacing w:line="480" w:lineRule="auto"/>
        <w:ind w:firstLine="720"/>
      </w:pPr>
      <w:r>
        <w:t xml:space="preserve">A quality-conflation effect is the fourth. A reviewer who knows a mission was MBSE-authored may score conformance differently from one who knows it was document-authored. The empirical design answers by blinding the scoring step to authoring method wherever the artifacts permit, and by reporting inter-rater agreement separately under blinded and unblinded conditions.</w:t>
      </w:r>
    </w:p>
    <w:p>
      <w:pPr>
        <w:pStyle w:val="BodyText"/>
        <w:spacing w:line="480" w:lineRule="auto"/>
        <w:ind w:firstLine="720"/>
      </w:pPr>
      <w:r>
        <w:t xml:space="preserve">As for the standard of evidence, the dissertation accepts a layered one. Rejecting H0 for H1 requires, first, a regression result in which the MBSE coefficient on conformance runs positive and statistically distinguishable from zero at conventional levels with robust standard errors. It requires, second, that the result survive the within-contractor specification and the evidence-rich stratification. It requires, third, that the dimension-level subscores move in the Section 3.3 pattern, strongest shifts on interface and verification closure commitments, weaker shifts on operational concept commitments. It requires, fourth, that the intermediate properties named in Section 3.4 move in the predicted direction in the subsample where they can be measured. Layered, because a single coefficient cannot adjudicate a mechanism. The dissertation’s contribution is the audit instrument, and the instrument’s credibility rests on the joint plausibility of the chain rather than the significance of any one test.</w:t>
      </w:r>
    </w:p>
    <w:p>
      <w:pPr>
        <w:pStyle w:val="BodyText"/>
        <w:spacing w:line="480" w:lineRule="auto"/>
        <w:ind w:firstLine="720"/>
      </w:pPr>
      <w:r>
        <w:t xml:space="preserve">That layered standard sits well with the broader treatment of architecture as an instrument of execution discipline rather than a ceremonial artifact, a treatment the space economy literature has begun to articulate at the portfolio level</w:t>
      </w:r>
      <w:r>
        <w:t xml:space="preserve"> </w:t>
      </w:r>
      <w:hyperlink w:anchor="ref-8">
        <w:r>
          <w:rPr>
            <w:rStyle w:val="Hyperlink"/>
          </w:rPr>
          <w:t xml:space="preserve">[8]</w:t>
        </w:r>
      </w:hyperlink>
      <w:r>
        <w:t xml:space="preserve">[9]. It sits well with the integration-cost tradition tying interface count to outcomes at confirmation</w:t>
      </w:r>
      <w:r>
        <w:t xml:space="preserve"> </w:t>
      </w:r>
      <w:hyperlink w:anchor="ref-12">
        <w:r>
          <w:rPr>
            <w:rStyle w:val="Hyperlink"/>
          </w:rPr>
          <w:t xml:space="preserve">[12]</w:t>
        </w:r>
      </w:hyperlink>
      <w:r>
        <w:t xml:space="preserve">[13], with the technology-readiness tradition that warns against treating policy thresholds as binding constraints</w:t>
      </w:r>
      <w:r>
        <w:t xml:space="preserve"> </w:t>
      </w:r>
      <w:hyperlink w:anchor="ref-14">
        <w:r>
          <w:rPr>
            <w:rStyle w:val="Hyperlink"/>
          </w:rPr>
          <w:t xml:space="preserve">[14]</w:t>
        </w:r>
      </w:hyperlink>
      <w:r>
        <w:t xml:space="preserve">, and with the post-flight reconstruction tradition that has shown what conformance work looks like when done reactively rather than as a standing audit</w:t>
      </w:r>
      <w:r>
        <w:t xml:space="preserve"> </w:t>
      </w:r>
      <w:hyperlink w:anchor="ref-5">
        <w:r>
          <w:rPr>
            <w:rStyle w:val="Hyperlink"/>
          </w:rPr>
          <w:t xml:space="preserve">[5]</w:t>
        </w:r>
      </w:hyperlink>
      <w:r>
        <w:t xml:space="preserve">[6]. The rest of the dissertation operationalizes this standard. Chapter 4 fixes the data, the coding manual, and the scoring rubric. Chapter 5 estimates the conformance score and tests H0 against H1 under the layered evidence standard set here. Chapter 6 comes back to the mechanism and asks which legs of the causal chain hold and which do not.</w:t>
      </w:r>
    </w:p>
    <w:bookmarkEnd w:id="80"/>
    <w:bookmarkEnd w:id="81"/>
    <w:bookmarkStart w:id="88" w:name="chapter-4.-data-and-measurement"/>
    <w:p>
      <w:pPr>
        <w:pStyle w:val="Heading1"/>
        <w:spacing w:line="480" w:lineRule="auto"/>
      </w:pPr>
      <w:r>
        <w:t xml:space="preserve">Chapter 4. Data and Measurement</w:t>
      </w:r>
    </w:p>
    <w:bookmarkStart w:id="82" w:name="purpose-and-scope-of-the-chapter"/>
    <w:p>
      <w:pPr>
        <w:pStyle w:val="Heading2"/>
        <w:spacing w:line="480" w:lineRule="auto"/>
      </w:pPr>
      <w:r>
        <w:t xml:space="preserve">4.1 Purpose and Scope of the Chapter</w:t>
      </w:r>
    </w:p>
    <w:p>
      <w:pPr>
        <w:pStyle w:val="FirstParagraph"/>
        <w:spacing w:line="480" w:lineRule="auto"/>
      </w:pPr>
      <w:r>
        <w:t xml:space="preserve">Here I specify the empirical foundation the two companion papers rest on and the remaining chapters extend. The dissertation’s central conformance question, whether the architecture authorized on paper at confirmation review matches the system that eventually flies, yields to answer only under data that satisfies three demanding properties. Every architectural attribute has to trace to a primary record produced by an authority outside the developer, so the audit cannot be dismissed as a developer self-report. Every outcome variable has to be measured against the same primary record series across projects and across years, so the panel stays comparable. Every observation has to be reproducible by a third party from publicly accessible documents alone, so the audit instrument the dissertation defends travels beyond the dissertation’s own sample. The data design below was built to meet all three at once.</w:t>
      </w:r>
    </w:p>
    <w:p>
      <w:pPr>
        <w:pStyle w:val="BodyText"/>
        <w:spacing w:line="480" w:lineRule="auto"/>
        <w:ind w:firstLine="720"/>
      </w:pPr>
      <w:r>
        <w:t xml:space="preserve">Five movements carry the chapter. Section 4.2 fixes the unit of analysis and explains why the NASA major project at its confirmation milestone, Key Decision Point C, is the only unit that supports both the cost-growth regression in paper 1 and the time-to-launch hazard model in paper 2. Section 4.3 lists the authoritative source series and describes the harvest that pulled architectural attributes and outcome variables from them. Section 4.4 defines each variable, names its primary record, and gives the operational rules that turn that record into a numerical entry on the analysis file. Section 4.5 documents the panel that results: 32 projects, 25 launch events, 7 right-censored observations, and the handful of cells where the underlying GAO assessments report ranges rather than point values. Section 4.6 reports the integrity controls applied before the file went to the estimators of papers 1 and 2, and previews the extensions Chapter 5 will graft onto the same data backbone when it moves from documentary regression onto the model-based instrument proposed in the prospectus</w:t>
      </w:r>
      <w:r>
        <w:t xml:space="preserve"> </w:t>
      </w:r>
      <w:hyperlink w:anchor="ref-1">
        <w:r>
          <w:rPr>
            <w:rStyle w:val="Hyperlink"/>
          </w:rPr>
          <w:t xml:space="preserve">[1]</w:t>
        </w:r>
      </w:hyperlink>
      <w:r>
        <w:t xml:space="preserve">[2][7].</w:t>
      </w:r>
    </w:p>
    <w:bookmarkEnd w:id="82"/>
    <w:bookmarkStart w:id="83" w:name="unit-of-analysis"/>
    <w:p>
      <w:pPr>
        <w:pStyle w:val="Heading2"/>
        <w:spacing w:line="480" w:lineRule="auto"/>
      </w:pPr>
      <w:r>
        <w:t xml:space="preserve">4.2 Unit of Analysis</w:t>
      </w:r>
    </w:p>
    <w:p>
      <w:pPr>
        <w:pStyle w:val="FirstParagraph"/>
        <w:spacing w:line="480" w:lineRule="auto"/>
      </w:pPr>
      <w:r>
        <w:t xml:space="preserve">Every observation is the NASA major project seen at its KDP-C confirmation milestone. That is the unit at which NASA itself baselines life-cycle cost, schedule, and technical content, and at which the U.S. Government Accountability Office in turn assesses the program of record</w:t>
      </w:r>
      <w:r>
        <w:t xml:space="preserve"> </w:t>
      </w:r>
      <w:hyperlink w:anchor="ref-11">
        <w:r>
          <w:rPr>
            <w:rStyle w:val="Hyperlink"/>
          </w:rPr>
          <w:t xml:space="preserve">[11]</w:t>
        </w:r>
      </w:hyperlink>
      <w:r>
        <w:t xml:space="preserve">[13][15]. It is also the unit at which the architecture document set gets fixed for the verification flowdowns that follow under the agency’s systems engineering policy</w:t>
      </w:r>
      <w:r>
        <w:t xml:space="preserve"> </w:t>
      </w:r>
      <w:hyperlink w:anchor="ref-12">
        <w:r>
          <w:rPr>
            <w:rStyle w:val="Hyperlink"/>
          </w:rPr>
          <w:t xml:space="preserve">[12]</w:t>
        </w:r>
      </w:hyperlink>
      <w:r>
        <w:t xml:space="preserve">. Adopting the major project as the unit therefore lines the dissertation’s measurement frame up with the frame of the authority that produces the primary records.</w:t>
      </w:r>
    </w:p>
    <w:p>
      <w:pPr>
        <w:pStyle w:val="BodyText"/>
        <w:spacing w:line="480" w:lineRule="auto"/>
        <w:ind w:firstLine="720"/>
      </w:pPr>
      <w:r>
        <w:t xml:space="preserve">Anchoring every observation at KDP-C rather than at preliminary design review or at launch carries three substantive consequences. It fixes the architectural attributes at the moment they enter the program of record as authorized commitments, the only point at which they can be audited against a subsequent as-built state; the conformance question presumes a baseline, and KDP-C is the baseline NASA itself defends</w:t>
      </w:r>
      <w:r>
        <w:t xml:space="preserve"> </w:t>
      </w:r>
      <w:hyperlink w:anchor="ref-12">
        <w:r>
          <w:rPr>
            <w:rStyle w:val="Hyperlink"/>
          </w:rPr>
          <w:t xml:space="preserve">[12]</w:t>
        </w:r>
      </w:hyperlink>
      <w:r>
        <w:t xml:space="preserve">. It preserves comparability across projects whose later histories diverge sharply, projects that have not yet launched among them, since anchoring at KDP-C lets a launched project and a still-in-development project each contribute an observation while the right-hand side of every regression stays fixed at confirmation regardless of eventual fate. And it renders the survival problem of paper 2 well posed as a Cox formulation: every project enters the risk set at its KDP-C date, and the duration variable counts the months from KDP-C to either the launch event or the right-censoring date.</w:t>
      </w:r>
    </w:p>
    <w:p>
      <w:pPr>
        <w:pStyle w:val="BodyText"/>
        <w:spacing w:line="480" w:lineRule="auto"/>
        <w:ind w:firstLine="720"/>
      </w:pPr>
      <w:r>
        <w:t xml:space="preserve">Two rival units of analysis were considered and rejected. A subsystem-level unit would have allowed a finer audit of interface conformance and would have sat more naturally with the nanosatellite robustness literature</w:t>
      </w:r>
      <w:r>
        <w:t xml:space="preserve"> </w:t>
      </w:r>
      <w:hyperlink w:anchor="ref-4">
        <w:r>
          <w:rPr>
            <w:rStyle w:val="Hyperlink"/>
          </w:rPr>
          <w:t xml:space="preserve">[4]</w:t>
        </w:r>
      </w:hyperlink>
      <w:r>
        <w:t xml:space="preserve"> </w:t>
      </w:r>
      <w:r>
        <w:t xml:space="preserve">and the radiation hardness assurance synthesis</w:t>
      </w:r>
      <w:r>
        <w:t xml:space="preserve"> </w:t>
      </w:r>
      <w:hyperlink w:anchor="ref-6">
        <w:r>
          <w:rPr>
            <w:rStyle w:val="Hyperlink"/>
          </w:rPr>
          <w:t xml:space="preserve">[6]</w:t>
        </w:r>
      </w:hyperlink>
      <w:r>
        <w:t xml:space="preserve">. It fell because GAO does not assess subsystems in the major project series, so the outcome side of the regression could not come from the same authoritative source, and mixing an external outcome record with a developer-supplied one would have reopened exactly the self-report objection the whole design exists to close. A mission-segment unit, used implicitly in post-flight reconstructions such as the Schiaparelli analysis</w:t>
      </w:r>
      <w:r>
        <w:t xml:space="preserve"> </w:t>
      </w:r>
      <w:hyperlink w:anchor="ref-5">
        <w:r>
          <w:rPr>
            <w:rStyle w:val="Hyperlink"/>
          </w:rPr>
          <w:t xml:space="preserve">[5]</w:t>
        </w:r>
      </w:hyperlink>
      <w:r>
        <w:t xml:space="preserve"> </w:t>
      </w:r>
      <w:r>
        <w:t xml:space="preserve">and the Solar Orbiter EPD shock verification record</w:t>
      </w:r>
      <w:r>
        <w:t xml:space="preserve"> </w:t>
      </w:r>
      <w:hyperlink w:anchor="ref-3">
        <w:r>
          <w:rPr>
            <w:rStyle w:val="Hyperlink"/>
          </w:rPr>
          <w:t xml:space="preserve">[3]</w:t>
        </w:r>
      </w:hyperlink>
      <w:r>
        <w:t xml:space="preserve">, fell for the same reason: the segment is the natural unit for forensic verification and not for portfolio-level conformance, and no external authority reports segment-level cost and schedule outcomes across the portfolio on a consistent annual cadence. Chapter 7 comes back to the subsystem and segment units as natural extensions once the audit instrument is released for use beyond the headline sample, where the self-report objection weakens because the audit is no longer the primary evidentiary record.</w:t>
      </w:r>
    </w:p>
    <w:bookmarkEnd w:id="83"/>
    <w:bookmarkStart w:id="84" w:name="authoritative-source-series"/>
    <w:p>
      <w:pPr>
        <w:pStyle w:val="Heading2"/>
        <w:spacing w:line="480" w:lineRule="auto"/>
      </w:pPr>
      <w:r>
        <w:t xml:space="preserve">4.3 Authoritative Source Series</w:t>
      </w:r>
    </w:p>
    <w:p>
      <w:pPr>
        <w:pStyle w:val="FirstParagraph"/>
        <w:spacing w:line="480" w:lineRule="auto"/>
      </w:pPr>
      <w:r>
        <w:t xml:space="preserve">Three source series jointly furnish the data for the two papers. Each is publicly accessible, citable by document number, and produced by an authority outside the developing center or contractor. No row in the analysis file draws its values from a developer self-report or from an internal program document not also referenced by an external authority.</w:t>
      </w:r>
    </w:p>
    <w:p>
      <w:pPr>
        <w:pStyle w:val="BodyText"/>
        <w:spacing w:line="480" w:lineRule="auto"/>
        <w:ind w:firstLine="720"/>
      </w:pPr>
      <w:r>
        <w:t xml:space="preserve">First and central is the GAO Major Project Assessments series, appearing in the dissertation as references</w:t>
      </w:r>
      <w:r>
        <w:t xml:space="preserve"> </w:t>
      </w:r>
      <w:hyperlink w:anchor="ref-11">
        <w:r>
          <w:rPr>
            <w:rStyle w:val="Hyperlink"/>
          </w:rPr>
          <w:t xml:space="preserve">[11]</w:t>
        </w:r>
      </w:hyperlink>
      <w:r>
        <w:t xml:space="preserve">,</w:t>
      </w:r>
      <w:r>
        <w:t xml:space="preserve"> </w:t>
      </w:r>
      <w:hyperlink w:anchor="ref-13">
        <w:r>
          <w:rPr>
            <w:rStyle w:val="Hyperlink"/>
          </w:rPr>
          <w:t xml:space="preserve">[13]</w:t>
        </w:r>
      </w:hyperlink>
      <w:r>
        <w:t xml:space="preserve"> </w:t>
      </w:r>
      <w:r>
        <w:t xml:space="preserve">for the early portfolio and</w:t>
      </w:r>
      <w:r>
        <w:t xml:space="preserve"> </w:t>
      </w:r>
      <w:hyperlink w:anchor="ref-15">
        <w:r>
          <w:rPr>
            <w:rStyle w:val="Hyperlink"/>
          </w:rPr>
          <w:t xml:space="preserve">[15]</w:t>
        </w:r>
      </w:hyperlink>
      <w:r>
        <w:t xml:space="preserve"> </w:t>
      </w:r>
      <w:r>
        <w:t xml:space="preserve">for the consolidated 2022 through 2025 vintages, and enumerated in paper 2 across</w:t>
      </w:r>
      <w:r>
        <w:t xml:space="preserve"> </w:t>
      </w:r>
      <w:hyperlink w:anchor="ref-1">
        <w:r>
          <w:rPr>
            <w:rStyle w:val="Hyperlink"/>
          </w:rPr>
          <w:t xml:space="preserve">[1]</w:t>
        </w:r>
      </w:hyperlink>
      <w:r>
        <w:t xml:space="preserve"> </w:t>
      </w:r>
      <w:r>
        <w:t xml:space="preserve">through</w:t>
      </w:r>
      <w:r>
        <w:t xml:space="preserve"> </w:t>
      </w:r>
      <w:hyperlink w:anchor="ref-9">
        <w:r>
          <w:rPr>
            <w:rStyle w:val="Hyperlink"/>
          </w:rPr>
          <w:t xml:space="preserve">[9]</w:t>
        </w:r>
      </w:hyperlink>
      <w:r>
        <w:t xml:space="preserve"> </w:t>
      </w:r>
      <w:r>
        <w:t xml:space="preserve">of that paper’s reference list. It is the spine of the dataset. Each annual assessment reports, for every NASA major project in the portfolio, a confirmation baseline life-cycle cost, a current life-cycle cost estimate, a schedule baseline and current schedule, and a narrative on technical content that covers interface posture, heritage posture, and critical-technology readiness. The series opens in 2009 with GAO-09-306SP and continues annually, the most recent assessment used in this dissertation being GAO-25-107591, reported in the consolidated 2022 through 2025 citation</w:t>
      </w:r>
      <w:r>
        <w:t xml:space="preserve"> </w:t>
      </w:r>
      <w:hyperlink w:anchor="ref-15">
        <w:r>
          <w:rPr>
            <w:rStyle w:val="Hyperlink"/>
          </w:rPr>
          <w:t xml:space="preserve">[15]</w:t>
        </w:r>
      </w:hyperlink>
      <w:r>
        <w:t xml:space="preserve">. Two passes harvest it: a structured pass that lifts the numerical baseline and current values from the project assessment tables, and an unstructured pass that codes the narrative for the architectural attributes that never get tabulated.</w:t>
      </w:r>
    </w:p>
    <w:p>
      <w:pPr>
        <w:pStyle w:val="BodyText"/>
        <w:spacing w:line="480" w:lineRule="auto"/>
        <w:ind w:firstLine="720"/>
      </w:pPr>
      <w:r>
        <w:t xml:space="preserve">Second comes the NASA systems engineering policy and its supporting documentation, principally the NASA Systems Engineering Handbook NASA/SP-2016-6105 Rev2</w:t>
      </w:r>
      <w:r>
        <w:t xml:space="preserve"> </w:t>
      </w:r>
      <w:hyperlink w:anchor="ref-12">
        <w:r>
          <w:rPr>
            <w:rStyle w:val="Hyperlink"/>
          </w:rPr>
          <w:t xml:space="preserve">[12]</w:t>
        </w:r>
      </w:hyperlink>
      <w:r>
        <w:t xml:space="preserve">. The handbook furnishes no analysis variable, and it furnishes the definitional spine for the architectural attributes the GAO narratives describe. Where the GAO narrative names a major interface, the handbook’s definition of an interface control document set decides whether the referenced item meets the dissertation’s coding rule. Where the GAO narrative names heritage subsystems, the handbook’s definitions of flight-proven status decide whether the referenced item is a true heritage element or a redesign. Where the GAO narrative names critical technology readiness, the handbook’s adoption of the technology readiness level scale, which traces in turn to the retrospective in</w:t>
      </w:r>
      <w:r>
        <w:t xml:space="preserve"> </w:t>
      </w:r>
      <w:hyperlink w:anchor="ref-14">
        <w:r>
          <w:rPr>
            <w:rStyle w:val="Hyperlink"/>
          </w:rPr>
          <w:t xml:space="preserve">[14]</w:t>
        </w:r>
      </w:hyperlink>
      <w:r>
        <w:t xml:space="preserve">, converts narrative language into the integer TRL field. So the handbook plays the role a chart of accounts plays in a financial audit: it produces no number, and it disciplines the translation of evidence into one.</w:t>
      </w:r>
    </w:p>
    <w:p>
      <w:pPr>
        <w:pStyle w:val="BodyText"/>
        <w:spacing w:line="480" w:lineRule="auto"/>
        <w:ind w:firstLine="720"/>
      </w:pPr>
      <w:r>
        <w:t xml:space="preserve">Third is the public NASA mission record: launch announcements, end-of-mission reports, and project plan summaries NASA itself publishes through the agency’s mission pages and the NASA Technical Reports Server. These furnish the launch dates that close out the duration variable in paper 2 and confirm the launch life-cycle cost figures used as the dependent variable in paper 1. Where a project has been formally canceled or placed in indefinite hold, the cancellation or hold notice from the public NASA record marks the censoring date. The Mars Sample Return campaign concept status paper</w:t>
      </w:r>
      <w:r>
        <w:t xml:space="preserve"> </w:t>
      </w:r>
      <w:hyperlink w:anchor="ref-31">
        <w:r>
          <w:rPr>
            <w:rStyle w:val="Hyperlink"/>
          </w:rPr>
          <w:t xml:space="preserve">[31]</w:t>
        </w:r>
      </w:hyperlink>
      <w:r>
        <w:t xml:space="preserve"> </w:t>
      </w:r>
      <w:r>
        <w:t xml:space="preserve">serves not as a primary record but as a corroborating reference for the campaign baseline narrative, in keeping with the rule that peer-reviewed material is corroborative rather than authoritative when the same fact appears in a GAO assessment.</w:t>
      </w:r>
    </w:p>
    <w:p>
      <w:pPr>
        <w:pStyle w:val="BodyText"/>
        <w:spacing w:line="480" w:lineRule="auto"/>
        <w:ind w:firstLine="720"/>
      </w:pPr>
      <w:r>
        <w:t xml:space="preserve">Where the architectural literature illuminates the construction of a variable, the dissertation cites it and stops short of elevating it to a data source. The model-based trade study and architecture optimization literature</w:t>
      </w:r>
      <w:r>
        <w:t xml:space="preserve"> </w:t>
      </w:r>
      <w:hyperlink w:anchor="ref-1">
        <w:r>
          <w:rPr>
            <w:rStyle w:val="Hyperlink"/>
          </w:rPr>
          <w:t xml:space="preserve">[1]</w:t>
        </w:r>
      </w:hyperlink>
      <w:r>
        <w:t xml:space="preserve">[2][7] informs the interface attribute by fixing what counts as a major interface in a contemporary sensor or constellation architecture. The post-flight reconstruction and verification literature</w:t>
      </w:r>
      <w:r>
        <w:t xml:space="preserve"> </w:t>
      </w:r>
      <w:hyperlink w:anchor="ref-3">
        <w:r>
          <w:rPr>
            <w:rStyle w:val="Hyperlink"/>
          </w:rPr>
          <w:t xml:space="preserve">[3]</w:t>
        </w:r>
      </w:hyperlink>
      <w:r>
        <w:t xml:space="preserve">[5] informs the heritage attribute by fixing what counts as a flight-proven subsystem in current practice. The radiation hardness assurance synthesis</w:t>
      </w:r>
      <w:r>
        <w:t xml:space="preserve"> </w:t>
      </w:r>
      <w:hyperlink w:anchor="ref-6">
        <w:r>
          <w:rPr>
            <w:rStyle w:val="Hyperlink"/>
          </w:rPr>
          <w:t xml:space="preserve">[6]</w:t>
        </w:r>
      </w:hyperlink>
      <w:r>
        <w:t xml:space="preserve"> </w:t>
      </w:r>
      <w:r>
        <w:t xml:space="preserve">and the nanosatellite robustness corpus</w:t>
      </w:r>
      <w:r>
        <w:t xml:space="preserve"> </w:t>
      </w:r>
      <w:hyperlink w:anchor="ref-4">
        <w:r>
          <w:rPr>
            <w:rStyle w:val="Hyperlink"/>
          </w:rPr>
          <w:t xml:space="preserve">[4]</w:t>
        </w:r>
      </w:hyperlink>
      <w:r>
        <w:t xml:space="preserve"> </w:t>
      </w:r>
      <w:r>
        <w:t xml:space="preserve">inform the critical-technology attribute by fixing what counts as a critical technology in subsystems at the edge of qualification. None of these references drops a numerical cell into the analysis file. Each drops a coding rule applied to the primary record before the cell is populated.</w:t>
      </w:r>
    </w:p>
    <w:bookmarkEnd w:id="84"/>
    <w:bookmarkStart w:id="85" w:name="variable-construction"/>
    <w:p>
      <w:pPr>
        <w:pStyle w:val="Heading2"/>
        <w:spacing w:line="480" w:lineRule="auto"/>
      </w:pPr>
      <w:r>
        <w:t xml:space="preserve">4.4 Variable Construction</w:t>
      </w:r>
    </w:p>
    <w:p>
      <w:pPr>
        <w:pStyle w:val="FirstParagraph"/>
        <w:spacing w:line="480" w:lineRule="auto"/>
      </w:pPr>
      <w:r>
        <w:t xml:space="preserve">For each of the 32 projects, the analysis file used by paper 1 and paper 2 holds the following variables. Each is defined here against its primary record and against the coding rule applied during harvest.</w:t>
      </w:r>
    </w:p>
    <w:p>
      <w:pPr>
        <w:pStyle w:val="BodyText"/>
        <w:spacing w:line="480" w:lineRule="auto"/>
        <w:ind w:firstLine="720"/>
      </w:pPr>
      <w:r>
        <w:rPr>
          <w:b/>
          <w:bCs/>
        </w:rPr>
        <w:t xml:space="preserve">Project identifier.</w:t>
      </w:r>
      <w:r>
        <w:t xml:space="preserve"> </w:t>
      </w:r>
      <w:r>
        <w:t xml:space="preserve">A short text key: the NASA project name as printed on the cover of the most recent GAO assessment that includes the project. It is the join key against the public NASA mission record and against subsequent GAO vintages, and it carries no information the estimators use.</w:t>
      </w:r>
    </w:p>
    <w:p>
      <w:pPr>
        <w:pStyle w:val="BodyText"/>
        <w:spacing w:line="480" w:lineRule="auto"/>
        <w:ind w:firstLine="720"/>
      </w:pPr>
      <w:r>
        <w:rPr>
          <w:b/>
          <w:bCs/>
        </w:rPr>
        <w:t xml:space="preserve">KDP-C date.</w:t>
      </w:r>
      <w:r>
        <w:t xml:space="preserve"> </w:t>
      </w:r>
      <w:r>
        <w:t xml:space="preserve">Month and year of the confirmation review as recorded in the first GAO assessment in which the project appears post-confirmation. It enters paper 2 as the origin of the duration variable. Where the assessment reports only a year, the date gets set to mid-year and a flag goes up; in the present panel no estimation result rides on a project whose KDP-C date is known only to year resolution.</w:t>
      </w:r>
    </w:p>
    <w:p>
      <w:pPr>
        <w:pStyle w:val="BodyText"/>
        <w:spacing w:line="480" w:lineRule="auto"/>
        <w:ind w:firstLine="720"/>
      </w:pPr>
      <w:r>
        <w:rPr>
          <w:b/>
          <w:bCs/>
        </w:rPr>
        <w:t xml:space="preserve">Launch event indicator.</w:t>
      </w:r>
      <w:r>
        <w:t xml:space="preserve"> </w:t>
      </w:r>
      <w:r>
        <w:t xml:space="preserve">A binary variable, 1 if the project has launched as of the cut-off date of the most recent GAO assessment used in the panel, 0 otherwise. The cut-off date is fixed at the publication date of the most recent assessment in</w:t>
      </w:r>
      <w:r>
        <w:t xml:space="preserve"> </w:t>
      </w:r>
      <w:hyperlink w:anchor="ref-15">
        <w:r>
          <w:rPr>
            <w:rStyle w:val="Hyperlink"/>
          </w:rPr>
          <w:t xml:space="preserve">[15]</w:t>
        </w:r>
      </w:hyperlink>
      <w:r>
        <w:t xml:space="preserve">. Twenty-five projects carry an event value of 1; seven are right-censored at 0. The seven are Roman, Mars Sample Return (MSR), Dragonfly, VIPER, Artemis II Exploration Ground Systems (EGS), Gateway HALO/PPE, and the Human Landing System (HLS), all explicitly named in paper 2’s discussion of the censoring tail.</w:t>
      </w:r>
    </w:p>
    <w:p>
      <w:pPr>
        <w:pStyle w:val="BodyText"/>
        <w:spacing w:line="480" w:lineRule="auto"/>
        <w:ind w:firstLine="720"/>
      </w:pPr>
      <w:r>
        <w:rPr>
          <w:b/>
          <w:bCs/>
        </w:rPr>
        <w:t xml:space="preserve">Duration in months.</w:t>
      </w:r>
      <w:r>
        <w:t xml:space="preserve"> </w:t>
      </w:r>
      <w:r>
        <w:t xml:space="preserve">For launched projects, the integer count of months from KDP-C to launch as recorded in the public NASA mission record. For right-censored projects, the integer count of months from KDP-C to the cut-off date of the most recent GAO assessment that reports the project’s status. It enters paper 2 as the time variable for the Cox proportional-hazards estimator.</w:t>
      </w:r>
    </w:p>
    <w:p>
      <w:pPr>
        <w:pStyle w:val="BodyText"/>
        <w:spacing w:line="480" w:lineRule="auto"/>
        <w:ind w:firstLine="720"/>
      </w:pPr>
      <w:r>
        <w:rPr>
          <w:b/>
          <w:bCs/>
        </w:rPr>
        <w:t xml:space="preserve">Confirmation life-cycle cost baseline.</w:t>
      </w:r>
      <w:r>
        <w:t xml:space="preserve"> </w:t>
      </w:r>
      <w:r>
        <w:t xml:space="preserve">The life-cycle cost figure reported in the first GAO assessment that records the project’s KDP-C confirmation, in current-year dollars as published by GAO. Where a later GAO assessment restates the confirmation baseline, the original confirmation value is preserved and the restatement recorded in a separate field used only for sensitivity analysis. This value enters paper 1 as the denominator of the cost-growth dependent variable.</w:t>
      </w:r>
    </w:p>
    <w:p>
      <w:pPr>
        <w:pStyle w:val="BodyText"/>
        <w:spacing w:line="480" w:lineRule="auto"/>
        <w:ind w:firstLine="720"/>
      </w:pPr>
      <w:r>
        <w:rPr>
          <w:b/>
          <w:bCs/>
        </w:rPr>
        <w:t xml:space="preserve">Launch life-cycle cost.</w:t>
      </w:r>
      <w:r>
        <w:t xml:space="preserve"> </w:t>
      </w:r>
      <w:r>
        <w:t xml:space="preserve">The life-cycle cost figure reported in the GAO assessment closest in time to the actual launch date, in the same current-year basis as the baseline. For the handful of recently launched projects whose end-of-mission accounting is still open, the most recent GAO life-cycle cost estimate stands in and the project is flagged for re-estimation when the next vintage of GAO assessments arrives. This value enters paper 1 as the numerator of the cost-growth ratio.</w:t>
      </w:r>
    </w:p>
    <w:p>
      <w:pPr>
        <w:pStyle w:val="BodyText"/>
        <w:spacing w:line="480" w:lineRule="auto"/>
        <w:ind w:firstLine="720"/>
      </w:pPr>
      <w:r>
        <w:rPr>
          <w:b/>
          <w:bCs/>
        </w:rPr>
        <w:t xml:space="preserve">Cost growth in percent.</w:t>
      </w:r>
      <w:r>
        <w:t xml:space="preserve"> </w:t>
      </w:r>
      <w:r>
        <w:t xml:space="preserve">The percent change between the confirmation life-cycle cost baseline and the launch life-cycle cost, computed straight from the two preceding variables. It is the dependent variable in paper 1. It is also carried in paper 2 as a descriptive covariate and used as no regressor in the hazard model.</w:t>
      </w:r>
    </w:p>
    <w:p>
      <w:pPr>
        <w:pStyle w:val="BodyText"/>
        <w:spacing w:line="480" w:lineRule="auto"/>
        <w:ind w:firstLine="720"/>
      </w:pPr>
      <w:r>
        <w:rPr>
          <w:b/>
          <w:bCs/>
        </w:rPr>
        <w:t xml:space="preserve">Interface count at KDP-C.</w:t>
      </w:r>
      <w:r>
        <w:t xml:space="preserve"> </w:t>
      </w:r>
      <w:r>
        <w:t xml:space="preserve">The number of major interfaces in the project’s interface control document set at the confirmation milestone, as described in the GAO narrative for the confirmation cycle and as defined by the interface taxonomy of the NASA Systems Engineering Handbook</w:t>
      </w:r>
      <w:r>
        <w:t xml:space="preserve"> </w:t>
      </w:r>
      <w:hyperlink w:anchor="ref-12">
        <w:r>
          <w:rPr>
            <w:rStyle w:val="Hyperlink"/>
          </w:rPr>
          <w:t xml:space="preserve">[12]</w:t>
        </w:r>
      </w:hyperlink>
      <w:r>
        <w:t xml:space="preserve">. The coding rule counts as a major interface any spacecraft-to-launch-vehicle, spacecraft-to-payload, spacecraft-to-ground, or inter-spacecraft electrical, mechanical, or data interface the GAO narrative explicitly enumerates as integration-bearing. Internal sub-allocations within a single subsystem drop out. The model-based architecture trade study literature</w:t>
      </w:r>
      <w:r>
        <w:t xml:space="preserve"> </w:t>
      </w:r>
      <w:hyperlink w:anchor="ref-1">
        <w:r>
          <w:rPr>
            <w:rStyle w:val="Hyperlink"/>
          </w:rPr>
          <w:t xml:space="preserve">[1]</w:t>
        </w:r>
      </w:hyperlink>
      <w:r>
        <w:t xml:space="preserve">[7] establishes that this counting convention matches the architectural decisions actually made at the trade level. For one project in the panel, the Starship HLS option, the underlying GAO assessment reports a range rather than a point value; the file records the midpoint and flags the cell as illustrative. That flagged cell falls on a right-censored observation and serves as no outcome variable.</w:t>
      </w:r>
    </w:p>
    <w:p>
      <w:pPr>
        <w:pStyle w:val="BodyText"/>
        <w:spacing w:line="480" w:lineRule="auto"/>
        <w:ind w:firstLine="720"/>
      </w:pPr>
      <w:r>
        <w:rPr>
          <w:b/>
          <w:bCs/>
        </w:rPr>
        <w:t xml:space="preserve">Heritage percentage.</w:t>
      </w:r>
      <w:r>
        <w:t xml:space="preserve"> </w:t>
      </w:r>
      <w:r>
        <w:t xml:space="preserve">The percentage of the project’s subsystems the GAO narrative describes as flight-proven or directly inherited from a prior flight program. The coding rule applies the handbook’s flight-proven definition</w:t>
      </w:r>
      <w:r>
        <w:t xml:space="preserve"> </w:t>
      </w:r>
      <w:hyperlink w:anchor="ref-12">
        <w:r>
          <w:rPr>
            <w:rStyle w:val="Hyperlink"/>
          </w:rPr>
          <w:t xml:space="preserve">[12]</w:t>
        </w:r>
      </w:hyperlink>
      <w:r>
        <w:t xml:space="preserve"> </w:t>
      </w:r>
      <w:r>
        <w:t xml:space="preserve">and counts subsystems described as redesigns or as significant modifications of a prior subsystem as non-heritage. Heritage percentage runs between 0 and 100. Where the GAO narrative quantifies the heritage posture directly, that quantification stands. Where the narrative is qualitative, two independent coders translate the posture into a percentage band, and the midpoint of the band goes on the file. Inter-coder agreement on the qualitative cases is reported in Chapter 6.</w:t>
      </w:r>
    </w:p>
    <w:p>
      <w:pPr>
        <w:pStyle w:val="BodyText"/>
        <w:spacing w:line="480" w:lineRule="auto"/>
        <w:ind w:firstLine="720"/>
      </w:pPr>
      <w:r>
        <w:rPr>
          <w:b/>
          <w:bCs/>
        </w:rPr>
        <w:t xml:space="preserve">Lowest critical-technology TRL at KDP-C.</w:t>
      </w:r>
      <w:r>
        <w:t xml:space="preserve"> </w:t>
      </w:r>
      <w:r>
        <w:t xml:space="preserve">The minimum technology readiness level among the project’s critical technologies at confirmation, an integer on the 1 through 9 scale formalized in the Mankins retrospective</w:t>
      </w:r>
      <w:r>
        <w:t xml:space="preserve"> </w:t>
      </w:r>
      <w:hyperlink w:anchor="ref-14">
        <w:r>
          <w:rPr>
            <w:rStyle w:val="Hyperlink"/>
          </w:rPr>
          <w:t xml:space="preserve">[14]</w:t>
        </w:r>
      </w:hyperlink>
      <w:r>
        <w:t xml:space="preserve"> </w:t>
      </w:r>
      <w:r>
        <w:t xml:space="preserve">and adopted by the NASA Systems Engineering Handbook</w:t>
      </w:r>
      <w:r>
        <w:t xml:space="preserve"> </w:t>
      </w:r>
      <w:hyperlink w:anchor="ref-12">
        <w:r>
          <w:rPr>
            <w:rStyle w:val="Hyperlink"/>
          </w:rPr>
          <w:t xml:space="preserve">[12]</w:t>
        </w:r>
      </w:hyperlink>
      <w:r>
        <w:t xml:space="preserve">. The coding rule counts as critical any technology the GAO narrative explicitly identifies as critical or as short of the agency’s policy threshold of TRL 6 at confirmation. Where several critical technologies appear, the minimum across them goes on the file, since the binding constraint on integration is the least mature critical element.</w:t>
      </w:r>
    </w:p>
    <w:p>
      <w:pPr>
        <w:pStyle w:val="BodyText"/>
        <w:spacing w:line="480" w:lineRule="auto"/>
        <w:ind w:firstLine="720"/>
      </w:pPr>
      <w:r>
        <w:rPr>
          <w:b/>
          <w:bCs/>
        </w:rPr>
        <w:t xml:space="preserve">Cost growth from baseline (descriptive).</w:t>
      </w:r>
      <w:r>
        <w:t xml:space="preserve"> </w:t>
      </w:r>
      <w:r>
        <w:t xml:space="preserve">Carried in paper 2 for descriptive context alone and used as no regressor. It is the same variable that serves as the dependent variable in paper 1, folded into paper 2’s panel so the cost and schedule outcomes can be reported jointly in cross-tabulations.</w:t>
      </w:r>
    </w:p>
    <w:p>
      <w:pPr>
        <w:pStyle w:val="BodyText"/>
        <w:spacing w:line="480" w:lineRule="auto"/>
        <w:ind w:firstLine="720"/>
      </w:pPr>
      <w:r>
        <w:t xml:space="preserve">The full GAO Major Project Assessments series behind these variables is enumerated in paper 2’s reference list across</w:t>
      </w:r>
      <w:r>
        <w:t xml:space="preserve"> </w:t>
      </w:r>
      <w:hyperlink w:anchor="ref-1">
        <w:r>
          <w:rPr>
            <w:rStyle w:val="Hyperlink"/>
          </w:rPr>
          <w:t xml:space="preserve">[1]</w:t>
        </w:r>
      </w:hyperlink>
      <w:r>
        <w:t xml:space="preserve"> </w:t>
      </w:r>
      <w:r>
        <w:t xml:space="preserve">through</w:t>
      </w:r>
      <w:r>
        <w:t xml:space="preserve"> </w:t>
      </w:r>
      <w:hyperlink w:anchor="ref-9">
        <w:r>
          <w:rPr>
            <w:rStyle w:val="Hyperlink"/>
          </w:rPr>
          <w:t xml:space="preserve">[9]</w:t>
        </w:r>
      </w:hyperlink>
      <w:r>
        <w:t xml:space="preserve"> </w:t>
      </w:r>
      <w:r>
        <w:t xml:space="preserve">of that paper, corresponding in the consolidated dissertation reference pool to</w:t>
      </w:r>
      <w:r>
        <w:t xml:space="preserve"> </w:t>
      </w:r>
      <w:hyperlink w:anchor="ref-11">
        <w:r>
          <w:rPr>
            <w:rStyle w:val="Hyperlink"/>
          </w:rPr>
          <w:t xml:space="preserve">[11]</w:t>
        </w:r>
      </w:hyperlink>
      <w:r>
        <w:t xml:space="preserve">,</w:t>
      </w:r>
      <w:r>
        <w:t xml:space="preserve"> </w:t>
      </w:r>
      <w:hyperlink w:anchor="ref-13">
        <w:r>
          <w:rPr>
            <w:rStyle w:val="Hyperlink"/>
          </w:rPr>
          <w:t xml:space="preserve">[13]</w:t>
        </w:r>
      </w:hyperlink>
      <w:r>
        <w:t xml:space="preserve">, and</w:t>
      </w:r>
      <w:r>
        <w:t xml:space="preserve"> </w:t>
      </w:r>
      <w:hyperlink w:anchor="ref-15">
        <w:r>
          <w:rPr>
            <w:rStyle w:val="Hyperlink"/>
          </w:rPr>
          <w:t xml:space="preserve">[15]</w:t>
        </w:r>
      </w:hyperlink>
      <w:r>
        <w:t xml:space="preserve">. The Mankins retrospective</w:t>
      </w:r>
      <w:r>
        <w:t xml:space="preserve"> </w:t>
      </w:r>
      <w:hyperlink w:anchor="ref-14">
        <w:r>
          <w:rPr>
            <w:rStyle w:val="Hyperlink"/>
          </w:rPr>
          <w:t xml:space="preserve">[14]</w:t>
        </w:r>
      </w:hyperlink>
      <w:r>
        <w:t xml:space="preserve"> </w:t>
      </w:r>
      <w:r>
        <w:t xml:space="preserve">is cited where the TRL scale is operationalized. The NASA Systems Engineering Handbook</w:t>
      </w:r>
      <w:r>
        <w:t xml:space="preserve"> </w:t>
      </w:r>
      <w:hyperlink w:anchor="ref-12">
        <w:r>
          <w:rPr>
            <w:rStyle w:val="Hyperlink"/>
          </w:rPr>
          <w:t xml:space="preserve">[12]</w:t>
        </w:r>
      </w:hyperlink>
      <w:r>
        <w:t xml:space="preserve"> </w:t>
      </w:r>
      <w:r>
        <w:t xml:space="preserve">is cited at every coding rule that turns a GAO narrative into a numerical cell.</w:t>
      </w:r>
    </w:p>
    <w:bookmarkEnd w:id="85"/>
    <w:bookmarkStart w:id="86" w:name="the-resulting-panel"/>
    <w:p>
      <w:pPr>
        <w:pStyle w:val="Heading2"/>
        <w:spacing w:line="480" w:lineRule="auto"/>
      </w:pPr>
      <w:r>
        <w:t xml:space="preserve">4.5 The Resulting Panel</w:t>
      </w:r>
    </w:p>
    <w:p>
      <w:pPr>
        <w:pStyle w:val="FirstParagraph"/>
        <w:spacing w:line="480" w:lineRule="auto"/>
      </w:pPr>
      <w:r>
        <w:t xml:space="preserve">Out of the harvest comes a panel of 32 projects whose KDP-C dates fall between 2005 and 2023 and which appear in the GAO Major Project Assessments series between 2009 and 2025. Twenty-five of the 32 have launched as of the cut-off date and contribute event observations to the Cox model in paper 2; seven are right-censored at the cut-off and contribute censored observations only. The same 32 projects, cut to the 25 launched cases with an observed launch life-cycle cost, supply the regression sample for paper 1’s ordinary least squares estimator. So the asymmetry between the two papers’ effective sample sizes, 32 with 25 events in paper 2 and 25 launched projects in paper 1, is a direct and intended consequence of the design rather than an artifact of separate data harvests.</w:t>
      </w:r>
    </w:p>
    <w:p>
      <w:pPr>
        <w:pStyle w:val="BodyText"/>
        <w:spacing w:line="480" w:lineRule="auto"/>
        <w:ind w:firstLine="720"/>
      </w:pPr>
      <w:r>
        <w:t xml:space="preserve">Two cells in the file carry illustrative flags because the underlying GAO assessments report ranges rather than point values: the cost-growth figure for Mars Sample Return, right-censored in any case and therefore no influence on the paper 1 regression, and the interface count for the Starship HLS option, likewise right-censored. The flagged cells run fewer than five percent of the cells used in either estimator, and neither is an outcome variable. So the integrity of the headline results in papers 1 and 2 rides on none of the flagged cells.</w:t>
      </w:r>
    </w:p>
    <w:p>
      <w:pPr>
        <w:pStyle w:val="BodyText"/>
        <w:spacing w:line="480" w:lineRule="auto"/>
        <w:ind w:firstLine="720"/>
      </w:pPr>
      <w:r>
        <w:t xml:space="preserve">The panel is not balanced across mission classes. Over the harvest window the portfolio leans toward science missions, with a smaller exploration tail and a smaller heliophysics and Earth science tail. The dissertation does not weight by mission class in the headline estimators of papers 1 and 2, on the reasoning that the conformance question is portfolio-wide and that mission-class controls belong only once the prospectus’s MBSE versus document-centric comparison</w:t>
      </w:r>
      <w:r>
        <w:t xml:space="preserve"> </w:t>
      </w:r>
      <w:hyperlink w:anchor="ref-1">
        <w:r>
          <w:rPr>
            <w:rStyle w:val="Hyperlink"/>
          </w:rPr>
          <w:t xml:space="preserve">[1]</w:t>
        </w:r>
      </w:hyperlink>
      <w:r>
        <w:t xml:space="preserve">[2][7] gets operationalized in Chapter 6. The within-contractor identification strategy from the prospectus is likewise held for Chapter 6 and used in neither of the two papers reported here, both of which estimate population-level associations on the full 32-project panel.</w:t>
      </w:r>
    </w:p>
    <w:bookmarkEnd w:id="86"/>
    <w:bookmarkStart w:id="87" w:name="integrity-controls-and-forward-linkage"/>
    <w:p>
      <w:pPr>
        <w:pStyle w:val="Heading2"/>
        <w:spacing w:line="480" w:lineRule="auto"/>
      </w:pPr>
      <w:r>
        <w:t xml:space="preserve">4.6 Integrity Controls and Forward Linkage</w:t>
      </w:r>
    </w:p>
    <w:p>
      <w:pPr>
        <w:pStyle w:val="FirstParagraph"/>
        <w:spacing w:line="480" w:lineRule="auto"/>
      </w:pPr>
      <w:r>
        <w:t xml:space="preserve">Three integrity controls hit the analysis file before it went to the estimators. Every numerical cell was traced back to a specific GAO document number and a specific table or paragraph inside that document, and the trace recorded in a source column that travels with the file. The cost values were normalized to the dollar basis published by the most recent GAO assessment that reports both the baseline and the current value for each project, so no cost-growth percentage gets computed across inconsistent dollar bases. And the inter-coder agreement procedure from the prospectus was applied to the qualitative cells, namely the heritage percentage where the GAO narrative runs non-quantitative and the critical-technology TRL where the GAO narrative names a technology without naming a level. That procedure follows the three-coder protocol the prospectus specifies and reports agreement statistics in Chapter 6.</w:t>
      </w:r>
    </w:p>
    <w:p>
      <w:pPr>
        <w:pStyle w:val="BodyText"/>
        <w:spacing w:line="480" w:lineRule="auto"/>
        <w:ind w:firstLine="720"/>
      </w:pPr>
      <w:r>
        <w:t xml:space="preserve">The chapter closes by previewing how this data backbone feeds the rest. Chapter 5 extends the variable definitions to the model-based instrument from the prospectus by adding a commitment-level coding layer over the same 32-project panel, anchored on the architecture trade study taxonomy of</w:t>
      </w:r>
      <w:r>
        <w:t xml:space="preserve"> </w:t>
      </w:r>
      <w:hyperlink w:anchor="ref-1">
        <w:r>
          <w:rPr>
            <w:rStyle w:val="Hyperlink"/>
          </w:rPr>
          <w:t xml:space="preserve">[1]</w:t>
        </w:r>
      </w:hyperlink>
      <w:r>
        <w:t xml:space="preserve"> </w:t>
      </w:r>
      <w:r>
        <w:t xml:space="preserve">and</w:t>
      </w:r>
      <w:r>
        <w:t xml:space="preserve"> </w:t>
      </w:r>
      <w:hyperlink w:anchor="ref-7">
        <w:r>
          <w:rPr>
            <w:rStyle w:val="Hyperlink"/>
          </w:rPr>
          <w:t xml:space="preserve">[7]</w:t>
        </w:r>
      </w:hyperlink>
      <w:r>
        <w:t xml:space="preserve"> </w:t>
      </w:r>
      <w:r>
        <w:t xml:space="preserve">and extended to subsystem and operational concepts using</w:t>
      </w:r>
      <w:r>
        <w:t xml:space="preserve"> </w:t>
      </w:r>
      <w:hyperlink w:anchor="ref-4">
        <w:r>
          <w:rPr>
            <w:rStyle w:val="Hyperlink"/>
          </w:rPr>
          <w:t xml:space="preserve">[4]</w:t>
        </w:r>
      </w:hyperlink>
      <w:r>
        <w:t xml:space="preserve"> </w:t>
      </w:r>
      <w:r>
        <w:t xml:space="preserve">and</w:t>
      </w:r>
      <w:r>
        <w:t xml:space="preserve"> </w:t>
      </w:r>
      <w:hyperlink w:anchor="ref-10">
        <w:r>
          <w:rPr>
            <w:rStyle w:val="Hyperlink"/>
          </w:rPr>
          <w:t xml:space="preserve">[10]</w:t>
        </w:r>
      </w:hyperlink>
      <w:r>
        <w:t xml:space="preserve">. Chapter 6 develops the within-contractor identification strategy by joining contractor identity onto the file from the public NASA contract record and picking the within-contractor pairs the strategy exploits. Chapter 7 stratifies the panel by post-flight evidence completeness, splitting the evidence-rich stratum that supports the falsifiable conformance score from the evidence-thin stratum reported separately. Chapter 8 prepares the released audit instrument by exporting the variable definitions and coding rules of this chapter into the public rubric and reference implementation the prospectus promised.</w:t>
      </w:r>
    </w:p>
    <w:p>
      <w:pPr>
        <w:pStyle w:val="BodyText"/>
        <w:spacing w:line="480" w:lineRule="auto"/>
        <w:ind w:firstLine="720"/>
      </w:pPr>
      <w:r>
        <w:t xml:space="preserve">The dissertation’s broader claim, that the architecture authorized on paper at confirmation does material predictive work over the life of a NASA major project, rests on this data backbone. The two papers already carry the claim on its cost and schedule faces. The chapters that follow extend the same backbone onto the architectural-conformance face that motivates the dissertation as a whole. Each extension is a coding layer added to the file specified above, not a new file. The data architecture of the dissertation, like the system architectures it audits, is meant to honor a single baseline through every subsequent gate.</w:t>
      </w:r>
    </w:p>
    <w:bookmarkEnd w:id="87"/>
    <w:bookmarkEnd w:id="88"/>
    <w:bookmarkStart w:id="106" w:name="chapter-5.-methods-and-identification"/>
    <w:p>
      <w:pPr>
        <w:pStyle w:val="Heading1"/>
        <w:spacing w:line="480" w:lineRule="auto"/>
      </w:pPr>
      <w:r>
        <w:t xml:space="preserve">Chapter 5. Methods and Identification</w:t>
      </w:r>
    </w:p>
    <w:bookmarkStart w:id="89" w:name="overview-and-orientation"/>
    <w:p>
      <w:pPr>
        <w:pStyle w:val="Heading2"/>
        <w:spacing w:line="480" w:lineRule="auto"/>
      </w:pPr>
      <w:r>
        <w:t xml:space="preserve">5.1 Overview and Orientation</w:t>
      </w:r>
    </w:p>
    <w:p>
      <w:pPr>
        <w:pStyle w:val="FirstParagraph"/>
        <w:spacing w:line="480" w:lineRule="auto"/>
      </w:pPr>
      <w:r>
        <w:t xml:space="preserve">Here I set out the empirical machinery that turns the conformance question from Chapter 1 into estimands the data can address. The two companion papers in the series already fixed the working architecture of the inquiry. Paper 1 estimated a cross-sectional ordinary least squares (OLS) model of cost growth at launch as a function of paper-architecture stress at confirmation, its principal regressors interface count, heritage percentage, and the lowest critical-technology readiness level. Paper 2 pushed that exercise upstream to the survival problem, fitting a Cox proportional-hazards model on the same panel of thirty-two NASA major projects, with right-censoring for projects still in development at the most recent Government Accountability Office (GAO) assessment cut-off [11, 15]. This chapter pulls those choices together and extends them into one identification strategy. It also formalizes the conformance-score instrument from the prospectus, sets the qualitative scoring procedure inside the quantitative regression framework, and states the threats to validity alongside the boundaries that contain each.</w:t>
      </w:r>
    </w:p>
    <w:p>
      <w:pPr>
        <w:pStyle w:val="BodyText"/>
        <w:spacing w:line="480" w:lineRule="auto"/>
        <w:ind w:firstLine="720"/>
      </w:pPr>
      <w:r>
        <w:t xml:space="preserve">The unit of analysis stays the architecture-to-as-built delta within a confirmed NASA major project. I keep the two estimators as a complementary pair because they answer distinct questions about one population. The OLS specification asks, for projects that have reached launch, how the conformance score at launch tracks the architectural stress seen at the Key Decision Point C (KDP-C) milestone. The Cox specification asks how that same stress shapes the rate at which projects leave development by launching at all. Between them they bracket the conformance question across both the censored and the uncensored portions of the panel.</w:t>
      </w:r>
    </w:p>
    <w:bookmarkEnd w:id="89"/>
    <w:bookmarkStart w:id="90" w:name="estimands-and-outcome-variables"/>
    <w:p>
      <w:pPr>
        <w:pStyle w:val="Heading2"/>
        <w:spacing w:line="480" w:lineRule="auto"/>
      </w:pPr>
      <w:r>
        <w:t xml:space="preserve">5.2 Estimands and Outcome Variables</w:t>
      </w:r>
    </w:p>
    <w:p>
      <w:pPr>
        <w:pStyle w:val="FirstParagraph"/>
        <w:spacing w:line="480" w:lineRule="auto"/>
      </w:pPr>
      <w:r>
        <w:t xml:space="preserve">Three outcomes run through this dissertation. Cost growth at launch is the first, defined as the percent change between the life-cycle cost baseline approved at KDP-C and the life-cycle cost reported in the GAO Major Project Assessment closest to the launch event, following Paper 1’s construction. The launch hazard is the second, defined as the instantaneous rate of exit from development conditional on still being in development, as Paper 2’s Cox partial likelihood estimates it. The third belongs to the dissertation alone and appears in neither companion paper: the conformance score from the prospectus, a bounded index over a fixed set of architectural commitments scored against post-launch evidence.</w:t>
      </w:r>
    </w:p>
    <w:p>
      <w:pPr>
        <w:pStyle w:val="BodyText"/>
        <w:spacing w:line="480" w:lineRule="auto"/>
        <w:ind w:firstLine="720"/>
      </w:pPr>
      <w:r>
        <w:t xml:space="preserve">That conformance score is the weighted sum of dimension-level subscores across four commitment categories: interfaces, performance allocations, operational concepts, and verification closures. Each commitment scores on a four-point rubric, met, met with deviation, partially met, not met, on integer values from three to zero, and the aggregate normalizes to the unit interval. Weights across the four categories are pre-registered ahead of scoring and anchored in the model-based trade study and architecture optimization literature for interfaces and performance allocations [1, 2, 7], in the radiation hardness assurance synthesis for verification closures</w:t>
      </w:r>
      <w:r>
        <w:t xml:space="preserve"> </w:t>
      </w:r>
      <w:hyperlink w:anchor="ref-6">
        <w:r>
          <w:rPr>
            <w:rStyle w:val="Hyperlink"/>
          </w:rPr>
          <w:t xml:space="preserve">[6]</w:t>
        </w:r>
      </w:hyperlink>
      <w:r>
        <w:t xml:space="preserve">, and in the simulation and reconstruction literature for operational concepts [5, 10]. Pre-registration matters here, because the regression of the conformance score on architectural stress is sensitive to the relative weight placed on each category, and a reader who fixed the weights only after seeing the outcomes could tune them toward any preferred result. The dissertation reports both the pre-registered weighting and a uniform-weight robustness specification, so the sensitivity of the central estimate to the weighting scheme stays visible rather than buried inside a single headline number.</w:t>
      </w:r>
    </w:p>
    <w:p>
      <w:pPr>
        <w:pStyle w:val="BodyText"/>
        <w:spacing w:line="480" w:lineRule="auto"/>
        <w:ind w:firstLine="720"/>
      </w:pPr>
      <w:r>
        <w:t xml:space="preserve">The estimands are clean and stated outright. For the OLS branch, the estimand is the population conditional expectation of cost growth and of the conformance score given the architectural-stress vector at KDP-C, holding mission class, contractor, cost band, and launch year fixed. For the Cox branch, the estimand is the proportional hazard ratio tied to a one-unit change in each architectural-stress covariate, under the proportional-hazards assumption maintained at the panel level.</w:t>
      </w:r>
    </w:p>
    <w:bookmarkEnd w:id="90"/>
    <w:bookmarkStart w:id="94" w:name="estimators"/>
    <w:p>
      <w:pPr>
        <w:pStyle w:val="Heading2"/>
        <w:spacing w:line="480" w:lineRule="auto"/>
      </w:pPr>
      <w:r>
        <w:t xml:space="preserve">5.3 Estimators</w:t>
      </w:r>
    </w:p>
    <w:bookmarkStart w:id="91" w:name="X3a38b3f1a6398568dd9dec4f75891bf077c5977"/>
    <w:p>
      <w:pPr>
        <w:pStyle w:val="Heading3"/>
        <w:spacing w:line="480" w:lineRule="auto"/>
      </w:pPr>
      <w:r>
        <w:t xml:space="preserve">5.3.1 Ordinary Least Squares with HC1 Robust Standard Errors</w:t>
      </w:r>
    </w:p>
    <w:p>
      <w:pPr>
        <w:pStyle w:val="FirstParagraph"/>
        <w:spacing w:line="480" w:lineRule="auto"/>
      </w:pPr>
      <w:r>
        <w:t xml:space="preserve">OLS is the workhorse behind the cost-growth and conformance-score regressions. Following Paper 1, the dependent variable regresses on interface count, heritage percentage, and the lowest critical-technology TRL at KDP-C, with mission-class and contractor fixed effects added in the dissertation specification. HC1 robust standard errors earn their place through the well-documented heteroscedasticity of cost-growth dispersion across architectural complexity bands. Paper 1’s fit returned an R-squared of 0.67 and a model F-statistic of 9.12 (p = 0.0002) on N = 32 with three regressors, and the dissertation specification reports the same diagnostic suite, augmented with variance inflation factors that verify the addition of contractor fixed effects does not collapse the within-contractor identifying variation.</w:t>
      </w:r>
    </w:p>
    <w:p>
      <w:pPr>
        <w:pStyle w:val="BodyText"/>
        <w:spacing w:line="480" w:lineRule="auto"/>
        <w:ind w:firstLine="720"/>
      </w:pPr>
      <w:r>
        <w:t xml:space="preserve">Three alternatives were weighed and set aside. Generalized least squares would need a model of the variance structure the panel is too small to fit credibly. Quantile regression would speak to the upper tail of cost growth and would dilute the central conformance test. A Tobit specification came up for consideration, since cost growth is bounded below by the cancellation case, and the empirical distribution in the GAO series does not bunch at the lower bound within the sample of confirmed-and-launched projects [11, 15]. Reporting OLS with robust standard errors and disclosing the residual diagnostics is the most defensible course.</w:t>
      </w:r>
    </w:p>
    <w:bookmarkEnd w:id="91"/>
    <w:bookmarkStart w:id="92" w:name="cox-proportional-hazards-estimator"/>
    <w:p>
      <w:pPr>
        <w:pStyle w:val="Heading3"/>
        <w:spacing w:line="480" w:lineRule="auto"/>
      </w:pPr>
      <w:r>
        <w:t xml:space="preserve">5.3.2 Cox Proportional-Hazards Estimator</w:t>
      </w:r>
    </w:p>
    <w:p>
      <w:pPr>
        <w:pStyle w:val="FirstParagraph"/>
        <w:spacing w:line="480" w:lineRule="auto"/>
      </w:pPr>
      <w:r>
        <w:t xml:space="preserve">Paper 2’s Cox model stays on as the survival estimator. Partial likelihood fits it without parameterizing the baseline hazard, the right call given that the dissertation holds no theoretical prior on the shape of the baseline launch-hazard function over the years between KDP-C and launch. Paper 2’s fit returned a statistically significant negative coefficient on interface count (estimate negative 0.1541, p = 0.0147, hazard ratio approximately 0.857), with heritage and critical TRL signed in the theoretically predicted direction and not distinguishable from zero in the thirty-two-project panel. The dissertation keeps this specification, reports robust z-statistics, and adds two extensions: a stratified Cox with mission-class strata, and a frailty term at the contractor level to soak up unobserved contractor-specific heterogeneity that might otherwise be charged to the architectural-stress covariates.</w:t>
      </w:r>
    </w:p>
    <w:p>
      <w:pPr>
        <w:pStyle w:val="BodyText"/>
        <w:spacing w:line="480" w:lineRule="auto"/>
        <w:ind w:firstLine="720"/>
      </w:pPr>
      <w:r>
        <w:t xml:space="preserve">Scaled Schoenfeld residuals test the proportional-hazards assumption at the global and per-covariate levels. Should the assumption break for any covariate, a time-interaction term goes in and the affected coefficient reads as a time-varying hazard ratio. Paper 2’s narrative flagged that programmatic cancellation can drive informative censoring; the dissertation treats cancellation as a competing risk in a Fine-Gray subdistribution-hazard sensitivity model, and reports whether the central interface-count result holds when cancellation is modeled apart from continued development.</w:t>
      </w:r>
    </w:p>
    <w:bookmarkEnd w:id="92"/>
    <w:bookmarkStart w:id="93" w:name="Xb97077c269ec6f0ff2972fdf06622856644eedb"/>
    <w:p>
      <w:pPr>
        <w:pStyle w:val="Heading3"/>
        <w:spacing w:line="480" w:lineRule="auto"/>
      </w:pPr>
      <w:r>
        <w:t xml:space="preserve">5.3.3 Qualitative Coding for the Conformance Score</w:t>
      </w:r>
    </w:p>
    <w:p>
      <w:pPr>
        <w:pStyle w:val="FirstParagraph"/>
        <w:spacing w:line="480" w:lineRule="auto"/>
      </w:pPr>
      <w:r>
        <w:t xml:space="preserve">The conformance score comes out of a coding procedure that operates as an estimator in its own right and demands the same explicit treatment as the regression estimators. Three coders independently apply the rubric to the universe of architectural commitments per mission. Inter-rater agreement reports as Krippendorff’s alpha at the commitment level and at the category level. Disagreements route through a consensus protocol that is itself pre-registered. The coding manual, the rubric anchors, and the example commitments ship as part of the audit-instrument deliverable the prospectus describes.</w:t>
      </w:r>
    </w:p>
    <w:p>
      <w:pPr>
        <w:pStyle w:val="BodyText"/>
        <w:spacing w:line="480" w:lineRule="auto"/>
        <w:ind w:firstLine="720"/>
      </w:pPr>
      <w:r>
        <w:t xml:space="preserve">The four commitment categories are derived deductively from the architecture and verification literature [1, 2, 3, 4, 6, 7, 10] and validated inductively against a stratified pilot of architectural artifacts drawn from the NASA Technical Reports Server (NTRS) and the Acta Astronautica reconstruction record. That pilot covers at least one mission per mission class and at least one mission per launch decade in the sample, so the rubric never over-fits to any single class of mission. The commitment taxonomy gets its full description in Chapter 4 and appears here only insofar as it constrains the estimator.</w:t>
      </w:r>
    </w:p>
    <w:bookmarkEnd w:id="93"/>
    <w:bookmarkEnd w:id="94"/>
    <w:bookmarkStart w:id="95" w:name="identification-strategy"/>
    <w:p>
      <w:pPr>
        <w:pStyle w:val="Heading2"/>
        <w:spacing w:line="480" w:lineRule="auto"/>
      </w:pPr>
      <w:r>
        <w:t xml:space="preserve">5.4 Identification Strategy</w:t>
      </w:r>
    </w:p>
    <w:p>
      <w:pPr>
        <w:pStyle w:val="FirstParagraph"/>
        <w:spacing w:line="480" w:lineRule="auto"/>
      </w:pPr>
      <w:r>
        <w:t xml:space="preserve">Identification is the principal analytical risk for any cross-sectional regression of program outcomes on architectural attributes, because architectural choices are not made at random and correlate with unobserved program-quality factors. The dissertation meets that risk through four reinforcing devices.</w:t>
      </w:r>
    </w:p>
    <w:p>
      <w:pPr>
        <w:pStyle w:val="BodyText"/>
        <w:spacing w:line="480" w:lineRule="auto"/>
        <w:ind w:firstLine="720"/>
      </w:pPr>
      <w:r>
        <w:t xml:space="preserve">Within-contractor identification comes first. Several prime contractors in the panel have flown both Model-Based Systems Engineering (MBSE)-authored and document-authored missions. Comparing across missions within one contractor sweeps out time-invariant contractor-specific heterogeneity in management quality, supplier relationships, and verification culture. This is the principal identifying variation for the prospectus’s H1 test, that MBSE adoption shifts the conformance distribution after controlling for mission class and contractor.</w:t>
      </w:r>
    </w:p>
    <w:p>
      <w:pPr>
        <w:pStyle w:val="BodyText"/>
        <w:spacing w:line="480" w:lineRule="auto"/>
        <w:ind w:firstLine="720"/>
      </w:pPr>
      <w:r>
        <w:t xml:space="preserve">Mission-class stratification comes second. SSA, science, and exploration missions face structurally different verification and operational regimes [1, 2, 7, 31]. Stratifying on mission class pulls the architecture-to-as-built effect clear of class-driven differences in observable rigor and post-launch evidence depth. The Cox model uses mission-class strata directly; the OLS model uses mission-class fixed effects.</w:t>
      </w:r>
    </w:p>
    <w:p>
      <w:pPr>
        <w:pStyle w:val="BodyText"/>
        <w:spacing w:line="480" w:lineRule="auto"/>
        <w:ind w:firstLine="720"/>
      </w:pPr>
      <w:r>
        <w:t xml:space="preserve">A negative-control specification comes third. Subsystem classes in which MBSE adoption runs uncorrelated with program leadership identity serve as a negative control. Should the central MBSE coefficient be significant in the headline specification and vanish in the negative-control subset, the result is more credibly charged to MBSE itself than to a latent leadership variable. The radiation hardness assurance literature furnishes one such subsystem band, since hardness assurance procedures are largely standardized and adopt MBSE for reasons uncorrelated with program-office leadership choices</w:t>
      </w:r>
      <w:r>
        <w:t xml:space="preserve"> </w:t>
      </w:r>
      <w:hyperlink w:anchor="ref-6">
        <w:r>
          <w:rPr>
            <w:rStyle w:val="Hyperlink"/>
          </w:rPr>
          <w:t xml:space="preserve">[6]</w:t>
        </w:r>
      </w:hyperlink>
      <w:r>
        <w:t xml:space="preserve">.</w:t>
      </w:r>
    </w:p>
    <w:p>
      <w:pPr>
        <w:pStyle w:val="BodyText"/>
        <w:spacing w:line="480" w:lineRule="auto"/>
        <w:ind w:firstLine="720"/>
      </w:pPr>
      <w:r>
        <w:t xml:space="preserve">Pre-registration of the analysis plan comes fourth. Weights, rubric thresholds, stratification choices, and the headline specification get committed before the post-launch evidence is scored. The dissertation reports both pre-registered and exploratory results and tells them apart. That device meets researcher degrees of freedom head-on, which Paper 1 acknowledged implicitly by leaving the TRL non-result intact rather than recoding it.</w:t>
      </w:r>
    </w:p>
    <w:p>
      <w:pPr>
        <w:pStyle w:val="BodyText"/>
        <w:spacing w:line="480" w:lineRule="auto"/>
        <w:ind w:firstLine="720"/>
      </w:pPr>
      <w:r>
        <w:t xml:space="preserve">A fifth device, an instrumental variable for MBSE adoption, came up and was rejected. Candidate instruments such as program-office staffing changes and tooling procurement timing break the exclusion restriction, since both plausibly correlate with conformance through channels other than MBSE. Rather than chase an under-identified instrumental specification, the dissertation reports the within-contractor estimate and states the residual selection concern outright.</w:t>
      </w:r>
    </w:p>
    <w:bookmarkEnd w:id="95"/>
    <w:bookmarkStart w:id="104" w:name="threats-to-validity-and-their-bounds"/>
    <w:p>
      <w:pPr>
        <w:pStyle w:val="Heading2"/>
        <w:spacing w:line="480" w:lineRule="auto"/>
      </w:pPr>
      <w:r>
        <w:t xml:space="preserve">5.5 Threats to Validity and Their Bounds</w:t>
      </w:r>
    </w:p>
    <w:p>
      <w:pPr>
        <w:pStyle w:val="FirstParagraph"/>
        <w:spacing w:line="480" w:lineRule="auto"/>
      </w:pPr>
      <w:r>
        <w:t xml:space="preserve">Paper 1 and Paper 2 together fix an envelope of credible inference. The threats below are not exhaustive of every conceivable concern; they are the threats that materially condition the published estimates and the conformance-score extension.</w:t>
      </w:r>
    </w:p>
    <w:bookmarkStart w:id="96" w:name="construct-validity"/>
    <w:p>
      <w:pPr>
        <w:pStyle w:val="Heading3"/>
        <w:spacing w:line="480" w:lineRule="auto"/>
      </w:pPr>
      <w:r>
        <w:t xml:space="preserve">5.5.1 Construct Validity</w:t>
      </w:r>
    </w:p>
    <w:p>
      <w:pPr>
        <w:pStyle w:val="FirstParagraph"/>
        <w:spacing w:line="480" w:lineRule="auto"/>
      </w:pPr>
      <w:r>
        <w:t xml:space="preserve">Reducing a multidimensional architectural concept to scalar regressors and to a single conformance index is the principal construct-validity threat. Interface count, heritage percentage, and the lowest critical-technology TRL are coarse stand-ins for the underlying architectural posture and come out of heterogeneous GAO summaries rather than a canonical Interface Control Document (ICD) database, a limitation Paper 2 flagged outright. The bound runs two ways. The dimension-level subscores of the conformance index report alongside the aggregate, so a reader who disputes the weighting can reweight without rerunning the audit. And the analytical conclusions state at the level where the construct is plausibly measured, the architectural-stress level at KDP-C, and reach no further down to any individual subsystem.</w:t>
      </w:r>
    </w:p>
    <w:bookmarkEnd w:id="96"/>
    <w:bookmarkStart w:id="97" w:name="selection-on-unobservables"/>
    <w:p>
      <w:pPr>
        <w:pStyle w:val="Heading3"/>
        <w:spacing w:line="480" w:lineRule="auto"/>
      </w:pPr>
      <w:r>
        <w:t xml:space="preserve">5.5.2 Selection on Unobservables</w:t>
      </w:r>
    </w:p>
    <w:p>
      <w:pPr>
        <w:pStyle w:val="FirstParagraph"/>
        <w:spacing w:line="480" w:lineRule="auto"/>
      </w:pPr>
      <w:r>
        <w:t xml:space="preserve">MBSE adoption is non-random. Programs that adopt MBSE may differ on unobserved program-office characteristics that also drive conformance, and a naive comparison of MBSE and non-MBSE conformance scores would charge the latent characteristic to MBSE. The bound is the within-contractor identification above, the mission-class stratification, and the negative-control test. One residual concern resists full removal within the available data, that a contractor adopts MBSE preferentially on the missions where its internal verification posture runs strongest. The dissertation reports the conformance estimate for the within-contractor variation, reports the result under a leadership-controlled subset, and states the residual exposure as a caveat rather than a refuted claim.</w:t>
      </w:r>
    </w:p>
    <w:bookmarkEnd w:id="97"/>
    <w:bookmarkStart w:id="98" w:name="measurement-error-in-the-outcome"/>
    <w:p>
      <w:pPr>
        <w:pStyle w:val="Heading3"/>
        <w:spacing w:line="480" w:lineRule="auto"/>
      </w:pPr>
      <w:r>
        <w:t xml:space="preserve">5.5.3 Measurement Error in the Outcome</w:t>
      </w:r>
    </w:p>
    <w:p>
      <w:pPr>
        <w:pStyle w:val="FirstParagraph"/>
        <w:spacing w:line="480" w:lineRule="auto"/>
      </w:pPr>
      <w:r>
        <w:t xml:space="preserve">The conformance score is built from post-launch evidence that varies in completeness across missions. Schiaparelli-class reconstructions furnish deep evidence on a small number of missions</w:t>
      </w:r>
      <w:r>
        <w:t xml:space="preserve"> </w:t>
      </w:r>
      <w:hyperlink w:anchor="ref-5">
        <w:r>
          <w:rPr>
            <w:rStyle w:val="Hyperlink"/>
          </w:rPr>
          <w:t xml:space="preserve">[5]</w:t>
        </w:r>
      </w:hyperlink>
      <w:r>
        <w:t xml:space="preserve">, radiation hardness assurance reviews furnish standardized evidence on a defined subsystem band</w:t>
      </w:r>
      <w:r>
        <w:t xml:space="preserve"> </w:t>
      </w:r>
      <w:hyperlink w:anchor="ref-6">
        <w:r>
          <w:rPr>
            <w:rStyle w:val="Hyperlink"/>
          </w:rPr>
          <w:t xml:space="preserve">[6]</w:t>
        </w:r>
      </w:hyperlink>
      <w:r>
        <w:t xml:space="preserve">, and nanosatellite robustness studies furnish commitment-level evidence in a narrow size class</w:t>
      </w:r>
      <w:r>
        <w:t xml:space="preserve"> </w:t>
      </w:r>
      <w:hyperlink w:anchor="ref-4">
        <w:r>
          <w:rPr>
            <w:rStyle w:val="Hyperlink"/>
          </w:rPr>
          <w:t xml:space="preserve">[4]</w:t>
        </w:r>
      </w:hyperlink>
      <w:r>
        <w:t xml:space="preserve">. Mars Sample Return and other ongoing programs furnish evidence partial in different ways</w:t>
      </w:r>
      <w:r>
        <w:t xml:space="preserve"> </w:t>
      </w:r>
      <w:hyperlink w:anchor="ref-31">
        <w:r>
          <w:rPr>
            <w:rStyle w:val="Hyperlink"/>
          </w:rPr>
          <w:t xml:space="preserve">[31]</w:t>
        </w:r>
      </w:hyperlink>
      <w:r>
        <w:t xml:space="preserve">. The bound is stratified reporting: the headline conformance result reports on the evidence-rich stratum, and an extended specification reports on the full panel with an explicit measurement-error correction. Both estimates sit side by side, so the reader can place the published estimate against the depth of evidence behind it.</w:t>
      </w:r>
    </w:p>
    <w:bookmarkEnd w:id="98"/>
    <w:bookmarkStart w:id="99" w:name="informative-censoring-in-the-cox-branch"/>
    <w:p>
      <w:pPr>
        <w:pStyle w:val="Heading3"/>
        <w:spacing w:line="480" w:lineRule="auto"/>
      </w:pPr>
      <w:r>
        <w:t xml:space="preserve">5.5.4 Informative Censoring in the Cox Branch</w:t>
      </w:r>
    </w:p>
    <w:p>
      <w:pPr>
        <w:pStyle w:val="FirstParagraph"/>
        <w:spacing w:line="480" w:lineRule="auto"/>
      </w:pPr>
      <w:r>
        <w:t xml:space="preserve">Paper 2 flagged informative censoring as a structural limit on the survival estimate, because cancellations and indefinite holds drive censoring in a non-random way. The bound is the Fine-Gray competing-risks sensitivity analysis from Section 5.3.2. Hold the interface-count hazard ratio steady when cancellation is modeled as a competing risk, and the central survival result is credibly charged to architectural complexity rather than to selection on continuation decisions. Fail to hold it, and the dissertation reports the change in the central estimate and rereads the result as conditional on continued development.</w:t>
      </w:r>
    </w:p>
    <w:bookmarkEnd w:id="99"/>
    <w:bookmarkStart w:id="100" w:name="proportionality-of-hazards"/>
    <w:p>
      <w:pPr>
        <w:pStyle w:val="Heading3"/>
        <w:spacing w:line="480" w:lineRule="auto"/>
      </w:pPr>
      <w:r>
        <w:t xml:space="preserve">5.5.5 Proportionality of Hazards</w:t>
      </w:r>
    </w:p>
    <w:p>
      <w:pPr>
        <w:pStyle w:val="FirstParagraph"/>
        <w:spacing w:line="480" w:lineRule="auto"/>
      </w:pPr>
      <w:r>
        <w:t xml:space="preserve">The Cox estimate rests on the proportional-hazards assumption. The Schoenfeld-residual diagnostic from Section 5.3.2 bounds this threat directly. Where the assumption breaks, the hazard ratio rereads as time-varying and reports with the implied time-interaction term. Paper 2’s specification did not report this diagnostic; the dissertation does so outright.</w:t>
      </w:r>
    </w:p>
    <w:bookmarkEnd w:id="100"/>
    <w:bookmarkStart w:id="101" w:name="external-validity-and-scope"/>
    <w:p>
      <w:pPr>
        <w:pStyle w:val="Heading3"/>
        <w:spacing w:line="480" w:lineRule="auto"/>
      </w:pPr>
      <w:r>
        <w:t xml:space="preserve">5.5.6 External Validity and Scope</w:t>
      </w:r>
    </w:p>
    <w:p>
      <w:pPr>
        <w:pStyle w:val="FirstParagraph"/>
        <w:spacing w:line="480" w:lineRule="auto"/>
      </w:pPr>
      <w:r>
        <w:t xml:space="preserve">The audit instrument derives from the SDA, science, and small-satellite literature [1, 2, 4, 7]. Crewed missions and national-security missions sit out of sample. The bound is explicit scope-of-claim: the dissertation asserts no generalization of the conformance instrument to those domains and reserves that test for the extension chapter, where the instrument reapplies to a restricted-access subsample with appropriate guardrails. Distributed and on-orbit autonomous architectures, agent-based mission management and AI-aided pose and anomaly detection among them, likewise sit out of the central specification, and the recent literature [21, 22, 28, 29, 32] stands noted as a natural target for instrument extension.</w:t>
      </w:r>
    </w:p>
    <w:bookmarkEnd w:id="101"/>
    <w:bookmarkStart w:id="102" w:name="researcher-degrees-of-freedom"/>
    <w:p>
      <w:pPr>
        <w:pStyle w:val="Heading3"/>
        <w:spacing w:line="480" w:lineRule="auto"/>
      </w:pPr>
      <w:r>
        <w:t xml:space="preserve">5.5.7 Researcher Degrees of Freedom</w:t>
      </w:r>
    </w:p>
    <w:p>
      <w:pPr>
        <w:pStyle w:val="FirstParagraph"/>
        <w:spacing w:line="480" w:lineRule="auto"/>
      </w:pPr>
      <w:r>
        <w:t xml:space="preserve">Weight choice, rubric thresholds, and stratification together open a non-trivial analytical garden of forking paths. The bound is the pre-registration plan from Section 5.4, the three-coder validation procedure from Section 5.3.3, and the release of the coding manual as a deliverable. Robustness reports across pre-registered, uniform-weight, and exploratory specifications, so the sensitivity of the central conformance result to weighting reads directly.</w:t>
      </w:r>
    </w:p>
    <w:bookmarkEnd w:id="102"/>
    <w:bookmarkStart w:id="103" w:name="external-data-reliance"/>
    <w:p>
      <w:pPr>
        <w:pStyle w:val="Heading3"/>
        <w:spacing w:line="480" w:lineRule="auto"/>
      </w:pPr>
      <w:r>
        <w:t xml:space="preserve">5.5.8 External Data Reliance</w:t>
      </w:r>
    </w:p>
    <w:p>
      <w:pPr>
        <w:pStyle w:val="FirstParagraph"/>
        <w:spacing w:line="480" w:lineRule="auto"/>
      </w:pPr>
      <w:r>
        <w:t xml:space="preserve">The GAO Major Project Assessment series is the spine of the architectural-stress data and comes from an external body whose assessment cadence and content are themselves subject to change [11, 13, 15]. The NASA Systems Engineering Handbook</w:t>
      </w:r>
      <w:r>
        <w:t xml:space="preserve"> </w:t>
      </w:r>
      <w:hyperlink w:anchor="ref-12">
        <w:r>
          <w:rPr>
            <w:rStyle w:val="Hyperlink"/>
          </w:rPr>
          <w:t xml:space="preserve">[12]</w:t>
        </w:r>
      </w:hyperlink>
      <w:r>
        <w:t xml:space="preserve"> </w:t>
      </w:r>
      <w:r>
        <w:t xml:space="preserve">anchors the canonical definitions used to harmonize the GAO entries with the NTRS and Acta records. The Mankins retrospective on technology readiness assessments</w:t>
      </w:r>
      <w:r>
        <w:t xml:space="preserve"> </w:t>
      </w:r>
      <w:hyperlink w:anchor="ref-14">
        <w:r>
          <w:rPr>
            <w:rStyle w:val="Hyperlink"/>
          </w:rPr>
          <w:t xml:space="preserve">[14]</w:t>
        </w:r>
      </w:hyperlink>
      <w:r>
        <w:t xml:space="preserve"> </w:t>
      </w:r>
      <w:r>
        <w:t xml:space="preserve">bounds the interpretation of the critical-TRL covariate, including the Paper 1 finding that critical TRL did not survive the controls. The dissertation cites these documents as the explicit ground truth against which the GAO-derived covariates read, and it acknowledges that the panel inherits whatever measurement conventions the GAO assessment series carries.</w:t>
      </w:r>
    </w:p>
    <w:bookmarkEnd w:id="103"/>
    <w:bookmarkEnd w:id="104"/>
    <w:bookmarkStart w:id="105" w:name="summary"/>
    <w:p>
      <w:pPr>
        <w:pStyle w:val="Heading2"/>
        <w:spacing w:line="480" w:lineRule="auto"/>
      </w:pPr>
      <w:r>
        <w:t xml:space="preserve">5.6 Summary</w:t>
      </w:r>
    </w:p>
    <w:p>
      <w:pPr>
        <w:pStyle w:val="FirstParagraph"/>
        <w:spacing w:line="480" w:lineRule="auto"/>
      </w:pPr>
      <w:r>
        <w:t xml:space="preserve">The dissertation keeps the OLS and Cox estimators from the two companion papers, extends them with mission-class fixed effects or strata, contractor fixed effects or frailty, and a Fine-Gray competing-risks sensitivity model, and introduces the pre-registered conformance score as the central outcome of interest. Identification rests on within-contractor variation, mission-class stratification, a negative-control specification, and a pre-registered analysis plan. The threats to validity are bounded one by one and reported together, so the residual exposure of the conformance claim stays legible to a reader who wants to recompute the result under alternative assumptions. The next chapter runs this machinery on the harmonized panel and reports the headline estimates, the robustness suite, and the diagnostic battery.</w:t>
      </w:r>
    </w:p>
    <w:bookmarkEnd w:id="105"/>
    <w:bookmarkEnd w:id="106"/>
    <w:bookmarkStart w:id="122" w:name="chapter-6.-results"/>
    <w:p>
      <w:pPr>
        <w:pStyle w:val="Heading1"/>
        <w:spacing w:line="480" w:lineRule="auto"/>
      </w:pPr>
      <w:r>
        <w:t xml:space="preserve">Chapter 6. Results</w:t>
      </w:r>
    </w:p>
    <w:bookmarkStart w:id="107" w:name="orientation-1"/>
    <w:p>
      <w:pPr>
        <w:pStyle w:val="Heading2"/>
        <w:spacing w:line="480" w:lineRule="auto"/>
      </w:pPr>
      <w:r>
        <w:t xml:space="preserve">6.1 Orientation</w:t>
      </w:r>
    </w:p>
    <w:p>
      <w:pPr>
        <w:pStyle w:val="FirstParagraph"/>
        <w:spacing w:line="480" w:lineRule="auto"/>
      </w:pPr>
      <w:r>
        <w:t xml:space="preserve">Here I present what the two companion studies actually found once they operationalized the conformance audit framing laid out in the prospectus and worked through chapters two to five. Paper one asks a single question: do architectural attributes logged at the confirmation milestone (KDP-C) of NASA major projects forecast how much cost growth shows up at launch? Paper two shifts upstream to a survival question, whether those same paper-architecture attributes forecast how fast a confirmed project exits development by launching. Each estimator handles a different slice of one conformance problem. One conditions on a project having already reached orbit and reads the architecture document as a gauge of how badly the program will swallow its integration debt. The other widens the aperture to every confirmed project, casts launch as a survival event, and reads the same document as a gauge of how quickly that debt can be cleared. What follows walks through the raw numerical output of both models, reads each coefficient on its own scale, and ties the magnitudes back to the priors argued in chapters two and three</w:t>
      </w:r>
      <w:r>
        <w:t xml:space="preserve"> </w:t>
      </w:r>
      <w:hyperlink w:anchor="ref-4">
        <w:r>
          <w:rPr>
            <w:rStyle w:val="Hyperlink"/>
          </w:rPr>
          <w:t xml:space="preserve">[4]</w:t>
        </w:r>
      </w:hyperlink>
      <w:r>
        <w:t xml:space="preserve">[11][12][13][14].</w:t>
      </w:r>
    </w:p>
    <w:p>
      <w:pPr>
        <w:pStyle w:val="BodyText"/>
        <w:spacing w:line="480" w:lineRule="auto"/>
        <w:ind w:firstLine="720"/>
      </w:pPr>
      <w:r>
        <w:t xml:space="preserve">A word on evidentiary discipline before the numbers. I hold the exact statsmodels output as the binding record throughout. Nothing appears below as a coefficient, standard error, or fit statistic unless it came directly out of the estimator run I executed against the underlying data files. Anything tabular, formulaic, or graphical is carried in Appendix A and left out of the body here. My aim in this chapter is plain doctoral interpretation: what each number is, what it does to the conformance hypothesis, and where it stays silent.</w:t>
      </w:r>
    </w:p>
    <w:bookmarkEnd w:id="107"/>
    <w:bookmarkStart w:id="113" w:name="X221c3b1fe5147970b58f9da44465d56d8a4a3dd"/>
    <w:p>
      <w:pPr>
        <w:pStyle w:val="Heading2"/>
        <w:spacing w:line="480" w:lineRule="auto"/>
      </w:pPr>
      <w:r>
        <w:t xml:space="preserve">6.2 Paper One: Cost Growth at Launch as a Function of Paper Architecture at KDP-C</w:t>
      </w:r>
    </w:p>
    <w:bookmarkStart w:id="108" w:name="model-fit"/>
    <w:p>
      <w:pPr>
        <w:pStyle w:val="Heading3"/>
        <w:spacing w:line="480" w:lineRule="auto"/>
      </w:pPr>
      <w:r>
        <w:t xml:space="preserve">6.2.1 Model Fit</w:t>
      </w:r>
    </w:p>
    <w:p>
      <w:pPr>
        <w:pStyle w:val="FirstParagraph"/>
        <w:spacing w:line="480" w:lineRule="auto"/>
      </w:pPr>
      <w:r>
        <w:t xml:space="preserve">Ordinary least squares with HC1 robust standard errors is the fit behind paper one. Its output covers a sample of N equal to 32 NASA major projects, an R squared of 0.6655, an adjusted R squared of 0.6297, and a model F statistic of 9.121 carrying a p value of 0.000225. Three features of that fit speak straight to the conformance argument.</w:t>
      </w:r>
    </w:p>
    <w:p>
      <w:pPr>
        <w:pStyle w:val="BodyText"/>
        <w:spacing w:line="480" w:lineRule="auto"/>
        <w:ind w:firstLine="720"/>
      </w:pPr>
      <w:r>
        <w:t xml:space="preserve">Start with the explanatory ceiling, which runs high against the architecture-as-paper hypothesis. Roughly two thirds of the variance in cost growth between the confirmation life-cycle cost baseline and the launch life-cycle cost traces to three covariates that anyone can observe, audit, and pull from the GAO Major Project Assessment series before a single piece of hardware goes together</w:t>
      </w:r>
      <w:r>
        <w:t xml:space="preserve"> </w:t>
      </w:r>
      <w:hyperlink w:anchor="ref-11">
        <w:r>
          <w:rPr>
            <w:rStyle w:val="Hyperlink"/>
          </w:rPr>
          <w:t xml:space="preserve">[11]</w:t>
        </w:r>
      </w:hyperlink>
      <w:r>
        <w:t xml:space="preserve">[13][15]. Pared down to three scalar features, the count of major interfaces, the share of heritage subsystems, and the lowest critical-technology TRL at confirmation, the architecture document still forecasts real outcomes. That squares with the prospectus claim that conformance is measurable rather than rhetorical, and it echoes a systems engineering tradition long convinced that interfaces carry the bulk of integration risk</w:t>
      </w:r>
      <w:r>
        <w:t xml:space="preserve"> </w:t>
      </w:r>
      <w:hyperlink w:anchor="ref-4">
        <w:r>
          <w:rPr>
            <w:rStyle w:val="Hyperlink"/>
          </w:rPr>
          <w:t xml:space="preserve">[4]</w:t>
        </w:r>
      </w:hyperlink>
      <w:r>
        <w:t xml:space="preserve">[12].</w:t>
      </w:r>
    </w:p>
    <w:p>
      <w:pPr>
        <w:pStyle w:val="BodyText"/>
        <w:spacing w:line="480" w:lineRule="auto"/>
        <w:ind w:firstLine="720"/>
      </w:pPr>
      <w:r>
        <w:t xml:space="preserve">Consider next the F statistic. With three regressors and 28 residual degrees of freedom, it throws out the joint null that the architectural covariates say nothing, and it does so at any significance level a reader might name. Under that null, a model F of 9.12 or larger turns up with probability near 2.25 in 10,000. Thin-sample overfit does not explain this. Adjusted R squared, which docks the fit for every regressor added against a modest N, holds at 0.630, a sign that genuine signal and not mechanical degrees of freedom carries the explanatory load. Between unadjusted and adjusted R squared the fit loses only about 3.6 percentage points, which is roughly what three regressors on 32 observations produce when at least two of them mean something.</w:t>
      </w:r>
    </w:p>
    <w:p>
      <w:pPr>
        <w:pStyle w:val="BodyText"/>
        <w:spacing w:line="480" w:lineRule="auto"/>
        <w:ind w:firstLine="720"/>
      </w:pPr>
      <w:r>
        <w:t xml:space="preserve">Finally, the fit statistics stay honest about what escapes the model. About a third of the cost-growth variance never resolves into paper-architecture attributes at KDP-C. I return to that residual below when the technology-readiness null comes up, and it deserves flagging now that the model makes no claim to explain all cost growth. Its claim is narrower and firmer: a sizable, statistically stable slice already lives in attributes the program office wrote down at the confirmation gate.</w:t>
      </w:r>
    </w:p>
    <w:bookmarkEnd w:id="108"/>
    <w:bookmarkStart w:id="109" w:name="interface-count"/>
    <w:p>
      <w:pPr>
        <w:pStyle w:val="Heading3"/>
        <w:spacing w:line="480" w:lineRule="auto"/>
      </w:pPr>
      <w:r>
        <w:t xml:space="preserve">6.2.2 Interface Count</w:t>
      </w:r>
    </w:p>
    <w:p>
      <w:pPr>
        <w:pStyle w:val="FirstParagraph"/>
        <w:spacing w:line="480" w:lineRule="auto"/>
      </w:pPr>
      <w:r>
        <w:t xml:space="preserve">Everything hangs on interface count in paper one. Its point estimate lands at 1.6837, with a robust standard error of 0.6487 and a two-sided p value of 0.0094. On its own scale, one more major interface in the interface control document set at KDP-C buys roughly 1.68 percentage points of extra cost growth between the confirmation baseline and the launch life-cycle cost, once heritage percentage and lowest critical TRL are held fixed. Significance clears the one percent bar, and a t ratio near 2.60 sits well past the usual threshold for robust inference at this sample size.</w:t>
      </w:r>
    </w:p>
    <w:p>
      <w:pPr>
        <w:pStyle w:val="BodyText"/>
        <w:spacing w:line="480" w:lineRule="auto"/>
        <w:ind w:firstLine="720"/>
      </w:pPr>
      <w:r>
        <w:t xml:space="preserve">A pair of derivations puts flesh on the magnitude. Enter confirmation with ten more major interfaces than a peer project, and the expected penalty runs about 16.8 percentage points of added cost growth at launch. Carry thirty more, which stays inside the interface dispersion the NASA portfolio shows across the GAO series drawn on in the data assembly</w:t>
      </w:r>
      <w:r>
        <w:t xml:space="preserve"> </w:t>
      </w:r>
      <w:hyperlink w:anchor="ref-11">
        <w:r>
          <w:rPr>
            <w:rStyle w:val="Hyperlink"/>
          </w:rPr>
          <w:t xml:space="preserve">[11]</w:t>
        </w:r>
      </w:hyperlink>
      <w:r>
        <w:t xml:space="preserve">[13][15], and the expected gap widens to roughly 50 percentage points. Nothing marginal about those numbers. They are enough to tip a project out of a manageable overrun and into a portfolio-level cost problem, and they line up closely with what GAO has reported qualitatively across more than a decade of NASA portfolio reviews</w:t>
      </w:r>
      <w:r>
        <w:t xml:space="preserve"> </w:t>
      </w:r>
      <w:hyperlink w:anchor="ref-11">
        <w:r>
          <w:rPr>
            <w:rStyle w:val="Hyperlink"/>
          </w:rPr>
          <w:t xml:space="preserve">[11]</w:t>
        </w:r>
      </w:hyperlink>
      <w:r>
        <w:t xml:space="preserve">[15].</w:t>
      </w:r>
    </w:p>
    <w:p>
      <w:pPr>
        <w:pStyle w:val="BodyText"/>
        <w:spacing w:line="480" w:lineRule="auto"/>
        <w:ind w:firstLine="720"/>
      </w:pPr>
      <w:r>
        <w:t xml:space="preserve">A robustness expectation also holds here, and not trivially. HC1 pushes the robust standard error wider than a homoskedastic one, since cost-growth dispersion plausibly runs larger among the most architecturally complex projects in the sample. Even under that widening the coefficient keeps its significance at p far below one percent, so the inference does not lean on a homoskedasticity assumption the data plainly break. That matches the argument from chapter four, that robust inference belongs by default when the variance structure moves with the architectural complexity being measured.</w:t>
      </w:r>
    </w:p>
    <w:p>
      <w:pPr>
        <w:pStyle w:val="BodyText"/>
        <w:spacing w:line="480" w:lineRule="auto"/>
        <w:ind w:firstLine="720"/>
      </w:pPr>
      <w:r>
        <w:t xml:space="preserve">On substance, this coefficient bears out the first leg of the dissertation’s theory</w:t>
      </w:r>
      <w:r>
        <w:t xml:space="preserve"> </w:t>
      </w:r>
      <w:hyperlink w:anchor="ref-4">
        <w:r>
          <w:rPr>
            <w:rStyle w:val="Hyperlink"/>
          </w:rPr>
          <w:t xml:space="preserve">[4]</w:t>
        </w:r>
      </w:hyperlink>
      <w:r>
        <w:t xml:space="preserve">. Every major interface in the ICD set is at once a coordination contract among subsystem owners, a verification artifact at integration and test, and a latent failure mode waiting at flight. No claim is made that each added interface causes anything on its own. What the estimator claims, and the data back, is that denser ICD sets at confirmation track systematically with larger cost overruns at launch. Read through the conformance audit lens, the interface control document at KDP-C is already doing audit work, whether or not the program office ever treats it that way.</w:t>
      </w:r>
    </w:p>
    <w:bookmarkEnd w:id="109"/>
    <w:bookmarkStart w:id="110" w:name="heritage-percentage"/>
    <w:p>
      <w:pPr>
        <w:pStyle w:val="Heading3"/>
        <w:spacing w:line="480" w:lineRule="auto"/>
      </w:pPr>
      <w:r>
        <w:t xml:space="preserve">6.2.3 Heritage Percentage</w:t>
      </w:r>
    </w:p>
    <w:p>
      <w:pPr>
        <w:pStyle w:val="FirstParagraph"/>
        <w:spacing w:line="480" w:lineRule="auto"/>
      </w:pPr>
      <w:r>
        <w:t xml:space="preserve">Heritage percentage supplies the second real finding. Its point estimate comes back at negative 0.5748, with a robust standard error of 0.2935 and a two-sided p value of 0.0502. Sign matches theory: lean harder on flight-proven subsystems at confirmation, and cost growth at launch comes in lower. Sitting right on the conventional five percent boundary, the coefficient asks to be read carefully, and its magnitude fits a systems engineering literature that has long treated heritage as a brake on late requirements churn</w:t>
      </w:r>
      <w:r>
        <w:t xml:space="preserve"> </w:t>
      </w:r>
      <w:hyperlink w:anchor="ref-5">
        <w:r>
          <w:rPr>
            <w:rStyle w:val="Hyperlink"/>
          </w:rPr>
          <w:t xml:space="preserve">[5]</w:t>
        </w:r>
      </w:hyperlink>
      <w:r>
        <w:t xml:space="preserve">[13][14].</w:t>
      </w:r>
    </w:p>
    <w:p>
      <w:pPr>
        <w:pStyle w:val="BodyText"/>
        <w:spacing w:line="480" w:lineRule="auto"/>
        <w:ind w:firstLine="720"/>
      </w:pPr>
      <w:r>
        <w:t xml:space="preserve">Taken on its own scale, one added percentage point of heritage subsystems at confirmation buys roughly 0.57 percentage points less cost growth at launch. Ten-point increments frame it better. Run ten percentage points more heritage-rich than a comparable project, say sixty percent heritage against fifty, and expect a cost-growth gap of about 5.7 percentage points in your favor. Run thirty points richer, and expect about 17 percentage points. Modest beside the interface effects, and still worth real money to a program office weighing whether to stretch a flight-proven bus into a new mission class or draw a clean-sheet subsystem instead.</w:t>
      </w:r>
    </w:p>
    <w:p>
      <w:pPr>
        <w:pStyle w:val="BodyText"/>
        <w:spacing w:line="480" w:lineRule="auto"/>
        <w:ind w:firstLine="720"/>
      </w:pPr>
      <w:r>
        <w:t xml:space="preserve">Note the precision. This coefficient’s standard error runs about half its point estimate, which yields a t ratio of approximately negative 1.96. The p value of 0.0502 straddles the conventional line. I will not oversell it. A heritage coefficient that lands almost at five percent on a sample of 32 is a call for replication, not a verdict that settles the heritage side of the conformance question. Chapter eight’s robustness discussion picks up what that borderline status means for how the audit instrument eventually weights this dimension.</w:t>
      </w:r>
    </w:p>
    <w:p>
      <w:pPr>
        <w:pStyle w:val="BodyText"/>
        <w:spacing w:line="480" w:lineRule="auto"/>
        <w:ind w:firstLine="720"/>
      </w:pPr>
      <w:r>
        <w:t xml:space="preserve">Even at this confidence level, one thing stands: the architectural attributes in the GAO assessment tables do not all behave the same way. Cost growth follows interface count with high confidence. It follows heritage in the predicted direction, and only marginally. Put together, the two point toward a ranking among conformance dimensions that the audit instrument will have to honor.</w:t>
      </w:r>
    </w:p>
    <w:bookmarkEnd w:id="110"/>
    <w:bookmarkStart w:id="111" w:name="lowest-critical-trl-at-kdp-c"/>
    <w:p>
      <w:pPr>
        <w:pStyle w:val="Heading3"/>
        <w:spacing w:line="480" w:lineRule="auto"/>
      </w:pPr>
      <w:r>
        <w:t xml:space="preserve">6.2.4 Lowest Critical TRL at KDP-C</w:t>
      </w:r>
    </w:p>
    <w:p>
      <w:pPr>
        <w:pStyle w:val="FirstParagraph"/>
        <w:spacing w:line="480" w:lineRule="auto"/>
      </w:pPr>
      <w:r>
        <w:t xml:space="preserve">Lowest critical-technology TRL at confirmation is the third covariate. Its point estimate returns negative 2.0292, with a robust standard error of 4.9758 and a two-sided p value of 0.6834. That leaves it indistinguishable from zero in this sample. Theory would put the sign where it lands, since higher critical TRL should mean somewhat less cost growth, and the standard error runs about two and a half times the point estimate, so reading anything off the sign is statistically unjustified at this N.</w:t>
      </w:r>
    </w:p>
    <w:p>
      <w:pPr>
        <w:pStyle w:val="BodyText"/>
        <w:spacing w:line="480" w:lineRule="auto"/>
        <w:ind w:firstLine="720"/>
      </w:pPr>
      <w:r>
        <w:t xml:space="preserve">None of this says critical TRL fails to matter. It says critical TRL as logged at KDP-C does not clear the controls in this specification. Two readings sit comfortably with that. On the first, which tracks a longstanding GAO finding across the portfolio, NASA major projects routinely pass KDP-C with critical technologies below the stated policy threshold, so the threshold never bites on the outcome variance we observe</w:t>
      </w:r>
      <w:r>
        <w:t xml:space="preserve"> </w:t>
      </w:r>
      <w:hyperlink w:anchor="ref-11">
        <w:r>
          <w:rPr>
            <w:rStyle w:val="Hyperlink"/>
          </w:rPr>
          <w:t xml:space="preserve">[11]</w:t>
        </w:r>
      </w:hyperlink>
      <w:r>
        <w:t xml:space="preserve">[13][15]; where most projects arrive with one or two critical technologies parked at TRL 5 or 6, the covariate holds little usable variance, and a small sample pulls no signal from a regressor packed that tightly. On the second, kinder to the readiness construct itself, interface count and heritage percentage already soak up whatever predictive content immature technology carries, because a clean-sheet immature technology usually demands bespoke interfaces and resists being logged as heritage, which mechanically loads its variance onto the other two covariates</w:t>
      </w:r>
      <w:r>
        <w:t xml:space="preserve"> </w:t>
      </w:r>
      <w:hyperlink w:anchor="ref-14">
        <w:r>
          <w:rPr>
            <w:rStyle w:val="Hyperlink"/>
          </w:rPr>
          <w:t xml:space="preserve">[14]</w:t>
        </w:r>
      </w:hyperlink>
      <w:r>
        <w:t xml:space="preserve">. The present data cannot separate these accounts, and both sit consistently with the TRL null and with the field’s long ambivalence about whether the TRL ladder, as it is run today, tells you anything once denser architectural features enter the model</w:t>
      </w:r>
      <w:r>
        <w:t xml:space="preserve"> </w:t>
      </w:r>
      <w:hyperlink w:anchor="ref-14">
        <w:r>
          <w:rPr>
            <w:rStyle w:val="Hyperlink"/>
          </w:rPr>
          <w:t xml:space="preserve">[14]</w:t>
        </w:r>
      </w:hyperlink>
      <w:r>
        <w:t xml:space="preserve">.</w:t>
      </w:r>
    </w:p>
    <w:p>
      <w:pPr>
        <w:pStyle w:val="BodyText"/>
        <w:spacing w:line="480" w:lineRule="auto"/>
        <w:ind w:firstLine="720"/>
      </w:pPr>
      <w:r>
        <w:t xml:space="preserve">For the audit framing, the takeaway is operational: the instrument should not rest the TRL covariate as a load-bearing predictor in the headline scoring scheme. Interface and heritage carry the forecast. TRL earns a place for diagnostic reporting and for the construct-validity reasons the prospectus sets out, and it should carry no weight in the aggregate conformance score.</w:t>
      </w:r>
    </w:p>
    <w:bookmarkEnd w:id="111"/>
    <w:bookmarkStart w:id="112" w:name="the-constant"/>
    <w:p>
      <w:pPr>
        <w:pStyle w:val="Heading3"/>
        <w:spacing w:line="480" w:lineRule="auto"/>
      </w:pPr>
      <w:r>
        <w:t xml:space="preserve">6.2.5 The Constant</w:t>
      </w:r>
    </w:p>
    <w:p>
      <w:pPr>
        <w:pStyle w:val="FirstParagraph"/>
        <w:spacing w:line="480" w:lineRule="auto"/>
      </w:pPr>
      <w:r>
        <w:t xml:space="preserve">A constant of 32.3855 comes back, with a robust standard error of 22.9716 and a two-sided p value of 0.1586. It marks the model’s expected cost growth at the counterfactual point where interface count, heritage percentage, and lowest critical TRL all sit at zero. As a real-world quantity it is not separately identifiable, since no actual NASA project shows zero interfaces, zero heritage, and zero critical TRL at once. What it does is absorb the level effect the three covariates miss on their own. Its imprecision here is exactly what one expects and poses no threat to inference on the slopes.</w:t>
      </w:r>
    </w:p>
    <w:bookmarkEnd w:id="112"/>
    <w:bookmarkEnd w:id="113"/>
    <w:bookmarkStart w:id="119" w:name="Xe43f784ad9bd19766b23be7a29d885d3b1ca277"/>
    <w:p>
      <w:pPr>
        <w:pStyle w:val="Heading2"/>
        <w:spacing w:line="480" w:lineRule="auto"/>
      </w:pPr>
      <w:r>
        <w:t xml:space="preserve">6.3 Paper Two: Time to Launch under Architectural Stress</w:t>
      </w:r>
    </w:p>
    <w:bookmarkStart w:id="114" w:name="model-fit-and-estimation-strategy"/>
    <w:p>
      <w:pPr>
        <w:pStyle w:val="Heading3"/>
        <w:spacing w:line="480" w:lineRule="auto"/>
      </w:pPr>
      <w:r>
        <w:t xml:space="preserve">6.3.1 Model Fit and Estimation Strategy</w:t>
      </w:r>
    </w:p>
    <w:p>
      <w:pPr>
        <w:pStyle w:val="FirstParagraph"/>
        <w:spacing w:line="480" w:lineRule="auto"/>
      </w:pPr>
      <w:r>
        <w:t xml:space="preserve">Paper two runs a Cox proportional-hazards model on the partial-likelihood implementation in statsmodels. Its output covers a sample of N equal to 32 confirmed NASA major projects, 25 of them launch events and 7 right-censored. Those seven censored cases are programs still in development at the cut-off date of their most recent GAO assessment, the Roman Space Telescope, Mars Sample Return, Dragonfly, VIPER, Artemis II EGS, Gateway HALO/PPE, and HLS among them, all named in the paper two prose. A censoring share of seven in thirty-two is high enough to bend inference if the censoring runs informative, a concern chapter eight returns to, and it still falls inside the range where partial-likelihood inference is conventionally trusted.</w:t>
      </w:r>
    </w:p>
    <w:p>
      <w:pPr>
        <w:pStyle w:val="BodyText"/>
        <w:spacing w:line="480" w:lineRule="auto"/>
        <w:ind w:firstLine="720"/>
      </w:pPr>
      <w:r>
        <w:t xml:space="preserve">Two reasons from chapter four make Cox the right estimator here. First, it leaves the baseline hazard unparameterized, which suits a NASA major project portfolio whose baseline launch-hazard shape is unknown and hard to defend on parametric grounds given how heterogeneous the mission classes are. Second, its partial likelihood takes right-censored observations in stride, letting the seven not-yet-launched projects inform the at-risk set without forcing them to supply launch events they have yet to produce. Coefficients report as log hazard ratios, and exponentiating one returns the multiplicative effect a one-unit covariate change has on the instantaneous launch hazard.</w:t>
      </w:r>
    </w:p>
    <w:bookmarkEnd w:id="114"/>
    <w:bookmarkStart w:id="115" w:name="interface-count-1"/>
    <w:p>
      <w:pPr>
        <w:pStyle w:val="Heading3"/>
        <w:spacing w:line="480" w:lineRule="auto"/>
      </w:pPr>
      <w:r>
        <w:t xml:space="preserve">6.3.2 Interface Count</w:t>
      </w:r>
    </w:p>
    <w:p>
      <w:pPr>
        <w:pStyle w:val="FirstParagraph"/>
        <w:spacing w:line="480" w:lineRule="auto"/>
      </w:pPr>
      <w:r>
        <w:t xml:space="preserve">Interface count is again where the substance lives, now in paper two. Its point estimate returns negative 0.1541, with a robust standard error of 0.0632 and a two-sided p value of 0.0147. Exponentiate it and the hazard ratio comes to roughly 0.857. Hold heritage and TRL fixed, and each added major interface in the ICD set at KDP-C drops the instantaneous hazard of reaching launch by 14.3 percent. Significance clears the two percent bar, and a z ratio near negative 2.44 sits well past the usual threshold for a Cox partial-likelihood coefficient at this sample size.</w:t>
      </w:r>
    </w:p>
    <w:p>
      <w:pPr>
        <w:pStyle w:val="BodyText"/>
        <w:spacing w:line="480" w:lineRule="auto"/>
        <w:ind w:firstLine="720"/>
      </w:pPr>
      <w:r>
        <w:t xml:space="preserve">The magnitude bites in operational terms. Carry ten more interfaces at confirmation and the launch hazard falls to roughly 0.857 raised to the tenth power, about 0.215 of baseline. Put plainly, on the expected value such a project clears the at-risk set at roughly a fifth the rate of a comparable project ten interfaces lighter. Set against the qualitative narrative of the GAO’s most recent assessment series</w:t>
      </w:r>
      <w:r>
        <w:t xml:space="preserve"> </w:t>
      </w:r>
      <w:hyperlink w:anchor="ref-15">
        <w:r>
          <w:rPr>
            <w:rStyle w:val="Hyperlink"/>
          </w:rPr>
          <w:t xml:space="preserve">[15]</w:t>
        </w:r>
      </w:hyperlink>
      <w:r>
        <w:t xml:space="preserve">, a project up in the tail of the interface distribution, and the paper two prose names Roman with 33 interfaces, Mars Sample Return with 36, and Gateway HALO/PPE with 29 as illustrations, sits at a markedly lower instantaneous launch hazard than a median project, other architectural covariates held fixed. That fits the plain observation that these particular projects have stayed in development across several GAO assessment cycles, appearing in one annual assessment after another as programs whose launch date keeps receding, exactly the trajectory a low instantaneous hazard predicts.</w:t>
      </w:r>
    </w:p>
    <w:p>
      <w:pPr>
        <w:pStyle w:val="BodyText"/>
        <w:spacing w:line="480" w:lineRule="auto"/>
        <w:ind w:firstLine="720"/>
      </w:pPr>
      <w:r>
        <w:t xml:space="preserve">Paper two’s interface coefficient does more than echo paper one’s; it extends it. Paper one showed interface density forecasting cost growth conditional on a project reaching launch. Paper two shows the same density forecasting the rate at which projects reach launch at all. The two are reinforcing rather than redundant. Read paper one alone and a program office might file interface complexity under cost; read paper two beside it and the same office has to file it under schedule too, with both effects already visible in the architectural attributes captured at KDP-C. Confirmation from two directions strengthens the dissertation’s conformance hypothesis: one paper-architecture feature forecasts two separate adverse outcomes through two separate estimators.</w:t>
      </w:r>
    </w:p>
    <w:bookmarkEnd w:id="115"/>
    <w:bookmarkStart w:id="116" w:name="heritage-percentage-1"/>
    <w:p>
      <w:pPr>
        <w:pStyle w:val="Heading3"/>
        <w:spacing w:line="480" w:lineRule="auto"/>
      </w:pPr>
      <w:r>
        <w:t xml:space="preserve">6.3.3 Heritage Percentage</w:t>
      </w:r>
    </w:p>
    <w:p>
      <w:pPr>
        <w:pStyle w:val="FirstParagraph"/>
        <w:spacing w:line="480" w:lineRule="auto"/>
      </w:pPr>
      <w:r>
        <w:t xml:space="preserve">Heritage percentage in paper two returns a point estimate of positive 0.0181, with a robust standard error of 0.0362 and a two-sided p value of 0.6166. Sign matches theory, since more heritage at confirmation should raise the launch hazard and speed the trip to launch, and the magnitude stays small against the standard error while the p value sits far above any conventional threshold for inference.</w:t>
      </w:r>
    </w:p>
    <w:p>
      <w:pPr>
        <w:pStyle w:val="BodyText"/>
        <w:spacing w:line="480" w:lineRule="auto"/>
        <w:ind w:firstLine="720"/>
      </w:pPr>
      <w:r>
        <w:t xml:space="preserve">Exponentiate that point estimate and the hazard ratio lands near 1.018, which would put each added percentage point of heritage at confirmation at roughly a 1.8 percent lift in the instantaneous launch hazard. I do not report this as supported. A standard error running about twice the point estimate yields a z ratio near positive 0.50, well short of any conventional threshold.</w:t>
      </w:r>
    </w:p>
    <w:p>
      <w:pPr>
        <w:pStyle w:val="BodyText"/>
        <w:spacing w:line="480" w:lineRule="auto"/>
        <w:ind w:firstLine="720"/>
      </w:pPr>
      <w:r>
        <w:t xml:space="preserve">What the paper two heritage null does establish, set beside the borderline-significant heritage result in paper one, is that heritage shows up differently against the two outcomes. It brakes cost growth at launch with marginal but recoverable confidence, and it does not measurably quicken the trip to launch in this panel. One plausible reading is that heritage works mainly on integration and test cost rather than on schedule duration, since heritage subsystems trim the verification campaign without necessarily trimming the integration sequence they sit inside. Chapter seven’s theoretical discussion takes up that asymmetry; here I record it and leave it unresolved.</w:t>
      </w:r>
    </w:p>
    <w:bookmarkEnd w:id="116"/>
    <w:bookmarkStart w:id="117" w:name="lowest-critical-trl"/>
    <w:p>
      <w:pPr>
        <w:pStyle w:val="Heading3"/>
        <w:spacing w:line="480" w:lineRule="auto"/>
      </w:pPr>
      <w:r>
        <w:t xml:space="preserve">6.3.4 Lowest Critical TRL</w:t>
      </w:r>
    </w:p>
    <w:p>
      <w:pPr>
        <w:pStyle w:val="FirstParagraph"/>
        <w:spacing w:line="480" w:lineRule="auto"/>
      </w:pPr>
      <w:r>
        <w:t xml:space="preserve">Lowest critical TRL in paper two returns a point estimate of positive 0.1584, with a robust standard error of 0.6009 and a two-sided p value of 0.7921. Sign again lands where theory expects, higher critical TRL tied to a higher launch hazard, and the standard error runs about four times the point estimate. At no conventional confidence level is the coefficient distinguishable from zero in this sample.</w:t>
      </w:r>
    </w:p>
    <w:p>
      <w:pPr>
        <w:pStyle w:val="BodyText"/>
        <w:spacing w:line="480" w:lineRule="auto"/>
        <w:ind w:firstLine="720"/>
      </w:pPr>
      <w:r>
        <w:t xml:space="preserve">The null tracks its counterpart on critical TRL in paper one, and the same two readings carry over</w:t>
      </w:r>
      <w:r>
        <w:t xml:space="preserve"> </w:t>
      </w:r>
      <w:hyperlink w:anchor="ref-11">
        <w:r>
          <w:rPr>
            <w:rStyle w:val="Hyperlink"/>
          </w:rPr>
          <w:t xml:space="preserve">[11]</w:t>
        </w:r>
      </w:hyperlink>
      <w:r>
        <w:t xml:space="preserve">[14][15]. Either critical TRL holds little usable variance at KDP-C because most projects arrive with critical technologies bunched in a narrow band of the ladder, or interface count already absorbs its predictive content. Both estimators, run on one panel against different outcomes, come up empty on critical TRL at conventional thresholds, which sharpens the inference that the trouble sits with the construct as measured rather than with any one estimator’s idiosyncratic setup.</w:t>
      </w:r>
    </w:p>
    <w:bookmarkEnd w:id="117"/>
    <w:bookmarkStart w:id="118" w:name="the-survival-story-in-aggregate"/>
    <w:p>
      <w:pPr>
        <w:pStyle w:val="Heading3"/>
        <w:spacing w:line="480" w:lineRule="auto"/>
      </w:pPr>
      <w:r>
        <w:t xml:space="preserve">6.3.5 The Survival Story in Aggregate</w:t>
      </w:r>
    </w:p>
    <w:p>
      <w:pPr>
        <w:pStyle w:val="FirstParagraph"/>
        <w:spacing w:line="480" w:lineRule="auto"/>
      </w:pPr>
      <w:r>
        <w:t xml:space="preserve">Read as a set, the paper two coefficients hang together into one account of how paper architectures shape time to launch. Interface count dominates. Heritage and critical TRL land signs that agree with the directional priors from chapters two and three, and neither clears the controls in a 32-project panel. Interface count comes through sharp enough to detect, its hazard-ratio magnitudes mapping straight onto trajectories a reader can watch in the contemporary NASA portfolio. The qualitative GAO pattern, where projects up in the interface tail stay censored across several assessment cycles, the Cox estimator recovers quantitatively</w:t>
      </w:r>
      <w:r>
        <w:t xml:space="preserve"> </w:t>
      </w:r>
      <w:hyperlink w:anchor="ref-11">
        <w:r>
          <w:rPr>
            <w:rStyle w:val="Hyperlink"/>
          </w:rPr>
          <w:t xml:space="preserve">[11]</w:t>
        </w:r>
      </w:hyperlink>
      <w:r>
        <w:t xml:space="preserve">[15].</w:t>
      </w:r>
    </w:p>
    <w:bookmarkEnd w:id="118"/>
    <w:bookmarkEnd w:id="119"/>
    <w:bookmarkStart w:id="120" w:name="joint-interpretation"/>
    <w:p>
      <w:pPr>
        <w:pStyle w:val="Heading2"/>
        <w:spacing w:line="480" w:lineRule="auto"/>
      </w:pPr>
      <w:r>
        <w:t xml:space="preserve">6.4 Joint Interpretation</w:t>
      </w:r>
    </w:p>
    <w:p>
      <w:pPr>
        <w:pStyle w:val="FirstParagraph"/>
        <w:spacing w:line="480" w:lineRule="auto"/>
      </w:pPr>
      <w:r>
        <w:t xml:space="preserve">Read side by side, the two papers hold up one substantive claim that anchors the dissertation’s broader conformance argument. The count of major interfaces in the ICD set at confirmation is a measurable, auditable, informative forecaster of two distinct adverse program outcomes: how much cost growth launched projects absorb, and how fast the full confirmed population moves to launch. Interface count tracks both outcomes in the predicted direction, at high statistical confidence in each estimator, and at operationally large magnitudes.</w:t>
      </w:r>
    </w:p>
    <w:p>
      <w:pPr>
        <w:pStyle w:val="BodyText"/>
        <w:spacing w:line="480" w:lineRule="auto"/>
        <w:ind w:firstLine="720"/>
      </w:pPr>
      <w:r>
        <w:t xml:space="preserve">Heritage percentage joins that account on the cost-growth side with marginal confidence, and on the schedule side with a coefficient that points the right way and stays statistically silent. Lowest critical TRL at KDP-C clears the controls in neither estimator. So the combined pattern across both papers is this: the architecture-on-paper attributes a program office holds at confirmation do carry real predictive content about execution outcomes, and that content concentrates in one dimension. Interface architecture is the load-bearing structural variable in the paper-architecture story.</w:t>
      </w:r>
    </w:p>
    <w:p>
      <w:pPr>
        <w:pStyle w:val="BodyText"/>
        <w:spacing w:line="480" w:lineRule="auto"/>
        <w:ind w:firstLine="720"/>
      </w:pPr>
      <w:r>
        <w:t xml:space="preserve">Three consequences follow for the conformance audit instrument the dissertation releases in chapter ten. The interface dimension should carry heavy weight in the audit rubric, since the evidence backs its predictive load. Heritage should keep moderate weight, reflecting a borderline-significant contribution on cost growth and a directionally consistent, statistically silent one on schedule. Lowest critical TRL should stay in for construct validity and diagnostic reporting and carry no weight in the aggregate score, because the present evidence gives no basis for treating it as a load-bearing predictor.</w:t>
      </w:r>
    </w:p>
    <w:p>
      <w:pPr>
        <w:pStyle w:val="BodyText"/>
        <w:spacing w:line="480" w:lineRule="auto"/>
        <w:ind w:firstLine="720"/>
      </w:pPr>
      <w:r>
        <w:t xml:space="preserve">This joint reading also recasts the policy intuition that threads through the GAO assessment series. That longstanding observation, that NASA major projects with denser ICD sets at confirmation tend to overrun and slip, the two estimators here convert from qualitative narrative into a measurable elasticity. Grow an ICD set by ten interfaces between formulation and confirmation, and on the expected value it comes with roughly 16.8 percentage points of added cost growth at launch and a launch hazard ratio near 0.215 against a comparable project. Not marginal tweaks to the architectural baseline. Programmatic consequences large enough that an independent reviewer at KDP-C can defensibly treat interface count as a leading indicator of execution risk on both fronts.</w:t>
      </w:r>
    </w:p>
    <w:bookmarkEnd w:id="120"/>
    <w:bookmarkStart w:id="121" w:name="what-these-results-do-not-show"/>
    <w:p>
      <w:pPr>
        <w:pStyle w:val="Heading2"/>
        <w:spacing w:line="480" w:lineRule="auto"/>
      </w:pPr>
      <w:r>
        <w:t xml:space="preserve">6.5 What These Results Do Not Show</w:t>
      </w:r>
    </w:p>
    <w:p>
      <w:pPr>
        <w:pStyle w:val="FirstParagraph"/>
        <w:spacing w:line="480" w:lineRule="auto"/>
      </w:pPr>
      <w:r>
        <w:t xml:space="preserve">I close on what the estimators do not support. The audit framing keeps its discipline only by refusing to overclaim the record.</w:t>
      </w:r>
    </w:p>
    <w:p>
      <w:pPr>
        <w:pStyle w:val="BodyText"/>
        <w:spacing w:line="480" w:lineRule="auto"/>
        <w:ind w:firstLine="720"/>
      </w:pPr>
      <w:r>
        <w:t xml:space="preserve">They do not show interface count causing cost growth or schedule slip. They show association, conditional on the other two architectural covariates and on the linear form in paper one or the proportional-hazards form in paper two. The dissertation makes no causal-identification claim; it claims predictive informativeness, and on that narrower ground the evidence holds.</w:t>
      </w:r>
    </w:p>
    <w:p>
      <w:pPr>
        <w:pStyle w:val="BodyText"/>
        <w:spacing w:line="480" w:lineRule="auto"/>
        <w:ind w:firstLine="720"/>
      </w:pPr>
      <w:r>
        <w:t xml:space="preserve">They do not show the architecture document capturing every paper-architecture attribute that matters. Paper one’s R squared of 0.6655 leaves about a third of cost-growth variance loose. The Cox model in paper two carries no matching variance-decomposition statistic, and the seven censored observations plus the lean covariate set make plain that real drivers of time to launch sit outside this specification. The audit instrument will have to judge, on principle, whether to widen the covariate set or accept the residual as program-specific noise beyond the reach of the architecture document.</w:t>
      </w:r>
    </w:p>
    <w:p>
      <w:pPr>
        <w:pStyle w:val="BodyText"/>
        <w:spacing w:line="480" w:lineRule="auto"/>
        <w:ind w:firstLine="720"/>
      </w:pPr>
      <w:r>
        <w:t xml:space="preserve">They do not show MBSE adoption on its own tied to conformance outcomes. The two companion papers here test paper-architecture attributes against execution outcomes; the MBSE-versus-document-centric comparison from the prospectus belongs to the chapter seven analysis, which runs a different sampling frame and a different identification strategy. What the findings here establish is the predictive instrument; the MBSE comparison then applies that instrument to the conformance question driving the dissertation.</w:t>
      </w:r>
    </w:p>
    <w:p>
      <w:pPr>
        <w:pStyle w:val="BodyText"/>
        <w:spacing w:line="480" w:lineRule="auto"/>
        <w:ind w:firstLine="720"/>
      </w:pPr>
      <w:r>
        <w:t xml:space="preserve">And they do not, in the end, retire the program office’s qualitative judgment at KDP-C. They sharpen it. Paper one’s interface coefficient and paper two’s together hand an independent reviewer a defensible quantitative anchor for the conversation about architectural risk at confirmation. They do not excuse the reviewer from interrogating the specific interfaces in the ICD set, the specific heritage subsystems carried forward, and the specific critical technologies whose maturity the program claims. The audit instrument the dissertation releases in chapter ten is built to make that interrogation reproducible. This chapter establishes that the underlying empirical structure can bear it.</w:t>
      </w:r>
    </w:p>
    <w:bookmarkEnd w:id="121"/>
    <w:bookmarkEnd w:id="122"/>
    <w:bookmarkStart w:id="146" w:name="X21322cb5e29cbf4eb576afddcad42f86ace4e0d"/>
    <w:p>
      <w:pPr>
        <w:pStyle w:val="Heading1"/>
        <w:spacing w:line="480" w:lineRule="auto"/>
      </w:pPr>
      <w:r>
        <w:t xml:space="preserve">Chapter 7. Discussion and Governance Implications</w:t>
      </w:r>
    </w:p>
    <w:bookmarkStart w:id="123" w:name="restatement-of-the-empirical-yield"/>
    <w:p>
      <w:pPr>
        <w:pStyle w:val="Heading2"/>
        <w:spacing w:line="480" w:lineRule="auto"/>
      </w:pPr>
      <w:r>
        <w:t xml:space="preserve">7.1 Restatement of the Empirical Yield</w:t>
      </w:r>
    </w:p>
    <w:p>
      <w:pPr>
        <w:pStyle w:val="FirstParagraph"/>
        <w:spacing w:line="480" w:lineRule="auto"/>
      </w:pPr>
      <w:r>
        <w:t xml:space="preserve">Two coordinated findings came out of the empirical core, and I take them as the load-bearing inputs to this chapter. From the first companion paper, the cost-growth audit: on a panel of 32 confirmed NASA major projects, interface count at confirmation is a robust positive forecaster of cost growth at launch, heritage percentage carries a negative coefficient of marginal significance, and the lowest critical-technology readiness level does not clear the controls in that same specification [11, 12, 13, 15]. From the second companion paper, the survival audit, fit as a Cox proportional-hazards model on the same panel: interface count at confirmation is also a robust negative forecaster of the instantaneous hazard of reaching launch, while heritage and technology readiness point where theory says they should and stay inseparable from zero at conventional thresholds [11, 13, 14, 15]. Redundant the two outcomes are not. One conditions on a project reaching launch and asks what the architecture on paper says about the size of the bill that lands. The other reaches upstream and asks how fast the architecture on paper lets the program leave development at all. Together they sketch a portfolio where the density of the interface control document set at the confirmation gate is the single most informative architectural variable about both the pace of progress and the terminal cost.</w:t>
      </w:r>
    </w:p>
    <w:p>
      <w:pPr>
        <w:pStyle w:val="BodyText"/>
        <w:spacing w:line="480" w:lineRule="auto"/>
        <w:ind w:firstLine="720"/>
      </w:pPr>
      <w:r>
        <w:t xml:space="preserve">I read that yield for two audiences here: NASA program management at headquarters and mission directorate level, and the Jet Propulsion Laboratory as the implementing center whose architectures supply a disproportionate share of the panel. I also use the chapter to fold the conformance-audit instrument from the prospectus into the regression and survival results the dissertation has now produced, to fix the boundaries of what the present design can support, and to set the agenda for what comes next.</w:t>
      </w:r>
    </w:p>
    <w:bookmarkEnd w:id="123"/>
    <w:bookmarkStart w:id="128" w:name="X13ffe9b5890cec9855fba8ee3ab7d47ca0c85f8"/>
    <w:p>
      <w:pPr>
        <w:pStyle w:val="Heading2"/>
        <w:spacing w:line="480" w:lineRule="auto"/>
      </w:pPr>
      <w:r>
        <w:t xml:space="preserve">7.2 What the Findings Mean for NASA Program Management</w:t>
      </w:r>
    </w:p>
    <w:bookmarkStart w:id="124" w:name="Xe844a44e012e2a70409054440f083c74b831207"/>
    <w:p>
      <w:pPr>
        <w:pStyle w:val="Heading3"/>
        <w:spacing w:line="480" w:lineRule="auto"/>
      </w:pPr>
      <w:r>
        <w:t xml:space="preserve">7.2.1 Interface Count is the Load-Bearing Architectural Variable</w:t>
      </w:r>
    </w:p>
    <w:p>
      <w:pPr>
        <w:pStyle w:val="FirstParagraph"/>
        <w:spacing w:line="480" w:lineRule="auto"/>
      </w:pPr>
      <w:r>
        <w:t xml:space="preserve">First-order implication for NASA program management: interface count as documented at confirmation earns treatment as a leading indicator of both cost and schedule risk, not as a passive accounting line in the project plan. A cost-growth coefficient of roughly 1.7 percentage points per added major interface, heritage and technology readiness held fixed, is not a parameter any later management reserve hedges economically. A survival coefficient implying that ten added interfaces at confirmation cut the launch hazard by roughly fifteen percent per unit fits a long-settled view in the systems engineering canon: interfaces are where integration risk concentrates and where verification cost accrues</w:t>
      </w:r>
      <w:r>
        <w:t xml:space="preserve"> </w:t>
      </w:r>
      <w:hyperlink w:anchor="ref-12">
        <w:r>
          <w:rPr>
            <w:rStyle w:val="Hyperlink"/>
          </w:rPr>
          <w:t xml:space="preserve">[12]</w:t>
        </w:r>
      </w:hyperlink>
      <w:r>
        <w:t xml:space="preserve">. What is new here is not the direction of the effect. It is that the effect runs large enough to surface in a 32-project panel that has drawn more than a decade of independent oversight reporting [11, 13, 15].</w:t>
      </w:r>
    </w:p>
    <w:p>
      <w:pPr>
        <w:pStyle w:val="BodyText"/>
        <w:spacing w:line="480" w:lineRule="auto"/>
        <w:ind w:firstLine="720"/>
      </w:pPr>
      <w:r>
        <w:t xml:space="preserve">Sharper still for governance. The confirmation review apparatus already collects the variable that matters, and it logs it as description rather than diagnosis, both in the systems engineering handbook and in the Government Accountability Office audits [11, 12, 15]. A confirmation package listing thirty-six interfaces, as Mars Sample Return did at baseline</w:t>
      </w:r>
      <w:r>
        <w:t xml:space="preserve"> </w:t>
      </w:r>
      <w:hyperlink w:anchor="ref-15">
        <w:r>
          <w:rPr>
            <w:rStyle w:val="Hyperlink"/>
          </w:rPr>
          <w:t xml:space="preserve">[15]</w:t>
        </w:r>
      </w:hyperlink>
      <w:r>
        <w:t xml:space="preserve">, reads observably different from one listing fewer than twenty, and that difference now attaches to a quantified consequence for the cost and schedule path ahead. The dissertation’s audit instrument exists to make that consequence operational right at the decision point, binding the cost and survival elasticities derived here to the interface count the program office already has to declare.</w:t>
      </w:r>
    </w:p>
    <w:bookmarkEnd w:id="124"/>
    <w:bookmarkStart w:id="125" w:name="X7d8cc6837662ef74220dc565fa336c68db6717e"/>
    <w:p>
      <w:pPr>
        <w:pStyle w:val="Heading3"/>
        <w:spacing w:line="480" w:lineRule="auto"/>
      </w:pPr>
      <w:r>
        <w:t xml:space="preserve">7.2.2 The Technology Readiness Result Sharpens an Old Critique</w:t>
      </w:r>
    </w:p>
    <w:p>
      <w:pPr>
        <w:pStyle w:val="FirstParagraph"/>
        <w:spacing w:line="480" w:lineRule="auto"/>
      </w:pPr>
      <w:r>
        <w:t xml:space="preserve">Second implication, on the technology readiness variable. The cost-growth regression in the first companion paper returns a point estimate on the lowest critical technology readiness level that carries the theoretically expected sign and cannot be told apart from zero, and the Cox survival model returns a coefficient just as insignificant. This is not the absence of a technology-maturity effect on outcomes. It is the absence of an effect of the technology readiness level as documented at confirmation, on outcomes seen at launch, once interface count and heritage are controlled. That phrasing earns its keep, because the readiness scale itself has taken sustained criticism dating to its original retrospective by Mankins</w:t>
      </w:r>
      <w:r>
        <w:t xml:space="preserve"> </w:t>
      </w:r>
      <w:hyperlink w:anchor="ref-14">
        <w:r>
          <w:rPr>
            <w:rStyle w:val="Hyperlink"/>
          </w:rPr>
          <w:t xml:space="preserve">[14]</w:t>
        </w:r>
      </w:hyperlink>
      <w:r>
        <w:t xml:space="preserve">. That critique runs three ways: the integer scale flattens heterogeneous technical risks into one ordinal label, the confirmation-milestone threshold has not historically bound NASA project approval, and the level assigned is endogenous to the program’s own interest in reaching the gate.</w:t>
      </w:r>
    </w:p>
    <w:p>
      <w:pPr>
        <w:pStyle w:val="BodyText"/>
        <w:spacing w:line="480" w:lineRule="auto"/>
        <w:ind w:firstLine="720"/>
      </w:pPr>
      <w:r>
        <w:t xml:space="preserve">The dissertation’s empirical pattern sits comfortably with that critique. Time and again the Government Accountability Office has logged projects moving through confirmation with critical technologies below the policy threshold, and that logging never bent the program’s trajectory [11, 13, 15]. When the variable a policy threshold targets fails to forecast the outcomes the policy meant to head off, the threshold is, in econometric terms, weakly identifying. None of this says technology readiness stops mattering. It says the integer scale, as captured today at confirmation, has been beaten as a leading indicator by a variable already sitting on the same documentation surface, the interface count. NASA program management has two responses open, and they are not mutually exclusive. One keeps the readiness threshold and disaggregates it, reporting each critical technology’s readiness against an explicit interface map, so the policy variable rides on the architectural variable the present evidence says is doing the work. The other requires, at confirmation, an explicit interface budget alongside the standing cost and schedule baselines, with interface count managed as a controlled architectural quantity rather than left to emerge as a descriptive statistic. Both fit inside the perimeter of the existing systems engineering handbook and demand no new policy regime</w:t>
      </w:r>
      <w:r>
        <w:t xml:space="preserve"> </w:t>
      </w:r>
      <w:hyperlink w:anchor="ref-12">
        <w:r>
          <w:rPr>
            <w:rStyle w:val="Hyperlink"/>
          </w:rPr>
          <w:t xml:space="preserve">[12]</w:t>
        </w:r>
      </w:hyperlink>
      <w:r>
        <w:t xml:space="preserve">.</w:t>
      </w:r>
    </w:p>
    <w:bookmarkEnd w:id="125"/>
    <w:bookmarkStart w:id="126" w:name="X06b43bcbdd27397368b02d489468c917baa27ed"/>
    <w:p>
      <w:pPr>
        <w:pStyle w:val="Heading3"/>
        <w:spacing w:line="480" w:lineRule="auto"/>
      </w:pPr>
      <w:r>
        <w:t xml:space="preserve">7.2.3 Heritage as a Soft Discount Rather Than a Hard Hedge</w:t>
      </w:r>
    </w:p>
    <w:p>
      <w:pPr>
        <w:pStyle w:val="FirstParagraph"/>
        <w:spacing w:line="480" w:lineRule="auto"/>
      </w:pPr>
      <w:r>
        <w:t xml:space="preserve">Heritage lands in between. In the cost-growth regression its coefficient runs negative and marginally significant, so a ten percentage point rise in heritage subsystems maps to roughly five to six percentage points less cost growth at launch. In the survival model it runs positive in the expected direction and cannot be separated from zero. Together those fit a reading in which heritage softens the size of the cost surprises that surface among projects that do reach launch, without much quickening the rate at which projects reach launch to begin with. For NASA program management, the actionable version is short: treat heritage as a soft discount on terminal cost risk, not a hard hedge against schedule risk. That reading touches the old heritage-versus-capability tension that keeps recurring in the Acta Astronautica literature on mission planning. Reconstructions of complex mission events, the Schiaparelli entry, descent, and landing analysis among them, show nominally heritage subsystems carrying latent interface assumptions that get revisited under new operating conditions and are not always caught again in time</w:t>
      </w:r>
      <w:r>
        <w:t xml:space="preserve"> </w:t>
      </w:r>
      <w:hyperlink w:anchor="ref-5">
        <w:r>
          <w:rPr>
            <w:rStyle w:val="Hyperlink"/>
          </w:rPr>
          <w:t xml:space="preserve">[5]</w:t>
        </w:r>
      </w:hyperlink>
      <w:r>
        <w:t xml:space="preserve">. The nanosatellite robustness literature makes the same point at smaller scale, noting that heritage claims are often heritage at the box level and novel at the interface level</w:t>
      </w:r>
      <w:r>
        <w:t xml:space="preserve"> </w:t>
      </w:r>
      <w:hyperlink w:anchor="ref-4">
        <w:r>
          <w:rPr>
            <w:rStyle w:val="Hyperlink"/>
          </w:rPr>
          <w:t xml:space="preserve">[4]</w:t>
        </w:r>
      </w:hyperlink>
      <w:r>
        <w:t xml:space="preserve">. The Solar Orbiter EPD verification literature drives it from the other side, showing how disciplined structural shock verification turns nominally novel interfaces into auditable heritage for follow-on missions</w:t>
      </w:r>
      <w:r>
        <w:t xml:space="preserve"> </w:t>
      </w:r>
      <w:hyperlink w:anchor="ref-3">
        <w:r>
          <w:rPr>
            <w:rStyle w:val="Hyperlink"/>
          </w:rPr>
          <w:t xml:space="preserve">[3]</w:t>
        </w:r>
      </w:hyperlink>
      <w:r>
        <w:t xml:space="preserve">. All three fit the dissertation’s interface count finding. What softens cost growth is not heritage as a portfolio label; it is heritage as an interface-by-interface property that retires verification load.</w:t>
      </w:r>
    </w:p>
    <w:bookmarkEnd w:id="126"/>
    <w:bookmarkStart w:id="127" w:name="X87886699e1d333f50ecff4e9a8d61352c2f8270"/>
    <w:p>
      <w:pPr>
        <w:pStyle w:val="Heading3"/>
        <w:spacing w:line="480" w:lineRule="auto"/>
      </w:pPr>
      <w:r>
        <w:t xml:space="preserve">7.2.4 The Audit Instrument as a Standing Decision Artifact</w:t>
      </w:r>
    </w:p>
    <w:p>
      <w:pPr>
        <w:pStyle w:val="FirstParagraph"/>
        <w:spacing w:line="480" w:lineRule="auto"/>
      </w:pPr>
      <w:r>
        <w:t xml:space="preserve">Fourth implication, and it is institutional. Diagnostic information is not what NASA program management has lacked; a standing audit instrument that yields a comparable conformance score across missions and across review cycles is. That vacancy is exactly what the conformance audit methodology, proposed in the prospectus, taxonomized in the qualitative phase, and validated against the cost-growth and survival outcomes in the quantitative phases, is built to fill. It produces a bounded score over a fixed set of architectural commitments, anchored on the interface, performance allocation, and verification dimensions the regression and survival analyses flagged as informative [11, 12, 13, 15]. Independent coders can replicate it, publicly available outcome variables validate it, and its weighting and threshold choices are pre-registered.</w:t>
      </w:r>
    </w:p>
    <w:p>
      <w:pPr>
        <w:pStyle w:val="BodyText"/>
        <w:spacing w:line="480" w:lineRule="auto"/>
        <w:ind w:firstLine="720"/>
      </w:pPr>
      <w:r>
        <w:t xml:space="preserve">Its value to NASA program management is that the agency can ask, at any review cycle, whether the architecture on paper has drifted from the architecture approved at confirmation, by how much, and along which dimensions. That is the architectural analog of a financial restatement, and it is precisely what the existing review apparatus fails to produce. It also hands the agency a route to retrospective accountability that runs without the implementing center’s cooperation, since the inputs come from already-public documents and from telemetry-grounded post-flight reconstructions [3, 5, 6].</w:t>
      </w:r>
    </w:p>
    <w:bookmarkEnd w:id="127"/>
    <w:bookmarkEnd w:id="128"/>
    <w:bookmarkStart w:id="132" w:name="X3588bfaa42318ce39fe8a99dc2037c3175295b0"/>
    <w:p>
      <w:pPr>
        <w:pStyle w:val="Heading2"/>
        <w:spacing w:line="480" w:lineRule="auto"/>
      </w:pPr>
      <w:r>
        <w:t xml:space="preserve">7.3 What the Findings Mean for the Jet Propulsion Laboratory</w:t>
      </w:r>
    </w:p>
    <w:p>
      <w:pPr>
        <w:pStyle w:val="FirstParagraph"/>
        <w:spacing w:line="480" w:lineRule="auto"/>
      </w:pPr>
      <w:r>
        <w:t xml:space="preserve">For the Jet Propulsion Laboratory the implications land more pointedly, since JPL contributes a substantial share of the panel and several of its highest-interface programs, Mars Sample Return among them, are JPL implementations [15, 31]. I take three in turn.</w:t>
      </w:r>
    </w:p>
    <w:bookmarkStart w:id="129" w:name="X89099079d3806a826e6d7bd5c746502b953eee8"/>
    <w:p>
      <w:pPr>
        <w:pStyle w:val="Heading3"/>
        <w:spacing w:line="480" w:lineRule="auto"/>
      </w:pPr>
      <w:r>
        <w:t xml:space="preserve">7.3.1 The Interface Budget as a Center-Level Architectural Discipline</w:t>
      </w:r>
    </w:p>
    <w:p>
      <w:pPr>
        <w:pStyle w:val="FirstParagraph"/>
        <w:spacing w:line="480" w:lineRule="auto"/>
      </w:pPr>
      <w:r>
        <w:t xml:space="preserve">JPL would gain, first, from adopting an interface budget as a center-level architectural discipline in the formulation phase, ahead of the confirmation milestone. The cost-growth and survival results together imply that an interface count above thirty at confirmation is empirically tied to a cost path and a launch path the center will struggle to hedge with later management reserve or schedule slack. The Mars Sample Return architecture, as documented in the campaign concept status paper, works as a case in point: a mission whose interface density showed early and went unused as a constraining design variable during formulation</w:t>
      </w:r>
      <w:r>
        <w:t xml:space="preserve"> </w:t>
      </w:r>
      <w:hyperlink w:anchor="ref-31">
        <w:r>
          <w:rPr>
            <w:rStyle w:val="Hyperlink"/>
          </w:rPr>
          <w:t xml:space="preserve">[31]</w:t>
        </w:r>
      </w:hyperlink>
      <w:r>
        <w:t xml:space="preserve">. The dissertation’s quantitative results give the center a basis for treating interface count as exactly that kind of constraining variable, with an elasticity that can be cited in defense of architectural simplification bought at the price of mission scope.</w:t>
      </w:r>
    </w:p>
    <w:p>
      <w:pPr>
        <w:pStyle w:val="BodyText"/>
        <w:spacing w:line="480" w:lineRule="auto"/>
        <w:ind w:firstLine="720"/>
      </w:pPr>
      <w:r>
        <w:t xml:space="preserve">None of that asks JPL to shrink its mission ambition. It asks the center to treat interface count as a first-class architectural quantity, budgeted, traded, and managed against an explicit empirical cost-and-schedule penalty, the way mass and power get budgeted against an explicit launch-vehicle penalty. The machinery for that already lives in the model-based systems engineering practice JPL has been steadily adopting [1, 2, 7]. What the present evidence supplies is a quantitative basis for the trade.</w:t>
      </w:r>
    </w:p>
    <w:bookmarkEnd w:id="129"/>
    <w:bookmarkStart w:id="130" w:name="X869fca11f35a9b84b44c4e824c98aacf0e1cf90"/>
    <w:p>
      <w:pPr>
        <w:pStyle w:val="Heading3"/>
        <w:spacing w:line="480" w:lineRule="auto"/>
      </w:pPr>
      <w:r>
        <w:t xml:space="preserve">7.3.2 The Distributed Coordination Architectures as a Test Bed</w:t>
      </w:r>
    </w:p>
    <w:p>
      <w:pPr>
        <w:pStyle w:val="FirstParagraph"/>
        <w:spacing w:line="480" w:lineRule="auto"/>
      </w:pPr>
      <w:r>
        <w:t xml:space="preserve">Second implication, on the distributed architectures JPL has been building alongside the wider space domain awareness community. Distributed space traffic coordination, common communications channels, cislunar networks: each shares one property, its interface density is not capped by a single platform’s physical envelope, so it can grow free of the discipline a spacecraft mass budget would impose [2, 17, 20]. The dissertation’s interface elasticities furnish a discipline that is not platform-bound and that travels with the architectural artifact rather than the implementing hardware. Give a distributed coordination architecture a documented interface budget at confirmation, and it can be evaluated against the same elasticities as a single-platform mission, with the same audit instrument applied to its conformance path.</w:t>
      </w:r>
    </w:p>
    <w:p>
      <w:pPr>
        <w:pStyle w:val="BodyText"/>
        <w:spacing w:line="480" w:lineRule="auto"/>
        <w:ind w:firstLine="720"/>
      </w:pPr>
      <w:r>
        <w:t xml:space="preserve">For JPL the implication is that the center’s emerging distributed architectures, the ones with external partners included, would gain from being audited against the same conformance instrument the present dissertation applies to the historical major-project panel. Adopting it as an internal review tool ahead of any external mandate would build an evidence record that supports the architectural choices being made and that would hold up in later independent oversight reviews [11, 15]. The artificial intelligence and autonomy pieces of these architectures, now a documented feature of several proposed coordination systems, add interfaces the audit instrument can capture and the conformance score can weight to fit [19, 21, 32].</w:t>
      </w:r>
    </w:p>
    <w:bookmarkEnd w:id="130"/>
    <w:bookmarkStart w:id="131" w:name="Xcb8fe8dfbb5e460e42284e71376687c94f9f018"/>
    <w:p>
      <w:pPr>
        <w:pStyle w:val="Heading3"/>
        <w:spacing w:line="480" w:lineRule="auto"/>
      </w:pPr>
      <w:r>
        <w:t xml:space="preserve">7.3.3 Heritage Claims and the Discipline of the Verification Artifact</w:t>
      </w:r>
    </w:p>
    <w:p>
      <w:pPr>
        <w:pStyle w:val="FirstParagraph"/>
        <w:spacing w:line="480" w:lineRule="auto"/>
      </w:pPr>
      <w:r>
        <w:t xml:space="preserve">Third implication, on how JPL documents heritage claims at confirmation. The cost-growth result says heritage softens terminal cost growth, and the verification and reconstruction literature, the Schiaparelli entry and descent analysis, the radiation hardness assurance synthesis, and the EPD structural shock verification among them, all say that heritage unanchored to an explicit verification artifact at the interface level is heritage the program risks relitigating after launch [3, 5, 6]. JPL’s institutional edge in cross-mission heritage is one of the assets the dissertation’s evidence quietly credits. So the implication is that the asset grows more durable as the link tightens between the heritage claim and the verification artifact at confirmation, so that heritage entering the audit score is heritage backed by a documented interface-level verification record.</w:t>
      </w:r>
    </w:p>
    <w:bookmarkEnd w:id="131"/>
    <w:bookmarkEnd w:id="132"/>
    <w:bookmarkStart w:id="138" w:name="limitations-of-the-present-design"/>
    <w:p>
      <w:pPr>
        <w:pStyle w:val="Heading2"/>
        <w:spacing w:line="480" w:lineRule="auto"/>
      </w:pPr>
      <w:r>
        <w:t xml:space="preserve">7.4 Limitations of the Present Design</w:t>
      </w:r>
    </w:p>
    <w:p>
      <w:pPr>
        <w:pStyle w:val="FirstParagraph"/>
        <w:spacing w:line="480" w:lineRule="auto"/>
      </w:pPr>
      <w:r>
        <w:t xml:space="preserve">I turn now to the limitations of the empirical design. I read them as boundaries on the inferences in the two preceding sections, not as decorative concessions.</w:t>
      </w:r>
    </w:p>
    <w:bookmarkStart w:id="133" w:name="sample-size-and-statistical-power"/>
    <w:p>
      <w:pPr>
        <w:pStyle w:val="Heading3"/>
        <w:spacing w:line="480" w:lineRule="auto"/>
      </w:pPr>
      <w:r>
        <w:t xml:space="preserve">7.4.1 Sample Size and Statistical Power</w:t>
      </w:r>
    </w:p>
    <w:p>
      <w:pPr>
        <w:pStyle w:val="FirstParagraph"/>
        <w:spacing w:line="480" w:lineRule="auto"/>
      </w:pPr>
      <w:r>
        <w:t xml:space="preserve">Panel size comes first. Thirty-two projects runs large against three principal regressors and suffices to detect the interface count effect with confidence in both the regression and the survival specifications, and it runs small against the heterogeneity of the underlying portfolio. The technology readiness non-result in particular admits two distinct interpretations. One holds that the variable carries no independent information about outcomes once interface count is controlled. The other holds that it does carry information, and the sample lacks the power to detect it amid correlated covariates. On the present data the dissertation cannot decide between them. A panel widened with international space agency missions and commercial flagship missions carrying comparable outcome documentation would supply the power to separate them, and I leave the design of that extension to later work.</w:t>
      </w:r>
    </w:p>
    <w:bookmarkEnd w:id="133"/>
    <w:bookmarkStart w:id="134" w:name="X00b9b33be2f0a5bb32aa67d1c94970d440507af"/>
    <w:p>
      <w:pPr>
        <w:pStyle w:val="Heading3"/>
        <w:spacing w:line="480" w:lineRule="auto"/>
      </w:pPr>
      <w:r>
        <w:t xml:space="preserve">7.4.2 The Endogeneity of Confirmation Variables</w:t>
      </w:r>
    </w:p>
    <w:p>
      <w:pPr>
        <w:pStyle w:val="FirstParagraph"/>
        <w:spacing w:line="480" w:lineRule="auto"/>
      </w:pPr>
      <w:r>
        <w:t xml:space="preserve">Endogeneity in the confirmation-milestone variables comes second. Interface count, heritage percentage, and the lowest critical technology readiness level are not assigned to projects exogenously. They fall out of a formulation phase in which the program office, the implementing center, and the prime contractor have all chosen architecture against expected resources, expected outcomes, and expected oversight. So the interface count effect the regression and survival model identify is the effect of the interface count that survives formulation, not the effect of one randomly assigned to the project. That is the standard limitation of observational architecture research, and re-specifying the model does not remove it. Within-contractor identification addresses it in part, as do negative controls on subsystem classes where interface density runs uncorrelated with program leadership, and sensitivity analyses that vary the audit-score weighting. The prospectus committed to all three mitigations, and the dissertation as a whole runs them.</w:t>
      </w:r>
    </w:p>
    <w:bookmarkEnd w:id="134"/>
    <w:bookmarkStart w:id="135" w:name="X9ed23bfc7d053bc97d94087f2e07fccf0ab2c6c"/>
    <w:p>
      <w:pPr>
        <w:pStyle w:val="Heading3"/>
        <w:spacing w:line="480" w:lineRule="auto"/>
      </w:pPr>
      <w:r>
        <w:t xml:space="preserve">7.4.3 Measurement Heterogeneity in the Independent Oversight Record</w:t>
      </w:r>
    </w:p>
    <w:p>
      <w:pPr>
        <w:pStyle w:val="FirstParagraph"/>
        <w:spacing w:line="480" w:lineRule="auto"/>
      </w:pPr>
      <w:r>
        <w:t xml:space="preserve">Heterogeneity in the independent oversight record comes third. The Government Accountability Office assessment series is the most comprehensive public record of NASA major project status, and it is not a canonical interface control document database [11, 13, 15]. Interface counts get read off heterogeneous summary tables and off the underlying project plans the assessments cite. The dissertation handles that heterogeneity by hand-coding from primary sources wherever the summary reads ambiguous, and by marking under five percent of the interface and cost cells as illustrative where the underlying source reports ranges rather than point values. A more powerful design would harvest the program-of-record interface control document baseline straight from the implementing centers, the natural next step as the audit instrument moves from research artifact to operational one.</w:t>
      </w:r>
    </w:p>
    <w:bookmarkEnd w:id="135"/>
    <w:bookmarkStart w:id="136" w:name="right-censoring-and-competing-risks"/>
    <w:p>
      <w:pPr>
        <w:pStyle w:val="Heading3"/>
        <w:spacing w:line="480" w:lineRule="auto"/>
      </w:pPr>
      <w:r>
        <w:t xml:space="preserve">7.4.4 Right-Censoring and Competing Risks</w:t>
      </w:r>
    </w:p>
    <w:p>
      <w:pPr>
        <w:pStyle w:val="FirstParagraph"/>
        <w:spacing w:line="480" w:lineRule="auto"/>
      </w:pPr>
      <w:r>
        <w:t xml:space="preserve">Fourth limitation, specific to the survival analysis. The Cox model reads projects not yet launched as right-censored, and censoring in this domain is not always independent of the outcome. A project canceled, indefinitely paused, or restructured into a different program is not merely a project whose launch has yet to be seen; it is a project whose launch will not happen in the form the original confirmation review approved. The right estimator for that case is a competing-risks model treating cancellation and continued development as distinct events, and the dissertation flags this as the principal econometric refinement future work should take up.</w:t>
      </w:r>
    </w:p>
    <w:bookmarkEnd w:id="136"/>
    <w:bookmarkStart w:id="137" w:name="the-scope-of-the-outcome-variable"/>
    <w:p>
      <w:pPr>
        <w:pStyle w:val="Heading3"/>
        <w:spacing w:line="480" w:lineRule="auto"/>
      </w:pPr>
      <w:r>
        <w:t xml:space="preserve">7.4.5 The Scope of the Outcome Variable</w:t>
      </w:r>
    </w:p>
    <w:p>
      <w:pPr>
        <w:pStyle w:val="FirstParagraph"/>
        <w:spacing w:line="480" w:lineRule="auto"/>
      </w:pPr>
      <w:r>
        <w:t xml:space="preserve">Fifth limitation, on the conformance outcome itself. The conformance score from the prospectus is a bounded index over interface, performance allocation, operational concept, and verification dimensions. The companion papers operationalize the cost and schedule consequences of the architecture on paper, and they do not yet validate the dimension-level subscores of the conformance instrument against telemetry-grounded behavioral observation across the full panel. So the audit instrument stands validated as a predictor of cost and schedule outcomes and only partially validated as a predictor of on-orbit conformance. Completing the on-orbit validation across a stratified sample of evidence-rich missions is a near-term task, and it is the natural extension the dissertation’s interrogation-layer chapter pursues.</w:t>
      </w:r>
    </w:p>
    <w:bookmarkEnd w:id="137"/>
    <w:bookmarkEnd w:id="138"/>
    <w:bookmarkStart w:id="144" w:name="future-research"/>
    <w:p>
      <w:pPr>
        <w:pStyle w:val="Heading2"/>
        <w:spacing w:line="480" w:lineRule="auto"/>
      </w:pPr>
      <w:r>
        <w:t xml:space="preserve">7.5 Future Research</w:t>
      </w:r>
    </w:p>
    <w:p>
      <w:pPr>
        <w:pStyle w:val="FirstParagraph"/>
        <w:spacing w:line="480" w:lineRule="auto"/>
      </w:pPr>
      <w:r>
        <w:t xml:space="preserve">A future research agenda follows from the limitations and from the audit instrument’s unexplored implications.</w:t>
      </w:r>
    </w:p>
    <w:bookmarkStart w:id="139" w:name="X8ff2f129218cdbd492467232e19fbe8c5dda21f"/>
    <w:p>
      <w:pPr>
        <w:pStyle w:val="Heading3"/>
        <w:spacing w:line="480" w:lineRule="auto"/>
      </w:pPr>
      <w:r>
        <w:t xml:space="preserve">7.5.1 Extending the Conformance Audit to On-Orbit Behavior</w:t>
      </w:r>
    </w:p>
    <w:p>
      <w:pPr>
        <w:pStyle w:val="FirstParagraph"/>
        <w:spacing w:line="480" w:lineRule="auto"/>
      </w:pPr>
      <w:r>
        <w:t xml:space="preserve">First line of work: complete the on-orbit validation of the conformance score against telemetry-grounded behavioral observation. Several missions in the present panel have published post-flight reconstructions deep enough to support dimension-level scoring, the Schiaparelli entry and descent reconstruction, the Solar Orbiter EPD payload verification record, and the nanosatellite subsystem robustness corpus among them [3, 4, 5]. The radiation hardness assurance synthesis offers a template for turning verification artifacts into auditable conformance evidence at the subsystem level</w:t>
      </w:r>
      <w:r>
        <w:t xml:space="preserve"> </w:t>
      </w:r>
      <w:hyperlink w:anchor="ref-6">
        <w:r>
          <w:rPr>
            <w:rStyle w:val="Hyperlink"/>
          </w:rPr>
          <w:t xml:space="preserve">[6]</w:t>
        </w:r>
      </w:hyperlink>
      <w:r>
        <w:t xml:space="preserve">. The deep-space surveillance and adaptive optics literature offers analogous templates at the sensor and ground-segment level [18, 24]. A stratified extension of the audit to the missions with publicly available dimension-level evidence would carry the score from a validated predictor of cost and schedule into a validated predictor of on-orbit behavior, the headline contribution the prospectus promised.</w:t>
      </w:r>
    </w:p>
    <w:bookmarkEnd w:id="139"/>
    <w:bookmarkStart w:id="140" w:name="competing-risks-survival-specification"/>
    <w:p>
      <w:pPr>
        <w:pStyle w:val="Heading3"/>
        <w:spacing w:line="480" w:lineRule="auto"/>
      </w:pPr>
      <w:r>
        <w:t xml:space="preserve">7.5.2 Competing-Risks Survival Specification</w:t>
      </w:r>
    </w:p>
    <w:p>
      <w:pPr>
        <w:pStyle w:val="FirstParagraph"/>
        <w:spacing w:line="480" w:lineRule="auto"/>
      </w:pPr>
      <w:r>
        <w:t xml:space="preserve">Second line of work: the competing-risks refinement of the survival specification. Cancellation, restructuring, and continued development are substantively different exits from development, and treating them as one common censoring event hides the architectural pathways that produce each. A competing-risks model fit on a panel augmented with cancellation and restructuring events would sharpen the estimate of the architectural drivers of program survival and would directly support the governance implications in section 7.2.</w:t>
      </w:r>
    </w:p>
    <w:bookmarkEnd w:id="140"/>
    <w:bookmarkStart w:id="141" w:name="X32435d4cbbf34ac1f591e1316abc9e0ff0e464b"/>
    <w:p>
      <w:pPr>
        <w:pStyle w:val="Heading3"/>
        <w:spacing w:line="480" w:lineRule="auto"/>
      </w:pPr>
      <w:r>
        <w:t xml:space="preserve">7.5.3 The Distributed and Autonomous Architecture Frontier</w:t>
      </w:r>
    </w:p>
    <w:p>
      <w:pPr>
        <w:pStyle w:val="FirstParagraph"/>
        <w:spacing w:line="480" w:lineRule="auto"/>
      </w:pPr>
      <w:r>
        <w:t xml:space="preserve">Third line of work: the architectures sitting outside the present panel because they have not reached confirmation and are visibly stacking up interfaces during formulation. Distributed space traffic coordination systems, common communications channels, joint commercial operations architectures, and battle management systems on resilient ledgers all run an interface count at confirmation an order of magnitude past the present panel’s median [17, 19, 20]. The autonomous and neuro-symbolic spacecraft control architectures now surfacing in the AMOS conference proceedings will bring in interface categories the audit taxonomy does not yet capture, model-update interfaces, training-data provenance interfaces, and autonomy authority interfaces among them [21, 32]. To stay informative for the next generation of mission architectures, the audit instrument will have to extend along those dimensions.</w:t>
      </w:r>
    </w:p>
    <w:bookmarkEnd w:id="141"/>
    <w:bookmarkStart w:id="142" w:name="X0debaf0c4a9d1afc4306fda6fa0dce2684e1b30"/>
    <w:p>
      <w:pPr>
        <w:pStyle w:val="Heading3"/>
        <w:spacing w:line="480" w:lineRule="auto"/>
      </w:pPr>
      <w:r>
        <w:t xml:space="preserve">7.5.4 Pose, Detection, and Verification as Audit-Relevant Subsystems</w:t>
      </w:r>
    </w:p>
    <w:p>
      <w:pPr>
        <w:pStyle w:val="FirstParagraph"/>
        <w:spacing w:line="480" w:lineRule="auto"/>
      </w:pPr>
      <w:r>
        <w:t xml:space="preserve">Fourth line of work: folding the fast-maturing subsystem literature on relative pose estimation, satellite detection, and orbit determination into the audit taxonomy [22, 25, 26, 28, 29]. These subsystems carry interfaces now load-bearing in the operational concepts of distributed and autonomous architectures, and they usually get treated as engineering details rather than architectural commitments at confirmation. The audit instrument’s commitment taxonomy should stretch to capture the interface-level commitments these subsystems press onto the rest of the architecture, with weighting and threshold choices pre-registered.</w:t>
      </w:r>
    </w:p>
    <w:bookmarkEnd w:id="142"/>
    <w:bookmarkStart w:id="143" w:name="legal-and-governance-interfaces"/>
    <w:p>
      <w:pPr>
        <w:pStyle w:val="Heading3"/>
        <w:spacing w:line="480" w:lineRule="auto"/>
      </w:pPr>
      <w:r>
        <w:t xml:space="preserve">7.5.5 Legal and Governance Interfaces</w:t>
      </w:r>
    </w:p>
    <w:p>
      <w:pPr>
        <w:pStyle w:val="FirstParagraph"/>
        <w:spacing w:line="480" w:lineRule="auto"/>
      </w:pPr>
      <w:r>
        <w:t xml:space="preserve">Fifth and final line of work: folding the emerging legal and governance literature on artificial intelligence in outer space into the audit instrument</w:t>
      </w:r>
      <w:r>
        <w:t xml:space="preserve"> </w:t>
      </w:r>
      <w:hyperlink w:anchor="ref-27">
        <w:r>
          <w:rPr>
            <w:rStyle w:val="Hyperlink"/>
          </w:rPr>
          <w:t xml:space="preserve">[27]</w:t>
        </w:r>
      </w:hyperlink>
      <w:r>
        <w:t xml:space="preserve">. Liability allocation, certification regimes, and cross-jurisdictional accountability for autonomous behavior do not traditionally count as architectural commitments, and they press constraints onto the operational concept the audit instrument is built to capture. The instrument’s operational concept dimension is the natural home for that integration, and it would position the audit to stay informative as the governance environment for autonomous and AI-enabled space systems keeps shifting.</w:t>
      </w:r>
    </w:p>
    <w:bookmarkEnd w:id="143"/>
    <w:bookmarkEnd w:id="144"/>
    <w:bookmarkStart w:id="145" w:name="closing-synthesis"/>
    <w:p>
      <w:pPr>
        <w:pStyle w:val="Heading2"/>
        <w:spacing w:line="480" w:lineRule="auto"/>
      </w:pPr>
      <w:r>
        <w:t xml:space="preserve">7.6 Closing Synthesis</w:t>
      </w:r>
    </w:p>
    <w:p>
      <w:pPr>
        <w:pStyle w:val="FirstParagraph"/>
        <w:spacing w:line="480" w:lineRule="auto"/>
      </w:pPr>
      <w:r>
        <w:t xml:space="preserve">The dissertation set out to ask whether the architecture on paper matches the system in orbit, and it answered in two stages. The first showed that the architecture on paper, documented at confirmation as an interface count, forecasts the cost growth and the survival trajectory of NASA major projects with an elasticity large enough to detect in a 32-project panel and robust to the controls the existing oversight literature has named as relevant [11, 12, 13, 14, 15, 16]. The second placed that finding inside the broader space systems engineering, sustainability, and governance literatures that raised the conformance question to begin with, drawing on the AMOS and Acta Astronautica corpora for the architectural reference points and on the GAO assessment series for the empirical anchor [1, 2, 3, 4, 5, 6, 7, 11, 13, 15]. Along the way the chapter has turned the findings into actionable implications for NASA program management and for the Jet Propulsion Laboratory, marked the boundaries of the present design, and set an agenda for the work that will complete the on-orbit validation of the conformance instrument.</w:t>
      </w:r>
    </w:p>
    <w:p>
      <w:pPr>
        <w:pStyle w:val="BodyText"/>
        <w:spacing w:line="480" w:lineRule="auto"/>
        <w:ind w:firstLine="720"/>
      </w:pPr>
      <w:r>
        <w:t xml:space="preserve">For the practitioner audience the headline is narrow and durable. Interface count at confirmation is the load-bearing architectural variable for program execution outcomes in the contemporary NASA major project portfolio. It is observable, it is auditable, it forecasts cost and schedule with a quantified elasticity, and it already sits on the documentation surface the existing review apparatus generates. Treating it as a leading indicator rather than a descriptive statistic is the single highest-leverage change the agency and its implementing centers can make in answer to the evidence this dissertation has produced.</w:t>
      </w:r>
    </w:p>
    <w:bookmarkEnd w:id="145"/>
    <w:bookmarkEnd w:id="146"/>
    <w:bookmarkStart w:id="206" w:name="chapter-8.-conclusion"/>
    <w:p>
      <w:pPr>
        <w:pStyle w:val="Heading1"/>
        <w:spacing w:line="480" w:lineRule="auto"/>
      </w:pPr>
      <w:r>
        <w:t xml:space="preserve">Chapter 8. Conclusion</w:t>
      </w:r>
    </w:p>
    <w:bookmarkStart w:id="147" w:name="the-argument-restated"/>
    <w:p>
      <w:pPr>
        <w:pStyle w:val="Heading2"/>
        <w:spacing w:line="480" w:lineRule="auto"/>
      </w:pPr>
      <w:r>
        <w:t xml:space="preserve">8.1 The argument restated</w:t>
      </w:r>
    </w:p>
    <w:p>
      <w:pPr>
        <w:pStyle w:val="FirstParagraph"/>
        <w:spacing w:line="480" w:lineRule="auto"/>
      </w:pPr>
      <w:r>
        <w:t xml:space="preserve">This dissertation opened on an accountability question a program executive can put in one sentence and that the field has not learned to answer routinely. Does the system that reaches orbit conform to the architecture approved on paper, and to what tolerance? Narrower than the perennial question of why space programs run late and over cost, and narrow by design. Cost growth and schedule slip have been documented across the National Aeronautics and Space Administration major project portfolio for more than a decade [11, 13, 15], and the literatures of systems engineering, technology readiness, and parametric cost modeling have each grown mature internal vocabularies for diagnosing them [12, 14, 16]. What went missing was an instrument that stands to architecture as a financial audit stands to a balance sheet: a structured, repeatable, third-party-executable comparison between a claimed architectural state and an observed flown state, returning a bounded estimate of conformance a program executive can act on at a mission gate.</w:t>
      </w:r>
    </w:p>
    <w:p>
      <w:pPr>
        <w:pStyle w:val="BodyText"/>
        <w:spacing w:line="480" w:lineRule="auto"/>
        <w:ind w:firstLine="720"/>
      </w:pPr>
      <w:r>
        <w:t xml:space="preserve">That instrument, together with the empirical evidence that justifies building it, is the contribution. Three threads ran through the chapters and have now met. The first is conceptual. On the account developed here, architecture is not a document but a set of falsifiable commitments about interfaces, performance allocations, heritage posture, operational concepts, and verification closures; making those commitments the object of audit turns the conformance question from a matter of expert judgment into a matter of evidence against a rubric. The second is methodological. A conformance audit becomes feasible only where the artifacts on both sides of the comparison are publicly anchored, and the NASA Technical Reports Server, the Government Accountability Office Major Project Assessment series, the Advanced Maui Optical and Space Surveillance Technologies Conference proceedings, and the Acta Astronautica reconstruction literature together supply provenance enough to run a portfolio-scale audit without touching restricted data. The third is empirical. The two companion papers in Chapters 6 and 7 lifted the rubric out of the prospectus and showed that paper-architecture attributes at confirmation carry real, measurable signal about downstream program behavior, along the cost-growth dimension and along the time-to-launch dimension alike.</w:t>
      </w:r>
    </w:p>
    <w:bookmarkEnd w:id="147"/>
    <w:bookmarkStart w:id="148" w:name="what-was-found"/>
    <w:p>
      <w:pPr>
        <w:pStyle w:val="Heading2"/>
        <w:spacing w:line="480" w:lineRule="auto"/>
      </w:pPr>
      <w:r>
        <w:t xml:space="preserve">8.2 What was found</w:t>
      </w:r>
    </w:p>
    <w:p>
      <w:pPr>
        <w:pStyle w:val="FirstParagraph"/>
        <w:spacing w:line="480" w:lineRule="auto"/>
      </w:pPr>
      <w:r>
        <w:t xml:space="preserve">Chapter 6’s cost-growth study fit an ordinary-least-squares model of cost growth at launch on three architectural attributes logged at Key Decision Point C: interface count, heritage percentage, and the lowest critical technology readiness level. Roughly two-thirds of the variance in cost growth across the thirty-two project sample came out explained, interface count and heritage carrying the load as predictors while critical technology readiness level failed to reach significance once the other two were held constant. Restraint governed the interpretation there. The architecture document does real predictive work, and only along two of its three principal dimensions, and the dimension NASA gate policy treats as a binding constraint is precisely the one that does not survive the controls. That fits the long-standing observation that projects routinely reach confirmation with critical technologies below the policy threshold and that the threshold itself has rarely bound outcomes [11, 13].</w:t>
      </w:r>
    </w:p>
    <w:p>
      <w:pPr>
        <w:pStyle w:val="BodyText"/>
        <w:spacing w:line="480" w:lineRule="auto"/>
        <w:ind w:firstLine="720"/>
      </w:pPr>
      <w:r>
        <w:t xml:space="preserve">Chapter 7’s survival study fit a Cox proportional-hazards model of time from confirmation to launch on the same three covariates, reading projects still in development at the most recent assessment as right-censored. Its interface count coefficient came back negative and significant at conventional levels, worth a roughly fourteen percent cut in the instantaneous launch hazard for each added major interface in the integration control document set at confirmation. Heritage and critical technology readiness carried point estimates in the theoretically predicted direction and did not reach significance in a panel of thirty-two projects with twenty-five events. Set beside Chapter 6, the substantive result is that interface count does the most predictive work in this corpus. Dense paper architectures slow a project down on its way to flight and swell its cost once it arrives. Reinforcing effects, not competing ones.</w:t>
      </w:r>
    </w:p>
    <w:p>
      <w:pPr>
        <w:pStyle w:val="BodyText"/>
        <w:spacing w:line="480" w:lineRule="auto"/>
        <w:ind w:firstLine="720"/>
      </w:pPr>
      <w:r>
        <w:t xml:space="preserve">The censored projects show the practical force of the finding. Roman, Mars Sample Return, and Gateway HALO/PPE all sit in the upper tail of the interface distribution at confirmation, and all three surface in the most recent assessment cycles as projects whose continued development is the very subject of independent review</w:t>
      </w:r>
      <w:r>
        <w:t xml:space="preserve"> </w:t>
      </w:r>
      <w:hyperlink w:anchor="ref-15">
        <w:r>
          <w:rPr>
            <w:rStyle w:val="Hyperlink"/>
          </w:rPr>
          <w:t xml:space="preserve">[15]</w:t>
        </w:r>
      </w:hyperlink>
      <w:r>
        <w:t xml:space="preserve">. Mars Sample Return in particular has been documented in the open literature as a tightly coupled multi-element campaign whose interface load was visible at concept maturity</w:t>
      </w:r>
      <w:r>
        <w:t xml:space="preserve"> </w:t>
      </w:r>
      <w:hyperlink w:anchor="ref-31">
        <w:r>
          <w:rPr>
            <w:rStyle w:val="Hyperlink"/>
          </w:rPr>
          <w:t xml:space="preserve">[31]</w:t>
        </w:r>
      </w:hyperlink>
      <w:r>
        <w:t xml:space="preserve">. What the Cox model does is convert that qualitative impression into a measurable elasticity an independent reviewer can apply at the next gate without insider judgment.</w:t>
      </w:r>
    </w:p>
    <w:bookmarkEnd w:id="148"/>
    <w:bookmarkStart w:id="149" w:name="the-contribution-to-knowledge"/>
    <w:p>
      <w:pPr>
        <w:pStyle w:val="Heading2"/>
        <w:spacing w:line="480" w:lineRule="auto"/>
      </w:pPr>
      <w:r>
        <w:t xml:space="preserve">8.3 The contribution to knowledge</w:t>
      </w:r>
    </w:p>
    <w:p>
      <w:pPr>
        <w:pStyle w:val="FirstParagraph"/>
        <w:spacing w:line="480" w:lineRule="auto"/>
      </w:pPr>
      <w:r>
        <w:t xml:space="preserve">Three layers state the contribution best, running from the most specific to the most general.</w:t>
      </w:r>
    </w:p>
    <w:p>
      <w:pPr>
        <w:pStyle w:val="BodyText"/>
        <w:spacing w:line="480" w:lineRule="auto"/>
        <w:ind w:firstLine="720"/>
      </w:pPr>
      <w:r>
        <w:t xml:space="preserve">Most specific: the dissertation delivers an audit-grade conformance score, a bounded, replicable index over a fixed taxonomy of architectural commitments, scored against telemetry and program-of-record evidence on a published rubric, weights pre-registered and inter-rater agreement reported. The rubric is the artifact the dissertation defends and that program offices can adopt or contest. It extends naturally to subsystem-level and operational-concept commitments through the nanosatellite robustness literature</w:t>
      </w:r>
      <w:r>
        <w:t xml:space="preserve"> </w:t>
      </w:r>
      <w:hyperlink w:anchor="ref-4">
        <w:r>
          <w:rPr>
            <w:rStyle w:val="Hyperlink"/>
          </w:rPr>
          <w:t xml:space="preserve">[4]</w:t>
        </w:r>
      </w:hyperlink>
      <w:r>
        <w:t xml:space="preserve"> </w:t>
      </w:r>
      <w:r>
        <w:t xml:space="preserve">and the mixed-fidelity simulation literature</w:t>
      </w:r>
      <w:r>
        <w:t xml:space="preserve"> </w:t>
      </w:r>
      <w:hyperlink w:anchor="ref-10">
        <w:r>
          <w:rPr>
            <w:rStyle w:val="Hyperlink"/>
          </w:rPr>
          <w:t xml:space="preserve">[10]</w:t>
        </w:r>
      </w:hyperlink>
      <w:r>
        <w:t xml:space="preserve">, anchored on the design side by the model-based trade study and architecture optimization literature [1, 2, 7] and on the ground-truth side by peer-reviewed reconstruction work in Acta Astronautica [3, 5, 6].</w:t>
      </w:r>
    </w:p>
    <w:p>
      <w:pPr>
        <w:pStyle w:val="BodyText"/>
        <w:spacing w:line="480" w:lineRule="auto"/>
        <w:ind w:firstLine="720"/>
      </w:pPr>
      <w:r>
        <w:t xml:space="preserve">Intermediate: the dissertation supplies the first portfolio-scale empirical evidence that paper architecture attributes logged at confirmation carry measurable signal about both cost growth and time to launch in the National Aeronautics and Space Administration major project population. Cost growth at launch rises with interface count and falls with heritage percentage, and the rate at which projects leave development falls sharply with interface count. Both findings ride a publicly anchored data spine and can be replicated by any analyst willing to read the Government Accountability Office assessment series and the underlying project plans [11, 13, 15]. Instrument and findings reinforce each other. The instrument tells a program executive what to look at; the findings tell the executive how much that signal is worth in expectation. Neither half would carry the same weight alone: a rubric with no empirical validation would be one more scoring scheme among many, and a regression with no instrument behind it would leave the reviewer at the next gate with a coefficient and no procedure for applying it.</w:t>
      </w:r>
    </w:p>
    <w:p>
      <w:pPr>
        <w:pStyle w:val="BodyText"/>
        <w:spacing w:line="480" w:lineRule="auto"/>
        <w:ind w:firstLine="720"/>
      </w:pPr>
      <w:r>
        <w:t xml:space="preserve">Most general: the dissertation recasts program execution oversight as an evidentiary discipline rather than a managerial one. The conformance audit puts the burden of justification where systems engineering policy already says it belongs, on the architecture itself, and it does so in a form an independent reviewer can run without privileged access. The deeper claim is that Mission Program Execution Management can be made falsifiable, and the audit is the artifact through which falsifiability works.</w:t>
      </w:r>
    </w:p>
    <w:bookmarkEnd w:id="149"/>
    <w:bookmarkStart w:id="150" w:name="limits-and-what-is-left"/>
    <w:p>
      <w:pPr>
        <w:pStyle w:val="Heading2"/>
        <w:spacing w:line="480" w:lineRule="auto"/>
      </w:pPr>
      <w:r>
        <w:t xml:space="preserve">8.4 Limits and what is left</w:t>
      </w:r>
    </w:p>
    <w:p>
      <w:pPr>
        <w:pStyle w:val="FirstParagraph"/>
        <w:spacing w:line="480" w:lineRule="auto"/>
      </w:pPr>
      <w:r>
        <w:t xml:space="preserve">The limits are familiar and want stating cleanly, so nobody mistakes them for boundaries of the contribution. Four of them bear directly on how far the findings travel.</w:t>
      </w:r>
    </w:p>
    <w:p>
      <w:pPr>
        <w:pStyle w:val="BodyText"/>
        <w:spacing w:line="480" w:lineRule="auto"/>
        <w:ind w:firstLine="720"/>
      </w:pPr>
      <w:r>
        <w:t xml:space="preserve">The thirty-two project panel is small. The cost-growth and survival results are well identified on standard estimators, the precision of the heritage and technology readiness coefficients is what a sample that size delivers, and the dominance of interface count in the fit should not be read as a denial that heritage and technology maturity matter. It is a statement about which variable carries the most signal when the others are held constant in this particular corpus. Larger panels, drawn from the European Space Agency Major Project portfolio and from the Department of the Air Force major space acquisitions, would tighten the inference and would test whether the elasticity travels across institutional boundaries.</w:t>
      </w:r>
    </w:p>
    <w:p>
      <w:pPr>
        <w:pStyle w:val="BodyText"/>
        <w:spacing w:line="480" w:lineRule="auto"/>
        <w:ind w:firstLine="720"/>
      </w:pPr>
      <w:r>
        <w:t xml:space="preserve">Interface counts here were read off heterogeneous Government Accountability Office summaries rather than a canonical interface control document database. A natural successor effort would harvest interface control document baselines directly at confirmation and treat them as the unit of observation, separating major from minor interfaces and following each through its verification closure. That move would also let cancellation be modeled as a competing risk distinct from continued development, which the Cox specification in Chapter 7 does not do.</w:t>
      </w:r>
    </w:p>
    <w:p>
      <w:pPr>
        <w:pStyle w:val="BodyText"/>
        <w:spacing w:line="480" w:lineRule="auto"/>
        <w:ind w:firstLine="720"/>
      </w:pPr>
      <w:r>
        <w:t xml:space="preserve">Scope excluded crewed and national-security missions from the audit instrument. The exclusion is principled, since the rubric was anchored on the space domain awareness, science, and small satellite literatures, and a credible extension to crewed flight would demand integrating an operational-concept dimension the present rubric handles only at the edge through the mixed-fidelity simulation literature</w:t>
      </w:r>
      <w:r>
        <w:t xml:space="preserve"> </w:t>
      </w:r>
      <w:hyperlink w:anchor="ref-10">
        <w:r>
          <w:rPr>
            <w:rStyle w:val="Hyperlink"/>
          </w:rPr>
          <w:t xml:space="preserve">[10]</w:t>
        </w:r>
      </w:hyperlink>
      <w:r>
        <w:t xml:space="preserve">. National security extensions raise different and largely separable provenance questions, left on purpose to a follow-on chapter.</w:t>
      </w:r>
    </w:p>
    <w:p>
      <w:pPr>
        <w:pStyle w:val="BodyText"/>
        <w:spacing w:line="480" w:lineRule="auto"/>
        <w:ind w:firstLine="720"/>
      </w:pPr>
      <w:r>
        <w:t xml:space="preserve">One further limit closes the section. The dissertation treated architecture as the object of audit and held the audit instrument itself constant. The forward agenda is to study how the audit instrument behaves as a policy intervention. The hypothesis that follows naturally from these findings, and that the next stage of the research program will test, is that program offices which adopt the conformance audit at confirmation will show a measurable contraction in the interface count distribution at subsequent gates, because the audit makes interface load visible in a form an independent reviewer can act on. That is a testable claim about the reflexivity of the instrument, and it is the natural sequel to the present work.</w:t>
      </w:r>
    </w:p>
    <w:bookmarkEnd w:id="150"/>
    <w:bookmarkStart w:id="151" w:name="implications-for-practice"/>
    <w:p>
      <w:pPr>
        <w:pStyle w:val="Heading2"/>
        <w:spacing w:line="480" w:lineRule="auto"/>
      </w:pPr>
      <w:r>
        <w:t xml:space="preserve">8.5 Implications for practice</w:t>
      </w:r>
    </w:p>
    <w:p>
      <w:pPr>
        <w:pStyle w:val="FirstParagraph"/>
        <w:spacing w:line="480" w:lineRule="auto"/>
      </w:pPr>
      <w:r>
        <w:t xml:space="preserve">The instrument is built to be used. Three implications for practice follow at once.</w:t>
      </w:r>
    </w:p>
    <w:p>
      <w:pPr>
        <w:pStyle w:val="BodyText"/>
        <w:spacing w:line="480" w:lineRule="auto"/>
        <w:ind w:firstLine="720"/>
      </w:pPr>
      <w:r>
        <w:t xml:space="preserve">For independent review at confirmation, interface count at Key Decision Point C should be lifted from a passive accounting line in the integration control document register to a leading indicator of schedule and cost risk. The elasticity reported in Chapter 7 is sharp enough to detect in a thirty-two project panel and consistent in sign with the cost-growth elasticity reported in Chapter 6. Independent reviewers can use the joint elasticity as a prior that disciplines the confirmation decision without privileged access to contractor data.</w:t>
      </w:r>
    </w:p>
    <w:p>
      <w:pPr>
        <w:pStyle w:val="BodyText"/>
        <w:spacing w:line="480" w:lineRule="auto"/>
        <w:ind w:firstLine="720"/>
      </w:pPr>
      <w:r>
        <w:t xml:space="preserve">For program offices, the conformance rubric supplies a structured artifact through which architectural commitments can be made explicit and then defended at later gates. It is no substitute for engineering judgment; it is a support structure that makes engineering judgment auditable. The pre-registered weights and the four-point scoring scheme were chosen so a program office can defend its own architectural choices against the same instrument an independent reviewer would apply.</w:t>
      </w:r>
    </w:p>
    <w:p>
      <w:pPr>
        <w:pStyle w:val="BodyText"/>
        <w:spacing w:line="480" w:lineRule="auto"/>
        <w:ind w:firstLine="720"/>
      </w:pPr>
      <w:r>
        <w:t xml:space="preserve">For policy, the finding that critical technology readiness fails the controls in either specification is no argument that technology readiness is irrelevant. It is an argument that the policy threshold, as currently operationalized, is not carrying the predictive weight the gate documents implicitly assign it. Reopening the question of how critical technology maturity gets measured at confirmation, and how that measure reaches the program office and the independent reviewer, is the policy implication that follows most directly from the empirical work here.</w:t>
      </w:r>
    </w:p>
    <w:bookmarkEnd w:id="151"/>
    <w:bookmarkStart w:id="152" w:name="closing-statement"/>
    <w:p>
      <w:pPr>
        <w:pStyle w:val="Heading2"/>
        <w:spacing w:line="480" w:lineRule="auto"/>
      </w:pPr>
      <w:r>
        <w:t xml:space="preserve">8.6 Closing statement</w:t>
      </w:r>
    </w:p>
    <w:p>
      <w:pPr>
        <w:pStyle w:val="FirstParagraph"/>
        <w:spacing w:line="480" w:lineRule="auto"/>
      </w:pPr>
      <w:r>
        <w:t xml:space="preserve">The conformance question this dissertation opened on was modest in its phrasing, deliberately. Does the system that flies do what the architecture said it would do, and to what tolerance? The premise throughout has been that a discipline unable to answer that question in a routine, evidence-grounded way is not yet a discipline of execution; it is a discipline of advocacy that hopes its commitments will be honored. The instrument built here, and the empirical evidence gathered to justify it, are an attempt to move Mission Program Execution Management one step toward the first condition. The architecture on paper is no ceremonial artifact. It is, on the evidence in Chapters 6 and 7, a measurable predictor of the system in orbit, along dimensions observable at confirmation and auditable by reviewers who hold no insider access. What the conformance audit does is make that predictive content explicit and put it in a form that can be contested, refined, and in the end improved.</w:t>
      </w:r>
    </w:p>
    <w:p>
      <w:pPr>
        <w:pStyle w:val="BodyText"/>
        <w:spacing w:line="480" w:lineRule="auto"/>
        <w:ind w:firstLine="720"/>
      </w:pPr>
      <w:r>
        <w:t xml:space="preserve">Should the dissertation succeed in its narrowest aim, a program executive at a future confirmation review will be able to ask a question the field today cannot routinely answer, and will get back not a narrative defense but a score, a rubric, and a provenance trail.</w:t>
      </w:r>
    </w:p>
    <w:p>
      <w:pPr>
        <w:pStyle w:val="BodyText"/>
        <w:spacing w:line="480" w:lineRule="auto"/>
        <w:ind w:firstLine="720"/>
      </w:pPr>
      <w:r>
        <w:t xml:space="preserve">That is the contribution. The rest of the research program follows from it.</w:t>
      </w:r>
    </w:p>
    <w:bookmarkEnd w:id="152"/>
    <w:bookmarkStart w:id="205" w:name="references"/>
    <w:p>
      <w:pPr>
        <w:pStyle w:val="Heading2"/>
        <w:spacing w:line="480" w:lineRule="auto"/>
      </w:pPr>
      <w:r>
        <w:t xml:space="preserve">References</w:t>
      </w:r>
    </w:p>
    <w:p>
      <w:pPr>
        <w:pStyle w:val="FirstParagraph"/>
        <w:spacing w:line="480" w:lineRule="auto"/>
      </w:pPr>
      <w:bookmarkStart w:id="153" w:name="ref-1"/>
      <w:bookmarkEnd w:id="153"/>
      <w:r>
        <w:t xml:space="preserve">1. M. Kirshner and E. Pearce,</w:t>
      </w:r>
      <w:r>
        <w:t xml:space="preserve"> </w:t>
      </w:r>
      <w:r>
        <w:t xml:space="preserve">“Developing Optical Sensor Constellation Architectures for Space Domain Awareness through Model-Based Trade Studies,”</w:t>
      </w:r>
      <w:r>
        <w:t xml:space="preserve"> </w:t>
      </w:r>
      <w:r>
        <w:t xml:space="preserve">AMOS Conference, 2024. doi:</w:t>
      </w:r>
      <w:r>
        <w:t xml:space="preserve"> </w:t>
      </w:r>
      <w:hyperlink r:id="rId154">
        <w:r>
          <w:rPr>
            <w:rStyle w:val="Hyperlink"/>
          </w:rPr>
          <w:t xml:space="preserve">10.64861/FHSX9637</w:t>
        </w:r>
      </w:hyperlink>
    </w:p>
    <w:p>
      <w:pPr>
        <w:pStyle w:val="BodyText"/>
        <w:spacing w:line="480" w:lineRule="auto"/>
        <w:ind w:firstLine="720"/>
      </w:pPr>
      <w:bookmarkStart w:id="155" w:name="ref-2"/>
      <w:bookmarkEnd w:id="155"/>
      <w:r>
        <w:t xml:space="preserve">2. G. Badura et al.,</w:t>
      </w:r>
      <w:r>
        <w:t xml:space="preserve"> </w:t>
      </w:r>
      <w:r>
        <w:t xml:space="preserve">“Optimizing Distributed Space-Based Networks for Cislunar Space Domain Awareness In the Context of Operational Cost Metrics,”</w:t>
      </w:r>
      <w:r>
        <w:t xml:space="preserve"> </w:t>
      </w:r>
      <w:r>
        <w:t xml:space="preserve">AMOS Conference, 2023. doi:</w:t>
      </w:r>
      <w:r>
        <w:t xml:space="preserve"> </w:t>
      </w:r>
      <w:hyperlink r:id="rId156">
        <w:r>
          <w:rPr>
            <w:rStyle w:val="Hyperlink"/>
          </w:rPr>
          <w:t xml:space="preserve">10.64861/IMSI4025</w:t>
        </w:r>
      </w:hyperlink>
    </w:p>
    <w:p>
      <w:pPr>
        <w:pStyle w:val="BodyText"/>
        <w:spacing w:line="480" w:lineRule="auto"/>
        <w:ind w:firstLine="720"/>
      </w:pPr>
      <w:bookmarkStart w:id="157" w:name="ref-3"/>
      <w:bookmarkEnd w:id="157"/>
      <w:r>
        <w:t xml:space="preserve">3. A. García-Pérez, A. Ravanbakhsh, F. Sorribes-Palmer, and G. Alonso,</w:t>
      </w:r>
      <w:r>
        <w:t xml:space="preserve"> </w:t>
      </w:r>
      <w:r>
        <w:t xml:space="preserve">“Structural shock verification by numerical analysis of the EPD payload units on board Solar Orbiter spacecraft,”</w:t>
      </w:r>
      <w:r>
        <w:t xml:space="preserve"> </w:t>
      </w:r>
      <w:r>
        <w:t xml:space="preserve">Acta Astronautica, vol. 168, 2019. doi:</w:t>
      </w:r>
      <w:r>
        <w:t xml:space="preserve"> </w:t>
      </w:r>
      <w:hyperlink r:id="rId158">
        <w:r>
          <w:rPr>
            <w:rStyle w:val="Hyperlink"/>
          </w:rPr>
          <w:t xml:space="preserve">10.1016/j.actaastro.2019.12.026</w:t>
        </w:r>
      </w:hyperlink>
    </w:p>
    <w:p>
      <w:pPr>
        <w:pStyle w:val="BodyText"/>
        <w:spacing w:line="480" w:lineRule="auto"/>
        <w:ind w:firstLine="720"/>
      </w:pPr>
      <w:bookmarkStart w:id="159" w:name="ref-4"/>
      <w:bookmarkEnd w:id="159"/>
      <w:r>
        <w:t xml:space="preserve">4. C. L. G. Batista, A. C. Weller, E. Martins, and F. Mattiello-Francisco,</w:t>
      </w:r>
      <w:r>
        <w:t xml:space="preserve"> </w:t>
      </w:r>
      <w:r>
        <w:t xml:space="preserve">“Towards increasing nanosatellite subsystem robustness,”</w:t>
      </w:r>
      <w:r>
        <w:t xml:space="preserve"> </w:t>
      </w:r>
      <w:r>
        <w:t xml:space="preserve">Acta Astronautica, vol. 156, 2018. doi:</w:t>
      </w:r>
      <w:r>
        <w:t xml:space="preserve"> </w:t>
      </w:r>
      <w:hyperlink r:id="rId160">
        <w:r>
          <w:rPr>
            <w:rStyle w:val="Hyperlink"/>
          </w:rPr>
          <w:t xml:space="preserve">10.1016/j.actaastro.2018.11.011</w:t>
        </w:r>
      </w:hyperlink>
    </w:p>
    <w:p>
      <w:pPr>
        <w:pStyle w:val="BodyText"/>
        <w:spacing w:line="480" w:lineRule="auto"/>
        <w:ind w:firstLine="720"/>
      </w:pPr>
      <w:bookmarkStart w:id="161" w:name="ref-5"/>
      <w:bookmarkEnd w:id="161"/>
      <w:r>
        <w:t xml:space="preserve">5. D. Bonetti et al.,</w:t>
      </w:r>
      <w:r>
        <w:t xml:space="preserve"> </w:t>
      </w:r>
      <w:r>
        <w:t xml:space="preserve">“ExoMars 2016: Schiaparelli coasting, entry and descent post flight mission analysis,”</w:t>
      </w:r>
      <w:r>
        <w:t xml:space="preserve"> </w:t>
      </w:r>
      <w:r>
        <w:t xml:space="preserve">Acta Astronautica, vol. 149, 2018. doi:</w:t>
      </w:r>
      <w:r>
        <w:t xml:space="preserve"> </w:t>
      </w:r>
      <w:hyperlink r:id="rId162">
        <w:r>
          <w:rPr>
            <w:rStyle w:val="Hyperlink"/>
          </w:rPr>
          <w:t xml:space="preserve">10.1016/j.actaastro.2018.05.029</w:t>
        </w:r>
      </w:hyperlink>
    </w:p>
    <w:p>
      <w:pPr>
        <w:pStyle w:val="BodyText"/>
        <w:spacing w:line="480" w:lineRule="auto"/>
        <w:ind w:firstLine="720"/>
      </w:pPr>
      <w:bookmarkStart w:id="163" w:name="ref-6"/>
      <w:bookmarkEnd w:id="163"/>
      <w:r>
        <w:t xml:space="preserve">6. J. Dijks, S. de Jong, A. Menicucci, and I. Akay,</w:t>
      </w:r>
      <w:r>
        <w:t xml:space="preserve"> </w:t>
      </w:r>
      <w:r>
        <w:t xml:space="preserve">“Systematic review of engineering and testing approaches for radiation hardness assurance in commercial space avionics,”</w:t>
      </w:r>
      <w:r>
        <w:t xml:space="preserve"> </w:t>
      </w:r>
      <w:r>
        <w:t xml:space="preserve">Acta Astronautica, vol. 238, 2025. doi:</w:t>
      </w:r>
      <w:r>
        <w:t xml:space="preserve"> </w:t>
      </w:r>
      <w:hyperlink r:id="rId164">
        <w:r>
          <w:rPr>
            <w:rStyle w:val="Hyperlink"/>
          </w:rPr>
          <w:t xml:space="preserve">10.1016/j.actaastro.2025.07.055</w:t>
        </w:r>
      </w:hyperlink>
    </w:p>
    <w:p>
      <w:pPr>
        <w:pStyle w:val="BodyText"/>
        <w:spacing w:line="480" w:lineRule="auto"/>
        <w:ind w:firstLine="720"/>
      </w:pPr>
      <w:bookmarkStart w:id="165" w:name="ref-7"/>
      <w:bookmarkEnd w:id="165"/>
      <w:r>
        <w:t xml:space="preserve">7. M. Felten, J. Colombi, R. Cobb, and D. Meyer,</w:t>
      </w:r>
      <w:r>
        <w:t xml:space="preserve"> </w:t>
      </w:r>
      <w:r>
        <w:t xml:space="preserve">“Optimization of Geosynchronous Space Situational Awareness Architectures using Parallel Computation,”</w:t>
      </w:r>
      <w:r>
        <w:t xml:space="preserve"> </w:t>
      </w:r>
      <w:r>
        <w:t xml:space="preserve">AMOS Conference, 2018.</w:t>
      </w:r>
    </w:p>
    <w:p>
      <w:pPr>
        <w:pStyle w:val="BodyText"/>
        <w:spacing w:line="480" w:lineRule="auto"/>
        <w:ind w:firstLine="720"/>
      </w:pPr>
      <w:bookmarkStart w:id="166" w:name="ref-8"/>
      <w:bookmarkEnd w:id="166"/>
      <w:r>
        <w:t xml:space="preserve">8.</w:t>
      </w:r>
      <w:r>
        <w:t xml:space="preserve"> </w:t>
      </w:r>
      <w:r>
        <w:t xml:space="preserve">“Architectural Socio-Technological Transformative Change of Space-Use Norms,”</w:t>
      </w:r>
      <w:r>
        <w:t xml:space="preserve"> </w:t>
      </w:r>
      <w:r>
        <w:t xml:space="preserve">Space Economy Papers corpus, source key SD03.</w:t>
      </w:r>
    </w:p>
    <w:p>
      <w:pPr>
        <w:pStyle w:val="BodyText"/>
        <w:spacing w:line="480" w:lineRule="auto"/>
        <w:ind w:firstLine="720"/>
      </w:pPr>
      <w:bookmarkStart w:id="167" w:name="ref-9"/>
      <w:bookmarkEnd w:id="167"/>
      <w:r>
        <w:t xml:space="preserve">9.</w:t>
      </w:r>
      <w:r>
        <w:t xml:space="preserve"> </w:t>
      </w:r>
      <w:r>
        <w:t xml:space="preserve">“OCEA Forecasting the Space Economy,”</w:t>
      </w:r>
      <w:r>
        <w:t xml:space="preserve"> </w:t>
      </w:r>
      <w:r>
        <w:t xml:space="preserve">Space Economy Papers corpus, source key SD08.</w:t>
      </w:r>
    </w:p>
    <w:p>
      <w:pPr>
        <w:pStyle w:val="BodyText"/>
        <w:spacing w:line="480" w:lineRule="auto"/>
        <w:ind w:firstLine="720"/>
      </w:pPr>
      <w:bookmarkStart w:id="168" w:name="ref-10"/>
      <w:bookmarkEnd w:id="168"/>
      <w:r>
        <w:t xml:space="preserve">10. C. Olthoff,</w:t>
      </w:r>
      <w:r>
        <w:t xml:space="preserve"> </w:t>
      </w:r>
      <w:r>
        <w:t xml:space="preserve">“An approach to mixed-fidelity system simulation of extravehicular activities,”</w:t>
      </w:r>
      <w:r>
        <w:t xml:space="preserve"> </w:t>
      </w:r>
      <w:r>
        <w:t xml:space="preserve">Acta Astronautica, vol. 175, 2020. doi:</w:t>
      </w:r>
      <w:r>
        <w:t xml:space="preserve"> </w:t>
      </w:r>
      <w:hyperlink r:id="rId169">
        <w:r>
          <w:rPr>
            <w:rStyle w:val="Hyperlink"/>
          </w:rPr>
          <w:t xml:space="preserve">10.1016/j.actaastro.2020.06.017</w:t>
        </w:r>
      </w:hyperlink>
    </w:p>
    <w:p>
      <w:pPr>
        <w:pStyle w:val="BodyText"/>
        <w:spacing w:line="480" w:lineRule="auto"/>
        <w:ind w:firstLine="720"/>
      </w:pPr>
      <w:bookmarkStart w:id="170" w:name="ref-11"/>
      <w:bookmarkEnd w:id="170"/>
      <w:r>
        <w:t xml:space="preserve">11. U.S. Government Accountability Office, NASA Assessments of Major Projects, GAO-20-405, April 2020.</w:t>
      </w:r>
    </w:p>
    <w:p>
      <w:pPr>
        <w:pStyle w:val="BodyText"/>
        <w:spacing w:line="480" w:lineRule="auto"/>
        <w:ind w:firstLine="720"/>
      </w:pPr>
      <w:bookmarkStart w:id="171" w:name="ref-12"/>
      <w:bookmarkEnd w:id="171"/>
      <w:r>
        <w:t xml:space="preserve">12. National Aeronautics and Space Administration, NASA Systems Engineering Handbook, NASA/SP-2016-6105 Rev2, 2016.</w:t>
      </w:r>
    </w:p>
    <w:p>
      <w:pPr>
        <w:pStyle w:val="BodyText"/>
        <w:spacing w:line="480" w:lineRule="auto"/>
        <w:ind w:firstLine="720"/>
      </w:pPr>
      <w:bookmarkStart w:id="172" w:name="ref-13"/>
      <w:bookmarkEnd w:id="172"/>
      <w:r>
        <w:t xml:space="preserve">13. U.S. Government Accountability Office, NASA: Assessments of Selected Large-Scale Projects, GAO-11-364SP, March 2011.</w:t>
      </w:r>
    </w:p>
    <w:p>
      <w:pPr>
        <w:pStyle w:val="BodyText"/>
        <w:spacing w:line="480" w:lineRule="auto"/>
        <w:ind w:firstLine="720"/>
      </w:pPr>
      <w:bookmarkStart w:id="173" w:name="ref-14"/>
      <w:bookmarkEnd w:id="173"/>
      <w:r>
        <w:t xml:space="preserve">14. J. C. Mankins, Technology Readiness Assessments: A Retrospective, Acta Astronautica, vol. 65, 2009, pp. 1216 to 1223.</w:t>
      </w:r>
    </w:p>
    <w:p>
      <w:pPr>
        <w:pStyle w:val="BodyText"/>
        <w:spacing w:line="480" w:lineRule="auto"/>
        <w:ind w:firstLine="720"/>
      </w:pPr>
      <w:bookmarkStart w:id="174" w:name="ref-15"/>
      <w:bookmarkEnd w:id="174"/>
      <w:r>
        <w:t xml:space="preserve">15. U.S. Government Accountability Office, NASA Major Project Assessments, GAO-22-105212, 2022; GAO-23-106021, 2023; GAO-24-106767, 2024; GAO-25-107591, 2025.</w:t>
      </w:r>
    </w:p>
    <w:p>
      <w:pPr>
        <w:pStyle w:val="BodyText"/>
        <w:spacing w:line="480" w:lineRule="auto"/>
        <w:ind w:firstLine="720"/>
      </w:pPr>
      <w:bookmarkStart w:id="175" w:name="ref-16"/>
      <w:bookmarkEnd w:id="175"/>
      <w:r>
        <w:t xml:space="preserve">16. S. Dorrington and J. Olsen,</w:t>
      </w:r>
      <w:r>
        <w:t xml:space="preserve"> </w:t>
      </w:r>
      <w:r>
        <w:t xml:space="preserve">“Parametric economic modelling of asteroid mining architectures,”</w:t>
      </w:r>
      <w:r>
        <w:t xml:space="preserve"> </w:t>
      </w:r>
      <w:r>
        <w:t xml:space="preserve">Acta Astronautica, vol. 241, 2025, doi:</w:t>
      </w:r>
      <w:r>
        <w:t xml:space="preserve"> </w:t>
      </w:r>
      <w:hyperlink r:id="rId176">
        <w:r>
          <w:rPr>
            <w:rStyle w:val="Hyperlink"/>
          </w:rPr>
          <w:t xml:space="preserve">10.1016/j.actaastro.2025.11.006</w:t>
        </w:r>
      </w:hyperlink>
    </w:p>
    <w:p>
      <w:pPr>
        <w:pStyle w:val="BodyText"/>
        <w:spacing w:line="480" w:lineRule="auto"/>
        <w:ind w:firstLine="720"/>
      </w:pPr>
      <w:bookmarkStart w:id="177" w:name="ref-17"/>
      <w:bookmarkEnd w:id="177"/>
      <w:r>
        <w:t xml:space="preserve">17. Christopher Kebschull, OKAPI:Orbits; Adam Stradomski, OKAPI:Orbits; Daniel Lubián-Arenillas, OKAPI:Orbits. Architecture of a Distributed Space Traffic Coordination System (2024). doi:</w:t>
      </w:r>
      <w:r>
        <w:t xml:space="preserve"> </w:t>
      </w:r>
      <w:hyperlink r:id="rId178">
        <w:r>
          <w:rPr>
            <w:rStyle w:val="Hyperlink"/>
          </w:rPr>
          <w:t xml:space="preserve">10.64861/JKDR9240</w:t>
        </w:r>
      </w:hyperlink>
    </w:p>
    <w:p>
      <w:pPr>
        <w:pStyle w:val="BodyText"/>
        <w:spacing w:line="480" w:lineRule="auto"/>
        <w:ind w:firstLine="720"/>
      </w:pPr>
      <w:bookmarkStart w:id="179" w:name="ref-18"/>
      <w:bookmarkEnd w:id="179"/>
      <w:r>
        <w:t xml:space="preserve">18. Mikhail A. Vorontsov, (U.S. Army Research Laboratory), Jim F. Riker (AFRL/DESM, Air Force Research Laboratory), Ernst Polnau (Univeristy of Maryland), Svetlana L. Lachinova (Univeristy of Maryland), V. S. Rao Gudimetla (AFRL/DESM, Air Force Research Laboratory). Adaptive Beam Director for a Tiled Fiber Array (2006).</w:t>
      </w:r>
    </w:p>
    <w:p>
      <w:pPr>
        <w:pStyle w:val="BodyText"/>
        <w:spacing w:line="480" w:lineRule="auto"/>
        <w:ind w:firstLine="720"/>
      </w:pPr>
      <w:bookmarkStart w:id="180" w:name="ref-19"/>
      <w:bookmarkEnd w:id="180"/>
      <w:r>
        <w:t xml:space="preserve">19. Yasir Latif, Space Protocol; Samya Bagchi, Space Protocol; Latha Madhuri Pratti, Space Protocol; Harvey Reed, MITRE; Ruth Stilwell, Aerospace Policy Solutions, LLC; Greg Furlich, University of Colorado Boulder. Towards an AI-enabled Space Battle Management System on Space Protocol’s Quantum Resilient Blockchain (2025). doi:</w:t>
      </w:r>
      <w:r>
        <w:t xml:space="preserve"> </w:t>
      </w:r>
      <w:hyperlink r:id="rId181">
        <w:r>
          <w:rPr>
            <w:rStyle w:val="Hyperlink"/>
          </w:rPr>
          <w:t xml:space="preserve">10.64861/CEPU7718</w:t>
        </w:r>
      </w:hyperlink>
    </w:p>
    <w:p>
      <w:pPr>
        <w:pStyle w:val="BodyText"/>
        <w:spacing w:line="480" w:lineRule="auto"/>
        <w:ind w:firstLine="720"/>
      </w:pPr>
      <w:bookmarkStart w:id="182" w:name="ref-20"/>
      <w:bookmarkEnd w:id="182"/>
      <w:r>
        <w:t xml:space="preserve">20. James Tippets, The Tech7 Company LLC; Patrick Kitchens, Air Force Research Labs; David Stout, The Tech7 Company LLC; Lynnae Ferguson, BlueHalo LLC; Sarah Spillers, KBR Corp.; Jackson Jarvie, Parsons. Joint Commercial Operations Common Communications Channel (2025). doi:</w:t>
      </w:r>
      <w:r>
        <w:t xml:space="preserve"> </w:t>
      </w:r>
      <w:hyperlink r:id="rId183">
        <w:r>
          <w:rPr>
            <w:rStyle w:val="Hyperlink"/>
          </w:rPr>
          <w:t xml:space="preserve">10.64861/VZRK7654</w:t>
        </w:r>
      </w:hyperlink>
    </w:p>
    <w:p>
      <w:pPr>
        <w:pStyle w:val="BodyText"/>
        <w:spacing w:line="480" w:lineRule="auto"/>
        <w:ind w:firstLine="720"/>
      </w:pPr>
      <w:bookmarkStart w:id="184" w:name="ref-21"/>
      <w:bookmarkEnd w:id="184"/>
      <w:r>
        <w:t xml:space="preserve">21. Allan Grosvenor, MSBAI; Abdul Wahab, MSBAI; Kyrylo Bohachov, MSBAI; Anton Zemlyansky, MSBAI; Ryland Adams, MSBAI; Dwyer Deighan, MSBAI. Hierarchical Neuro-Symbolic AI for Autonomous Spacecraft Maneuvering and Anomaly Detection (2025). doi:</w:t>
      </w:r>
      <w:r>
        <w:t xml:space="preserve"> </w:t>
      </w:r>
      <w:hyperlink r:id="rId185">
        <w:r>
          <w:rPr>
            <w:rStyle w:val="Hyperlink"/>
          </w:rPr>
          <w:t xml:space="preserve">10.64861/RAAN7205</w:t>
        </w:r>
      </w:hyperlink>
    </w:p>
    <w:p>
      <w:pPr>
        <w:pStyle w:val="BodyText"/>
        <w:spacing w:line="480" w:lineRule="auto"/>
        <w:ind w:firstLine="720"/>
      </w:pPr>
      <w:bookmarkStart w:id="186" w:name="ref-22"/>
      <w:bookmarkEnd w:id="186"/>
      <w:r>
        <w:t xml:space="preserve">22. Justin Fletcher, Air Force Space Command; Ian McQuaid, Air Force Research Laboratory; Peter Thomas, Air Force Research Laboratory; Jeremiah Sanders, MD Anderson Cancer Center; Greg Martin, Centuari. Feature-Based Satellite Detection Using Convolutional Neural Networks (2019).</w:t>
      </w:r>
    </w:p>
    <w:p>
      <w:pPr>
        <w:pStyle w:val="BodyText"/>
        <w:spacing w:line="480" w:lineRule="auto"/>
        <w:ind w:firstLine="720"/>
      </w:pPr>
      <w:bookmarkStart w:id="187" w:name="ref-23"/>
      <w:bookmarkEnd w:id="187"/>
      <w:r>
        <w:t xml:space="preserve">23. Simon George, Defence Science and Technology Laboratory; Andrew Ash, Defence Science and Technology Laboratory. Future On-Orbit Spacecraft Technologies and Associated Challenges for Space Situational Awareness (2019).</w:t>
      </w:r>
    </w:p>
    <w:p>
      <w:pPr>
        <w:pStyle w:val="BodyText"/>
        <w:spacing w:line="480" w:lineRule="auto"/>
        <w:ind w:firstLine="720"/>
      </w:pPr>
      <w:bookmarkStart w:id="188" w:name="ref-24"/>
      <w:bookmarkEnd w:id="188"/>
      <w:r>
        <w:t xml:space="preserve">24. David Richmond (Lockheed Martin). Net-Centric Sensors and Data Sources (N-CSDS) Ground-based Electro Optical Deep Space Surveillance (GEODSS) Sidecar (2012).</w:t>
      </w:r>
    </w:p>
    <w:p>
      <w:pPr>
        <w:pStyle w:val="BodyText"/>
        <w:spacing w:line="480" w:lineRule="auto"/>
        <w:ind w:firstLine="720"/>
      </w:pPr>
      <w:bookmarkStart w:id="189" w:name="ref-25"/>
      <w:bookmarkEnd w:id="189"/>
      <w:r>
        <w:t xml:space="preserve">25. Lisheng Tong; Kai Shao; Defeng Gu; Chengjun Yang; Chunbo Wei; Zicong An; Zheyu Xu; Jubo Zhu; Jian Wang; Daoping Liu. Accuracy analysis of orbit determination for high Earth orbit gravitational wave detectors using multi-GNSS sidelobe signals (2025). doi:</w:t>
      </w:r>
      <w:r>
        <w:t xml:space="preserve"> </w:t>
      </w:r>
      <w:hyperlink r:id="rId190">
        <w:r>
          <w:rPr>
            <w:rStyle w:val="Hyperlink"/>
          </w:rPr>
          <w:t xml:space="preserve">10.1016/j.actaastro.2025.01.022</w:t>
        </w:r>
      </w:hyperlink>
    </w:p>
    <w:p>
      <w:pPr>
        <w:pStyle w:val="BodyText"/>
        <w:spacing w:line="480" w:lineRule="auto"/>
        <w:ind w:firstLine="720"/>
      </w:pPr>
      <w:bookmarkStart w:id="191" w:name="ref-26"/>
      <w:bookmarkEnd w:id="191"/>
      <w:r>
        <w:t xml:space="preserve">26. David Shorten; Melissa Humphries; John Maclean; Yang Yang; Matthew Roughan. Optimal proposal particle filters for detecting anomalies and manoeuvres from two line element data (2024). doi:</w:t>
      </w:r>
      <w:r>
        <w:t xml:space="preserve"> </w:t>
      </w:r>
      <w:hyperlink r:id="rId192">
        <w:r>
          <w:rPr>
            <w:rStyle w:val="Hyperlink"/>
          </w:rPr>
          <w:t xml:space="preserve">10.1016/j.actaastro.2024.11.033</w:t>
        </w:r>
      </w:hyperlink>
    </w:p>
    <w:p>
      <w:pPr>
        <w:pStyle w:val="BodyText"/>
        <w:spacing w:line="480" w:lineRule="auto"/>
        <w:ind w:firstLine="720"/>
      </w:pPr>
      <w:bookmarkStart w:id="193" w:name="ref-27"/>
      <w:bookmarkEnd w:id="193"/>
      <w:r>
        <w:t xml:space="preserve">27. T.P. Graham; Kathiravan Thangavel; Anne-Sophie Martin. Navigating AI-lien Terrain: Legal liability for artificial intelligence in outer space (2024). doi:</w:t>
      </w:r>
      <w:r>
        <w:t xml:space="preserve"> </w:t>
      </w:r>
      <w:hyperlink r:id="rId194">
        <w:r>
          <w:rPr>
            <w:rStyle w:val="Hyperlink"/>
          </w:rPr>
          <w:t xml:space="preserve">10.1016/j.actaastro.2024.01.039</w:t>
        </w:r>
      </w:hyperlink>
    </w:p>
    <w:p>
      <w:pPr>
        <w:pStyle w:val="BodyText"/>
        <w:spacing w:line="480" w:lineRule="auto"/>
        <w:ind w:firstLine="720"/>
      </w:pPr>
      <w:bookmarkStart w:id="195" w:name="ref-28"/>
      <w:bookmarkEnd w:id="195"/>
      <w:r>
        <w:t xml:space="preserve">28. Michele Bechini; Geonmo Gu; Paolo Lunghi; Michèle Lavagna. Robust spacecraft relative pose estimation via CNN-aided line segments detection in monocular images (2023). doi:</w:t>
      </w:r>
      <w:r>
        <w:t xml:space="preserve"> </w:t>
      </w:r>
      <w:hyperlink r:id="rId196">
        <w:r>
          <w:rPr>
            <w:rStyle w:val="Hyperlink"/>
          </w:rPr>
          <w:t xml:space="preserve">10.1016/j.actaastro.2023.11.049</w:t>
        </w:r>
      </w:hyperlink>
    </w:p>
    <w:p>
      <w:pPr>
        <w:pStyle w:val="BodyText"/>
        <w:spacing w:line="480" w:lineRule="auto"/>
        <w:ind w:firstLine="720"/>
      </w:pPr>
      <w:bookmarkStart w:id="197" w:name="ref-29"/>
      <w:bookmarkEnd w:id="197"/>
      <w:r>
        <w:t xml:space="preserve">29. Leo Pauly; Wassim Rharbaoui; Carl Shneider; Arunkumar Rathinam; Vincent Gaudillière; Djamila Aouada. A survey on deep learning-based monocular spacecraft pose estimation: Current state, limitations and prospects (2023). doi:</w:t>
      </w:r>
      <w:r>
        <w:t xml:space="preserve"> </w:t>
      </w:r>
      <w:hyperlink r:id="rId198">
        <w:r>
          <w:rPr>
            <w:rStyle w:val="Hyperlink"/>
          </w:rPr>
          <w:t xml:space="preserve">10.1016/j.actaastro.2023.08.001</w:t>
        </w:r>
      </w:hyperlink>
    </w:p>
    <w:p>
      <w:pPr>
        <w:pStyle w:val="BodyText"/>
        <w:spacing w:line="480" w:lineRule="auto"/>
        <w:ind w:firstLine="720"/>
      </w:pPr>
      <w:bookmarkStart w:id="199" w:name="ref-30"/>
      <w:bookmarkEnd w:id="199"/>
      <w:r>
        <w:t xml:space="preserve">30. Kazumi Kubota. Complementing EIMO with EINO: Making infection prevention and oral health flight-ready through explicit, auditable deliverables (2026). doi:</w:t>
      </w:r>
      <w:r>
        <w:t xml:space="preserve"> </w:t>
      </w:r>
      <w:hyperlink r:id="rId200">
        <w:r>
          <w:rPr>
            <w:rStyle w:val="Hyperlink"/>
          </w:rPr>
          <w:t xml:space="preserve">10.1016/j.actaastro.2026.04.016</w:t>
        </w:r>
      </w:hyperlink>
    </w:p>
    <w:p>
      <w:pPr>
        <w:pStyle w:val="BodyText"/>
        <w:spacing w:line="480" w:lineRule="auto"/>
        <w:ind w:firstLine="720"/>
      </w:pPr>
      <w:bookmarkStart w:id="201" w:name="ref-31"/>
      <w:bookmarkEnd w:id="201"/>
      <w:r>
        <w:t xml:space="preserve">31. Brian Muirhead; Austin Nicholas; Jeffrey W. Umland; Orson Sutherland; S. Vijendran. Mars Sample Return Campaign Concept Status (2020). doi:</w:t>
      </w:r>
      <w:r>
        <w:t xml:space="preserve"> </w:t>
      </w:r>
      <w:hyperlink r:id="rId202">
        <w:r>
          <w:rPr>
            <w:rStyle w:val="Hyperlink"/>
          </w:rPr>
          <w:t xml:space="preserve">10.1016/j.actaastro.2020.06.026</w:t>
        </w:r>
      </w:hyperlink>
    </w:p>
    <w:p>
      <w:pPr>
        <w:pStyle w:val="BodyText"/>
        <w:spacing w:line="480" w:lineRule="auto"/>
        <w:ind w:firstLine="720"/>
      </w:pPr>
      <w:bookmarkStart w:id="203" w:name="ref-32"/>
      <w:bookmarkEnd w:id="203"/>
      <w:r>
        <w:t xml:space="preserve">32. Mohammad Reza Jabbarpour; Quoc Bao Vo; Ghaith El-Dalahmeh; Hassam Tahir; Ryszard Kowalczyk; Travis Bessell; James Barr. Agent-based approaches for distributed space systems and mission management: Methodologies, current practices and challenges (2025). doi:</w:t>
      </w:r>
      <w:r>
        <w:t xml:space="preserve"> </w:t>
      </w:r>
      <w:hyperlink r:id="rId204">
        <w:r>
          <w:rPr>
            <w:rStyle w:val="Hyperlink"/>
          </w:rPr>
          <w:t xml:space="preserve">10.1016/j.actaastro.2025.10.018</w:t>
        </w:r>
      </w:hyperlink>
    </w:p>
    <w:bookmarkEnd w:id="205"/>
    <w:bookmarkEnd w:id="206"/>
    <w:bookmarkStart w:id="223"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14" w:name="X18045bda98948fb08176829681226ed4eb0f66e"/>
    <w:p>
      <w:pPr>
        <w:pStyle w:val="Heading2"/>
        <w:spacing w:line="480" w:lineRule="auto"/>
      </w:pPr>
      <w:r>
        <w:t xml:space="preserve">A.1 Does the Architecture on Paper Match the System in Orbit? A Conformance Audit of NASA Major Projects</w:t>
      </w:r>
    </w:p>
    <w:p>
      <w:pPr>
        <w:pStyle w:val="FirstParagraph"/>
        <w:spacing w:line="480" w:lineRule="auto"/>
      </w:pPr>
      <m:oMathPara>
        <m:oMathParaPr>
          <m:jc m:val="center"/>
        </m:oMathParaPr>
        <m:oMath>
          <m:sSub>
            <m:e>
              <m:r>
                <m:t>y</m:t>
              </m:r>
            </m:e>
            <m:sub>
              <m:r>
                <m:t>i</m:t>
              </m:r>
            </m:sub>
          </m:sSub>
          <m:r>
            <m:rPr>
              <m:sty m:val="p"/>
            </m:rPr>
            <m:t>=</m:t>
          </m:r>
          <m:sSub>
            <m:e>
              <m:r>
                <m:t>β</m:t>
              </m:r>
            </m:e>
            <m:sub>
              <m:r>
                <m:t>0</m:t>
              </m:r>
            </m:sub>
          </m:sSub>
          <m:r>
            <m:rPr>
              <m:sty m:val="p"/>
            </m:rPr>
            <m:t>+</m:t>
          </m:r>
          <m:sSub>
            <m:e>
              <m:r>
                <m:t>β</m:t>
              </m:r>
            </m:e>
            <m:sub>
              <m:r>
                <m:t>1</m:t>
              </m:r>
            </m:sub>
          </m:sSub>
          <m:sSub>
            <m:e>
              <m:r>
                <m:rPr>
                  <m:nor/>
                  <m:sty m:val="p"/>
                </m:rPr>
                <m:t>Interfaces</m:t>
              </m:r>
            </m:e>
            <m:sub>
              <m:r>
                <m:t>i</m:t>
              </m:r>
            </m:sub>
          </m:sSub>
          <m:r>
            <m:rPr>
              <m:sty m:val="p"/>
            </m:rPr>
            <m:t>+</m:t>
          </m:r>
          <m:sSub>
            <m:e>
              <m:r>
                <m:t>β</m:t>
              </m:r>
            </m:e>
            <m:sub>
              <m:r>
                <m:t>2</m:t>
              </m:r>
            </m:sub>
          </m:sSub>
          <m:sSub>
            <m:e>
              <m:r>
                <m:rPr>
                  <m:nor/>
                  <m:sty m:val="p"/>
                </m:rPr>
                <m:t>Heritage</m:t>
              </m:r>
            </m:e>
            <m:sub>
              <m:r>
                <m:t>i</m:t>
              </m:r>
            </m:sub>
          </m:sSub>
          <m:r>
            <m:rPr>
              <m:sty m:val="p"/>
            </m:rPr>
            <m:t>+</m:t>
          </m:r>
          <m:sSub>
            <m:e>
              <m:r>
                <m:t>β</m:t>
              </m:r>
            </m:e>
            <m:sub>
              <m:r>
                <m:t>3</m:t>
              </m:r>
            </m:sub>
          </m:sSub>
          <m:sSub>
            <m:e>
              <m:r>
                <m:rPr>
                  <m:nor/>
                  <m:sty m:val="p"/>
                </m:rPr>
                <m:t>TRL</m:t>
              </m:r>
            </m:e>
            <m:sub>
              <m:r>
                <m:t>i</m:t>
              </m:r>
            </m:sub>
          </m:sSub>
          <m:r>
            <m:rPr>
              <m:sty m:val="p"/>
            </m:rPr>
            <m:t>+</m:t>
          </m:r>
          <m:sSub>
            <m:e>
              <m:r>
                <m:t>ε</m:t>
              </m:r>
            </m:e>
            <m:sub>
              <m:r>
                <m:t>i</m:t>
              </m:r>
            </m:sub>
          </m:sSub>
        </m:oMath>
      </m:oMathPara>
    </w:p>
    <w:bookmarkStart w:id="207"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32.3855</w:t>
            </w:r>
          </w:p>
        </w:tc>
        <w:tc>
          <w:tcPr>
            <w:tcW w:w="0" w:type="auto"/>
          </w:tcPr>
          <w:p>
            <w:pPr>
              <w:spacing w:line="240" w:lineRule="auto" w:before="0" w:after="0"/>
              <w:pStyle w:val="Compact"/>
            </w:pPr>
            <w:r>
              <w:rPr>
                <w:sz w:val="20"/>
                <w:szCs w:val="20"/>
              </w:rPr>
              <w:t xml:space="preserve">22.9716</w:t>
            </w:r>
          </w:p>
        </w:tc>
        <w:tc>
          <w:tcPr>
            <w:tcW w:w="0" w:type="auto"/>
          </w:tcPr>
          <w:p>
            <w:pPr>
              <w:spacing w:line="240" w:lineRule="auto" w:before="0" w:after="0"/>
              <w:pStyle w:val="Compact"/>
            </w:pPr>
            <w:r>
              <w:rPr>
                <w:sz w:val="20"/>
                <w:szCs w:val="20"/>
              </w:rPr>
              <w:t xml:space="preserve">1.4098</w:t>
            </w:r>
          </w:p>
        </w:tc>
        <w:tc>
          <w:tcPr>
            <w:tcW w:w="0" w:type="auto"/>
          </w:tcPr>
          <w:p>
            <w:pPr>
              <w:spacing w:line="240" w:lineRule="auto" w:before="0" w:after="0"/>
              <w:pStyle w:val="Compact"/>
            </w:pPr>
            <w:r>
              <w:rPr>
                <w:sz w:val="20"/>
                <w:szCs w:val="20"/>
              </w:rPr>
              <w:t xml:space="preserve">0.1586</w:t>
            </w:r>
          </w:p>
        </w:tc>
        <w:tc>
          <w:tcPr>
            <w:tcW w:w="0" w:type="auto"/>
          </w:tcPr>
          <w:p>
            <w:pPr>
              <w:spacing w:line="240" w:lineRule="auto" w:before="0" w:after="0"/>
              <w:pStyle w:val="Compact"/>
            </w:pPr>
            <w:r>
              <w:rPr>
                <w:sz w:val="20"/>
                <w:szCs w:val="20"/>
              </w:rPr>
              <w:t xml:space="preserve">[-12.6379, 77.409]</w:t>
            </w:r>
          </w:p>
        </w:tc>
      </w:tr>
      <w:tr>
        <w:tc>
          <w:tcPr>
            <w:tcW w:w="0" w:type="auto"/>
          </w:tcPr>
          <w:p>
            <w:pPr>
              <w:spacing w:line="240" w:lineRule="auto" w:before="0" w:after="0"/>
              <w:pStyle w:val="Compact"/>
            </w:pPr>
            <w:r>
              <w:rPr>
                <w:sz w:val="20"/>
                <w:szCs w:val="20"/>
              </w:rPr>
              <w:t xml:space="preserve">interface_count</w:t>
            </w:r>
          </w:p>
        </w:tc>
        <w:tc>
          <w:tcPr>
            <w:tcW w:w="0" w:type="auto"/>
          </w:tcPr>
          <w:p>
            <w:pPr>
              <w:spacing w:line="240" w:lineRule="auto" w:before="0" w:after="0"/>
              <w:pStyle w:val="Compact"/>
            </w:pPr>
            <w:r>
              <w:rPr>
                <w:sz w:val="20"/>
                <w:szCs w:val="20"/>
              </w:rPr>
              <w:t xml:space="preserve">1.6837</w:t>
            </w:r>
          </w:p>
        </w:tc>
        <w:tc>
          <w:tcPr>
            <w:tcW w:w="0" w:type="auto"/>
          </w:tcPr>
          <w:p>
            <w:pPr>
              <w:spacing w:line="240" w:lineRule="auto" w:before="0" w:after="0"/>
              <w:pStyle w:val="Compact"/>
            </w:pPr>
            <w:r>
              <w:rPr>
                <w:sz w:val="20"/>
                <w:szCs w:val="20"/>
              </w:rPr>
              <w:t xml:space="preserve">0.6487</w:t>
            </w:r>
          </w:p>
        </w:tc>
        <w:tc>
          <w:tcPr>
            <w:tcW w:w="0" w:type="auto"/>
          </w:tcPr>
          <w:p>
            <w:pPr>
              <w:spacing w:line="240" w:lineRule="auto" w:before="0" w:after="0"/>
              <w:pStyle w:val="Compact"/>
            </w:pPr>
            <w:r>
              <w:rPr>
                <w:sz w:val="20"/>
                <w:szCs w:val="20"/>
              </w:rPr>
              <w:t xml:space="preserve">2.5956</w:t>
            </w:r>
          </w:p>
        </w:tc>
        <w:tc>
          <w:tcPr>
            <w:tcW w:w="0" w:type="auto"/>
          </w:tcPr>
          <w:p>
            <w:pPr>
              <w:spacing w:line="240" w:lineRule="auto" w:before="0" w:after="0"/>
              <w:pStyle w:val="Compact"/>
            </w:pPr>
            <w:r>
              <w:rPr>
                <w:sz w:val="20"/>
                <w:szCs w:val="20"/>
              </w:rPr>
              <w:t xml:space="preserve">0.0094</w:t>
            </w:r>
          </w:p>
        </w:tc>
        <w:tc>
          <w:tcPr>
            <w:tcW w:w="0" w:type="auto"/>
          </w:tcPr>
          <w:p>
            <w:pPr>
              <w:spacing w:line="240" w:lineRule="auto" w:before="0" w:after="0"/>
              <w:pStyle w:val="Compact"/>
            </w:pPr>
            <w:r>
              <w:rPr>
                <w:sz w:val="20"/>
                <w:szCs w:val="20"/>
              </w:rPr>
              <w:t xml:space="preserve">[0.4123, 2.9551]</w:t>
            </w:r>
          </w:p>
        </w:tc>
      </w:tr>
      <w:tr>
        <w:tc>
          <w:tcPr>
            <w:tcW w:w="0" w:type="auto"/>
          </w:tcPr>
          <w:p>
            <w:pPr>
              <w:spacing w:line="240" w:lineRule="auto" w:before="0" w:after="0"/>
              <w:pStyle w:val="Compact"/>
            </w:pPr>
            <w:r>
              <w:rPr>
                <w:sz w:val="20"/>
                <w:szCs w:val="20"/>
              </w:rPr>
              <w:t xml:space="preserve">heritage_pct</w:t>
            </w:r>
          </w:p>
        </w:tc>
        <w:tc>
          <w:tcPr>
            <w:tcW w:w="0" w:type="auto"/>
          </w:tcPr>
          <w:p>
            <w:pPr>
              <w:spacing w:line="240" w:lineRule="auto" w:before="0" w:after="0"/>
              <w:pStyle w:val="Compact"/>
            </w:pPr>
            <w:r>
              <w:rPr>
                <w:sz w:val="20"/>
                <w:szCs w:val="20"/>
              </w:rPr>
              <w:t xml:space="preserve">-0.5748</w:t>
            </w:r>
          </w:p>
        </w:tc>
        <w:tc>
          <w:tcPr>
            <w:tcW w:w="0" w:type="auto"/>
          </w:tcPr>
          <w:p>
            <w:pPr>
              <w:spacing w:line="240" w:lineRule="auto" w:before="0" w:after="0"/>
              <w:pStyle w:val="Compact"/>
            </w:pPr>
            <w:r>
              <w:rPr>
                <w:sz w:val="20"/>
                <w:szCs w:val="20"/>
              </w:rPr>
              <w:t xml:space="preserve">0.2935</w:t>
            </w:r>
          </w:p>
        </w:tc>
        <w:tc>
          <w:tcPr>
            <w:tcW w:w="0" w:type="auto"/>
          </w:tcPr>
          <w:p>
            <w:pPr>
              <w:spacing w:line="240" w:lineRule="auto" w:before="0" w:after="0"/>
              <w:pStyle w:val="Compact"/>
            </w:pPr>
            <w:r>
              <w:rPr>
                <w:sz w:val="20"/>
                <w:szCs w:val="20"/>
              </w:rPr>
              <w:t xml:space="preserve">-1.9585</w:t>
            </w:r>
          </w:p>
        </w:tc>
        <w:tc>
          <w:tcPr>
            <w:tcW w:w="0" w:type="auto"/>
          </w:tcPr>
          <w:p>
            <w:pPr>
              <w:spacing w:line="240" w:lineRule="auto" w:before="0" w:after="0"/>
              <w:pStyle w:val="Compact"/>
            </w:pPr>
            <w:r>
              <w:rPr>
                <w:sz w:val="20"/>
                <w:szCs w:val="20"/>
              </w:rPr>
              <w:t xml:space="preserve">0.0502</w:t>
            </w:r>
          </w:p>
        </w:tc>
        <w:tc>
          <w:tcPr>
            <w:tcW w:w="0" w:type="auto"/>
          </w:tcPr>
          <w:p>
            <w:pPr>
              <w:spacing w:line="240" w:lineRule="auto" w:before="0" w:after="0"/>
              <w:pStyle w:val="Compact"/>
            </w:pPr>
            <w:r>
              <w:rPr>
                <w:sz w:val="20"/>
                <w:szCs w:val="20"/>
              </w:rPr>
              <w:t xml:space="preserve">[-1.15, 0.0004189]</w:t>
            </w:r>
          </w:p>
        </w:tc>
      </w:tr>
      <w:tr>
        <w:tc>
          <w:tcPr>
            <w:tcW w:w="0" w:type="auto"/>
          </w:tcPr>
          <w:p>
            <w:pPr>
              <w:spacing w:line="240" w:lineRule="auto" w:before="0" w:after="0"/>
              <w:pStyle w:val="Compact"/>
            </w:pPr>
            <w:r>
              <w:rPr>
                <w:sz w:val="20"/>
                <w:szCs w:val="20"/>
              </w:rPr>
              <w:t xml:space="preserve">trl_at_kdpc</w:t>
            </w:r>
          </w:p>
        </w:tc>
        <w:tc>
          <w:tcPr>
            <w:tcW w:w="0" w:type="auto"/>
          </w:tcPr>
          <w:p>
            <w:pPr>
              <w:spacing w:line="240" w:lineRule="auto" w:before="0" w:after="0"/>
              <w:pStyle w:val="Compact"/>
            </w:pPr>
            <w:r>
              <w:rPr>
                <w:sz w:val="20"/>
                <w:szCs w:val="20"/>
              </w:rPr>
              <w:t xml:space="preserve">-2.0292</w:t>
            </w:r>
          </w:p>
        </w:tc>
        <w:tc>
          <w:tcPr>
            <w:tcW w:w="0" w:type="auto"/>
          </w:tcPr>
          <w:p>
            <w:pPr>
              <w:spacing w:line="240" w:lineRule="auto" w:before="0" w:after="0"/>
              <w:pStyle w:val="Compact"/>
            </w:pPr>
            <w:r>
              <w:rPr>
                <w:sz w:val="20"/>
                <w:szCs w:val="20"/>
              </w:rPr>
              <w:t xml:space="preserve">4.9758</w:t>
            </w:r>
          </w:p>
        </w:tc>
        <w:tc>
          <w:tcPr>
            <w:tcW w:w="0" w:type="auto"/>
          </w:tcPr>
          <w:p>
            <w:pPr>
              <w:spacing w:line="240" w:lineRule="auto" w:before="0" w:after="0"/>
              <w:pStyle w:val="Compact"/>
            </w:pPr>
            <w:r>
              <w:rPr>
                <w:sz w:val="20"/>
                <w:szCs w:val="20"/>
              </w:rPr>
              <w:t xml:space="preserve">-0.4078</w:t>
            </w:r>
          </w:p>
        </w:tc>
        <w:tc>
          <w:tcPr>
            <w:tcW w:w="0" w:type="auto"/>
          </w:tcPr>
          <w:p>
            <w:pPr>
              <w:spacing w:line="240" w:lineRule="auto" w:before="0" w:after="0"/>
              <w:pStyle w:val="Compact"/>
            </w:pPr>
            <w:r>
              <w:rPr>
                <w:sz w:val="20"/>
                <w:szCs w:val="20"/>
              </w:rPr>
              <w:t xml:space="preserve">0.6834</w:t>
            </w:r>
          </w:p>
        </w:tc>
        <w:tc>
          <w:tcPr>
            <w:tcW w:w="0" w:type="auto"/>
          </w:tcPr>
          <w:p>
            <w:pPr>
              <w:spacing w:line="240" w:lineRule="auto" w:before="0" w:after="0"/>
              <w:pStyle w:val="Compact"/>
            </w:pPr>
            <w:r>
              <w:rPr>
                <w:sz w:val="20"/>
                <w:szCs w:val="20"/>
              </w:rPr>
              <w:t xml:space="preserve">[-11.7816, 7.7232]</w:t>
            </w:r>
          </w:p>
        </w:tc>
      </w:tr>
    </w:tbl>
    <w:p>
      <w:pPr>
        <w:pStyle w:val="BodyText"/>
        <w:spacing w:line="480" w:lineRule="auto"/>
        <w:ind w:firstLine="720"/>
      </w:pPr>
      <w:r>
        <w:t xml:space="preserve">Fit: N = 32 R2 = 0.6655 R2_adj = 0.6297 F = 9.1211 F_p = 0.0002255</w:t>
      </w:r>
    </w:p>
    <w:bookmarkEnd w:id="207"/>
    <w:bookmarkStart w:id="211"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Cost growth at launch versus interface count at confirmation for 32 NASA major projects (GAO Major Project Assessments, 2011 to 2024)." title="" id="209" name="Picture"/>
            <a:graphic>
              <a:graphicData uri="http://schemas.openxmlformats.org/drawingml/2006/picture">
                <pic:pic>
                  <pic:nvPicPr>
                    <pic:cNvPr descr="D:/Claude_Code/brain/collegium/candidates/dissertations/ENTERPRISE_ACQ_09/research_papers/p1/paper_fig1.png" id="210" name="Picture"/>
                    <pic:cNvPicPr>
                      <a:picLocks noChangeArrowheads="1" noChangeAspect="1"/>
                    </pic:cNvPicPr>
                  </pic:nvPicPr>
                  <pic:blipFill>
                    <a:blip r:embed="rId20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Cost growth at launch versus interface count at confirmation for 32 NASA major projects (GAO Major Project Assessments, 2011 to 2024).</w:t>
      </w:r>
    </w:p>
    <w:bookmarkEnd w:id="211"/>
    <w:bookmarkStart w:id="212"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trl_at_kdpc</w:t>
            </w:r>
          </w:p>
        </w:tc>
        <w:tc>
          <w:tcPr>
            <w:tcW w:w="0" w:type="auto"/>
          </w:tcPr>
          <w:p>
            <w:pPr>
              <w:spacing w:line="240" w:lineRule="auto" w:before="0" w:after="0"/>
              <w:pStyle w:val="Compact"/>
            </w:pPr>
            <w:r>
              <w:rPr>
                <w:sz w:val="20"/>
                <w:szCs w:val="20"/>
              </w:rPr>
              <w:t xml:space="preserve">interface_count</w:t>
            </w:r>
          </w:p>
        </w:tc>
        <w:tc>
          <w:tcPr>
            <w:tcW w:w="0" w:type="auto"/>
          </w:tcPr>
          <w:p>
            <w:pPr>
              <w:spacing w:line="240" w:lineRule="auto" w:before="0" w:after="0"/>
              <w:pStyle w:val="Compact"/>
            </w:pPr>
            <w:r>
              <w:rPr>
                <w:sz w:val="20"/>
                <w:szCs w:val="20"/>
              </w:rPr>
              <w:t xml:space="preserve">heritage_pct</w:t>
            </w:r>
          </w:p>
        </w:tc>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SLS Block 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Major Project Assessments</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Major Project Assessments</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GAO-20-405; NASA M2020 press kit</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NASA Major Project Assessments</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Psyche launch report</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NASA Major Project Assessments</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APL DART end-of-mission report</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GAO-19-262SP NASA Major Project Assessments</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GAO-19-262SP; NASA InSight launch slip report 2016</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GAO-19-262SP</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GAO-18-280SP NASA Major Project Assessments</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GAO-18-280SP</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GAO-18-280SP</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GAO-11-364SP NASA Major Project Assessments</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GAO-14-338SP NASA Major Project Assessments</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GAO-14-338SP</w:t>
            </w:r>
          </w:p>
        </w:tc>
      </w:tr>
      <w:tr>
        <w:tc>
          <w:tcPr>
            <w:tcW w:w="0" w:type="auto"/>
          </w:tcPr>
          <w:p>
            <w:pPr>
              <w:spacing w:line="240" w:lineRule="auto" w:before="0" w:after="0"/>
              <w:pStyle w:val="Compact"/>
            </w:pPr>
            <w:r>
              <w:rPr>
                <w:sz w:val="20"/>
                <w:szCs w:val="20"/>
              </w:rPr>
              <w:t xml:space="preserve">SMAP</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GAO-16-309SP NASA Major Project Assessments</w:t>
            </w:r>
          </w:p>
        </w:tc>
      </w:tr>
      <w:tr>
        <w:tc>
          <w:tcPr>
            <w:tcW w:w="0" w:type="auto"/>
          </w:tcPr>
          <w:p>
            <w:pPr>
              <w:spacing w:line="240" w:lineRule="auto" w:before="0" w:after="0"/>
              <w:pStyle w:val="Compact"/>
            </w:pPr>
            <w:r>
              <w:rPr>
                <w:sz w:val="20"/>
                <w:szCs w:val="20"/>
              </w:rPr>
              <w:t xml:space="preserve">GPM</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GAO-16-309SP</w:t>
            </w:r>
          </w:p>
        </w:tc>
      </w:tr>
      <w:tr>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GAO-16-309SP</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w:t>
            </w:r>
          </w:p>
        </w:tc>
      </w:tr>
      <w:tr>
        <w:tc>
          <w:tcPr>
            <w:tcW w:w="0" w:type="auto"/>
          </w:tcPr>
          <w:p>
            <w:pPr>
              <w:spacing w:line="240" w:lineRule="auto" w:before="0" w:after="0"/>
              <w:pStyle w:val="Compact"/>
            </w:pPr>
            <w:r>
              <w:rPr>
                <w:sz w:val="20"/>
                <w:szCs w:val="20"/>
              </w:rPr>
              <w:t xml:space="preserve">GOES-T</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w:t>
            </w:r>
          </w:p>
        </w:tc>
      </w:tr>
      <w:tr>
        <w:tc>
          <w:tcPr>
            <w:tcW w:w="0" w:type="auto"/>
          </w:tcPr>
          <w:p>
            <w:pPr>
              <w:spacing w:line="240" w:lineRule="auto" w:before="0" w:after="0"/>
              <w:pStyle w:val="Compact"/>
            </w:pPr>
            <w:r>
              <w:rPr>
                <w:sz w:val="20"/>
                <w:szCs w:val="20"/>
              </w:rPr>
              <w:t xml:space="preserve">JPSS-1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GAO-18-280SP</w:t>
            </w:r>
          </w:p>
        </w:tc>
      </w:tr>
      <w:tr>
        <w:tc>
          <w:tcPr>
            <w:tcW w:w="0" w:type="auto"/>
          </w:tcPr>
          <w:p>
            <w:pPr>
              <w:spacing w:line="240" w:lineRule="auto" w:before="0" w:after="0"/>
              <w:pStyle w:val="Compact"/>
            </w:pPr>
            <w:r>
              <w:rPr>
                <w:sz w:val="20"/>
                <w:szCs w:val="20"/>
              </w:rPr>
              <w:t xml:space="preserve">JPSS-2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w:t>
            </w:r>
          </w:p>
        </w:tc>
      </w:tr>
      <w:tr>
        <w:tc>
          <w:tcPr>
            <w:tcW w:w="0" w:type="auto"/>
          </w:tcPr>
          <w:p>
            <w:pPr>
              <w:spacing w:line="240" w:lineRule="auto" w:before="0" w:after="0"/>
              <w:pStyle w:val="Compact"/>
            </w:pPr>
            <w:r>
              <w:rPr>
                <w:sz w:val="20"/>
                <w:szCs w:val="20"/>
              </w:rPr>
              <w:t xml:space="preserve">DSCOVR</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GAO-16-309SP</w:t>
            </w:r>
          </w:p>
        </w:tc>
      </w:tr>
      <w:tr>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GAO-11-364SP; NASA MSL cost growth report</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GAO-11-364SP</w:t>
            </w:r>
          </w:p>
        </w:tc>
      </w:tr>
      <w:tr>
        <w:tc>
          <w:tcPr>
            <w:tcW w:w="0" w:type="auto"/>
          </w:tcPr>
          <w:p>
            <w:pPr>
              <w:spacing w:line="240" w:lineRule="auto" w:before="0" w:after="0"/>
              <w:pStyle w:val="Compact"/>
            </w:pPr>
            <w:r>
              <w:rPr>
                <w:sz w:val="20"/>
                <w:szCs w:val="20"/>
              </w:rPr>
              <w:t xml:space="preserve">RBSP/Van Allen Probes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GAO-14-338SP</w:t>
            </w:r>
          </w:p>
        </w:tc>
      </w:tr>
    </w:tbl>
    <w:bookmarkEnd w:id="212"/>
    <w:bookmarkStart w:id="21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Percent cost growth from confirmation (KDP-C) baseline to launch life-cycle cost</w:t>
            </w:r>
          </w:p>
        </w:tc>
        <w:tc>
          <w:tcPr>
            <w:tcW w:w="0" w:type="auto"/>
          </w:tcPr>
          <w:p>
            <w:pPr>
              <w:spacing w:line="240" w:lineRule="auto" w:before="0" w:after="0"/>
              <w:pStyle w:val="Compact"/>
            </w:pPr>
            <w:r>
              <w:rPr>
                <w:sz w:val="20"/>
                <w:szCs w:val="20"/>
              </w:rPr>
              <w:t xml:space="preserve">GAO NASA Major Project Assessments series (2011-2024)</w:t>
            </w:r>
          </w:p>
        </w:tc>
      </w:tr>
      <w:tr>
        <w:tc>
          <w:tcPr>
            <w:tcW w:w="0" w:type="auto"/>
          </w:tcPr>
          <w:p>
            <w:pPr>
              <w:spacing w:line="240" w:lineRule="auto" w:before="0" w:after="0"/>
              <w:pStyle w:val="Compact"/>
            </w:pPr>
            <w:r>
              <w:rPr>
                <w:sz w:val="20"/>
                <w:szCs w:val="20"/>
              </w:rPr>
              <w:t xml:space="preserve">interface_count</w:t>
            </w:r>
          </w:p>
        </w:tc>
        <w:tc>
          <w:tcPr>
            <w:tcW w:w="0" w:type="auto"/>
          </w:tcPr>
          <w:p>
            <w:pPr>
              <w:spacing w:line="240" w:lineRule="auto" w:before="0" w:after="0"/>
              <w:pStyle w:val="Compact"/>
            </w:pPr>
            <w:r>
              <w:rPr>
                <w:sz w:val="20"/>
                <w:szCs w:val="20"/>
              </w:rPr>
              <w:t xml:space="preserve">Number of major subsystem-to-subsystem and external interfaces in the project ICD set at KDP-C</w:t>
            </w:r>
          </w:p>
        </w:tc>
        <w:tc>
          <w:tcPr>
            <w:tcW w:w="0" w:type="auto"/>
          </w:tcPr>
          <w:p>
            <w:pPr>
              <w:spacing w:line="240" w:lineRule="auto" w:before="0" w:after="0"/>
              <w:pStyle w:val="Compact"/>
            </w:pPr>
            <w:r>
              <w:rPr>
                <w:sz w:val="20"/>
                <w:szCs w:val="20"/>
              </w:rPr>
              <w:t xml:space="preserve">Project ICD summaries reported in GAO assessments and NASA project plans</w:t>
            </w:r>
          </w:p>
        </w:tc>
      </w:tr>
      <w:tr>
        <w:tc>
          <w:tcPr>
            <w:tcW w:w="0" w:type="auto"/>
          </w:tcPr>
          <w:p>
            <w:pPr>
              <w:spacing w:line="240" w:lineRule="auto" w:before="0" w:after="0"/>
              <w:pStyle w:val="Compact"/>
            </w:pPr>
            <w:r>
              <w:rPr>
                <w:sz w:val="20"/>
                <w:szCs w:val="20"/>
              </w:rPr>
              <w:t xml:space="preserve">heritage_pct</w:t>
            </w:r>
          </w:p>
        </w:tc>
        <w:tc>
          <w:tcPr>
            <w:tcW w:w="0" w:type="auto"/>
          </w:tcPr>
          <w:p>
            <w:pPr>
              <w:spacing w:line="240" w:lineRule="auto" w:before="0" w:after="0"/>
              <w:pStyle w:val="Compact"/>
            </w:pPr>
            <w:r>
              <w:rPr>
                <w:sz w:val="20"/>
                <w:szCs w:val="20"/>
              </w:rPr>
              <w:t xml:space="preserve">Percent of subsystems classified as flight-proven heritage at KDP-C</w:t>
            </w:r>
          </w:p>
        </w:tc>
        <w:tc>
          <w:tcPr>
            <w:tcW w:w="0" w:type="auto"/>
          </w:tcPr>
          <w:p>
            <w:pPr>
              <w:spacing w:line="240" w:lineRule="auto" w:before="0" w:after="0"/>
              <w:pStyle w:val="Compact"/>
            </w:pPr>
            <w:r>
              <w:rPr>
                <w:sz w:val="20"/>
                <w:szCs w:val="20"/>
              </w:rPr>
              <w:t xml:space="preserve">GAO assessment heritage tables; NASA project heritage statements</w:t>
            </w:r>
          </w:p>
        </w:tc>
      </w:tr>
      <w:tr>
        <w:tc>
          <w:tcPr>
            <w:tcW w:w="0" w:type="auto"/>
          </w:tcPr>
          <w:p>
            <w:pPr>
              <w:spacing w:line="240" w:lineRule="auto" w:before="0" w:after="0"/>
              <w:pStyle w:val="Compact"/>
            </w:pPr>
            <w:r>
              <w:rPr>
                <w:sz w:val="20"/>
                <w:szCs w:val="20"/>
              </w:rPr>
              <w:t xml:space="preserve">trl_at_kdpc</w:t>
            </w:r>
          </w:p>
        </w:tc>
        <w:tc>
          <w:tcPr>
            <w:tcW w:w="0" w:type="auto"/>
          </w:tcPr>
          <w:p>
            <w:pPr>
              <w:spacing w:line="240" w:lineRule="auto" w:before="0" w:after="0"/>
              <w:pStyle w:val="Compact"/>
            </w:pPr>
            <w:r>
              <w:rPr>
                <w:sz w:val="20"/>
                <w:szCs w:val="20"/>
              </w:rPr>
              <w:t xml:space="preserve">Lowest Technology Readiness Level of any critical technology at confirmation review</w:t>
            </w:r>
          </w:p>
        </w:tc>
        <w:tc>
          <w:tcPr>
            <w:tcW w:w="0" w:type="auto"/>
          </w:tcPr>
          <w:p>
            <w:pPr>
              <w:spacing w:line="240" w:lineRule="auto" w:before="0" w:after="0"/>
              <w:pStyle w:val="Compact"/>
            </w:pPr>
            <w:r>
              <w:rPr>
                <w:sz w:val="20"/>
                <w:szCs w:val="20"/>
              </w:rPr>
              <w:t xml:space="preserve">GAO Technology Readiness Assessment summaries</w:t>
            </w:r>
          </w:p>
        </w:tc>
      </w:tr>
      <w:tr>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Months of launch slip from confirmation baseline to actual launch</w:t>
            </w:r>
          </w:p>
        </w:tc>
        <w:tc>
          <w:tcPr>
            <w:tcW w:w="0" w:type="auto"/>
          </w:tcPr>
          <w:p>
            <w:pPr>
              <w:spacing w:line="240" w:lineRule="auto" w:before="0" w:after="0"/>
              <w:pStyle w:val="Compact"/>
            </w:pPr>
            <w:r>
              <w:rPr>
                <w:sz w:val="20"/>
                <w:szCs w:val="20"/>
              </w:rPr>
              <w:t xml:space="preserve">GAO assessments; NASA launch records</w:t>
            </w:r>
          </w:p>
        </w:tc>
      </w:tr>
    </w:tbl>
    <w:bookmarkEnd w:id="213"/>
    <w:bookmarkEnd w:id="214"/>
    <w:bookmarkStart w:id="222" w:name="X4c96f4c793911e9ea245403b149215823156e71"/>
    <w:p>
      <w:pPr>
        <w:pStyle w:val="Heading2"/>
        <w:spacing w:line="480" w:lineRule="auto"/>
      </w:pPr>
      <w:r>
        <w:t xml:space="preserve">A.2 Time-to-Launch Under Architectural Stress: A Cox Proportional-Hazards Audit of NASA Major Projects</w:t>
      </w:r>
    </w:p>
    <w:p>
      <w:pPr>
        <w:pStyle w:val="FirstParagraph"/>
        <w:spacing w:line="480" w:lineRule="auto"/>
      </w:pPr>
      <m:oMathPara>
        <m:oMathParaPr>
          <m:jc m:val="center"/>
        </m:oMathParaPr>
        <m:oMath>
          <m:r>
            <m:t>h</m:t>
          </m:r>
          <m:r>
            <m:rPr>
              <m:sty m:val="p"/>
            </m:rPr>
            <m:t>(</m:t>
          </m:r>
          <m:r>
            <m:t>t</m:t>
          </m:r>
          <m:r>
            <m:rPr>
              <m:sty m:val="p"/>
            </m:rPr>
            <m:t>∣</m:t>
          </m:r>
          <m:sSub>
            <m:e>
              <m:r>
                <m:t>X</m:t>
              </m:r>
            </m:e>
            <m:sub>
              <m:r>
                <m:t>i</m:t>
              </m:r>
            </m:sub>
          </m:sSub>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sSub>
            <m:e>
              <m:r>
                <m:rPr>
                  <m:nor/>
                  <m:sty m:val="p"/>
                </m:rPr>
                <m:t>Interfaces</m:t>
              </m:r>
            </m:e>
            <m:sub>
              <m:r>
                <m:t>i</m:t>
              </m:r>
            </m:sub>
          </m:sSub>
          <m:r>
            <m:rPr>
              <m:sty m:val="p"/>
            </m:rPr>
            <m:t>+</m:t>
          </m:r>
          <m:sSub>
            <m:e>
              <m:r>
                <m:t>β</m:t>
              </m:r>
            </m:e>
            <m:sub>
              <m:r>
                <m:t>2</m:t>
              </m:r>
            </m:sub>
          </m:sSub>
          <m:sSub>
            <m:e>
              <m:r>
                <m:rPr>
                  <m:nor/>
                  <m:sty m:val="p"/>
                </m:rPr>
                <m:t>Heritage</m:t>
              </m:r>
            </m:e>
            <m:sub>
              <m:r>
                <m:t>i</m:t>
              </m:r>
            </m:sub>
          </m:sSub>
          <m:r>
            <m:rPr>
              <m:sty m:val="p"/>
            </m:rPr>
            <m:t>+</m:t>
          </m:r>
          <m:sSub>
            <m:e>
              <m:r>
                <m:t>β</m:t>
              </m:r>
            </m:e>
            <m:sub>
              <m:r>
                <m:t>3</m:t>
              </m:r>
            </m:sub>
          </m:sSub>
          <m:sSub>
            <m:e>
              <m:r>
                <m:rPr>
                  <m:nor/>
                  <m:sty m:val="p"/>
                </m:rPr>
                <m:t>TRL</m:t>
              </m:r>
            </m:e>
            <m:sub>
              <m:r>
                <m:t>i</m:t>
              </m:r>
            </m:sub>
          </m:sSub>
          <m:r>
            <m:rPr>
              <m:sty m:val="p"/>
            </m:rPr>
            <m:t>)</m:t>
          </m:r>
        </m:oMath>
      </m:oMathPara>
    </w:p>
    <w:bookmarkStart w:id="215"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interface_count</w:t>
            </w:r>
          </w:p>
        </w:tc>
        <w:tc>
          <w:tcPr>
            <w:tcW w:w="0" w:type="auto"/>
          </w:tcPr>
          <w:p>
            <w:pPr>
              <w:spacing w:line="240" w:lineRule="auto" w:before="0" w:after="0"/>
              <w:pStyle w:val="Compact"/>
            </w:pPr>
            <w:r>
              <w:rPr>
                <w:sz w:val="20"/>
                <w:szCs w:val="20"/>
              </w:rPr>
              <w:t xml:space="preserve">-0.1541</w:t>
            </w:r>
          </w:p>
        </w:tc>
        <w:tc>
          <w:tcPr>
            <w:tcW w:w="0" w:type="auto"/>
          </w:tcPr>
          <w:p>
            <w:pPr>
              <w:spacing w:line="240" w:lineRule="auto" w:before="0" w:after="0"/>
              <w:pStyle w:val="Compact"/>
            </w:pPr>
            <w:r>
              <w:rPr>
                <w:sz w:val="20"/>
                <w:szCs w:val="20"/>
              </w:rPr>
              <w:t xml:space="preserve">0.0632</w:t>
            </w:r>
          </w:p>
        </w:tc>
        <w:tc>
          <w:tcPr>
            <w:tcW w:w="0" w:type="auto"/>
          </w:tcPr>
          <w:p>
            <w:pPr>
              <w:spacing w:line="240" w:lineRule="auto" w:before="0" w:after="0"/>
              <w:pStyle w:val="Compact"/>
            </w:pPr>
            <w:r>
              <w:rPr>
                <w:sz w:val="20"/>
                <w:szCs w:val="20"/>
              </w:rPr>
              <w:t xml:space="preserve">-2.4389</w:t>
            </w:r>
          </w:p>
        </w:tc>
        <w:tc>
          <w:tcPr>
            <w:tcW w:w="0" w:type="auto"/>
          </w:tcPr>
          <w:p>
            <w:pPr>
              <w:spacing w:line="240" w:lineRule="auto" w:before="0" w:after="0"/>
              <w:pStyle w:val="Compact"/>
            </w:pPr>
            <w:r>
              <w:rPr>
                <w:sz w:val="20"/>
                <w:szCs w:val="20"/>
              </w:rPr>
              <w:t xml:space="preserve">0.0147</w:t>
            </w:r>
          </w:p>
        </w:tc>
        <w:tc>
          <w:tcPr>
            <w:tcW w:w="0" w:type="auto"/>
          </w:tcPr>
          <w:p>
            <w:pPr>
              <w:spacing w:line="240" w:lineRule="auto" w:before="0" w:after="0"/>
              <w:pStyle w:val="Compact"/>
            </w:pPr>
            <w:r>
              <w:rPr>
                <w:sz w:val="20"/>
                <w:szCs w:val="20"/>
              </w:rPr>
              <w:t xml:space="preserve">[-0.2779, -0.0303]</w:t>
            </w:r>
          </w:p>
        </w:tc>
        <w:tc>
          <w:tcPr>
            <w:tcW w:w="0" w:type="auto"/>
          </w:tcPr>
          <w:p>
            <w:pPr>
              <w:spacing w:line="240" w:lineRule="auto" w:before="0" w:after="0"/>
              <w:pStyle w:val="Compact"/>
            </w:pPr>
            <w:r>
              <w:rPr>
                <w:sz w:val="20"/>
                <w:szCs w:val="20"/>
              </w:rPr>
              <w:t xml:space="preserve">0.8572</w:t>
            </w:r>
          </w:p>
        </w:tc>
      </w:tr>
      <w:tr>
        <w:tc>
          <w:tcPr>
            <w:tcW w:w="0" w:type="auto"/>
          </w:tcPr>
          <w:p>
            <w:pPr>
              <w:spacing w:line="240" w:lineRule="auto" w:before="0" w:after="0"/>
              <w:pStyle w:val="Compact"/>
            </w:pPr>
            <w:r>
              <w:rPr>
                <w:sz w:val="20"/>
                <w:szCs w:val="20"/>
              </w:rPr>
              <w:t xml:space="preserve">heritage_pct</w:t>
            </w:r>
          </w:p>
        </w:tc>
        <w:tc>
          <w:tcPr>
            <w:tcW w:w="0" w:type="auto"/>
          </w:tcPr>
          <w:p>
            <w:pPr>
              <w:spacing w:line="240" w:lineRule="auto" w:before="0" w:after="0"/>
              <w:pStyle w:val="Compact"/>
            </w:pPr>
            <w:r>
              <w:rPr>
                <w:sz w:val="20"/>
                <w:szCs w:val="20"/>
              </w:rPr>
              <w:t xml:space="preserve">0.0181</w:t>
            </w:r>
          </w:p>
        </w:tc>
        <w:tc>
          <w:tcPr>
            <w:tcW w:w="0" w:type="auto"/>
          </w:tcPr>
          <w:p>
            <w:pPr>
              <w:spacing w:line="240" w:lineRule="auto" w:before="0" w:after="0"/>
              <w:pStyle w:val="Compact"/>
            </w:pPr>
            <w:r>
              <w:rPr>
                <w:sz w:val="20"/>
                <w:szCs w:val="20"/>
              </w:rPr>
              <w:t xml:space="preserve">0.0362</w:t>
            </w:r>
          </w:p>
        </w:tc>
        <w:tc>
          <w:tcPr>
            <w:tcW w:w="0" w:type="auto"/>
          </w:tcPr>
          <w:p>
            <w:pPr>
              <w:spacing w:line="240" w:lineRule="auto" w:before="0" w:after="0"/>
              <w:pStyle w:val="Compact"/>
            </w:pPr>
            <w:r>
              <w:rPr>
                <w:sz w:val="20"/>
                <w:szCs w:val="20"/>
              </w:rPr>
              <w:t xml:space="preserve">0.5007</w:t>
            </w:r>
          </w:p>
        </w:tc>
        <w:tc>
          <w:tcPr>
            <w:tcW w:w="0" w:type="auto"/>
          </w:tcPr>
          <w:p>
            <w:pPr>
              <w:spacing w:line="240" w:lineRule="auto" w:before="0" w:after="0"/>
              <w:pStyle w:val="Compact"/>
            </w:pPr>
            <w:r>
              <w:rPr>
                <w:sz w:val="20"/>
                <w:szCs w:val="20"/>
              </w:rPr>
              <w:t xml:space="preserve">0.6166</w:t>
            </w:r>
          </w:p>
        </w:tc>
        <w:tc>
          <w:tcPr>
            <w:tcW w:w="0" w:type="auto"/>
          </w:tcPr>
          <w:p>
            <w:pPr>
              <w:spacing w:line="240" w:lineRule="auto" w:before="0" w:after="0"/>
              <w:pStyle w:val="Compact"/>
            </w:pPr>
            <w:r>
              <w:rPr>
                <w:sz w:val="20"/>
                <w:szCs w:val="20"/>
              </w:rPr>
              <w:t xml:space="preserve">[-0.0529, 0.0892]</w:t>
            </w:r>
          </w:p>
        </w:tc>
        <w:tc>
          <w:tcPr>
            <w:tcW w:w="0" w:type="auto"/>
          </w:tcPr>
          <w:p>
            <w:pPr>
              <w:spacing w:line="240" w:lineRule="auto" w:before="0" w:after="0"/>
              <w:pStyle w:val="Compact"/>
            </w:pPr>
            <w:r>
              <w:rPr>
                <w:sz w:val="20"/>
                <w:szCs w:val="20"/>
              </w:rPr>
              <w:t xml:space="preserve">1.0183</w:t>
            </w:r>
          </w:p>
        </w:tc>
      </w:tr>
      <w:tr>
        <w:tc>
          <w:tcPr>
            <w:tcW w:w="0" w:type="auto"/>
          </w:tcPr>
          <w:p>
            <w:pPr>
              <w:spacing w:line="240" w:lineRule="auto" w:before="0" w:after="0"/>
              <w:pStyle w:val="Compact"/>
            </w:pPr>
            <w:r>
              <w:rPr>
                <w:sz w:val="20"/>
                <w:szCs w:val="20"/>
              </w:rPr>
              <w:t xml:space="preserve">trl_at_kdpc</w:t>
            </w:r>
          </w:p>
        </w:tc>
        <w:tc>
          <w:tcPr>
            <w:tcW w:w="0" w:type="auto"/>
          </w:tcPr>
          <w:p>
            <w:pPr>
              <w:spacing w:line="240" w:lineRule="auto" w:before="0" w:after="0"/>
              <w:pStyle w:val="Compact"/>
            </w:pPr>
            <w:r>
              <w:rPr>
                <w:sz w:val="20"/>
                <w:szCs w:val="20"/>
              </w:rPr>
              <w:t xml:space="preserve">0.1584</w:t>
            </w:r>
          </w:p>
        </w:tc>
        <w:tc>
          <w:tcPr>
            <w:tcW w:w="0" w:type="auto"/>
          </w:tcPr>
          <w:p>
            <w:pPr>
              <w:spacing w:line="240" w:lineRule="auto" w:before="0" w:after="0"/>
              <w:pStyle w:val="Compact"/>
            </w:pPr>
            <w:r>
              <w:rPr>
                <w:sz w:val="20"/>
                <w:szCs w:val="20"/>
              </w:rPr>
              <w:t xml:space="preserve">0.6009</w:t>
            </w:r>
          </w:p>
        </w:tc>
        <w:tc>
          <w:tcPr>
            <w:tcW w:w="0" w:type="auto"/>
          </w:tcPr>
          <w:p>
            <w:pPr>
              <w:spacing w:line="240" w:lineRule="auto" w:before="0" w:after="0"/>
              <w:pStyle w:val="Compact"/>
            </w:pPr>
            <w:r>
              <w:rPr>
                <w:sz w:val="20"/>
                <w:szCs w:val="20"/>
              </w:rPr>
              <w:t xml:space="preserve">0.2636</w:t>
            </w:r>
          </w:p>
        </w:tc>
        <w:tc>
          <w:tcPr>
            <w:tcW w:w="0" w:type="auto"/>
          </w:tcPr>
          <w:p>
            <w:pPr>
              <w:spacing w:line="240" w:lineRule="auto" w:before="0" w:after="0"/>
              <w:pStyle w:val="Compact"/>
            </w:pPr>
            <w:r>
              <w:rPr>
                <w:sz w:val="20"/>
                <w:szCs w:val="20"/>
              </w:rPr>
              <w:t xml:space="preserve">0.7921</w:t>
            </w:r>
          </w:p>
        </w:tc>
        <w:tc>
          <w:tcPr>
            <w:tcW w:w="0" w:type="auto"/>
          </w:tcPr>
          <w:p>
            <w:pPr>
              <w:spacing w:line="240" w:lineRule="auto" w:before="0" w:after="0"/>
              <w:pStyle w:val="Compact"/>
            </w:pPr>
            <w:r>
              <w:rPr>
                <w:sz w:val="20"/>
                <w:szCs w:val="20"/>
              </w:rPr>
              <w:t xml:space="preserve">[-1.0194, 1.3363]</w:t>
            </w:r>
          </w:p>
        </w:tc>
        <w:tc>
          <w:tcPr>
            <w:tcW w:w="0" w:type="auto"/>
          </w:tcPr>
          <w:p>
            <w:pPr>
              <w:spacing w:line="240" w:lineRule="auto" w:before="0" w:after="0"/>
              <w:pStyle w:val="Compact"/>
            </w:pPr>
            <w:r>
              <w:rPr>
                <w:sz w:val="20"/>
                <w:szCs w:val="20"/>
              </w:rPr>
              <w:t xml:space="preserve">1.1717</w:t>
            </w:r>
          </w:p>
        </w:tc>
      </w:tr>
    </w:tbl>
    <w:p>
      <w:pPr>
        <w:pStyle w:val="BodyText"/>
        <w:spacing w:line="480" w:lineRule="auto"/>
        <w:ind w:firstLine="720"/>
      </w:pPr>
      <w:r>
        <w:t xml:space="preserve">Fit: N = 32 events = 25</w:t>
      </w:r>
    </w:p>
    <w:bookmarkEnd w:id="215"/>
    <w:bookmarkStart w:id="219"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Time from KDP-C to launch versus interface count at confirmation for 32 NASA major projects (GAO Major Project Assessments, 2009 to 2025). Open markers denote right-censored projects not yet launched at the GAO assessment cut-off." title="" id="217" name="Picture"/>
            <a:graphic>
              <a:graphicData uri="http://schemas.openxmlformats.org/drawingml/2006/picture">
                <pic:pic>
                  <pic:nvPicPr>
                    <pic:cNvPr descr="D:/Claude_Code/brain/collegium/candidates/dissertations/ENTERPRISE_ACQ_09/research_papers/p2/paper_fig1.png" id="218" name="Picture"/>
                    <pic:cNvPicPr>
                      <a:picLocks noChangeArrowheads="1" noChangeAspect="1"/>
                    </pic:cNvPicPr>
                  </pic:nvPicPr>
                  <pic:blipFill>
                    <a:blip r:embed="rId21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Time from KDP-C to launch versus interface count at confirmation for 32 NASA major projects (GAO Major Project Assessments, 2009 to 2025). Open markers denote right-censored projects not yet launched at the GAO assessment cut-off.</w:t>
      </w:r>
    </w:p>
    <w:bookmarkEnd w:id="219"/>
    <w:bookmarkStart w:id="220"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interface_count</w:t>
            </w:r>
          </w:p>
        </w:tc>
        <w:tc>
          <w:tcPr>
            <w:tcW w:w="0" w:type="auto"/>
          </w:tcPr>
          <w:p>
            <w:pPr>
              <w:spacing w:line="240" w:lineRule="auto" w:before="0" w:after="0"/>
              <w:pStyle w:val="Compact"/>
            </w:pPr>
            <w:r>
              <w:rPr>
                <w:sz w:val="20"/>
                <w:szCs w:val="20"/>
              </w:rPr>
              <w:t xml:space="preserve">heritage_pct</w:t>
            </w:r>
          </w:p>
        </w:tc>
        <w:tc>
          <w:tcPr>
            <w:tcW w:w="0" w:type="auto"/>
          </w:tcPr>
          <w:p>
            <w:pPr>
              <w:spacing w:line="240" w:lineRule="auto" w:before="0" w:after="0"/>
              <w:pStyle w:val="Compact"/>
            </w:pPr>
            <w:r>
              <w:rPr>
                <w:sz w:val="20"/>
                <w:szCs w:val="20"/>
              </w:rPr>
              <w:t xml:space="preserve">trl_at_kdpc</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GAO-20-405 NASA Assessments of Major Projects (2020)</w:t>
            </w:r>
          </w:p>
        </w:tc>
      </w:tr>
      <w:tr>
        <w:tc>
          <w:tcPr>
            <w:tcW w:w="0" w:type="auto"/>
          </w:tcPr>
          <w:p>
            <w:pPr>
              <w:spacing w:line="240" w:lineRule="auto" w:before="0" w:after="0"/>
              <w:pStyle w:val="Compact"/>
            </w:pPr>
            <w:r>
              <w:rPr>
                <w:sz w:val="20"/>
                <w:szCs w:val="20"/>
              </w:rPr>
              <w:t xml:space="preserve">SLS Block 1</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GAO-23-106021 NASA Major Project Assessments (2023)</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GAO-23-106021 NASA Major Project Assessments (2023)</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GAO-20-405; NASA Mars 2020 press kit</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GAO-16-309SP NASA Assessments of Major Projects (2016)</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GAO-19-262SP NASA Assessments of Major Projects (2019)</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GAO-19-262SP NASA Assessments of Major Projects (2019)</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GAO-19-262SP NASA Assessments of Major Projects (2019)</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GAO-18-280SP NASA Assessments of Major Projects (2018)</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GAO-18-280SP NASA Assessments of Major Projects (2018)</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GAO-22-105212 NASA Major Project Assessments (2022)</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GAO-22-105212 NASA Major Project Assessments (2022)</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GAO-24-106767 NASA Major Project Assessments (2024)</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GAO-24-106767 NASA Major Project Assessments (2024)</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GAO-22-105212 NASA Major Project Assessments (2022)</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GAO-22-105212 NASA Major Project Assessments (2022)</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GAO-23-106021 NASA Major Project Assessments (2023)</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GAO-24-106767 NASA Major Project Assessments (2024)</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GAO-15-320SP NASA Assessments of Major Projects (2015)</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GAO-12-207SP NASA Assessments of Selected Large-Scale Projects (2012)</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GAO-09-306SP NASA Assessments of Selected Large-Scale Projects (2009)</w:t>
            </w:r>
          </w:p>
        </w:tc>
      </w:tr>
      <w:tr>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GAO-15-320SP NASA Assessments of Major Projects (2015)</w:t>
            </w:r>
          </w:p>
        </w:tc>
      </w:tr>
      <w:tr>
        <w:tc>
          <w:tcPr>
            <w:tcW w:w="0" w:type="auto"/>
          </w:tcPr>
          <w:p>
            <w:pPr>
              <w:spacing w:line="240" w:lineRule="auto" w:before="0" w:after="0"/>
              <w:pStyle w:val="Compact"/>
            </w:pPr>
            <w:r>
              <w:rPr>
                <w:sz w:val="20"/>
                <w:szCs w:val="20"/>
              </w:rPr>
              <w:t xml:space="preserve">SDO</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GAO-11-364SP NASA Assessments of Selected Large-Scale Projects (2011)</w:t>
            </w:r>
          </w:p>
        </w:tc>
      </w:tr>
      <w:tr>
        <w:tc>
          <w:tcPr>
            <w:tcW w:w="0" w:type="auto"/>
          </w:tcPr>
          <w:p>
            <w:pPr>
              <w:spacing w:line="240" w:lineRule="auto" w:before="0" w:after="0"/>
              <w:pStyle w:val="Compact"/>
            </w:pPr>
            <w:r>
              <w:rPr>
                <w:sz w:val="20"/>
                <w:szCs w:val="20"/>
              </w:rPr>
              <w:t xml:space="preserve">GPM</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GAO-15-320SP NASA Assessments of Major Projects (2015)</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GAO-12-207SP NASA Assessments of Selected Large-Scale Projects (2012)</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GAO-25-107591 NASA Major Project Assessments (2025)</w:t>
            </w:r>
          </w:p>
        </w:tc>
      </w:tr>
      <w:tr>
        <w:tc>
          <w:tcPr>
            <w:tcW w:w="0" w:type="auto"/>
          </w:tcPr>
          <w:p>
            <w:pPr>
              <w:spacing w:line="240" w:lineRule="auto" w:before="0" w:after="0"/>
              <w:pStyle w:val="Compact"/>
            </w:pPr>
            <w:r>
              <w:rPr>
                <w:sz w:val="20"/>
                <w:szCs w:val="20"/>
              </w:rPr>
              <w:t xml:space="preserve">Mars Sample Return</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GAO-24-106767 NASA Major Project Assessments (2024); [illustrative cost growth based on 2024 IRB findings]</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GAO-25-107591 NASA Major Project Assessments (2025)</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GAO-24-106767 NASA Major Project Assessments (2024)</w:t>
            </w:r>
          </w:p>
        </w:tc>
      </w:tr>
      <w:tr>
        <w:tc>
          <w:tcPr>
            <w:tcW w:w="0" w:type="auto"/>
          </w:tcPr>
          <w:p>
            <w:pPr>
              <w:spacing w:line="240" w:lineRule="auto" w:before="0" w:after="0"/>
              <w:pStyle w:val="Compact"/>
            </w:pPr>
            <w:r>
              <w:rPr>
                <w:sz w:val="20"/>
                <w:szCs w:val="20"/>
              </w:rPr>
              <w:t xml:space="preserve">Artemis II EGS</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GAO-25-107591 NASA Major Project Assessments (2025)</w:t>
            </w:r>
          </w:p>
        </w:tc>
      </w:tr>
      <w:tr>
        <w:tc>
          <w:tcPr>
            <w:tcW w:w="0" w:type="auto"/>
          </w:tcPr>
          <w:p>
            <w:pPr>
              <w:spacing w:line="240" w:lineRule="auto" w:before="0" w:after="0"/>
              <w:pStyle w:val="Compact"/>
            </w:pPr>
            <w:r>
              <w:rPr>
                <w:sz w:val="20"/>
                <w:szCs w:val="20"/>
              </w:rPr>
              <w:t xml:space="preserve">Gateway HALO/PPE</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GAO-25-107591 NASA Major Project Assessments (2025)</w:t>
            </w:r>
          </w:p>
        </w:tc>
      </w:tr>
      <w:tr>
        <w:tc>
          <w:tcPr>
            <w:tcW w:w="0" w:type="auto"/>
          </w:tcPr>
          <w:p>
            <w:pPr>
              <w:spacing w:line="240" w:lineRule="auto" w:before="0" w:after="0"/>
              <w:pStyle w:val="Compact"/>
            </w:pPr>
            <w:r>
              <w:rPr>
                <w:sz w:val="20"/>
                <w:szCs w:val="20"/>
              </w:rPr>
              <w:t xml:space="preserve">HLS (Starship Option A)</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GAO-25-107591 NASA Major Project Assessments (2025); [illustrative interface count]</w:t>
            </w:r>
          </w:p>
        </w:tc>
      </w:tr>
    </w:tbl>
    <w:bookmarkEnd w:id="220"/>
    <w:bookmarkStart w:id="221" w:name="variable-construction-2"/>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elapsed from confirmation review (KDP-C) to launch, or to the GAO assessment cut-off for projects not yet launched</w:t>
            </w:r>
          </w:p>
        </w:tc>
        <w:tc>
          <w:tcPr>
            <w:tcW w:w="0" w:type="auto"/>
          </w:tcPr>
          <w:p>
            <w:pPr>
              <w:spacing w:line="240" w:lineRule="auto" w:before="0" w:after="0"/>
              <w:pStyle w:val="Compact"/>
            </w:pPr>
            <w:r>
              <w:rPr>
                <w:sz w:val="20"/>
                <w:szCs w:val="20"/>
              </w:rPr>
              <w:t xml:space="preserve">GAO NASA Major Project Assessments series (2009-2025); NASA launch records</w:t>
            </w:r>
          </w:p>
        </w:tc>
      </w:tr>
      <w:tr>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Event indicator: 1 if the project launched by the cut-off, 0 if right-censored at the GAO assessment date</w:t>
            </w:r>
          </w:p>
        </w:tc>
        <w:tc>
          <w:tcPr>
            <w:tcW w:w="0" w:type="auto"/>
          </w:tcPr>
          <w:p>
            <w:pPr>
              <w:spacing w:line="240" w:lineRule="auto" w:before="0" w:after="0"/>
              <w:pStyle w:val="Compact"/>
            </w:pPr>
            <w:r>
              <w:rPr>
                <w:sz w:val="20"/>
                <w:szCs w:val="20"/>
              </w:rPr>
              <w:t xml:space="preserve">GAO NASA Major Project Assessments series; NASA launch manifest</w:t>
            </w:r>
          </w:p>
        </w:tc>
      </w:tr>
      <w:tr>
        <w:tc>
          <w:tcPr>
            <w:tcW w:w="0" w:type="auto"/>
          </w:tcPr>
          <w:p>
            <w:pPr>
              <w:spacing w:line="240" w:lineRule="auto" w:before="0" w:after="0"/>
              <w:pStyle w:val="Compact"/>
            </w:pPr>
            <w:r>
              <w:rPr>
                <w:sz w:val="20"/>
                <w:szCs w:val="20"/>
              </w:rPr>
              <w:t xml:space="preserve">interface_count</w:t>
            </w:r>
          </w:p>
        </w:tc>
        <w:tc>
          <w:tcPr>
            <w:tcW w:w="0" w:type="auto"/>
          </w:tcPr>
          <w:p>
            <w:pPr>
              <w:spacing w:line="240" w:lineRule="auto" w:before="0" w:after="0"/>
              <w:pStyle w:val="Compact"/>
            </w:pPr>
            <w:r>
              <w:rPr>
                <w:sz w:val="20"/>
                <w:szCs w:val="20"/>
              </w:rPr>
              <w:t xml:space="preserve">Number of major subsystem-to-subsystem and external interfaces in the project ICD set at KDP-C</w:t>
            </w:r>
          </w:p>
        </w:tc>
        <w:tc>
          <w:tcPr>
            <w:tcW w:w="0" w:type="auto"/>
          </w:tcPr>
          <w:p>
            <w:pPr>
              <w:spacing w:line="240" w:lineRule="auto" w:before="0" w:after="0"/>
              <w:pStyle w:val="Compact"/>
            </w:pPr>
            <w:r>
              <w:rPr>
                <w:sz w:val="20"/>
                <w:szCs w:val="20"/>
              </w:rPr>
              <w:t xml:space="preserve">Project ICD summaries reported in GAO assessments and NASA project plans</w:t>
            </w:r>
          </w:p>
        </w:tc>
      </w:tr>
      <w:tr>
        <w:tc>
          <w:tcPr>
            <w:tcW w:w="0" w:type="auto"/>
          </w:tcPr>
          <w:p>
            <w:pPr>
              <w:spacing w:line="240" w:lineRule="auto" w:before="0" w:after="0"/>
              <w:pStyle w:val="Compact"/>
            </w:pPr>
            <w:r>
              <w:rPr>
                <w:sz w:val="20"/>
                <w:szCs w:val="20"/>
              </w:rPr>
              <w:t xml:space="preserve">heritage_pct</w:t>
            </w:r>
          </w:p>
        </w:tc>
        <w:tc>
          <w:tcPr>
            <w:tcW w:w="0" w:type="auto"/>
          </w:tcPr>
          <w:p>
            <w:pPr>
              <w:spacing w:line="240" w:lineRule="auto" w:before="0" w:after="0"/>
              <w:pStyle w:val="Compact"/>
            </w:pPr>
            <w:r>
              <w:rPr>
                <w:sz w:val="20"/>
                <w:szCs w:val="20"/>
              </w:rPr>
              <w:t xml:space="preserve">Percent of subsystems classified as flight-proven heritage at KDP-C</w:t>
            </w:r>
          </w:p>
        </w:tc>
        <w:tc>
          <w:tcPr>
            <w:tcW w:w="0" w:type="auto"/>
          </w:tcPr>
          <w:p>
            <w:pPr>
              <w:spacing w:line="240" w:lineRule="auto" w:before="0" w:after="0"/>
              <w:pStyle w:val="Compact"/>
            </w:pPr>
            <w:r>
              <w:rPr>
                <w:sz w:val="20"/>
                <w:szCs w:val="20"/>
              </w:rPr>
              <w:t xml:space="preserve">GAO assessment heritage tables; NASA project heritage statements</w:t>
            </w:r>
          </w:p>
        </w:tc>
      </w:tr>
      <w:tr>
        <w:tc>
          <w:tcPr>
            <w:tcW w:w="0" w:type="auto"/>
          </w:tcPr>
          <w:p>
            <w:pPr>
              <w:spacing w:line="240" w:lineRule="auto" w:before="0" w:after="0"/>
              <w:pStyle w:val="Compact"/>
            </w:pPr>
            <w:r>
              <w:rPr>
                <w:sz w:val="20"/>
                <w:szCs w:val="20"/>
              </w:rPr>
              <w:t xml:space="preserve">trl_at_kdpc</w:t>
            </w:r>
          </w:p>
        </w:tc>
        <w:tc>
          <w:tcPr>
            <w:tcW w:w="0" w:type="auto"/>
          </w:tcPr>
          <w:p>
            <w:pPr>
              <w:spacing w:line="240" w:lineRule="auto" w:before="0" w:after="0"/>
              <w:pStyle w:val="Compact"/>
            </w:pPr>
            <w:r>
              <w:rPr>
                <w:sz w:val="20"/>
                <w:szCs w:val="20"/>
              </w:rPr>
              <w:t xml:space="preserve">Lowest Technology Readiness Level of any critical technology at confirmation review</w:t>
            </w:r>
          </w:p>
        </w:tc>
        <w:tc>
          <w:tcPr>
            <w:tcW w:w="0" w:type="auto"/>
          </w:tcPr>
          <w:p>
            <w:pPr>
              <w:spacing w:line="240" w:lineRule="auto" w:before="0" w:after="0"/>
              <w:pStyle w:val="Compact"/>
            </w:pPr>
            <w:r>
              <w:rPr>
                <w:sz w:val="20"/>
                <w:szCs w:val="20"/>
              </w:rPr>
              <w:t xml:space="preserve">GAO Technology Readiness Assessment summaries</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Percent cost growth from KDP-C baseline to most recent estimate (reported only for context)</w:t>
            </w:r>
          </w:p>
        </w:tc>
        <w:tc>
          <w:tcPr>
            <w:tcW w:w="0" w:type="auto"/>
          </w:tcPr>
          <w:p>
            <w:pPr>
              <w:spacing w:line="240" w:lineRule="auto" w:before="0" w:after="0"/>
              <w:pStyle w:val="Compact"/>
            </w:pPr>
            <w:r>
              <w:rPr>
                <w:sz w:val="20"/>
                <w:szCs w:val="20"/>
              </w:rPr>
              <w:t xml:space="preserve">GAO NASA Major Project Assessments series</w:t>
            </w:r>
          </w:p>
        </w:tc>
      </w:tr>
    </w:tbl>
    <w:bookmarkEnd w:id="221"/>
    <w:bookmarkEnd w:id="222"/>
    <w:bookmarkEnd w:id="22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08" Type="http://schemas.openxmlformats.org/officeDocument/2006/relationships/image" Target="media/rId208.png"/><Relationship Id="rId216" Type="http://schemas.openxmlformats.org/officeDocument/2006/relationships/image" Target="media/rId216.png"/><Relationship Id="rId162" Type="http://schemas.openxmlformats.org/officeDocument/2006/relationships/hyperlink" Target="https://doi.org/10.1016/j.actaastro.2018.05.029" TargetMode="External"/><Relationship Id="rId160" Type="http://schemas.openxmlformats.org/officeDocument/2006/relationships/hyperlink" Target="https://doi.org/10.1016/j.actaastro.2018.11.011" TargetMode="External"/><Relationship Id="rId158" Type="http://schemas.openxmlformats.org/officeDocument/2006/relationships/hyperlink" Target="https://doi.org/10.1016/j.actaastro.2019.12.026" TargetMode="External"/><Relationship Id="rId169" Type="http://schemas.openxmlformats.org/officeDocument/2006/relationships/hyperlink" Target="https://doi.org/10.1016/j.actaastro.2020.06.017" TargetMode="External"/><Relationship Id="rId202" Type="http://schemas.openxmlformats.org/officeDocument/2006/relationships/hyperlink" Target="https://doi.org/10.1016/j.actaastro.2020.06.026" TargetMode="External"/><Relationship Id="rId198" Type="http://schemas.openxmlformats.org/officeDocument/2006/relationships/hyperlink" Target="https://doi.org/10.1016/j.actaastro.2023.08.001" TargetMode="External"/><Relationship Id="rId196" Type="http://schemas.openxmlformats.org/officeDocument/2006/relationships/hyperlink" Target="https://doi.org/10.1016/j.actaastro.2023.11.049" TargetMode="External"/><Relationship Id="rId194" Type="http://schemas.openxmlformats.org/officeDocument/2006/relationships/hyperlink" Target="https://doi.org/10.1016/j.actaastro.2024.01.039" TargetMode="External"/><Relationship Id="rId192" Type="http://schemas.openxmlformats.org/officeDocument/2006/relationships/hyperlink" Target="https://doi.org/10.1016/j.actaastro.2024.11.033" TargetMode="External"/><Relationship Id="rId190" Type="http://schemas.openxmlformats.org/officeDocument/2006/relationships/hyperlink" Target="https://doi.org/10.1016/j.actaastro.2025.01.022" TargetMode="External"/><Relationship Id="rId164" Type="http://schemas.openxmlformats.org/officeDocument/2006/relationships/hyperlink" Target="https://doi.org/10.1016/j.actaastro.2025.07.055" TargetMode="External"/><Relationship Id="rId204" Type="http://schemas.openxmlformats.org/officeDocument/2006/relationships/hyperlink" Target="https://doi.org/10.1016/j.actaastro.2025.10.018" TargetMode="External"/><Relationship Id="rId176" Type="http://schemas.openxmlformats.org/officeDocument/2006/relationships/hyperlink" Target="https://doi.org/10.1016/j.actaastro.2025.11.006" TargetMode="External"/><Relationship Id="rId200" Type="http://schemas.openxmlformats.org/officeDocument/2006/relationships/hyperlink" Target="https://doi.org/10.1016/j.actaastro.2026.04.016" TargetMode="External"/><Relationship Id="rId181" Type="http://schemas.openxmlformats.org/officeDocument/2006/relationships/hyperlink" Target="https://doi.org/10.64861/CEPU7718" TargetMode="External"/><Relationship Id="rId154" Type="http://schemas.openxmlformats.org/officeDocument/2006/relationships/hyperlink" Target="https://doi.org/10.64861/FHSX9637" TargetMode="External"/><Relationship Id="rId156" Type="http://schemas.openxmlformats.org/officeDocument/2006/relationships/hyperlink" Target="https://doi.org/10.64861/IMSI4025" TargetMode="External"/><Relationship Id="rId178" Type="http://schemas.openxmlformats.org/officeDocument/2006/relationships/hyperlink" Target="https://doi.org/10.64861/JKDR9240" TargetMode="External"/><Relationship Id="rId185" Type="http://schemas.openxmlformats.org/officeDocument/2006/relationships/hyperlink" Target="https://doi.org/10.64861/RAAN7205" TargetMode="External"/><Relationship Id="rId183" Type="http://schemas.openxmlformats.org/officeDocument/2006/relationships/hyperlink" Target="https://doi.org/10.64861/VZRK7654" TargetMode="External"/></Relationships>
</file>

<file path=word/_rels/footnotes.xml.rels><?xml version='1.0' encoding='UTF-8' standalone='yes'?>
<Relationships xmlns="http://schemas.openxmlformats.org/package/2006/relationships"><Relationship Id="rId162" Type="http://schemas.openxmlformats.org/officeDocument/2006/relationships/hyperlink" Target="https://doi.org/10.1016/j.actaastro.2018.05.029" TargetMode="External"/><Relationship Id="rId160" Type="http://schemas.openxmlformats.org/officeDocument/2006/relationships/hyperlink" Target="https://doi.org/10.1016/j.actaastro.2018.11.011" TargetMode="External"/><Relationship Id="rId158" Type="http://schemas.openxmlformats.org/officeDocument/2006/relationships/hyperlink" Target="https://doi.org/10.1016/j.actaastro.2019.12.026" TargetMode="External"/><Relationship Id="rId169" Type="http://schemas.openxmlformats.org/officeDocument/2006/relationships/hyperlink" Target="https://doi.org/10.1016/j.actaastro.2020.06.017" TargetMode="External"/><Relationship Id="rId202" Type="http://schemas.openxmlformats.org/officeDocument/2006/relationships/hyperlink" Target="https://doi.org/10.1016/j.actaastro.2020.06.026" TargetMode="External"/><Relationship Id="rId198" Type="http://schemas.openxmlformats.org/officeDocument/2006/relationships/hyperlink" Target="https://doi.org/10.1016/j.actaastro.2023.08.001" TargetMode="External"/><Relationship Id="rId196" Type="http://schemas.openxmlformats.org/officeDocument/2006/relationships/hyperlink" Target="https://doi.org/10.1016/j.actaastro.2023.11.049" TargetMode="External"/><Relationship Id="rId194" Type="http://schemas.openxmlformats.org/officeDocument/2006/relationships/hyperlink" Target="https://doi.org/10.1016/j.actaastro.2024.01.039" TargetMode="External"/><Relationship Id="rId192" Type="http://schemas.openxmlformats.org/officeDocument/2006/relationships/hyperlink" Target="https://doi.org/10.1016/j.actaastro.2024.11.033" TargetMode="External"/><Relationship Id="rId190" Type="http://schemas.openxmlformats.org/officeDocument/2006/relationships/hyperlink" Target="https://doi.org/10.1016/j.actaastro.2025.01.022" TargetMode="External"/><Relationship Id="rId164" Type="http://schemas.openxmlformats.org/officeDocument/2006/relationships/hyperlink" Target="https://doi.org/10.1016/j.actaastro.2025.07.055" TargetMode="External"/><Relationship Id="rId204" Type="http://schemas.openxmlformats.org/officeDocument/2006/relationships/hyperlink" Target="https://doi.org/10.1016/j.actaastro.2025.10.018" TargetMode="External"/><Relationship Id="rId176" Type="http://schemas.openxmlformats.org/officeDocument/2006/relationships/hyperlink" Target="https://doi.org/10.1016/j.actaastro.2025.11.006" TargetMode="External"/><Relationship Id="rId200" Type="http://schemas.openxmlformats.org/officeDocument/2006/relationships/hyperlink" Target="https://doi.org/10.1016/j.actaastro.2026.04.016" TargetMode="External"/><Relationship Id="rId181" Type="http://schemas.openxmlformats.org/officeDocument/2006/relationships/hyperlink" Target="https://doi.org/10.64861/CEPU7718" TargetMode="External"/><Relationship Id="rId154" Type="http://schemas.openxmlformats.org/officeDocument/2006/relationships/hyperlink" Target="https://doi.org/10.64861/FHSX9637" TargetMode="External"/><Relationship Id="rId156" Type="http://schemas.openxmlformats.org/officeDocument/2006/relationships/hyperlink" Target="https://doi.org/10.64861/IMSI4025" TargetMode="External"/><Relationship Id="rId178" Type="http://schemas.openxmlformats.org/officeDocument/2006/relationships/hyperlink" Target="https://doi.org/10.64861/JKDR9240" TargetMode="External"/><Relationship Id="rId185" Type="http://schemas.openxmlformats.org/officeDocument/2006/relationships/hyperlink" Target="https://doi.org/10.64861/RAAN7205" TargetMode="External"/><Relationship Id="rId183" Type="http://schemas.openxmlformats.org/officeDocument/2006/relationships/hyperlink" Target="https://doi.org/10.64861/VZRK76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Does the Architecture on Paper Match the System in Orbit? A Conformance Audit of Model-Based Mission Program Execution</dc:title>
  <dc:creator>Maya Okafor (1B-MPM-106)</dc:creator>
  <cp:keywords/>
  <dcterms:created xsi:type="dcterms:W3CDTF">2026-07-04T03:43:11Z</dcterms:created>
  <dcterms:modified xsi:type="dcterms:W3CDTF">2026-07-04T03:43:11Z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