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f27d1242aeb1810ce301397e2c162a5d9f15396"/>
    <w:p>
      <w:pPr>
        <w:pStyle w:val="Heading1"/>
      </w:pPr>
      <w:r>
        <w:t xml:space="preserve">Reference Architectures and the Pace of Development: A Cox Proportional-Hazards Test of Time-to-Launch on NASA Major Missions</w:t>
      </w:r>
    </w:p>
    <w:p>
      <w:pPr>
        <w:pStyle w:val="FirstParagraph"/>
      </w:pPr>
      <w:r>
        <w:t xml:space="preserve">Tariq Voss (1B-MPM-056)</w:t>
      </w:r>
    </w:p>
    <w:bookmarkStart w:id="61" w:name="introduction"/>
    <w:p>
      <w:pPr>
        <w:pStyle w:val="Heading2"/>
      </w:pPr>
      <w:r>
        <w:t xml:space="preserve">1. Introduction</w:t>
      </w:r>
    </w:p>
    <w:p>
      <w:pPr>
        <w:pStyle w:val="FirstParagraph"/>
      </w:pPr>
      <w:r>
        <w:t xml:space="preserve">A program that adopts a standardized reference architecture or a heritage spacecraft bus inherits a settled design. A program that commissions a bespoke clean-sheet design inherits a blank page. The companion study in this dissertation asked whether that distinction shows up in realized cost growth. This paper asks the parallel question about time: does reference-architecture adoption change how quickly a major space program reaches the launch pad?</w:t>
      </w:r>
    </w:p>
    <w:p>
      <w:pPr>
        <w:pStyle w:val="BodyText"/>
      </w:pPr>
      <w:r>
        <w:t xml:space="preserve">Schedule is not a free correlate of cost. A program can hold its budget and still slip its launch, or buy schedule back with reserve dollars and overrun. The schedule outcome therefore deserves its own estimator, and it deserves one that respects the structure of the data. Some programs in any contemporary portfolio have not launched yet. They are not failures and they are not successes; they are still in development. An analysis that drops them throws away information about the programs taking longest, and an analysis that treats their elapsed time as a finished duration understates how long development actually runs. Survival analysis is built precisely for this censoring problem, and it is the method this paper uses.</w:t>
      </w:r>
    </w:p>
    <w:p>
      <w:pPr>
        <w:pStyle w:val="BodyText"/>
      </w:pPr>
      <w:r>
        <w:t xml:space="preserve">The headline finding is that the architecture choice is associated with a large and statistically significant difference in the pace of development. Holding mission complexity and mass class fixed, programs built on a reference architecture reach launch with roughly six times the instantaneous launch hazard of bespoke programs. Standardization, on this evidence, buys schedule as well as budget.</w:t>
      </w:r>
    </w:p>
    <w:bookmarkEnd w:id="61"/>
    <w:bookmarkStart w:id="62" w:name="theory-and-hypotheses"/>
    <w:p>
      <w:pPr>
        <w:pStyle w:val="Heading2"/>
      </w:pPr>
      <w:r>
        <w:t xml:space="preserve">2. Theory and Hypotheses</w:t>
      </w:r>
    </w:p>
    <w:p>
      <w:pPr>
        <w:pStyle w:val="FirstParagraph"/>
      </w:pPr>
      <w:r>
        <w:t xml:space="preserve">The economic case for architecture standardization rests on the idea that a settled design retires technical risk before the development clock starts. Heritage hardware has flown, its interfaces are characterized, and its integration and test procedures are written down. A reference architecture extends the same logic to the design itself: the program reuses a validated decomposition rather than rediscovering it. Foundational architecture work on reducing total acquisition cost frames the spacecraft as a system whose recurring cost and schedule are governed by how much of the design is inherited versus reinvented</w:t>
      </w:r>
      <w:r>
        <w:t xml:space="preserve"> </w:t>
      </w:r>
      <w:hyperlink w:anchor="ref-4">
        <m:oMathPara>
          <m:oMathParaPr>
            <m:jc m:val="center"/>
          </m:oMathParaPr>
          <m:oMath>
            <m:r>
              <m:t>4</m:t>
            </m:r>
          </m:oMath>
        </m:oMathPara>
      </w:hyperlink>
      <w:r>
        <w:t xml:space="preserve">. Forecasts of the broader space economy attribute much of the sector’s cost decline to exactly this kind of platform reuse and technological maturation</w:t>
      </w:r>
      <w:r>
        <w:t xml:space="preserve"> </w:t>
      </w:r>
      <w:hyperlink w:anchor="ref-2">
        <m:oMathPara>
          <m:oMathParaPr>
            <m:jc m:val="center"/>
          </m:oMathParaPr>
          <m:oMath>
            <m:r>
              <m:t>2</m:t>
            </m:r>
          </m:oMath>
        </m:oMathPara>
      </w:hyperlink>
      <w:r>
        <w:t xml:space="preserve">.</w:t>
      </w:r>
    </w:p>
    <w:p>
      <w:pPr>
        <w:pStyle w:val="FirstParagraph"/>
      </w:pPr>
      <w:r>
        <w:t xml:space="preserve">The schedule channel is distinct from the cost channel. Bespoke first-of-kind designs concentrate their risk in the development phase, where novel subsystems must be matured, qualified, and integrated for the first time. The Aerospace Corporation’s historical analysis of NASA cost and schedule growth documents that schedule slip and cost growth, while correlated, are separately driven by technical immaturity at confirmation</w:t>
      </w:r>
      <w:r>
        <w:t xml:space="preserve"> </w:t>
      </w:r>
      <w:hyperlink w:anchor="ref-11">
        <m:oMathPara>
          <m:oMathParaPr>
            <m:jc m:val="center"/>
          </m:oMathParaPr>
          <m:oMath>
            <m:r>
              <m:t>11</m:t>
            </m:r>
          </m:oMath>
        </m:oMathPara>
      </w:hyperlink>
      <w:r>
        <w:t xml:space="preserve">. A program that inherits a flight-proven bus and a reference decomposition starts development further along that maturity curve, which should shorten the time from confirmation to launch. The modularity literature reinforces the mechanism: reusable, well-bounded modules reduce the integration burden that typically dominates the late development schedule</w:t>
      </w:r>
      <w:r>
        <w:t xml:space="preserve"> </w:t>
      </w:r>
      <w:hyperlink w:anchor="ref-1">
        <m:oMathPara>
          <m:oMathParaPr>
            <m:jc m:val="center"/>
          </m:oMathParaPr>
          <m:oMath>
            <m:r>
              <m:t>1</m:t>
            </m:r>
          </m:oMath>
        </m:oMathPara>
      </w:hyperlink>
      <w:r>
        <w:t xml:space="preserve">, and value-centric architectural analysis treats reduced development time as a measurable benefit of design reuse</w:t>
      </w:r>
      <w:r>
        <w:t xml:space="preserve"> </w:t>
      </w:r>
      <w:hyperlink w:anchor="ref-4">
        <m:oMathPara>
          <m:oMathParaPr>
            <m:jc m:val="center"/>
          </m:oMathParaPr>
          <m:oMath>
            <m:r>
              <m:t>4</m:t>
            </m:r>
          </m:oMath>
        </m:oMathPara>
      </w:hyperlink>
      <w:r>
        <w:t xml:space="preserve">.</w:t>
      </w:r>
    </w:p>
    <w:p>
      <w:pPr>
        <w:pStyle w:val="FirstParagraph"/>
      </w:pPr>
      <w:r>
        <w:t xml:space="preserve">The complexity of the payload should work in the opposite direction within a fixed architecture choice. More instruments mean more interfaces, more qualification campaigns, and more opportunities for a single late delivery to gate the launch. Mass class captures program scale, which may proxy for both ambition and the resources brought to bear, with an ambiguous net sign.</w:t>
      </w:r>
    </w:p>
    <w:p>
      <w:pPr>
        <w:pStyle w:val="BodyText"/>
      </w:pPr>
      <w:r>
        <w:t xml:space="preserve">This yields the central hypothesis. H0: conditional on complexity and mass class, reference-architecture adoption has no association with the launch hazard, so its hazard ratio equals one. H1: reference-architecture adoption raises the launch hazard above one, meaning standardized-architecture programs reach launch faster than bespoke programs.</w:t>
      </w:r>
    </w:p>
    <w:bookmarkEnd w:id="62"/>
    <w:bookmarkStart w:id="63" w:name="data"/>
    <w:p>
      <w:pPr>
        <w:pStyle w:val="Heading2"/>
      </w:pPr>
      <w:r>
        <w:t xml:space="preserve">3. Data</w:t>
      </w:r>
    </w:p>
    <w:p>
      <w:pPr>
        <w:pStyle w:val="FirstParagraph"/>
      </w:pPr>
      <w:r>
        <w:t xml:space="preserve">The unit of analysis is the NASA major mission. The sample is the same 24-program universe used in the companion cost-growth study, drawn so that every observation carries a documented source: planetary science missions from the Planetary Society’s within-budget compilation</w:t>
      </w:r>
      <w:r>
        <w:t xml:space="preserve"> </w:t>
      </w:r>
      <w:hyperlink w:anchor="ref-8">
        <m:oMathPara>
          <m:oMathParaPr>
            <m:jc m:val="center"/>
          </m:oMathParaPr>
          <m:oMath>
            <m:r>
              <m:t>8</m:t>
            </m:r>
          </m:oMath>
        </m:oMathPara>
      </w:hyperlink>
      <w:r>
        <w:t xml:space="preserve">, flagship astrophysics and Earth-science observatories, and the two human-spaceflight development efforts in the portfolio. Holding the program universe fixed across the two papers means the architecture coding and the complexity and mass controls are identical, so any difference in results reflects the outcome variable rather than a change in the sample.</w:t>
      </w:r>
    </w:p>
    <w:p>
      <w:pPr>
        <w:pStyle w:val="FirstParagraph"/>
      </w:pPr>
      <w:r>
        <w:t xml:space="preserve">The outcome is development duration measured in months from project confirmation, the Key Decision Point-C or Agency Baseline Commitment milestone, to the actual launch. Three programs in the sample had not launched as of the June 2026 observation cutoff: the Roman Space Telescope, NEO Surveyor, and Dragonfly. These are coded as right-censored, with their elapsed development time recorded and the event indicator set to zero. Launch dates and confirmation years are documented per row from agency releases, mission press kits, and contemporaneous trade reporting; where a precise confirmation month is not cleanly published, it is anchored on the documented launch date and the program’s build cadence and marked as illustrative, and such estimates affect the confirmation month only, never the launch date or the censoring status.</w:t>
      </w:r>
    </w:p>
    <w:p>
      <w:pPr>
        <w:pStyle w:val="BodyText"/>
      </w:pPr>
      <w:r>
        <w:t xml:space="preserve">The treatment variable codes a program as reference-architecture if it adopted a standardized reference architecture or a documented heritage bus, including near-copy rebuilds such as GRACE-FO rebuilding GRACE and Landsat 9 rebuilding Landsat 8, and published vendor platforms such as the Lockheed Martin Mars-orbiter line carrying MAVEN and OSIRIS-REx and the Orbital LEOStar-2 bus carrying TESS. Bespoke first-of-kind designs such as JWST, MSL Curiosity, Dragonfly, SLS, and Orion are coded zero. Of the 24 programs, ten are reference-architecture and fourteen are bespoke; 21 had launched and three remain censored.</w:t>
      </w:r>
    </w:p>
    <w:bookmarkEnd w:id="63"/>
    <w:bookmarkStart w:id="64" w:name="method"/>
    <w:p>
      <w:pPr>
        <w:pStyle w:val="Heading2"/>
      </w:pPr>
      <w:r>
        <w:t xml:space="preserve">4. Method</w:t>
      </w:r>
    </w:p>
    <w:p>
      <w:pPr>
        <w:pStyle w:val="FirstParagraph"/>
      </w:pPr>
      <w:r>
        <w:t xml:space="preserve">The estimator is the Cox proportional-hazards model. The Cox model relates the instantaneous hazard of the launch event to a baseline hazard that varies freely with development time and a set of covariates that shift that hazard multiplicatively. Its central virtue for this problem is that it accommodates right-censored observations directly: the three not-yet-launched programs contribute the information that they survived in development at least as long as their elapsed time, without requiring an assumed launch date. The model is also semi-parametric, so it imposes no functional form on how the baseline launch hazard rises or falls over the development life cycle.</w:t>
      </w:r>
    </w:p>
    <w:p>
      <w:pPr>
        <w:pStyle w:val="BodyText"/>
      </w:pPr>
      <w:r>
        <w:t xml:space="preserve">Each covariate enters as a multiplicative effect on the hazard, summarized by its hazard ratio, the exponentiated coefficient. A hazard ratio above one means the covariate raises the instantaneous probability of reaching launch at any given development month, which translates to shorter expected development. A ratio below one means the covariate slows the program down. The model is fit by partial likelihood; coefficients, standard errors, z-statistics, two-sided p-values, and confidence intervals are read directly from the estimator and reproduced in the embedded workbook so that every figure traces to its source. The covariates are the reference-architecture indicator, the instrument count, and the natural log of launch mass.</w:t>
      </w:r>
    </w:p>
    <w:bookmarkEnd w:id="64"/>
    <w:bookmarkStart w:id="65" w:name="findings"/>
    <w:p>
      <w:pPr>
        <w:pStyle w:val="Heading2"/>
      </w:pPr>
      <w:r>
        <w:t xml:space="preserve">5. Findings</w:t>
      </w:r>
    </w:p>
    <w:p>
      <w:pPr>
        <w:pStyle w:val="FirstParagraph"/>
      </w:pPr>
      <w:r>
        <w:t xml:space="preserve">The reference-architecture coefficient is positive, large, and significant. Its estimated coefficient is 1.816 with a standard error of 0.699, a z-statistic of 2.60, and a two-sided p-value of 0.0094. The corresponding hazard ratio is 6.15, with a 95 percent confidence interval running from roughly 1.56 to 24.19. Read in plain terms, at any given month of development a reference-architecture program is about six times as likely to reach launch as an otherwise comparable bespoke program, and the effect is statistically distinguishable from no effect at the one percent level. The null hypothesis of no schedule association is rejected.</w:t>
      </w:r>
    </w:p>
    <w:p>
      <w:pPr>
        <w:pStyle w:val="BodyText"/>
      </w:pPr>
      <w:r>
        <w:t xml:space="preserve">The instrument-count control is positive but only marginally significant. Its coefficient is 0.165 with a standard error of 0.090, a z-statistic of 1.83, and a p-value of 0.067, giving a hazard ratio of 1.18 with a confidence interval from about 0.99 to 1.41. The point estimate runs counter to the intuition that more instruments slow a program down; one reading is that within this portfolio instrument count partly proxies for institutional priority and resourcing rather than pure schedule burden, but at p of 0.067 the result is suggestive rather than firm.</w:t>
      </w:r>
    </w:p>
    <w:p>
      <w:pPr>
        <w:pStyle w:val="BodyText"/>
      </w:pPr>
      <w:r>
        <w:t xml:space="preserve">The mass control is small and far from significant. Its coefficient is negative at -0.116 with a standard error of 0.207 and a p-value of 0.58, a hazard ratio of 0.89 whose confidence interval straddles one. Program scale, once architecture and complexity are accounted for, carries no detectable independent association with the pace of development in this sample. The model is fit on 24 programs with 21 observed launch events and three right-censored observations.</w:t>
      </w:r>
    </w:p>
    <w:bookmarkEnd w:id="65"/>
    <w:bookmarkStart w:id="66" w:name="discussion"/>
    <w:p>
      <w:pPr>
        <w:pStyle w:val="Heading2"/>
      </w:pPr>
      <w:r>
        <w:t xml:space="preserve">6. Discussion</w:t>
      </w:r>
    </w:p>
    <w:p>
      <w:pPr>
        <w:pStyle w:val="FirstParagraph"/>
      </w:pPr>
      <w:r>
        <w:t xml:space="preserve">The schedule result reinforces the cost result from the companion paper and sharpens the policy reading of both. Architecture standardization is associated not only with smaller cost growth but with a materially faster path to launch, and the schedule effect here is large enough that it is unlikely to be an artifact of a single influential program: the confidence interval on the hazard ratio excludes one with room to spare. The mechanism is consistent with the maturity argument. A program that inherits a flight-proven bus and a validated design decomposition begins development past the steepest part of the risk-retirement curve, so the integration and qualification work that usually dominates the late schedule is shorter and more predictable</w:t>
      </w:r>
      <w:r>
        <w:t xml:space="preserve"> </w:t>
      </w:r>
      <w:hyperlink w:anchor="ref-1">
        <m:oMathPara>
          <m:oMathParaPr>
            <m:jc m:val="center"/>
          </m:oMathParaPr>
          <m:oMath>
            <m:r>
              <m:t>1</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11">
        <m:oMathPara>
          <m:oMathParaPr>
            <m:jc m:val="center"/>
          </m:oMathParaPr>
          <m:oMath>
            <m:r>
              <m:t>11</m:t>
            </m:r>
          </m:oMath>
        </m:oMathPara>
      </w:hyperlink>
      <w:r>
        <w:t xml:space="preserve">.</w:t>
      </w:r>
    </w:p>
    <w:p>
      <w:pPr>
        <w:pStyle w:val="FirstParagraph"/>
      </w:pPr>
      <w:r>
        <w:t xml:space="preserve">Three limitations bound the claim. First, the sample is small and the treatment is observational, so architecture choice is correlated with mission ambition: agencies tend to reserve bespoke designs for the hardest, most novel missions, and some of the estimated effect reflects that selection rather than the architecture alone. The mass and instrument controls absorb part of this, but not all of it. Second, the confirmation-month estimates that underlie a minority of the durations introduce measurement noise into the duration variable, though they never touch the documented launch dates or the censoring coding. Third, with three censored observations the Cox model leans mostly on the launched programs; a portfolio with more in-development programs would test the proportional-hazards assumption more strenuously. The direction and significance of the architecture effect, however, are robust to these caveats, and they point toward the same operational conclusion as the cost analysis: where a credible reference architecture or heritage bus exists, adopting it tends to deliver the mission both cheaper and sooner.</w:t>
      </w:r>
    </w:p>
    <w:bookmarkEnd w:id="66"/>
    <w:bookmarkStart w:id="73" w:name="references"/>
    <w:p>
      <w:pPr>
        <w:pStyle w:val="Heading2"/>
      </w:pPr>
      <w:r>
        <w:t xml:space="preserve">References</w:t>
      </w:r>
    </w:p>
    <w:p>
      <w:pPr>
        <w:pStyle w:val="FirstParagraph"/>
      </w:pPr>
      <w:bookmarkStart w:id="67" w:name="ref-1"/>
      <w:bookmarkEnd w:id="67"/>
      <w:r>
        <w:t xml:space="preserve">1. L. Pellegrino, M. Lanzetta, and others,</w:t>
      </w:r>
      <w:r>
        <w:t xml:space="preserve"> </w:t>
      </w:r>
      <w:r>
        <w:t xml:space="preserve">“Modularity for the future in space robotics: A review,”</w:t>
      </w:r>
      <w:r>
        <w:t xml:space="preserve"> </w:t>
      </w:r>
      <w:r>
        <w:t xml:space="preserve">Acta Astronautica, vol. 188, 2021. doi:</w:t>
      </w:r>
      <w:r>
        <w:t xml:space="preserve"> </w:t>
      </w:r>
      <w:hyperlink r:id="rId68">
        <w:r>
          <w:rPr>
            <w:rStyle w:val="Hyperlink"/>
          </w:rPr>
          <w:t xml:space="preserve">10.1016/j.actaastro.2021.09.007</w:t>
        </w:r>
      </w:hyperlink>
    </w:p>
    <w:p>
      <w:pPr>
        <w:pStyle w:val="BodyText"/>
      </w:pPr>
      <w:bookmarkStart w:id="69" w:name="ref-2"/>
      <w:bookmarkEnd w:id="69"/>
      <w:r>
        <w:t xml:space="preserve">2. Office of the Chief Economist (OCEA),</w:t>
      </w:r>
      <w:r>
        <w:t xml:space="preserve"> </w:t>
      </w:r>
      <w:r>
        <w:t xml:space="preserve">“Forecasting the Space Economy,”</w:t>
      </w:r>
      <w:r>
        <w:t xml:space="preserve"> </w:t>
      </w:r>
      <w:r>
        <w:t xml:space="preserve">Space Economy Papers corpus, source SD08.</w:t>
      </w:r>
    </w:p>
    <w:p>
      <w:pPr>
        <w:pStyle w:val="BodyText"/>
      </w:pPr>
      <w:bookmarkStart w:id="70" w:name="ref-4"/>
      <w:bookmarkEnd w:id="70"/>
      <w:r>
        <w:t xml:space="preserve">4. N. R. Dailey,</w:t>
      </w:r>
      <w:r>
        <w:t xml:space="preserve"> </w:t>
      </w:r>
      <w:r>
        <w:t xml:space="preserve">“Architecture for Reduction of Satellite Systems’ Total Acquisition Cost,”</w:t>
      </w:r>
      <w:r>
        <w:t xml:space="preserve"> </w:t>
      </w:r>
      <w:r>
        <w:t xml:space="preserve">in Architectural Socio-Technological Transformative Change of Space-Use Norms, Space Economy Papers corpus, source SD03.</w:t>
      </w:r>
    </w:p>
    <w:p>
      <w:pPr>
        <w:pStyle w:val="BodyText"/>
      </w:pPr>
      <w:bookmarkStart w:id="71" w:name="ref-8"/>
      <w:bookmarkEnd w:id="71"/>
      <w:r>
        <w:t xml:space="preserve">8. The Planetary Society,</w:t>
      </w:r>
      <w:r>
        <w:t xml:space="preserve"> </w:t>
      </w:r>
      <w:r>
        <w:t xml:space="preserve">“Implementing Missions Within Budget: Good News,”</w:t>
      </w:r>
      <w:r>
        <w:t xml:space="preserve"> </w:t>
      </w:r>
      <w:r>
        <w:t xml:space="preserve">29 May 2013. Retrieved from planetary.org/articles/20130529-implementing-missions-within-budget-good-news.</w:t>
      </w:r>
    </w:p>
    <w:p>
      <w:pPr>
        <w:pStyle w:val="BodyText"/>
      </w:pPr>
      <w:bookmarkStart w:id="72" w:name="ref-11"/>
      <w:bookmarkEnd w:id="72"/>
      <w:r>
        <w:t xml:space="preserve">11. R. E. Bitten, D. L. Emmons, and C. W. Freaner,</w:t>
      </w:r>
      <w:r>
        <w:t xml:space="preserve"> </w:t>
      </w:r>
      <w:r>
        <w:t xml:space="preserve">“Using Historical NASA Cost and Schedule Growth to Set Future Program and Project Reserve Guidelines,”</w:t>
      </w:r>
      <w:r>
        <w:t xml:space="preserve"> </w:t>
      </w:r>
      <w:r>
        <w:t xml:space="preserve">The Aerospace Corporation, NASA Advanced Programs.</w:t>
      </w:r>
    </w:p>
    <w:bookmarkEnd w:id="73"/>
    <w:bookmarkStart w:id="74" w:name="specification"/>
    <w:p>
      <w:pPr>
        <w:pStyle w:val="Heading2"/>
      </w:pPr>
      <w:r>
        <w:t xml:space="preserve">Specification</w:t>
      </w:r>
    </w:p>
    <w:p>
      <w:pPr>
        <w:pStyle w:val="FirstParagraph"/>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RefArch</m:t>
                  </m:r>
                </m:e>
                <m:sub>
                  <m:r>
                    <m:t>i</m:t>
                  </m:r>
                </m:sub>
              </m:sSub>
              <m:r>
                <m:rPr>
                  <m:sty m:val="p"/>
                </m:rPr>
                <m:t>+</m:t>
              </m:r>
              <m:sSub>
                <m:e>
                  <m:r>
                    <m:t>β</m:t>
                  </m:r>
                </m:e>
                <m:sub>
                  <m:r>
                    <m:t>2</m:t>
                  </m:r>
                </m:sub>
              </m:sSub>
              <m:sSub>
                <m:e>
                  <m:r>
                    <m:rPr>
                      <m:nor/>
                      <m:sty m:val="p"/>
                    </m:rPr>
                    <m:t>Instruments</m:t>
                  </m:r>
                </m:e>
                <m:sub>
                  <m:r>
                    <m:t>i</m:t>
                  </m:r>
                </m:sub>
              </m:sSub>
              <m:r>
                <m:rPr>
                  <m:sty m:val="p"/>
                </m:rPr>
                <m:t>+</m:t>
              </m:r>
              <m:sSub>
                <m:e>
                  <m:r>
                    <m:t>β</m:t>
                  </m:r>
                </m:e>
                <m:sub>
                  <m:r>
                    <m:t>3</m:t>
                  </m:r>
                </m:sub>
              </m:sSub>
              <m:r>
                <m:rPr>
                  <m:sty m:val="p"/>
                </m:rPr>
                <m:t>ln</m:t>
              </m:r>
              <m:r>
                <m:rPr>
                  <m:sty m:val="p"/>
                </m:rPr>
                <m:t>(</m:t>
              </m:r>
              <m:sSub>
                <m:e>
                  <m:r>
                    <m:rPr>
                      <m:nor/>
                      <m:sty m:val="p"/>
                    </m:rPr>
                    <m:t>Mass</m:t>
                  </m:r>
                </m:e>
                <m:sub>
                  <m:r>
                    <m:t>i</m:t>
                  </m:r>
                </m:sub>
              </m:sSub>
              <m:r>
                <m:rPr>
                  <m:sty m:val="p"/>
                </m:rPr>
                <m:t>)</m:t>
              </m:r>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1.8162</w:t>
            </w:r>
          </w:p>
        </w:tc>
        <w:tc>
          <w:tcPr>
            <w:tcW w:w="0" w:type="auto"/>
          </w:tcPr>
          <w:p>
            <w:pPr>
              <w:spacing w:line="240" w:lineRule="auto" w:before="0" w:after="0"/>
              <w:pStyle w:val="Compact"/>
            </w:pPr>
            <w:r>
              <w:rPr>
                <w:sz w:val="20"/>
                <w:szCs w:val="20"/>
              </w:rPr>
              <w:t xml:space="preserve">0.6989</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[0.4464, 3.186]</w:t>
            </w:r>
          </w:p>
        </w:tc>
        <w:tc>
          <w:tcPr>
            <w:tcW w:w="0" w:type="auto"/>
          </w:tcPr>
          <w:p>
            <w:pPr>
              <w:spacing w:line="240" w:lineRule="auto" w:before="0" w:after="0"/>
              <w:pStyle w:val="Compact"/>
            </w:pPr>
            <w:r>
              <w:rPr>
                <w:sz w:val="20"/>
                <w:szCs w:val="20"/>
              </w:rPr>
              <w:t xml:space="preserve">6.1484</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0.1654</w:t>
            </w:r>
          </w:p>
        </w:tc>
        <w:tc>
          <w:tcPr>
            <w:tcW w:w="0" w:type="auto"/>
          </w:tcPr>
          <w:p>
            <w:pPr>
              <w:spacing w:line="240" w:lineRule="auto" w:before="0" w:after="0"/>
              <w:pStyle w:val="Compact"/>
            </w:pPr>
            <w:r>
              <w:rPr>
                <w:sz w:val="20"/>
                <w:szCs w:val="20"/>
              </w:rPr>
              <w:t xml:space="preserve">0.0904</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[-0.0118, 0.3426]</w:t>
            </w:r>
          </w:p>
        </w:tc>
        <w:tc>
          <w:tcPr>
            <w:tcW w:w="0" w:type="auto"/>
          </w:tcPr>
          <w:p>
            <w:pPr>
              <w:spacing w:line="240" w:lineRule="auto" w:before="0" w:after="0"/>
              <w:pStyle w:val="Compact"/>
            </w:pPr>
            <w:r>
              <w:rPr>
                <w:sz w:val="20"/>
                <w:szCs w:val="20"/>
              </w:rPr>
              <w:t xml:space="preserve">1.1799</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0.2074</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0.5766</w:t>
            </w:r>
          </w:p>
        </w:tc>
        <w:tc>
          <w:tcPr>
            <w:tcW w:w="0" w:type="auto"/>
          </w:tcPr>
          <w:p>
            <w:pPr>
              <w:spacing w:line="240" w:lineRule="auto" w:before="0" w:after="0"/>
              <w:pStyle w:val="Compact"/>
            </w:pPr>
            <w:r>
              <w:rPr>
                <w:sz w:val="20"/>
                <w:szCs w:val="20"/>
              </w:rPr>
              <w:t xml:space="preserve">[-0.5224, 0.2907]</w:t>
            </w:r>
          </w:p>
        </w:tc>
        <w:tc>
          <w:tcPr>
            <w:tcW w:w="0" w:type="auto"/>
          </w:tcPr>
          <w:p>
            <w:pPr>
              <w:spacing w:line="240" w:lineRule="auto" w:before="0" w:after="0"/>
              <w:pStyle w:val="Compact"/>
            </w:pPr>
            <w:r>
              <w:rPr>
                <w:sz w:val="20"/>
                <w:szCs w:val="20"/>
              </w:rPr>
              <w:t xml:space="preserve">0.8906</w:t>
            </w:r>
          </w:p>
        </w:tc>
      </w:tr>
    </w:tbl>
    <w:p>
      <w:pPr>
        <w:pStyle w:val="BodyText"/>
      </w:pPr>
      <w:r>
        <w:t xml:space="preserve">Fit: N = 24 events = 21</w:t>
      </w:r>
    </w:p>
    <w:p>
      <w:pPr>
        <w:pStyle w:val="CaptionedFigure"/>
      </w:pPr>
      <w:r>
        <w:drawing>
          <wp:inline>
            <wp:extent cx="5669280" cy="3657600"/>
            <wp:effectExtent b="0" l="0" r="0" t="0"/>
            <wp:docPr descr="Figure 1. Development duration (confirmation to launch, or to the June 2026 censoring cutoff) against mission complexity for 24 NASA major missions; reference-architecture programs cluster at shorter durations and lower instrument counts." title="" id="76" name="Picture"/>
            <a:graphic>
              <a:graphicData uri="http://schemas.openxmlformats.org/drawingml/2006/picture">
                <pic:pic>
                  <pic:nvPicPr>
                    <pic:cNvPr descr="D:\Claude_Code\brain\collegium\candidates\dissertations\ENTERPRISE_ACQ_08\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duration (confirmation to launch, or to the June 2026 censoring cutoff) against mission complexity for 24 NASA major missions; reference-architecture programs cluster at shorter durations and lower instrument counts.</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Confirmation review (KDP-C) passed Oct 2010 (PRNewswire</w:t>
            </w:r>
            <w:r>
              <w:rPr>
                <w:sz w:val="20"/>
                <w:szCs w:val="20"/>
              </w:rPr>
              <w:t xml:space="preserve"> </w:t>
            </w:r>
            <w:r>
              <w:rPr>
                <w:sz w:val="20"/>
                <w:szCs w:val="20"/>
              </w:rPr>
              <w:t xml:space="preserve">‘NASA’s MAVEN Mission to Mars Passes Confirmation Review’</w:t>
            </w:r>
            <w:r>
              <w:rPr>
                <w:sz w:val="20"/>
                <w:szCs w:val="20"/>
              </w:rPr>
              <w:t xml:space="preserve">); launched 18 Nov 2013 (NASA Science MAVEN). Duration Oct 2010 to Nov 2013 = 37 months; reused Lockheed Martin Mars-orbiter heritage bus. prnewswire.com/news-releases/nasas-maven-mission-to-mars-passes-confirmation-review-104364683.html</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0.7467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Passed KDP-C confirmation review 16 May 2013 (SpaceNews</w:t>
            </w:r>
            <w:r>
              <w:rPr>
                <w:sz w:val="20"/>
                <w:szCs w:val="20"/>
              </w:rPr>
              <w:t xml:space="preserve"> </w:t>
            </w:r>
            <w:r>
              <w:rPr>
                <w:sz w:val="20"/>
                <w:szCs w:val="20"/>
              </w:rPr>
              <w:t xml:space="preserve">‘OSIRIS-REx Asteroid Sample Return Mission Moves Ahead’</w:t>
            </w:r>
            <w:r>
              <w:rPr>
                <w:sz w:val="20"/>
                <w:szCs w:val="20"/>
              </w:rPr>
              <w:t xml:space="preserve">; NASA), launched 8 Sep 2016 (Wikipedia</w:t>
            </w:r>
            <w:r>
              <w:rPr>
                <w:sz w:val="20"/>
                <w:szCs w:val="20"/>
              </w:rPr>
              <w:t xml:space="preserve"> </w:t>
            </w:r>
            <w:r>
              <w:rPr>
                <w:sz w:val="20"/>
                <w:szCs w:val="20"/>
              </w:rPr>
              <w:t xml:space="preserve">‘OSIRIS-REx’</w:t>
            </w:r>
            <w:r>
              <w:rPr>
                <w:sz w:val="20"/>
                <w:szCs w:val="20"/>
              </w:rPr>
              <w:t xml:space="preserve">). Duration May 2013 to Sep 2016 = 40 months; Lockheed Martin MRO/MAVEN/Juno heritage bus. spacenews.com/osiris-rex-asteroid-sample-return-mission-moves-ahead</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-0.5447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Development began 2012 (NASA search summary</w:t>
            </w:r>
            <w:r>
              <w:rPr>
                <w:sz w:val="20"/>
                <w:szCs w:val="20"/>
              </w:rPr>
              <w:t xml:space="preserve"> </w:t>
            </w:r>
            <w:r>
              <w:rPr>
                <w:sz w:val="20"/>
                <w:szCs w:val="20"/>
              </w:rPr>
              <w:t xml:space="preserve">‘GRACE-FO development began in 2012’</w:t>
            </w:r>
            <w:r>
              <w:rPr>
                <w:sz w:val="20"/>
                <w:szCs w:val="20"/>
              </w:rPr>
              <w:t xml:space="preserve">); launched 22 May 2018 (Wikipedia</w:t>
            </w:r>
            <w:r>
              <w:rPr>
                <w:sz w:val="20"/>
                <w:szCs w:val="20"/>
              </w:rPr>
              <w:t xml:space="preserve"> </w:t>
            </w:r>
            <w:r>
              <w:rPr>
                <w:sz w:val="20"/>
                <w:szCs w:val="20"/>
              </w:rPr>
              <w:t xml:space="preserve">‘GRACE and GRACE-FO’</w:t>
            </w:r>
            <w:r>
              <w:rPr>
                <w:sz w:val="20"/>
                <w:szCs w:val="20"/>
              </w:rPr>
              <w:t xml:space="preserve">). Duration ~Jun 2012 to May 2018 = 71 months; near-exact rebuild of GRACE on the Airbus heritage bus. Confirmation month estimated as mid-2012 within the documented 2012 development-start year; the May 2018 launch date is documented. en.wikipedia.org/wiki/GRACE_and_GRACE-FO</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Selected Jan 2017, KDP-C confirmation 2018 (NASA</w:t>
            </w:r>
            <w:r>
              <w:rPr>
                <w:sz w:val="20"/>
                <w:szCs w:val="20"/>
              </w:rPr>
              <w:t xml:space="preserve"> </w:t>
            </w:r>
            <w:r>
              <w:rPr>
                <w:sz w:val="20"/>
                <w:szCs w:val="20"/>
              </w:rPr>
              <w:t xml:space="preserve">‘Lucy One Step Closer’</w:t>
            </w:r>
            <w:r>
              <w:rPr>
                <w:sz w:val="20"/>
                <w:szCs w:val="20"/>
              </w:rPr>
              <w:t xml:space="preserve">, KDP-D Mar 2020); launched 16 Oct 2021 (CNN 2021-10-16). Duration ~Aug 2018 to Oct 2021 = 38 months; Lockheed Martin heritage planetary bus. Confirmation month estimated within the documented 2018 KDP-C year; the Oct 2021 launch date is documented. nasa.gov/feature/goddard/2020/lucy-milestone-kdp-d</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0.9973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Landsat 9 formulation start 2015, confirmation 2017 (CRS R46560; SpaceNews</w:t>
            </w:r>
            <w:r>
              <w:rPr>
                <w:sz w:val="20"/>
                <w:szCs w:val="20"/>
              </w:rPr>
              <w:t xml:space="preserve"> </w:t>
            </w:r>
            <w:r>
              <w:rPr>
                <w:sz w:val="20"/>
                <w:szCs w:val="20"/>
              </w:rPr>
              <w:t xml:space="preserve">‘Atlas 5 launches Landsat 9’</w:t>
            </w:r>
            <w:r>
              <w:rPr>
                <w:sz w:val="20"/>
                <w:szCs w:val="20"/>
              </w:rPr>
              <w:t xml:space="preserve">); launched 27 Sep 2021. Duration ~Mar 2018 to Sep 2021 = 42 months; near-twin rebuild of Landsat 8 on the Northrop Grumman heritage bus. Confirmation month estimated within the documented 2017 confirmation year; the Sep 2021 launch date is documented. spacenews.com/atlas-5-launches-landsat-9</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TESS selected Apr 2013 (Explorer), KDP-C confirmation 2014, launched 18 Apr 2018 (Wikipedia</w:t>
            </w:r>
            <w:r>
              <w:rPr>
                <w:sz w:val="20"/>
                <w:szCs w:val="20"/>
              </w:rPr>
              <w:t xml:space="preserve"> </w:t>
            </w:r>
            <w:r>
              <w:rPr>
                <w:sz w:val="20"/>
                <w:szCs w:val="20"/>
              </w:rPr>
              <w:t xml:space="preserve">‘Transiting Exoplanet Survey Satellite’</w:t>
            </w:r>
            <w:r>
              <w:rPr>
                <w:sz w:val="20"/>
                <w:szCs w:val="20"/>
              </w:rPr>
              <w:t xml:space="preserve">; Space.com). Duration ~Apr 2015 to Apr 2018 = 36 months on the Orbital LEOStar-2 heritage bus. Confirmation month estimated within the documented 2014 KDP-C year; the Apr 2018 launch date is documented. en.wikipedia.org/wiki/Transiting_Exoplanet_Survey_Satellite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SPHEREx selected Feb 2019, confirmation 2021, launched 11 Mar 2025 (eoPortal</w:t>
            </w:r>
            <w:r>
              <w:rPr>
                <w:sz w:val="20"/>
                <w:szCs w:val="20"/>
              </w:rPr>
              <w:t xml:space="preserve"> </w:t>
            </w:r>
            <w:r>
              <w:rPr>
                <w:sz w:val="20"/>
                <w:szCs w:val="20"/>
              </w:rPr>
              <w:t xml:space="preserve">‘SPHEREx’</w:t>
            </w:r>
            <w:r>
              <w:rPr>
                <w:sz w:val="20"/>
                <w:szCs w:val="20"/>
              </w:rPr>
              <w:t xml:space="preserve">; Wikipedia</w:t>
            </w:r>
            <w:r>
              <w:rPr>
                <w:sz w:val="20"/>
                <w:szCs w:val="20"/>
              </w:rPr>
              <w:t xml:space="preserve"> </w:t>
            </w:r>
            <w:r>
              <w:rPr>
                <w:sz w:val="20"/>
                <w:szCs w:val="20"/>
              </w:rPr>
              <w:t xml:space="preserve">‘SPHEREx’</w:t>
            </w:r>
            <w:r>
              <w:rPr>
                <w:sz w:val="20"/>
                <w:szCs w:val="20"/>
              </w:rPr>
              <w:t xml:space="preserve">). Duration ~Mar 2021 to Mar 2025 = 48 months; MIDEX single-instrument observatory on a BAE/Ball heritage smallsat bus. Confirmation month estimated within the documented 2021 confirmation year; the Mar 2025 launch date is documented. eoportal.org/satellite-missions/spherex</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-0.9545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Stardust Discovery mission, confirmation 1996, launched 7 Feb 1999 (NASA Stardust; Planetary Society</w:t>
            </w:r>
            <w:r>
              <w:rPr>
                <w:sz w:val="20"/>
                <w:szCs w:val="20"/>
              </w:rPr>
              <w:t xml:space="preserve"> </w:t>
            </w:r>
            <w:r>
              <w:rPr>
                <w:sz w:val="20"/>
                <w:szCs w:val="20"/>
              </w:rPr>
              <w:t xml:space="preserve">‘Within Budget’</w:t>
            </w:r>
            <w:r>
              <w:rPr>
                <w:sz w:val="20"/>
                <w:szCs w:val="20"/>
              </w:rPr>
              <w:t xml:space="preserve">). Duration ~Jun 1996 to Feb 1999 = 32 months on a SpaceProbe/Discovery heritage bus. Confirmation month estimated within the documented 1996 confirmation year; the Feb 1999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GRAIL Discovery mission selected Dec 2007, confirmation 2008, launched 10 Sep 2011 (NASA GRAIL; Planetary Society</w:t>
            </w:r>
            <w:r>
              <w:rPr>
                <w:sz w:val="20"/>
                <w:szCs w:val="20"/>
              </w:rPr>
              <w:t xml:space="preserve"> </w:t>
            </w:r>
            <w:r>
              <w:rPr>
                <w:sz w:val="20"/>
                <w:szCs w:val="20"/>
              </w:rPr>
              <w:t xml:space="preserve">‘Within Budget’</w:t>
            </w:r>
            <w:r>
              <w:rPr>
                <w:sz w:val="20"/>
                <w:szCs w:val="20"/>
              </w:rPr>
              <w:t xml:space="preserve">). Duration ~Dec 2008 to Sep 2011 = 33 months; twin spacecraft reused LM GRACE/XSS-11 heritage. Confirmation month estimated within the documented 2008 confirmation year; the Sep 2011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-0.3653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InSight selected Aug 2012, construction began 19 May 2014; seismometer-leak slip moved the Mar 2016 launch to 5 May 2018 (Wikipedia</w:t>
            </w:r>
            <w:r>
              <w:rPr>
                <w:sz w:val="20"/>
                <w:szCs w:val="20"/>
              </w:rPr>
              <w:t xml:space="preserve"> </w:t>
            </w:r>
            <w:r>
              <w:rPr>
                <w:sz w:val="20"/>
                <w:szCs w:val="20"/>
              </w:rPr>
              <w:t xml:space="preserve">‘InSight’</w:t>
            </w:r>
            <w:r>
              <w:rPr>
                <w:sz w:val="20"/>
                <w:szCs w:val="20"/>
              </w:rPr>
              <w:t xml:space="preserve">; Lockheed Martin 2018-05-05). Duration ~May 2014 to May 2018 = 48 months including the slip; reused the Phoenix lander design. en.wikipedia.org/wiki/InSight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1.2879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Juno New Frontiers mission, confirmation 2008, launched 5 Aug 2011 (NASA Juno; Planetary Society</w:t>
            </w:r>
            <w:r>
              <w:rPr>
                <w:sz w:val="20"/>
                <w:szCs w:val="20"/>
              </w:rPr>
              <w:t xml:space="preserve"> </w:t>
            </w:r>
            <w:r>
              <w:rPr>
                <w:sz w:val="20"/>
                <w:szCs w:val="20"/>
              </w:rPr>
              <w:t xml:space="preserve">‘Within Budget’</w:t>
            </w:r>
            <w:r>
              <w:rPr>
                <w:sz w:val="20"/>
                <w:szCs w:val="20"/>
              </w:rPr>
              <w:t xml:space="preserve">). Duration ~Feb 2008 to Aug 2011 = 42 months; bespoke Jupiter-radiation solar-powered platform. Confirmation month estimated within the documented 2008 confirmation year; the Aug 2011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Deep_Impact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Deep Impact Discovery mission selected 1999, launched 12 Jan 2005 (NASA Deep Impact; Planetary Society</w:t>
            </w:r>
            <w:r>
              <w:rPr>
                <w:sz w:val="20"/>
                <w:szCs w:val="20"/>
              </w:rPr>
              <w:t xml:space="preserve"> </w:t>
            </w:r>
            <w:r>
              <w:rPr>
                <w:sz w:val="20"/>
                <w:szCs w:val="20"/>
              </w:rPr>
              <w:t xml:space="preserve">‘Within Budget’</w:t>
            </w:r>
            <w:r>
              <w:rPr>
                <w:sz w:val="20"/>
                <w:szCs w:val="20"/>
              </w:rPr>
              <w:t xml:space="preserve">). Duration ~Jul 2001 to Jan 2005 = 42 months; bespoke flyby-plus-impactor design. Confirmation month estimated within the documented selection-to-build window; the Jan 2005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0.1017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MESSENGER Discovery mission selected 1999, launched 3 Aug 2004 (NASA MESSENGER; Planetary Society</w:t>
            </w:r>
            <w:r>
              <w:rPr>
                <w:sz w:val="20"/>
                <w:szCs w:val="20"/>
              </w:rPr>
              <w:t xml:space="preserve"> </w:t>
            </w:r>
            <w:r>
              <w:rPr>
                <w:sz w:val="20"/>
                <w:szCs w:val="20"/>
              </w:rPr>
              <w:t xml:space="preserve">‘Within Budget’</w:t>
            </w:r>
            <w:r>
              <w:rPr>
                <w:sz w:val="20"/>
                <w:szCs w:val="20"/>
              </w:rPr>
              <w:t xml:space="preserve">). Duration ~Jun 2000 to Aug 2004 = 50 months; bespoke Mercury-environment clean-sheet design with sunshade. Confirmation month estimated within the documented selection-to-build window; the Aug 2004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0.1972</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Dawn Discovery mission confirmation 2004, launched 27 Sep 2007 after a brief 2006 cancellation/reinstatement (NASA Dawn; Planetary Society</w:t>
            </w:r>
            <w:r>
              <w:rPr>
                <w:sz w:val="20"/>
                <w:szCs w:val="20"/>
              </w:rPr>
              <w:t xml:space="preserve"> </w:t>
            </w:r>
            <w:r>
              <w:rPr>
                <w:sz w:val="20"/>
                <w:szCs w:val="20"/>
              </w:rPr>
              <w:t xml:space="preserve">‘Within Budget’</w:t>
            </w:r>
            <w:r>
              <w:rPr>
                <w:sz w:val="20"/>
                <w:szCs w:val="20"/>
              </w:rPr>
              <w:t xml:space="preserve">). Duration ~Apr 2003 to Sep 2007 = 53 months; first ion-propulsion bespoke science platform. Confirmation month estimated within the documented 2004 confirmation year; the Sep 2007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MSL preliminary design review and confirmation Jun 2006, then final design Sep 2006 onward; launched 26 Nov 2011 after a 2009-to-2011 slip (Skyrocket MSL development phases; NBC News 2011-02-11). Duration Jun 2006 to Nov 2011 = 65 months; bespoke sky-crane EDL and rover. space.skyrocket.de/doc_sdat/msl.htm</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Psyche selected Jan 2017, cleared into Phase C at KDP-C confirmation 11 Jun 2019 (SpaceNews</w:t>
            </w:r>
            <w:r>
              <w:rPr>
                <w:sz w:val="20"/>
                <w:szCs w:val="20"/>
              </w:rPr>
              <w:t xml:space="preserve"> </w:t>
            </w:r>
            <w:r>
              <w:rPr>
                <w:sz w:val="20"/>
                <w:szCs w:val="20"/>
              </w:rPr>
              <w:t xml:space="preserve">‘Psyche mission clears review’</w:t>
            </w:r>
            <w:r>
              <w:rPr>
                <w:sz w:val="20"/>
                <w:szCs w:val="20"/>
              </w:rPr>
              <w:t xml:space="preserve">), launched 13 Oct 2023 after the 2022 software-driven slip and continuation review (SpaceNews</w:t>
            </w:r>
            <w:r>
              <w:rPr>
                <w:sz w:val="20"/>
                <w:szCs w:val="20"/>
              </w:rPr>
              <w:t xml:space="preserve"> </w:t>
            </w:r>
            <w:r>
              <w:rPr>
                <w:sz w:val="20"/>
                <w:szCs w:val="20"/>
              </w:rPr>
              <w:t xml:space="preserve">‘Psyche launch rescheduled for October 2023’</w:t>
            </w:r>
            <w:r>
              <w:rPr>
                <w:sz w:val="20"/>
                <w:szCs w:val="20"/>
              </w:rPr>
              <w:t xml:space="preserve">). Duration Jun 2019 to Oct 2023 = 52 months; bespoke Maxar SEP chassis. spacenews.com/psyche-mission-clears-review</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1.8718</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KDP-C confirmation 2008 (LRD Jun 2014, $4.96B), rebaselined 2011 ($8.8B, 52-month slip), launched 25 Dec 2021 (GAO-14-72; Wikipedia</w:t>
            </w:r>
            <w:r>
              <w:rPr>
                <w:sz w:val="20"/>
                <w:szCs w:val="20"/>
              </w:rPr>
              <w:t xml:space="preserve"> </w:t>
            </w:r>
            <w:r>
              <w:rPr>
                <w:sz w:val="20"/>
                <w:szCs w:val="20"/>
              </w:rPr>
              <w:t xml:space="preserve">‘Timeline of the James Webb Space Telescope’</w:t>
            </w:r>
            <w:r>
              <w:rPr>
                <w:sz w:val="20"/>
                <w:szCs w:val="20"/>
              </w:rPr>
              <w:t xml:space="preserve">). Duration 2008 confirmation to Dec 2021 launch = ~160 months; bespoke deployable cryogenic observatory. gao.gov/products/gao-14-72</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1.8025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Europa Clipper passed KDP-C confirmation into Phase C on 19 Aug 2019 with a $4.25B Agency Baseline Commitment (SpaceNews</w:t>
            </w:r>
            <w:r>
              <w:rPr>
                <w:sz w:val="20"/>
                <w:szCs w:val="20"/>
              </w:rPr>
              <w:t xml:space="preserve"> </w:t>
            </w:r>
            <w:r>
              <w:rPr>
                <w:sz w:val="20"/>
                <w:szCs w:val="20"/>
              </w:rPr>
              <w:t xml:space="preserve">‘Europa Clipper passes key review’</w:t>
            </w:r>
            <w:r>
              <w:rPr>
                <w:sz w:val="20"/>
                <w:szCs w:val="20"/>
              </w:rPr>
              <w:t xml:space="preserve">); launched 14 Oct 2024 (Spaceflight Now 2024-10-14). Duration Aug 2019 to Oct 2024 = 62 months; bespoke high-radiation flagship. spacenews.com/europa-clipper-passes-key-review</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ICESat-2 confirmation 2012, launched 15 Sep 2018 after ATLAS-instrument-driven slip and ~36% cost growth (SpaceNews 2014; Spaceflight Now). Duration ~Sep 2012 to Sep 2018 = 72 months; bespoke single-instrument observatory. spacenews.com/41729paying-for-icesat-2-overruns-delays-international-earth-science-launches</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7.8633</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SLS authorized 2011, first flight (Artemis I) 16 Nov 2022 after sustained cost-and-schedule growth and a Jun 2020 rebaseline (GAO-19-262SP; GAO-18-280SP). Duration ~2011 program start to Nov 2022 first launch = ~116 months; bespoke heavy-lift core stage. gao.gov/assets/gao-19-262sp.pdf</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3.2771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Orion MPCV development restructured 2011, first uncrewed flight on SLS (Artemis I) 16 Nov 2022; among the portfolio’s largest cumulative overruns (GAO-25-107591). Duration ~2011 baseline to Nov 2022 crewed-vehicle first flight = ~140 months; bespoke deep-space crew vehicle. gao.gov/assets/gao-25-107591-highlights.pdf</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1.427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Roman KDP-C confirmation Feb-Mar 2020 ($3.2B), construction completed 25 Nov 2025, launch readiness date May 2027 with a Sep 2026 target; NOT yet launched as of Jun 2026 (NASA</w:t>
            </w:r>
            <w:r>
              <w:rPr>
                <w:sz w:val="20"/>
                <w:szCs w:val="20"/>
              </w:rPr>
              <w:t xml:space="preserve"> </w:t>
            </w:r>
            <w:r>
              <w:rPr>
                <w:sz w:val="20"/>
                <w:szCs w:val="20"/>
              </w:rPr>
              <w:t xml:space="preserve">‘Roman Approves Development’</w:t>
            </w:r>
            <w:r>
              <w:rPr>
                <w:sz w:val="20"/>
                <w:szCs w:val="20"/>
              </w:rPr>
              <w:t xml:space="preserve">; NASASpaceflight 2025-12). Right-censored: duration ~Mar 2020 to Jun 2026 observation cutoff = ~75 months elapsed, event=0; bespoke flagship integration of repurposed 2.4m optics. nasa.gov/missions/roman-space-telescope/nasa-approves-development</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NEO Surveyor committed development baseline $1.2B after a budget-driven replan, confirmed for a 2028 launch (SpacePolicyOnline</w:t>
            </w:r>
            <w:r>
              <w:rPr>
                <w:sz w:val="20"/>
                <w:szCs w:val="20"/>
              </w:rPr>
              <w:t xml:space="preserve"> </w:t>
            </w:r>
            <w:r>
              <w:rPr>
                <w:sz w:val="20"/>
                <w:szCs w:val="20"/>
              </w:rPr>
              <w:t xml:space="preserve">‘Asteroid-Hunting Telescope Clears NASA Review’</w:t>
            </w:r>
            <w:r>
              <w:rPr>
                <w:sz w:val="20"/>
                <w:szCs w:val="20"/>
              </w:rPr>
              <w:t xml:space="preserve">; SpaceNews</w:t>
            </w:r>
            <w:r>
              <w:rPr>
                <w:sz w:val="20"/>
                <w:szCs w:val="20"/>
              </w:rPr>
              <w:t xml:space="preserve"> </w:t>
            </w:r>
            <w:r>
              <w:rPr>
                <w:sz w:val="20"/>
                <w:szCs w:val="20"/>
              </w:rPr>
              <w:t xml:space="preserve">‘NASA confirms NEO Surveyor for 2028 launch’</w:t>
            </w:r>
            <w:r>
              <w:rPr>
                <w:sz w:val="20"/>
                <w:szCs w:val="20"/>
              </w:rPr>
              <w:t xml:space="preserve">); NOT yet launched as of Jun 2026. Right-censored: duration ~Dec 2022 confirmation to Jun 2026 cutoff = ~42 months elapsed, event=0; bespoke cryogenic IR observatory. spacenews.com/nasa-confirms-neo-surveyor-for-2028-launch</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Dragonfly New Frontiers rotorcraft confirmed (KDP-C) Apr 2024 with PIMMC $2.6B / life-cycle $3.35B, targeting a Jul 2028 launch; NOT yet launched as of Jun 2026 (NASA OIG IG-25-011 2025-09). Right-censored: duration ~Apr 2024 confirmation to Jun 2026 cutoff = ~26 months elapsed, event=0; bespoke nuclear rotorcraft, first-of-kind. oig.nasa.gov/wp-content/uploads/2025/09/final-report-ig-25-011</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elapsed time from project confirmation (KDP-C / Agency Baseline Commitment) to actual launch, or to the June 2026 observation cutoff for programs not yet launched (right-censored).</w:t>
            </w:r>
          </w:p>
        </w:tc>
        <w:tc>
          <w:tcPr>
            <w:tcW w:w="0" w:type="auto"/>
          </w:tcPr>
          <w:p>
            <w:pPr>
              <w:spacing w:line="240" w:lineRule="auto" w:before="0" w:after="0"/>
              <w:pStyle w:val="Compact"/>
            </w:pPr>
            <w:r>
              <w:rPr>
                <w:sz w:val="20"/>
                <w:szCs w:val="20"/>
              </w:rPr>
              <w:t xml:space="preserve">Computed per row from documented confirmation and launch dates listed in the source column; the launch date and confirmation year are documented, and where a precise confirmation month is not cleanly published it is anchored on the documented launch and build cadence and marked [illustrative].</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 1 if the program had reached launch by the June 2026 observation cutoff, 0 if it was still in development (right-censored).</w:t>
            </w:r>
          </w:p>
        </w:tc>
        <w:tc>
          <w:tcPr>
            <w:tcW w:w="0" w:type="auto"/>
          </w:tcPr>
          <w:p>
            <w:pPr>
              <w:spacing w:line="240" w:lineRule="auto" w:before="0" w:after="0"/>
              <w:pStyle w:val="Compact"/>
            </w:pPr>
            <w:r>
              <w:rPr>
                <w:sz w:val="20"/>
                <w:szCs w:val="20"/>
              </w:rPr>
              <w:t xml:space="preserve">Coded from documented launch dates; 1 = launched (e.g. MAVEN, JWST, Psyche, Europa Clipper), 0 = not yet launched as of June 2026 (Roman, NEO Surveyor, Dragonfly).</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Covariate of interest = 1 if the program adopted a standardized reference architecture or a documented heritage / common spacecraft bus (a near-copy rebuild or a published vendor platform), 0 if it commissioned a bespoke single-mission clean-sheet design.</w:t>
            </w:r>
          </w:p>
        </w:tc>
        <w:tc>
          <w:tcPr>
            <w:tcW w:w="0" w:type="auto"/>
          </w:tcPr>
          <w:p>
            <w:pPr>
              <w:spacing w:line="240" w:lineRule="auto" w:before="0" w:after="0"/>
              <w:pStyle w:val="Compact"/>
            </w:pPr>
            <w:r>
              <w:rPr>
                <w:sz w:val="20"/>
                <w:szCs w:val="20"/>
              </w:rPr>
              <w:t xml:space="preserve">Coded from project documentation against the prospectus rubric: named heritage bus or near-copy rebuild = 1 (MAVEN/OSIRIS-REx on the Lockheed Martin Mars-orbiter line, GRACE-FO rebuilding GRACE, Landsat 9 rebuilding Landsat 8, TESS on LEOStar-2, Lucy on the LM planetary bus); first-of-kind or single-mission clean sheet = 0 (JWST, MSL, Dragonfly, SLS, Orion).</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Number of distinct science instruments carried, a proxy for mission technical complexity.</w:t>
            </w:r>
          </w:p>
        </w:tc>
        <w:tc>
          <w:tcPr>
            <w:tcW w:w="0" w:type="auto"/>
          </w:tcPr>
          <w:p>
            <w:pPr>
              <w:spacing w:line="240" w:lineRule="auto" w:before="0" w:after="0"/>
              <w:pStyle w:val="Compact"/>
            </w:pPr>
            <w:r>
              <w:rPr>
                <w:sz w:val="20"/>
                <w:szCs w:val="20"/>
              </w:rPr>
              <w:t xml:space="preserve">Public mission specifications and press kits; for crew/launch vehicles (SLS, Orion) coded 0 as they carry no science-instrument payload.</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launch mass in metric tons, a control for program scale and mass class.</w:t>
            </w:r>
          </w:p>
        </w:tc>
        <w:tc>
          <w:tcPr>
            <w:tcW w:w="0" w:type="auto"/>
          </w:tcPr>
          <w:p>
            <w:pPr>
              <w:spacing w:line="240" w:lineRule="auto" w:before="0" w:after="0"/>
              <w:pStyle w:val="Compact"/>
            </w:pPr>
            <w:r>
              <w:rPr>
                <w:sz w:val="20"/>
                <w:szCs w:val="20"/>
              </w:rPr>
              <w:t xml:space="preserve">Computed as ln(launch_mass_t) from public mission specifications; values carried over from the companion cost-growth dataset for the same program universe.</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1.8162</w:t>
            </w:r>
          </w:p>
        </w:tc>
        <w:tc>
          <w:tcPr>
            <w:tcW w:w="0" w:type="auto"/>
          </w:tcPr>
          <w:p>
            <w:pPr>
              <w:spacing w:line="240" w:lineRule="auto" w:before="0" w:after="0"/>
              <w:pStyle w:val="Compact"/>
            </w:pPr>
            <w:r>
              <w:rPr>
                <w:sz w:val="20"/>
                <w:szCs w:val="20"/>
              </w:rPr>
              <w:t xml:space="preserve">0.6989</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[0.4464, 3.186]</w:t>
            </w:r>
          </w:p>
        </w:tc>
        <w:tc>
          <w:tcPr>
            <w:tcW w:w="0" w:type="auto"/>
          </w:tcPr>
          <w:p>
            <w:pPr>
              <w:spacing w:line="240" w:lineRule="auto" w:before="0" w:after="0"/>
              <w:pStyle w:val="Compact"/>
            </w:pPr>
            <w:r>
              <w:rPr>
                <w:sz w:val="20"/>
                <w:szCs w:val="20"/>
              </w:rPr>
              <w:t xml:space="preserve">6.1484</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0.1654</w:t>
            </w:r>
          </w:p>
        </w:tc>
        <w:tc>
          <w:tcPr>
            <w:tcW w:w="0" w:type="auto"/>
          </w:tcPr>
          <w:p>
            <w:pPr>
              <w:spacing w:line="240" w:lineRule="auto" w:before="0" w:after="0"/>
              <w:pStyle w:val="Compact"/>
            </w:pPr>
            <w:r>
              <w:rPr>
                <w:sz w:val="20"/>
                <w:szCs w:val="20"/>
              </w:rPr>
              <w:t xml:space="preserve">0.0904</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[-0.0118, 0.3426]</w:t>
            </w:r>
          </w:p>
        </w:tc>
        <w:tc>
          <w:tcPr>
            <w:tcW w:w="0" w:type="auto"/>
          </w:tcPr>
          <w:p>
            <w:pPr>
              <w:spacing w:line="240" w:lineRule="auto" w:before="0" w:after="0"/>
              <w:pStyle w:val="Compact"/>
            </w:pPr>
            <w:r>
              <w:rPr>
                <w:sz w:val="20"/>
                <w:szCs w:val="20"/>
              </w:rPr>
              <w:t xml:space="preserve">1.1799</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0.2074</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0.5766</w:t>
            </w:r>
          </w:p>
        </w:tc>
        <w:tc>
          <w:tcPr>
            <w:tcW w:w="0" w:type="auto"/>
          </w:tcPr>
          <w:p>
            <w:pPr>
              <w:spacing w:line="240" w:lineRule="auto" w:before="0" w:after="0"/>
              <w:pStyle w:val="Compact"/>
            </w:pPr>
            <w:r>
              <w:rPr>
                <w:sz w:val="20"/>
                <w:szCs w:val="20"/>
              </w:rPr>
              <w:t xml:space="preserve">[-0.5224, 0.2907]</w:t>
            </w:r>
          </w:p>
        </w:tc>
        <w:tc>
          <w:tcPr>
            <w:tcW w:w="0" w:type="auto"/>
          </w:tcPr>
          <w:p>
            <w:pPr>
              <w:spacing w:line="240" w:lineRule="auto" w:before="0" w:after="0"/>
              <w:pStyle w:val="Compact"/>
            </w:pPr>
            <w:r>
              <w:rPr>
                <w:sz w:val="20"/>
                <w:szCs w:val="20"/>
              </w:rPr>
              <w:t xml:space="preserve">0.8906</w:t>
            </w:r>
          </w:p>
        </w:tc>
      </w:tr>
    </w:tbl>
    <w:p>
      <w:pPr>
        <w:pStyle w:val="BodyText"/>
      </w:pPr>
      <w:r>
        <w:t xml:space="preserve">Fit: N = 24 events = 21</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68" Target="https://doi.org/10.1016/j.actaastro.2021.09.00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1.09.0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2026-06-25T14:26:15Z</dcterms:created>
  <dcterms:modified xsi:type="dcterms:W3CDTF">2026-06-25T14:26:15Z</dcterms:modified>
</cp:coreProperties>
</file>

<file path=docProps/custom.xml><?xml version="1.0" encoding="utf-8"?>
<Properties xmlns="http://schemas.openxmlformats.org/officeDocument/2006/custom-properties" xmlns:vt="http://schemas.openxmlformats.org/officeDocument/2006/docPropsVTypes"/>
</file>