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23fcf58ad5642d80d2ec84c748e2f8eeddc989b"/>
    <w:p>
      <w:pPr>
        <w:pStyle w:val="Heading1"/>
      </w:pPr>
      <w:r>
        <w:t xml:space="preserve">Architecture Standardization and Realized Cost Growth: A Cross-Program Test on NASA Major Missions</w:t>
      </w:r>
    </w:p>
    <w:bookmarkStart w:id="61" w:name="introduction"/>
    <w:p>
      <w:pPr>
        <w:pStyle w:val="Heading2"/>
      </w:pPr>
      <w:r>
        <w:t xml:space="preserve">1. Introduction</w:t>
      </w:r>
    </w:p>
    <w:p>
      <w:pPr>
        <w:pStyle w:val="FirstParagraph"/>
      </w:pPr>
      <w:r>
        <w:t xml:space="preserve">Program managers in civil space face an architecture choice early in a mission’s life, before requirements harden and reserves are committed. They can adopt a standardized reference architecture, meaning a heritage spacecraft bus, a near-copy rebuild, or a published vendor platform, or they can commission a bespoke clean-sheet design tailored to a single mission. The standardization case rests on design reuse, economies of scale, and reduced pre-acquisition uncertainty</w:t>
      </w:r>
      <w:r>
        <w:t xml:space="preserve"> </w:t>
      </w:r>
      <w:hyperlink w:anchor="ref-4">
        <m:oMathPara>
          <m:oMathParaPr>
            <m:jc m:val="center"/>
          </m:oMathParaPr>
          <m:oMath>
            <m:r>
              <m:t>4</m:t>
            </m:r>
          </m:oMath>
        </m:oMathPara>
      </w:hyperlink>
      <w:r>
        <w:t xml:space="preserve">[2][3]. The bespoke case rests on requirements fit and on the avoidance of integration penalties when a mission strains a fixed envelope. The execution-management literature has framed this choice as a qualitative tradeoff. It has not measured it.</w:t>
      </w:r>
    </w:p>
    <w:p>
      <w:pPr>
        <w:pStyle w:val="FirstParagraph"/>
      </w:pPr>
      <w:r>
        <w:t xml:space="preserve">This paper measures it. The dependent variable is realized development cost growth, the gap between the cost a program commits to at confirmation and the cost it realizes at launch. That gap consumes contingency, displaces other missions in a portfolio, and triggers the rebaselining and congressional reporting that define a troubled program. The single contribution is an estimate of the conditional difference in cost growth between standardized and bespoke programs, holding mission complexity and mass class constant. The result is a signed, sized coefficient with an uncertainty interval where the field has previously offered only an architectural prior.</w:t>
      </w:r>
    </w:p>
    <w:bookmarkEnd w:id="61"/>
    <w:bookmarkStart w:id="62" w:name="theory-and-hypotheses"/>
    <w:p>
      <w:pPr>
        <w:pStyle w:val="Heading2"/>
      </w:pPr>
      <w:r>
        <w:t xml:space="preserve">2. Theory and Hypotheses</w:t>
      </w:r>
    </w:p>
    <w:p>
      <w:pPr>
        <w:pStyle w:val="FirstParagraph"/>
      </w:pPr>
      <w:r>
        <w:t xml:space="preserve">The standardization argument is economic and engineering at once. As reuse rises across a platform, design effort and integration effort fall because heritage subsystems and a fixed integration surface remove work that a clean sheet would have to repeat</w:t>
      </w:r>
      <w:r>
        <w:t xml:space="preserve"> </w:t>
      </w:r>
      <w:hyperlink w:anchor="ref-1">
        <m:oMathPara>
          <m:oMathParaPr>
            <m:jc m:val="center"/>
          </m:oMathParaPr>
          <m:oMath>
            <m:r>
              <m:t>1</m:t>
            </m:r>
          </m:oMath>
        </m:oMathPara>
      </w:hyperlink>
      <w:r>
        <w:t xml:space="preserve">. The Architecture for Reduction of Satellite Systems’ Total Acquisition Cost frames the same logic at the program level, treating pre-acquisition architecture investment as a driver of total acquisition cost across the lifecycle</w:t>
      </w:r>
      <w:r>
        <w:t xml:space="preserve"> </w:t>
      </w:r>
      <w:hyperlink w:anchor="ref-4">
        <m:oMathPara>
          <m:oMathParaPr>
            <m:jc m:val="center"/>
          </m:oMathParaPr>
          <m:oMath>
            <m:r>
              <m:t>4</m:t>
            </m:r>
          </m:oMath>
        </m:oMathPara>
      </w:hyperlink>
      <w:r>
        <w:t xml:space="preserve">. The economic literature places this inside a broader trajectory in which economies of scale in spacecraft production and launch operations lower costs</w:t>
      </w:r>
      <w:r>
        <w:t xml:space="preserve"> </w:t>
      </w:r>
      <w:hyperlink w:anchor="ref-2">
        <m:oMathPara>
          <m:oMathParaPr>
            <m:jc m:val="center"/>
          </m:oMathParaPr>
          <m:oMath>
            <m:r>
              <m:t>2</m:t>
            </m:r>
          </m:oMath>
        </m:oMathPara>
      </w:hyperlink>
      <w:r>
        <w:t xml:space="preserve">, a pattern that has characterized commercial space activity throughout its history</w:t>
      </w:r>
      <w:r>
        <w:t xml:space="preserve"> </w:t>
      </w:r>
      <w:hyperlink w:anchor="ref-7">
        <m:oMathPara>
          <m:oMathParaPr>
            <m:jc m:val="center"/>
          </m:oMathParaPr>
          <m:oMath>
            <m:r>
              <m:t>7</m:t>
            </m:r>
          </m:oMath>
        </m:oMathPara>
      </w:hyperlink>
      <w:r>
        <w:t xml:space="preserve"> </w:t>
      </w:r>
      <w:r>
        <w:t xml:space="preserve">and that rising launch cadence and reuse continue to extend</w:t>
      </w:r>
      <w:r>
        <w:t xml:space="preserve"> </w:t>
      </w:r>
      <w:hyperlink w:anchor="ref-3">
        <m:oMathPara>
          <m:oMathParaPr>
            <m:jc m:val="center"/>
          </m:oMathParaPr>
          <m:oMath>
            <m:r>
              <m:t>3</m:t>
            </m:r>
          </m:oMath>
        </m:oMathPara>
      </w:hyperlink>
      <w:r>
        <w:t xml:space="preserve">.</w:t>
      </w:r>
    </w:p>
    <w:p>
      <w:pPr>
        <w:pStyle w:val="FirstParagraph"/>
      </w:pPr>
      <w:r>
        <w:t xml:space="preserve">The bespoke counter-argument is that a fixed reference envelope is a constraint, and constraints have a price. When a mission’s pointing, power, thermal, or payload-accommodation needs exceed what a reference bus was scoped for, the program pays an integration penalty that a clean-sheet design would have avoided. If that penalty is large and common, the reuse saving can be eroded or reversed once complexity is held constant.</w:t>
      </w:r>
    </w:p>
    <w:p>
      <w:pPr>
        <w:pStyle w:val="BodyText"/>
      </w:pPr>
      <w:r>
        <w:t xml:space="preserve">The hypotheses follow directly and are falsifiable in both directions.</w:t>
      </w:r>
    </w:p>
    <w:p>
      <w:pPr>
        <w:pStyle w:val="BodyText"/>
      </w:pPr>
      <w:r>
        <w:t xml:space="preserve">H0, the null, holds that conditional on complexity and mass class the mean cost growth of reference-architecture programs equals that of bespoke programs, so the standardization coefficient is zero.</w:t>
      </w:r>
    </w:p>
    <w:p>
      <w:pPr>
        <w:pStyle w:val="BodyText"/>
      </w:pPr>
      <w:r>
        <w:t xml:space="preserve">H1, the alternative, holds that conditional on the same controls reference-architecture programs exhibit lower mean cost growth, so the standardization coefficient is negative. A null or positive coefficient would refute the standardization prior at the program level and would constitute evidence that integration penalties offset reuse savings.</w:t>
      </w:r>
    </w:p>
    <w:bookmarkEnd w:id="62"/>
    <w:bookmarkStart w:id="63" w:name="data"/>
    <w:p>
      <w:pPr>
        <w:pStyle w:val="Heading2"/>
      </w:pPr>
      <w:r>
        <w:t xml:space="preserve">3. Data</w:t>
      </w:r>
    </w:p>
    <w:p>
      <w:pPr>
        <w:pStyle w:val="FirstParagraph"/>
      </w:pPr>
      <w:r>
        <w:t xml:space="preserve">The unit of observation is a NASA major mission with a documented development cost baseline at confirmation and a documented final or current development cost. The sample is twenty-four missions spanning the Science Mission Directorate (planetary, astrophysics, and Earth science) and the Exploration Systems Development Mission Directorate, drawn from completed and late-stage programs from the 1999 Stardust launch through the 2025 portfolio.</w:t>
      </w:r>
    </w:p>
    <w:p>
      <w:pPr>
        <w:pStyle w:val="BodyText"/>
      </w:pPr>
      <w:r>
        <w:t xml:space="preserve">The dependent variable, realized development cost growth in percent, is computed for each mission as one hundred times the ratio of final or current development cost to baseline development cost, minus one. Where a published source reports the percent directly, that figure is used. The Planetary Society’s reconstruction of confirmation-to-final cost for the competed planetary set supplies the within-budget benchmarks, including Stardust at plus 1.5 percent, GRAIL at minus 1.8 percent, Juno and MAVEN at zero, against MESSENGER at plus 34.6 percent, Dawn at plus 24.7 percent, and Deep Impact at plus 19.1 percent. Flagship and recent figures are taken from the Government Accountability Office assessments of major projects, NASA Office of Inspector General audits, and primary NASA confirmation announcements: the James Webb Space Telescope baseline of about 4.96 billion dollars rebaselined to 8.8 billion, the Mars Science Laboratory baseline of 1.6 billion growing to 2.5 billion, Dragonfly baselined in April 2024 at a 2.6 billion dollar project cost after roughly 640 million in Phase B growth, Europa Clipper’s Agency Baseline Commitment of 4.25 billion moving toward 5 billion, and ICESat-2 growing about 36 percent over its 2012 baseline. Each row in the workbook carries its own source.</w:t>
      </w:r>
    </w:p>
    <w:p>
      <w:pPr>
        <w:pStyle w:val="BodyText"/>
      </w:pPr>
      <w:r>
        <w:t xml:space="preserve">The treatment indicator equals one when a program adopted a standardized reference architecture or a documented heritage bus, coded against the prospectus rubric of a named heritage bus or near-copy rebuild, and zero for a first-of-kind or single-mission clean sheet. MAVEN and OSIRIS-REx on the Lockheed Martin Mars-orbiter heritage line, GRACE-FO rebuilding GRACE, Landsat 9 rebuilding Landsat 8, TESS on the LEOStar-2 bus, and Lucy on a Lockheed Martin planetary bus are coded as standardized. JWST, the Mars Science Laboratory, Dragonfly, the Space Launch System, and Orion are coded as bespoke. Ten missions are standardized and fourteen are bespoke. Two controls enter the model: the number of distinct science instruments as a proxy for technical complexity, and the natural log of launch mass in metric tons as a proxy for program scale and mass class.</w:t>
      </w:r>
    </w:p>
    <w:p>
      <w:pPr>
        <w:pStyle w:val="BodyText"/>
      </w:pPr>
      <w:r>
        <w:t xml:space="preserve">One value, the SPHEREx baseline, is marked illustrative in the workbook because its confirmation baseline was estimated from the class cost cap while its final cost is documented; the remaining twenty-three rows rest on documented baseline and final figures.</w:t>
      </w:r>
    </w:p>
    <w:bookmarkEnd w:id="63"/>
    <w:bookmarkStart w:id="64" w:name="method"/>
    <w:p>
      <w:pPr>
        <w:pStyle w:val="Heading2"/>
      </w:pPr>
      <w:r>
        <w:t xml:space="preserve">4. Method</w:t>
      </w:r>
    </w:p>
    <w:p>
      <w:pPr>
        <w:pStyle w:val="FirstParagraph"/>
      </w:pPr>
      <w:r>
        <w:t xml:space="preserve">The estimand is the conditional average difference in cost growth between standardized and bespoke programs. The method is ordinary least squares with heteroskedasticity-robust (HC1) standard errors, regressing development cost growth on the standardization indicator and the two controls. The standardization coefficient is the primary estimate, signed against H1. The complexity and mass controls are entered to guard against the central confound identified in the prospectus, namely that managers may route simpler missions onto reference architectures and reserve bespoke designs for the hardest missions; if that selection drove the result, the architecture coefficient would attenuate once complexity and scale are controlled. The specification is pre-registered to forbid specification search, and inference is reported with full coefficients, robust standard errors, test statistics, p-values, and confidence intervals in the embedded workbook.</w:t>
      </w:r>
    </w:p>
    <w:bookmarkEnd w:id="64"/>
    <w:bookmarkStart w:id="65" w:name="findings"/>
    <w:p>
      <w:pPr>
        <w:pStyle w:val="Heading2"/>
      </w:pPr>
      <w:r>
        <w:t xml:space="preserve">5. Findings</w:t>
      </w:r>
    </w:p>
    <w:p>
      <w:pPr>
        <w:pStyle w:val="FirstParagraph"/>
      </w:pPr>
      <w:r>
        <w:t xml:space="preserve">The model is jointly significant. Across the twenty-four missions it explains about 43 percent of the variance in realized cost growth, with an adjusted R-squared of 0.34 and an F statistic of 10.05 at a p-value of 0.0003.</w:t>
      </w:r>
    </w:p>
    <w:p>
      <w:pPr>
        <w:pStyle w:val="BodyText"/>
      </w:pPr>
      <w:r>
        <w:t xml:space="preserve">The central result is the standardization coefficient. Reference-architecture adoption carries an estimated coefficient of negative 34.24 percentage points, with a robust standard error of 9.83, a t-statistic of negative 3.48, and a p-value of 0.0005. The 95 percent confidence interval runs from negative 53.51 to negative 14.96 and excludes zero by a wide margin. Holding instrument count and mass class fixed, a program built on a standardized reference architecture or heritage bus is associated with about 34 percentage points less development cost growth than an otherwise comparable bespoke program. The null of no difference is rejected, and the sign matches H1.</w:t>
      </w:r>
    </w:p>
    <w:p>
      <w:pPr>
        <w:pStyle w:val="BodyText"/>
      </w:pPr>
      <w:r>
        <w:t xml:space="preserve">The two controls are not individually significant. Instrument count carries a coefficient of negative 1.72 percentage points per instrument, with a standard error of 1.80 and a p-value of 0.34. The log of launch mass carries a coefficient of negative 0.21, with a standard error of 1.80 and a p-value of 0.91. Neither complexity nor mass class displaces the architecture effect, which is the evidence the design was built to produce: the standardization coefficient survives the controls that would have absorbed it if selection on observable difficulty were the true driver. The intercept of 44.09, the expected cost growth for a bespoke program at the sample means of the controls, is itself significant at a p-value of 0.0008 and locates the bespoke baseline well above zero.</w:t>
      </w:r>
    </w:p>
    <w:bookmarkEnd w:id="65"/>
    <w:bookmarkStart w:id="66" w:name="discussion"/>
    <w:p>
      <w:pPr>
        <w:pStyle w:val="Heading2"/>
      </w:pPr>
      <w:r>
        <w:t xml:space="preserve">6. Discussion</w:t>
      </w:r>
    </w:p>
    <w:p>
      <w:pPr>
        <w:pStyle w:val="FirstParagraph"/>
      </w:pPr>
      <w:r>
        <w:t xml:space="preserve">The estimate converts a standing qualitative prior into a measured quantity. At the program level, and within the population this sample represents, reference-architecture adoption is associated with materially lower realized cost growth, on the order of 34 percentage points, and the association is statistically strong rather than marginal. The pattern visible in the raw data motivates the coefficient: heritage-bus and near-copy missions such as MAVEN, GRACE-FO, Landsat 9, TESS, and Lucy cluster at or near zero growth, while bespoke first-of-kind programs such as JWST, the Mars Science Laboratory, NEO Surveyor, and Dragonfly spread from sixteen to one hundred percent. The bespoke counter-hypothesis, that integration penalties on hard missions reverse the standardization benefit, finds no support here once complexity is held constant; the architecture effect does not vanish when instrument count enters the model.</w:t>
      </w:r>
    </w:p>
    <w:p>
      <w:pPr>
        <w:pStyle w:val="BodyText"/>
      </w:pPr>
      <w:r>
        <w:t xml:space="preserve">Three limits bound the claim. First, residual selection on unobserved difficulty cannot be excluded from a cross-program design, and the prospectus reserves a within-platform block comparison, across successive blocks of a single common bus, as the stronger identifying test; this paper supplies the cross-program stratum, and the within-platform stratum is the natural next paper. Second, the architecture coding is binary, while partial-heritage programs sit on a continuum; a graded heritage measure is the appropriate robustness check. Third, the sample is a modest, non-random set of missions that reached or neared launch, biased toward survivors, so the confidence interval, not the point estimate, is the honest object of the contribution. Within those bounds, the finding is a defensible effect size: standardization is associated with lower cost growth, the difference is large, and the interval is reported rather than hidden.</w:t>
      </w:r>
    </w:p>
    <w:bookmarkEnd w:id="66"/>
    <w:bookmarkStart w:id="77" w:name="references"/>
    <w:p>
      <w:pPr>
        <w:pStyle w:val="Heading2"/>
      </w:pPr>
      <w:r>
        <w:t xml:space="preserve">References</w:t>
      </w:r>
    </w:p>
    <w:p>
      <w:pPr>
        <w:pStyle w:val="FirstParagraph"/>
      </w:pPr>
      <w:bookmarkStart w:id="67" w:name="ref-1"/>
      <w:bookmarkEnd w:id="67"/>
      <w:r>
        <w:t xml:space="preserve">1. J. Dijks, S. de Jong, A. Menicucci, and I. Akay,</w:t>
      </w:r>
      <w:r>
        <w:t xml:space="preserve"> </w:t>
      </w:r>
      <w:r>
        <w:t xml:space="preserve">“Systematic review of engineering and testing approaches for radiation hardness assurance in commercial space avionics,”</w:t>
      </w:r>
      <w:r>
        <w:t xml:space="preserve"> </w:t>
      </w:r>
      <w:r>
        <w:t xml:space="preserve">Acta Astronautica, vol. 238, 2025. doi:</w:t>
      </w:r>
      <w:r>
        <w:t xml:space="preserve"> </w:t>
      </w:r>
      <w:hyperlink r:id="rId68">
        <w:r>
          <w:rPr>
            <w:rStyle w:val="Hyperlink"/>
          </w:rPr>
          <w:t xml:space="preserve">10.1016/j.actaastro.2025.07.055</w:t>
        </w:r>
      </w:hyperlink>
    </w:p>
    <w:p>
      <w:pPr>
        <w:pStyle w:val="BodyText"/>
      </w:pPr>
      <w:bookmarkStart w:id="69" w:name="ref-2"/>
      <w:bookmarkEnd w:id="69"/>
      <w:r>
        <w:t xml:space="preserve">2. Office of the Chief Economist (OCEA),</w:t>
      </w:r>
      <w:r>
        <w:t xml:space="preserve"> </w:t>
      </w:r>
      <w:r>
        <w:t xml:space="preserve">“Forecasting the Space Economy,”</w:t>
      </w:r>
      <w:r>
        <w:t xml:space="preserve"> </w:t>
      </w:r>
      <w:r>
        <w:t xml:space="preserve">Space Economy Papers corpus, source SD08.</w:t>
      </w:r>
    </w:p>
    <w:p>
      <w:pPr>
        <w:pStyle w:val="BodyText"/>
      </w:pPr>
      <w:bookmarkStart w:id="70" w:name="ref-3"/>
      <w:bookmarkEnd w:id="70"/>
      <w:r>
        <w:t xml:space="preserve">3.</w:t>
      </w:r>
      <w:r>
        <w:t xml:space="preserve"> </w:t>
      </w:r>
      <w:r>
        <w:t xml:space="preserve">“The Role of Space in Driving Sustainability, Security, and Development,”</w:t>
      </w:r>
      <w:r>
        <w:t xml:space="preserve"> </w:t>
      </w:r>
      <w:r>
        <w:t xml:space="preserve">Space Economy Papers corpus, source SD13.</w:t>
      </w:r>
    </w:p>
    <w:p>
      <w:pPr>
        <w:pStyle w:val="BodyText"/>
      </w:pPr>
      <w:bookmarkStart w:id="71" w:name="ref-4"/>
      <w:bookmarkEnd w:id="71"/>
      <w:r>
        <w:t xml:space="preserve">4. N. R. Dailey,</w:t>
      </w:r>
      <w:r>
        <w:t xml:space="preserve"> </w:t>
      </w:r>
      <w:r>
        <w:t xml:space="preserve">“Architecture for Reduction of Satellite Systems’ Total Acquisition Cost,”</w:t>
      </w:r>
      <w:r>
        <w:t xml:space="preserve"> </w:t>
      </w:r>
      <w:r>
        <w:t xml:space="preserve">in Architectural Socio-Technological Transformative Change of Space-Use Norms, Space Economy Papers corpus, source SD03.</w:t>
      </w:r>
    </w:p>
    <w:p>
      <w:pPr>
        <w:pStyle w:val="BodyText"/>
      </w:pPr>
      <w:bookmarkStart w:id="72" w:name="ref-7"/>
      <w:bookmarkEnd w:id="72"/>
      <w:r>
        <w:t xml:space="preserve">7. M. Weinzierl,</w:t>
      </w:r>
      <w:r>
        <w:t xml:space="preserve"> </w:t>
      </w:r>
      <w:r>
        <w:t xml:space="preserve">“Space, the Final Economic Frontier,”</w:t>
      </w:r>
      <w:r>
        <w:t xml:space="preserve"> </w:t>
      </w:r>
      <w:r>
        <w:t xml:space="preserve">Journal of Economic Perspectives, 2018, Space Economy Papers corpus, source SD18.</w:t>
      </w:r>
    </w:p>
    <w:p>
      <w:pPr>
        <w:pStyle w:val="BodyText"/>
      </w:pPr>
      <w:bookmarkStart w:id="73" w:name="ref-8"/>
      <w:bookmarkEnd w:id="73"/>
      <w:r>
        <w:t xml:space="preserve">8. The Planetary Society,</w:t>
      </w:r>
      <w:r>
        <w:t xml:space="preserve"> </w:t>
      </w:r>
      <w:r>
        <w:t xml:space="preserve">“Implementing Missions Within Budget: Good News,”</w:t>
      </w:r>
      <w:r>
        <w:t xml:space="preserve"> </w:t>
      </w:r>
      <w:r>
        <w:t xml:space="preserve">29 May 2013. Retrieved from planetary.org/articles/20130529-implementing-missions-within-budget-good-news.</w:t>
      </w:r>
    </w:p>
    <w:p>
      <w:pPr>
        <w:pStyle w:val="BodyText"/>
      </w:pPr>
      <w:bookmarkStart w:id="74" w:name="ref-9"/>
      <w:bookmarkEnd w:id="74"/>
      <w:r>
        <w:t xml:space="preserve">9. U.S. Government Accountability Office,</w:t>
      </w:r>
      <w:r>
        <w:t xml:space="preserve"> </w:t>
      </w:r>
      <w:r>
        <w:t xml:space="preserve">“NASA: Assessments of Major Projects,”</w:t>
      </w:r>
      <w:r>
        <w:t xml:space="preserve"> </w:t>
      </w:r>
      <w:r>
        <w:t xml:space="preserve">GAO-25-107591, July 2025; and GAO-13-4, GAO-18-280SP, GAO-19-262SP. Retrieved from gao.gov.</w:t>
      </w:r>
    </w:p>
    <w:p>
      <w:pPr>
        <w:pStyle w:val="BodyText"/>
      </w:pPr>
      <w:bookmarkStart w:id="75" w:name="ref-10"/>
      <w:bookmarkEnd w:id="75"/>
      <w:r>
        <w:t xml:space="preserve">10. NASA Office of Inspector General,</w:t>
      </w:r>
      <w:r>
        <w:t xml:space="preserve"> </w:t>
      </w:r>
      <w:r>
        <w:t xml:space="preserve">“NASA’s Management of the Dragonfly Project,”</w:t>
      </w:r>
      <w:r>
        <w:t xml:space="preserve"> </w:t>
      </w:r>
      <w:r>
        <w:t xml:space="preserve">IG-25-011, September 2025. Retrieved from oig.nasa.gov.</w:t>
      </w:r>
    </w:p>
    <w:p>
      <w:pPr>
        <w:pStyle w:val="BodyText"/>
      </w:pPr>
      <w:bookmarkStart w:id="76" w:name="ref-11"/>
      <w:bookmarkEnd w:id="76"/>
      <w:r>
        <w:t xml:space="preserve">11. R. E. Bitten, D. L. Emmons, and C. W. Freaner,</w:t>
      </w:r>
      <w:r>
        <w:t xml:space="preserve"> </w:t>
      </w:r>
      <w:r>
        <w:t xml:space="preserve">“Using Historical NASA Cost and Schedule Growth to Set Future Program and Project Reserve Guidelines,”</w:t>
      </w:r>
      <w:r>
        <w:t xml:space="preserve"> </w:t>
      </w:r>
      <w:r>
        <w:t xml:space="preserve">The Aerospace Corporation, NASA Advanced Programs.</w:t>
      </w:r>
    </w:p>
    <w:bookmarkEnd w:id="77"/>
    <w:bookmarkStart w:id="78" w:name="specification"/>
    <w:p>
      <w:pPr>
        <w:pStyle w:val="Heading2"/>
      </w:pPr>
      <w:r>
        <w:t xml:space="preserve">Specification</w:t>
      </w:r>
    </w:p>
    <w:p>
      <w:pPr>
        <w:pStyle w:val="FirstParagraph"/>
      </w:pPr>
      <m:oMathPara>
        <m:oMathParaPr>
          <m:jc m:val="center"/>
        </m:oMathParaPr>
        <m:oMath>
          <m:sSub>
            <m:e>
              <m:r>
                <m:rPr>
                  <m:nor/>
                  <m:sty m:val="p"/>
                </m:rPr>
                <m:t>CostGrowth</m:t>
              </m:r>
            </m:e>
            <m:sub>
              <m:r>
                <m:t>i</m:t>
              </m:r>
            </m:sub>
          </m:sSub>
          <m:r>
            <m:rPr>
              <m:sty m:val="p"/>
            </m:rPr>
            <m:t>=</m:t>
          </m:r>
          <m:sSub>
            <m:e>
              <m:r>
                <m:t>β</m:t>
              </m:r>
            </m:e>
            <m:sub>
              <m:r>
                <m:t>0</m:t>
              </m:r>
            </m:sub>
          </m:sSub>
          <m:r>
            <m:rPr>
              <m:sty m:val="p"/>
            </m:rPr>
            <m:t>+</m:t>
          </m:r>
          <m:sSub>
            <m:e>
              <m:r>
                <m:t>β</m:t>
              </m:r>
            </m:e>
            <m:sub>
              <m:r>
                <m:t>1</m:t>
              </m:r>
            </m:sub>
          </m:sSub>
          <m:sSub>
            <m:e>
              <m:r>
                <m:rPr>
                  <m:nor/>
                  <m:sty m:val="p"/>
                </m:rPr>
                <m:t>RefArch</m:t>
              </m:r>
            </m:e>
            <m:sub>
              <m:r>
                <m:t>i</m:t>
              </m:r>
            </m:sub>
          </m:sSub>
          <m:r>
            <m:rPr>
              <m:sty m:val="p"/>
            </m:rPr>
            <m:t>+</m:t>
          </m:r>
          <m:sSub>
            <m:e>
              <m:r>
                <m:t>β</m:t>
              </m:r>
            </m:e>
            <m:sub>
              <m:r>
                <m:t>2</m:t>
              </m:r>
            </m:sub>
          </m:sSub>
          <m:sSub>
            <m:e>
              <m:r>
                <m:rPr>
                  <m:nor/>
                  <m:sty m:val="p"/>
                </m:rPr>
                <m:t>Instruments</m:t>
              </m:r>
            </m:e>
            <m:sub>
              <m:r>
                <m:t>i</m:t>
              </m:r>
            </m:sub>
          </m:sSub>
          <m:r>
            <m:rPr>
              <m:sty m:val="p"/>
            </m:rPr>
            <m:t>+</m:t>
          </m:r>
          <m:sSub>
            <m:e>
              <m:r>
                <m:t>β</m:t>
              </m:r>
            </m:e>
            <m:sub>
              <m:r>
                <m:t>3</m:t>
              </m:r>
            </m:sub>
          </m:sSub>
          <m:r>
            <m:rPr>
              <m:sty m:val="p"/>
            </m:rPr>
            <m:t>ln</m:t>
          </m:r>
          <m:r>
            <m:rPr>
              <m:sty m:val="p"/>
            </m:rPr>
            <m:t>(</m:t>
          </m:r>
          <m:sSub>
            <m:e>
              <m:r>
                <m:rPr>
                  <m:nor/>
                  <m:sty m:val="p"/>
                </m:rPr>
                <m:t>Mass</m:t>
              </m:r>
            </m:e>
            <m:sub>
              <m:r>
                <m:t>i</m:t>
              </m:r>
            </m:sub>
          </m:sSub>
          <m:r>
            <m:rPr>
              <m:sty m:val="p"/>
            </m:rPr>
            <m:t>)</m:t>
          </m:r>
          <m:r>
            <m:rPr>
              <m:sty m:val="p"/>
            </m:rPr>
            <m:t>+</m:t>
          </m:r>
          <m:sSub>
            <m:e>
              <m:r>
                <m:t>ε</m:t>
              </m:r>
            </m:e>
            <m:sub>
              <m:r>
                <m:t>i</m:t>
              </m:r>
            </m:sub>
          </m:sSub>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44.09</w:t>
            </w:r>
          </w:p>
        </w:tc>
        <w:tc>
          <w:tcPr>
            <w:tcW w:w="0" w:type="auto"/>
          </w:tcPr>
          <w:p>
            <w:pPr>
              <w:spacing w:line="240" w:lineRule="auto" w:before="0" w:after="0"/>
              <w:pStyle w:val="Compact"/>
            </w:pPr>
            <w:r>
              <w:rPr>
                <w:sz w:val="20"/>
                <w:szCs w:val="20"/>
              </w:rPr>
              <w:t xml:space="preserve">13.1557</w:t>
            </w:r>
          </w:p>
        </w:tc>
        <w:tc>
          <w:tcPr>
            <w:tcW w:w="0" w:type="auto"/>
          </w:tcPr>
          <w:p>
            <w:pPr>
              <w:spacing w:line="240" w:lineRule="auto" w:before="0" w:after="0"/>
              <w:pStyle w:val="Compact"/>
            </w:pPr>
            <w:r>
              <w:rPr>
                <w:sz w:val="20"/>
                <w:szCs w:val="20"/>
              </w:rPr>
              <w:t xml:space="preserve">3.3514</w:t>
            </w:r>
          </w:p>
        </w:tc>
        <w:tc>
          <w:tcPr>
            <w:tcW w:w="0" w:type="auto"/>
          </w:tcPr>
          <w:p>
            <w:pPr>
              <w:spacing w:line="240" w:lineRule="auto" w:before="0" w:after="0"/>
              <w:pStyle w:val="Compact"/>
            </w:pPr>
            <w:r>
              <w:rPr>
                <w:sz w:val="20"/>
                <w:szCs w:val="20"/>
              </w:rPr>
              <w:t xml:space="preserve">0.0008041</w:t>
            </w:r>
          </w:p>
        </w:tc>
        <w:tc>
          <w:tcPr>
            <w:tcW w:w="0" w:type="auto"/>
          </w:tcPr>
          <w:p>
            <w:pPr>
              <w:spacing w:line="240" w:lineRule="auto" w:before="0" w:after="0"/>
              <w:pStyle w:val="Compact"/>
            </w:pPr>
            <w:r>
              <w:rPr>
                <w:sz w:val="20"/>
                <w:szCs w:val="20"/>
              </w:rPr>
              <w:t xml:space="preserve">[18.3052, 69.8747]</w:t>
            </w:r>
          </w:p>
        </w:tc>
      </w:tr>
      <w:tr>
        <w:tc>
          <w:tcPr>
            <w:tcW w:w="0" w:type="auto"/>
          </w:tcPr>
          <w:p>
            <w:pPr>
              <w:spacing w:line="240" w:lineRule="auto" w:before="0" w:after="0"/>
              <w:pStyle w:val="Compact"/>
            </w:pPr>
            <w:r>
              <w:rPr>
                <w:sz w:val="20"/>
                <w:szCs w:val="20"/>
              </w:rPr>
              <w:t xml:space="preserve">reference_arch</w:t>
            </w:r>
          </w:p>
        </w:tc>
        <w:tc>
          <w:tcPr>
            <w:tcW w:w="0" w:type="auto"/>
          </w:tcPr>
          <w:p>
            <w:pPr>
              <w:spacing w:line="240" w:lineRule="auto" w:before="0" w:after="0"/>
              <w:pStyle w:val="Compact"/>
            </w:pPr>
            <w:r>
              <w:rPr>
                <w:sz w:val="20"/>
                <w:szCs w:val="20"/>
              </w:rPr>
              <w:t xml:space="preserve">-34.237</w:t>
            </w:r>
          </w:p>
        </w:tc>
        <w:tc>
          <w:tcPr>
            <w:tcW w:w="0" w:type="auto"/>
          </w:tcPr>
          <w:p>
            <w:pPr>
              <w:spacing w:line="240" w:lineRule="auto" w:before="0" w:after="0"/>
              <w:pStyle w:val="Compact"/>
            </w:pPr>
            <w:r>
              <w:rPr>
                <w:sz w:val="20"/>
                <w:szCs w:val="20"/>
              </w:rPr>
              <w:t xml:space="preserve">9.8337</w:t>
            </w:r>
          </w:p>
        </w:tc>
        <w:tc>
          <w:tcPr>
            <w:tcW w:w="0" w:type="auto"/>
          </w:tcPr>
          <w:p>
            <w:pPr>
              <w:spacing w:line="240" w:lineRule="auto" w:before="0" w:after="0"/>
              <w:pStyle w:val="Compact"/>
            </w:pPr>
            <w:r>
              <w:rPr>
                <w:sz w:val="20"/>
                <w:szCs w:val="20"/>
              </w:rPr>
              <w:t xml:space="preserve">-3.4816</w:t>
            </w:r>
          </w:p>
        </w:tc>
        <w:tc>
          <w:tcPr>
            <w:tcW w:w="0" w:type="auto"/>
          </w:tcPr>
          <w:p>
            <w:pPr>
              <w:spacing w:line="240" w:lineRule="auto" w:before="0" w:after="0"/>
              <w:pStyle w:val="Compact"/>
            </w:pPr>
            <w:r>
              <w:rPr>
                <w:sz w:val="20"/>
                <w:szCs w:val="20"/>
              </w:rPr>
              <w:t xml:space="preserve">0.0004985</w:t>
            </w:r>
          </w:p>
        </w:tc>
        <w:tc>
          <w:tcPr>
            <w:tcW w:w="0" w:type="auto"/>
          </w:tcPr>
          <w:p>
            <w:pPr>
              <w:spacing w:line="240" w:lineRule="auto" w:before="0" w:after="0"/>
              <w:pStyle w:val="Compact"/>
            </w:pPr>
            <w:r>
              <w:rPr>
                <w:sz w:val="20"/>
                <w:szCs w:val="20"/>
              </w:rPr>
              <w:t xml:space="preserve">[-53.5108, -14.9633]</w:t>
            </w:r>
          </w:p>
        </w:tc>
      </w:tr>
      <w:tr>
        <w:tc>
          <w:tcPr>
            <w:tcW w:w="0" w:type="auto"/>
          </w:tcPr>
          <w:p>
            <w:pPr>
              <w:spacing w:line="240" w:lineRule="auto" w:before="0" w:after="0"/>
              <w:pStyle w:val="Compact"/>
            </w:pPr>
            <w:r>
              <w:rPr>
                <w:sz w:val="20"/>
                <w:szCs w:val="20"/>
              </w:rPr>
              <w:t xml:space="preserve">instruments</w:t>
            </w:r>
          </w:p>
        </w:tc>
        <w:tc>
          <w:tcPr>
            <w:tcW w:w="0" w:type="auto"/>
          </w:tcPr>
          <w:p>
            <w:pPr>
              <w:spacing w:line="240" w:lineRule="auto" w:before="0" w:after="0"/>
              <w:pStyle w:val="Compact"/>
            </w:pPr>
            <w:r>
              <w:rPr>
                <w:sz w:val="20"/>
                <w:szCs w:val="20"/>
              </w:rPr>
              <w:t xml:space="preserve">-1.7183</w:t>
            </w:r>
          </w:p>
        </w:tc>
        <w:tc>
          <w:tcPr>
            <w:tcW w:w="0" w:type="auto"/>
          </w:tcPr>
          <w:p>
            <w:pPr>
              <w:spacing w:line="240" w:lineRule="auto" w:before="0" w:after="0"/>
              <w:pStyle w:val="Compact"/>
            </w:pPr>
            <w:r>
              <w:rPr>
                <w:sz w:val="20"/>
                <w:szCs w:val="20"/>
              </w:rPr>
              <w:t xml:space="preserve">1.8035</w:t>
            </w:r>
          </w:p>
        </w:tc>
        <w:tc>
          <w:tcPr>
            <w:tcW w:w="0" w:type="auto"/>
          </w:tcPr>
          <w:p>
            <w:pPr>
              <w:spacing w:line="240" w:lineRule="auto" w:before="0" w:after="0"/>
              <w:pStyle w:val="Compact"/>
            </w:pPr>
            <w:r>
              <w:rPr>
                <w:sz w:val="20"/>
                <w:szCs w:val="20"/>
              </w:rPr>
              <w:t xml:space="preserve">-0.9527</w:t>
            </w:r>
          </w:p>
        </w:tc>
        <w:tc>
          <w:tcPr>
            <w:tcW w:w="0" w:type="auto"/>
          </w:tcPr>
          <w:p>
            <w:pPr>
              <w:spacing w:line="240" w:lineRule="auto" w:before="0" w:after="0"/>
              <w:pStyle w:val="Compact"/>
            </w:pPr>
            <w:r>
              <w:rPr>
                <w:sz w:val="20"/>
                <w:szCs w:val="20"/>
              </w:rPr>
              <w:t xml:space="preserve">0.3407</w:t>
            </w:r>
          </w:p>
        </w:tc>
        <w:tc>
          <w:tcPr>
            <w:tcW w:w="0" w:type="auto"/>
          </w:tcPr>
          <w:p>
            <w:pPr>
              <w:spacing w:line="240" w:lineRule="auto" w:before="0" w:after="0"/>
              <w:pStyle w:val="Compact"/>
            </w:pPr>
            <w:r>
              <w:rPr>
                <w:sz w:val="20"/>
                <w:szCs w:val="20"/>
              </w:rPr>
              <w:t xml:space="preserve">[-5.2531, 1.8166]</w:t>
            </w:r>
          </w:p>
        </w:tc>
      </w:tr>
      <w:tr>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-0.2058</w:t>
            </w:r>
          </w:p>
        </w:tc>
        <w:tc>
          <w:tcPr>
            <w:tcW w:w="0" w:type="auto"/>
          </w:tcPr>
          <w:p>
            <w:pPr>
              <w:spacing w:line="240" w:lineRule="auto" w:before="0" w:after="0"/>
              <w:pStyle w:val="Compact"/>
            </w:pPr>
            <w:r>
              <w:rPr>
                <w:sz w:val="20"/>
                <w:szCs w:val="20"/>
              </w:rPr>
              <w:t xml:space="preserve">1.8007</w:t>
            </w:r>
          </w:p>
        </w:tc>
        <w:tc>
          <w:tcPr>
            <w:tcW w:w="0" w:type="auto"/>
          </w:tcPr>
          <w:p>
            <w:pPr>
              <w:spacing w:line="240" w:lineRule="auto" w:before="0" w:after="0"/>
              <w:pStyle w:val="Compact"/>
            </w:pPr>
            <w:r>
              <w:rPr>
                <w:sz w:val="20"/>
                <w:szCs w:val="20"/>
              </w:rPr>
              <w:t xml:space="preserve">-0.1143</w:t>
            </w:r>
          </w:p>
        </w:tc>
        <w:tc>
          <w:tcPr>
            <w:tcW w:w="0" w:type="auto"/>
          </w:tcPr>
          <w:p>
            <w:pPr>
              <w:spacing w:line="240" w:lineRule="auto" w:before="0" w:after="0"/>
              <w:pStyle w:val="Compact"/>
            </w:pPr>
            <w:r>
              <w:rPr>
                <w:sz w:val="20"/>
                <w:szCs w:val="20"/>
              </w:rPr>
              <w:t xml:space="preserve">0.909</w:t>
            </w:r>
          </w:p>
        </w:tc>
        <w:tc>
          <w:tcPr>
            <w:tcW w:w="0" w:type="auto"/>
          </w:tcPr>
          <w:p>
            <w:pPr>
              <w:spacing w:line="240" w:lineRule="auto" w:before="0" w:after="0"/>
              <w:pStyle w:val="Compact"/>
            </w:pPr>
            <w:r>
              <w:rPr>
                <w:sz w:val="20"/>
                <w:szCs w:val="20"/>
              </w:rPr>
              <w:t xml:space="preserve">[-3.735, 3.3234]</w:t>
            </w:r>
          </w:p>
        </w:tc>
      </w:tr>
    </w:tbl>
    <w:p>
      <w:pPr>
        <w:pStyle w:val="BodyText"/>
      </w:pPr>
      <w:r>
        <w:t xml:space="preserve">Fit: N = 24 R2 = 0.4271 R2_adj = 0.3412 F = 10.0547 F_p = 0.0002997</w:t>
      </w:r>
    </w:p>
    <w:p>
      <w:pPr>
        <w:pStyle w:val="CaptionedFigure"/>
      </w:pPr>
      <w:r>
        <w:drawing>
          <wp:inline>
            <wp:extent cx="5669280" cy="3657600"/>
            <wp:effectExtent b="0" l="0" r="0" t="0"/>
            <wp:docPr descr="Figure 1. Realized development cost growth against program mass class for 24 NASA major missions; the fitted line is the OLS prediction holding architecture and complexity at their sample means." title="" id="80" name="Picture"/>
            <a:graphic>
              <a:graphicData uri="http://schemas.openxmlformats.org/drawingml/2006/picture">
                <pic:pic>
                  <pic:nvPicPr>
                    <pic:cNvPr descr="D:\Claude_Code\brain\collegium\candidates\dissertations\ENTERPRISE_ACQ_08\research_papers\p1\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Realized development cost growth against program mass class for 24 NASA major missions; the fitted line is the OLS prediction holding architecture and complexity at their sample means.</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directorate</w:t>
            </w:r>
          </w:p>
        </w:tc>
        <w:tc>
          <w:tcPr>
            <w:tcW w:w="0" w:type="auto"/>
          </w:tcPr>
          <w:p>
            <w:pPr>
              <w:spacing w:line="240" w:lineRule="auto" w:before="0" w:after="0"/>
              <w:pStyle w:val="Compact"/>
            </w:pPr>
            <w:r>
              <w:rPr>
                <w:sz w:val="20"/>
                <w:szCs w:val="20"/>
              </w:rPr>
              <w:t xml:space="preserve">reference_arch</w:t>
            </w:r>
          </w:p>
        </w:tc>
        <w:tc>
          <w:tcPr>
            <w:tcW w:w="0" w:type="auto"/>
          </w:tcPr>
          <w:p>
            <w:pPr>
              <w:spacing w:line="240" w:lineRule="auto" w:before="0" w:after="0"/>
              <w:pStyle w:val="Compact"/>
            </w:pPr>
            <w:r>
              <w:rPr>
                <w:sz w:val="20"/>
                <w:szCs w:val="20"/>
              </w:rPr>
              <w:t xml:space="preserve">heritage_class</w:t>
            </w:r>
          </w:p>
        </w:tc>
        <w:tc>
          <w:tcPr>
            <w:tcW w:w="0" w:type="auto"/>
          </w:tcPr>
          <w:p>
            <w:pPr>
              <w:spacing w:line="240" w:lineRule="auto" w:before="0" w:after="0"/>
              <w:pStyle w:val="Compact"/>
            </w:pPr>
            <w:r>
              <w:rPr>
                <w:sz w:val="20"/>
                <w:szCs w:val="20"/>
              </w:rPr>
              <w:t xml:space="preserve">instruments</w:t>
            </w:r>
          </w:p>
        </w:tc>
        <w:tc>
          <w:tcPr>
            <w:tcW w:w="0" w:type="auto"/>
          </w:tcPr>
          <w:p>
            <w:pPr>
              <w:spacing w:line="240" w:lineRule="auto" w:before="0" w:after="0"/>
              <w:pStyle w:val="Compact"/>
            </w:pPr>
            <w:r>
              <w:rPr>
                <w:sz w:val="20"/>
                <w:szCs w:val="20"/>
              </w:rPr>
              <w:t xml:space="preserve">launch_mass_t</w:t>
            </w:r>
          </w:p>
        </w:tc>
        <w:tc>
          <w:tcPr>
            <w:tcW w:w="0" w:type="auto"/>
          </w:tcPr>
          <w:p>
            <w:pPr>
              <w:spacing w:line="240" w:lineRule="auto" w:before="0" w:after="0"/>
              <w:pStyle w:val="Compact"/>
            </w:pPr>
            <w:r>
              <w:rPr>
                <w:sz w:val="20"/>
                <w:szCs w:val="20"/>
              </w:rPr>
              <w:t xml:space="preserve">baseline_cost_musd</w:t>
            </w:r>
          </w:p>
        </w:tc>
        <w:tc>
          <w:tcPr>
            <w:tcW w:w="0" w:type="auto"/>
          </w:tcPr>
          <w:p>
            <w:pPr>
              <w:spacing w:line="240" w:lineRule="auto" w:before="0" w:after="0"/>
              <w:pStyle w:val="Compact"/>
            </w:pPr>
            <w:r>
              <w:rPr>
                <w:sz w:val="20"/>
                <w:szCs w:val="20"/>
              </w:rPr>
              <w:t xml:space="preserve">final_cost_musd</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SMD_Planetary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2.55</w:t>
            </w:r>
          </w:p>
        </w:tc>
        <w:tc>
          <w:tcPr>
            <w:tcW w:w="0" w:type="auto"/>
          </w:tcPr>
          <w:p>
            <w:pPr>
              <w:spacing w:line="240" w:lineRule="auto" w:before="0" w:after="0"/>
              <w:pStyle w:val="Compact"/>
            </w:pPr>
            <w:r>
              <w:rPr>
                <w:sz w:val="20"/>
                <w:szCs w:val="20"/>
              </w:rPr>
              <w:t xml:space="preserve">671.2</w:t>
            </w:r>
          </w:p>
        </w:tc>
        <w:tc>
          <w:tcPr>
            <w:tcW w:w="0" w:type="auto"/>
          </w:tcPr>
          <w:p>
            <w:pPr>
              <w:spacing w:line="240" w:lineRule="auto" w:before="0" w:after="0"/>
              <w:pStyle w:val="Compact"/>
            </w:pPr>
            <w:r>
              <w:rPr>
                <w:sz w:val="20"/>
                <w:szCs w:val="20"/>
              </w:rPr>
              <w:t xml:space="preserve">671.2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0.9361</w:t>
            </w:r>
          </w:p>
        </w:tc>
        <w:tc>
          <w:tcPr>
            <w:tcW w:w="0" w:type="auto"/>
          </w:tcPr>
          <w:p>
            <w:pPr>
              <w:spacing w:line="240" w:lineRule="auto" w:before="0" w:after="0"/>
              <w:pStyle w:val="Compact"/>
            </w:pPr>
            <w:r>
              <w:rPr>
                <w:sz w:val="20"/>
                <w:szCs w:val="20"/>
              </w:rPr>
              <w:t xml:space="preserve">Planetary Society,</w:t>
            </w:r>
            <w:r>
              <w:rPr>
                <w:sz w:val="20"/>
                <w:szCs w:val="20"/>
              </w:rPr>
              <w:t xml:space="preserve"> </w:t>
            </w:r>
            <w:r>
              <w:rPr>
                <w:sz w:val="20"/>
                <w:szCs w:val="20"/>
              </w:rPr>
              <w:t xml:space="preserve">‘Implementing Missions Within Budget’</w:t>
            </w:r>
            <w:r>
              <w:rPr>
                <w:sz w:val="20"/>
                <w:szCs w:val="20"/>
              </w:rPr>
              <w:t xml:space="preserve"> </w:t>
            </w:r>
            <w:r>
              <w:rPr>
                <w:sz w:val="20"/>
                <w:szCs w:val="20"/>
              </w:rPr>
              <w:t xml:space="preserve">(2013-05-29), MAVEN final $671.2M, 0.0% change; reused Lockheed Martin MRO/Mars-orbiter heritage bus. planetary.org/articles/20130529-implementing-missions-within-budget-good-news</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SMD_Planetary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0.307</w:t>
            </w:r>
          </w:p>
        </w:tc>
        <w:tc>
          <w:tcPr>
            <w:tcW w:w="0" w:type="auto"/>
          </w:tcPr>
          <w:p>
            <w:pPr>
              <w:spacing w:line="240" w:lineRule="auto" w:before="0" w:after="0"/>
              <w:pStyle w:val="Compact"/>
            </w:pPr>
            <w:r>
              <w:rPr>
                <w:sz w:val="20"/>
                <w:szCs w:val="20"/>
              </w:rPr>
              <w:t xml:space="preserve">496</w:t>
            </w:r>
          </w:p>
        </w:tc>
        <w:tc>
          <w:tcPr>
            <w:tcW w:w="0" w:type="auto"/>
          </w:tcPr>
          <w:p>
            <w:pPr>
              <w:spacing w:line="240" w:lineRule="auto" w:before="0" w:after="0"/>
              <w:pStyle w:val="Compact"/>
            </w:pPr>
            <w:r>
              <w:rPr>
                <w:sz w:val="20"/>
                <w:szCs w:val="20"/>
              </w:rPr>
              <w:t xml:space="preserve">487.2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-1.1809</w:t>
            </w:r>
          </w:p>
        </w:tc>
        <w:tc>
          <w:tcPr>
            <w:tcW w:w="0" w:type="auto"/>
          </w:tcPr>
          <w:p>
            <w:pPr>
              <w:spacing w:line="240" w:lineRule="auto" w:before="0" w:after="0"/>
              <w:pStyle w:val="Compact"/>
            </w:pPr>
            <w:r>
              <w:rPr>
                <w:sz w:val="20"/>
                <w:szCs w:val="20"/>
              </w:rPr>
              <w:t xml:space="preserve">Planetary Society,</w:t>
            </w:r>
            <w:r>
              <w:rPr>
                <w:sz w:val="20"/>
                <w:szCs w:val="20"/>
              </w:rPr>
              <w:t xml:space="preserve"> </w:t>
            </w:r>
            <w:r>
              <w:rPr>
                <w:sz w:val="20"/>
                <w:szCs w:val="20"/>
              </w:rPr>
              <w:t xml:space="preserve">‘Implementing Missions Within Budget’</w:t>
            </w:r>
            <w:r>
              <w:rPr>
                <w:sz w:val="20"/>
                <w:szCs w:val="20"/>
              </w:rPr>
              <w:t xml:space="preserve"> </w:t>
            </w:r>
            <w:r>
              <w:rPr>
                <w:sz w:val="20"/>
                <w:szCs w:val="20"/>
              </w:rPr>
              <w:t xml:space="preserve">(2013-05-29), GRAIL final $487.2M, -1.8% vs baseline; twin spacecraft reused LM GRACE/XSS-11/Experimental Small Sat heritage. planetary.org/articles/20130529-implementing-missions-within-budget-good-news</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SMD_Planetary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3.625</w:t>
            </w:r>
          </w:p>
        </w:tc>
        <w:tc>
          <w:tcPr>
            <w:tcW w:w="0" w:type="auto"/>
          </w:tcPr>
          <w:p>
            <w:pPr>
              <w:spacing w:line="240" w:lineRule="auto" w:before="0" w:after="0"/>
              <w:pStyle w:val="Compact"/>
            </w:pPr>
            <w:r>
              <w:rPr>
                <w:sz w:val="20"/>
                <w:szCs w:val="20"/>
              </w:rPr>
              <w:t xml:space="preserve">1107</w:t>
            </w:r>
          </w:p>
        </w:tc>
        <w:tc>
          <w:tcPr>
            <w:tcW w:w="0" w:type="auto"/>
          </w:tcPr>
          <w:p>
            <w:pPr>
              <w:spacing w:line="240" w:lineRule="auto" w:before="0" w:after="0"/>
              <w:pStyle w:val="Compact"/>
            </w:pPr>
            <w:r>
              <w:rPr>
                <w:sz w:val="20"/>
                <w:szCs w:val="20"/>
              </w:rPr>
              <w:t xml:space="preserve">1107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1.2879</w:t>
            </w:r>
          </w:p>
        </w:tc>
        <w:tc>
          <w:tcPr>
            <w:tcW w:w="0" w:type="auto"/>
          </w:tcPr>
          <w:p>
            <w:pPr>
              <w:spacing w:line="240" w:lineRule="auto" w:before="0" w:after="0"/>
              <w:pStyle w:val="Compact"/>
            </w:pPr>
            <w:r>
              <w:rPr>
                <w:sz w:val="20"/>
                <w:szCs w:val="20"/>
              </w:rPr>
              <w:t xml:space="preserve">Planetary Society,</w:t>
            </w:r>
            <w:r>
              <w:rPr>
                <w:sz w:val="20"/>
                <w:szCs w:val="20"/>
              </w:rPr>
              <w:t xml:space="preserve"> </w:t>
            </w:r>
            <w:r>
              <w:rPr>
                <w:sz w:val="20"/>
                <w:szCs w:val="20"/>
              </w:rPr>
              <w:t xml:space="preserve">‘Implementing Missions Within Budget’</w:t>
            </w:r>
            <w:r>
              <w:rPr>
                <w:sz w:val="20"/>
                <w:szCs w:val="20"/>
              </w:rPr>
              <w:t xml:space="preserve"> </w:t>
            </w:r>
            <w:r>
              <w:rPr>
                <w:sz w:val="20"/>
                <w:szCs w:val="20"/>
              </w:rPr>
              <w:t xml:space="preserve">(2013-05-29), Juno final $1,107.0M, 0.0% change. planetary.org/articles/20130529-implementing-missions-within-budget-good-news</w:t>
            </w:r>
          </w:p>
        </w:tc>
      </w:tr>
      <w:tr>
        <w:tc>
          <w:tcPr>
            <w:tcW w:w="0" w:type="auto"/>
          </w:tcPr>
          <w:p>
            <w:pPr>
              <w:spacing w:line="240" w:lineRule="auto" w:before="0" w:after="0"/>
              <w:pStyle w:val="Compact"/>
            </w:pPr>
            <w:r>
              <w:rPr>
                <w:sz w:val="20"/>
                <w:szCs w:val="20"/>
              </w:rPr>
              <w:t xml:space="preserve">Stardust</w:t>
            </w:r>
          </w:p>
        </w:tc>
        <w:tc>
          <w:tcPr>
            <w:tcW w:w="0" w:type="auto"/>
          </w:tcPr>
          <w:p>
            <w:pPr>
              <w:spacing w:line="240" w:lineRule="auto" w:before="0" w:after="0"/>
              <w:pStyle w:val="Compact"/>
            </w:pPr>
            <w:r>
              <w:rPr>
                <w:sz w:val="20"/>
                <w:szCs w:val="20"/>
              </w:rPr>
              <w:t xml:space="preserve">SMD_Planetary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0.385</w:t>
            </w:r>
          </w:p>
        </w:tc>
        <w:tc>
          <w:tcPr>
            <w:tcW w:w="0" w:type="auto"/>
          </w:tcPr>
          <w:p>
            <w:pPr>
              <w:spacing w:line="240" w:lineRule="auto" w:before="0" w:after="0"/>
              <w:pStyle w:val="Compact"/>
            </w:pPr>
            <w:r>
              <w:rPr>
                <w:sz w:val="20"/>
                <w:szCs w:val="20"/>
              </w:rPr>
              <w:t xml:space="preserve">206</w:t>
            </w:r>
          </w:p>
        </w:tc>
        <w:tc>
          <w:tcPr>
            <w:tcW w:w="0" w:type="auto"/>
          </w:tcPr>
          <w:p>
            <w:pPr>
              <w:spacing w:line="240" w:lineRule="auto" w:before="0" w:after="0"/>
              <w:pStyle w:val="Compact"/>
            </w:pPr>
            <w:r>
              <w:rPr>
                <w:sz w:val="20"/>
                <w:szCs w:val="20"/>
              </w:rPr>
              <w:t xml:space="preserve">209.1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-0.9545</w:t>
            </w:r>
          </w:p>
        </w:tc>
        <w:tc>
          <w:tcPr>
            <w:tcW w:w="0" w:type="auto"/>
          </w:tcPr>
          <w:p>
            <w:pPr>
              <w:spacing w:line="240" w:lineRule="auto" w:before="0" w:after="0"/>
              <w:pStyle w:val="Compact"/>
            </w:pPr>
            <w:r>
              <w:rPr>
                <w:sz w:val="20"/>
                <w:szCs w:val="20"/>
              </w:rPr>
              <w:t xml:space="preserve">Planetary Society,</w:t>
            </w:r>
            <w:r>
              <w:rPr>
                <w:sz w:val="20"/>
                <w:szCs w:val="20"/>
              </w:rPr>
              <w:t xml:space="preserve"> </w:t>
            </w:r>
            <w:r>
              <w:rPr>
                <w:sz w:val="20"/>
                <w:szCs w:val="20"/>
              </w:rPr>
              <w:t xml:space="preserve">‘Implementing Missions Within Budget’</w:t>
            </w:r>
            <w:r>
              <w:rPr>
                <w:sz w:val="20"/>
                <w:szCs w:val="20"/>
              </w:rPr>
              <w:t xml:space="preserve"> </w:t>
            </w:r>
            <w:r>
              <w:rPr>
                <w:sz w:val="20"/>
                <w:szCs w:val="20"/>
              </w:rPr>
              <w:t xml:space="preserve">(2013-05-29), Stardust final $209.1M, +1.5% vs baseline; SpaceProbe/Discovery heritage bus. planetary.org/articles/20130529-implementing-missions-within-budget-good-news</w:t>
            </w:r>
          </w:p>
        </w:tc>
      </w:tr>
      <w:tr>
        <w:tc>
          <w:tcPr>
            <w:tcW w:w="0" w:type="auto"/>
          </w:tcPr>
          <w:p>
            <w:pPr>
              <w:spacing w:line="240" w:lineRule="auto" w:before="0" w:after="0"/>
              <w:pStyle w:val="Compact"/>
            </w:pPr>
            <w:r>
              <w:rPr>
                <w:sz w:val="20"/>
                <w:szCs w:val="20"/>
              </w:rPr>
              <w:t xml:space="preserve">Deep_Impact</w:t>
            </w:r>
          </w:p>
        </w:tc>
        <w:tc>
          <w:tcPr>
            <w:tcW w:w="0" w:type="auto"/>
          </w:tcPr>
          <w:p>
            <w:pPr>
              <w:spacing w:line="240" w:lineRule="auto" w:before="0" w:after="0"/>
              <w:pStyle w:val="Compact"/>
            </w:pPr>
            <w:r>
              <w:rPr>
                <w:sz w:val="20"/>
                <w:szCs w:val="20"/>
              </w:rPr>
              <w:t xml:space="preserve">SMD_Planetary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1.02</w:t>
            </w:r>
          </w:p>
        </w:tc>
        <w:tc>
          <w:tcPr>
            <w:tcW w:w="0" w:type="auto"/>
          </w:tcPr>
          <w:p>
            <w:pPr>
              <w:spacing w:line="240" w:lineRule="auto" w:before="0" w:after="0"/>
              <w:pStyle w:val="Compact"/>
            </w:pPr>
            <w:r>
              <w:rPr>
                <w:sz w:val="20"/>
                <w:szCs w:val="20"/>
              </w:rPr>
              <w:t xml:space="preserve">278.8</w:t>
            </w:r>
          </w:p>
        </w:tc>
        <w:tc>
          <w:tcPr>
            <w:tcW w:w="0" w:type="auto"/>
          </w:tcPr>
          <w:p>
            <w:pPr>
              <w:spacing w:line="240" w:lineRule="auto" w:before="0" w:after="0"/>
              <w:pStyle w:val="Compact"/>
            </w:pPr>
            <w:r>
              <w:rPr>
                <w:sz w:val="20"/>
                <w:szCs w:val="20"/>
              </w:rPr>
              <w:t xml:space="preserve">332</w:t>
            </w:r>
          </w:p>
        </w:tc>
        <w:tc>
          <w:tcPr>
            <w:tcW w:w="0" w:type="auto"/>
          </w:tcPr>
          <w:p>
            <w:pPr>
              <w:spacing w:line="240" w:lineRule="auto" w:before="0" w:after="0"/>
              <w:pStyle w:val="Compact"/>
            </w:pPr>
            <w:r>
              <w:rPr>
                <w:sz w:val="20"/>
                <w:szCs w:val="20"/>
              </w:rPr>
              <w:t xml:space="preserve">19.1</w:t>
            </w:r>
          </w:p>
        </w:tc>
        <w:tc>
          <w:tcPr>
            <w:tcW w:w="0" w:type="auto"/>
          </w:tcPr>
          <w:p>
            <w:pPr>
              <w:spacing w:line="240" w:lineRule="auto" w:before="0" w:after="0"/>
              <w:pStyle w:val="Compact"/>
            </w:pPr>
            <w:r>
              <w:rPr>
                <w:sz w:val="20"/>
                <w:szCs w:val="20"/>
              </w:rPr>
              <w:t xml:space="preserve">0.0198</w:t>
            </w:r>
          </w:p>
        </w:tc>
        <w:tc>
          <w:tcPr>
            <w:tcW w:w="0" w:type="auto"/>
          </w:tcPr>
          <w:p>
            <w:pPr>
              <w:spacing w:line="240" w:lineRule="auto" w:before="0" w:after="0"/>
              <w:pStyle w:val="Compact"/>
            </w:pPr>
            <w:r>
              <w:rPr>
                <w:sz w:val="20"/>
                <w:szCs w:val="20"/>
              </w:rPr>
              <w:t xml:space="preserve">Planetary Society,</w:t>
            </w:r>
            <w:r>
              <w:rPr>
                <w:sz w:val="20"/>
                <w:szCs w:val="20"/>
              </w:rPr>
              <w:t xml:space="preserve"> </w:t>
            </w:r>
            <w:r>
              <w:rPr>
                <w:sz w:val="20"/>
                <w:szCs w:val="20"/>
              </w:rPr>
              <w:t xml:space="preserve">‘Implementing Missions Within Budget’</w:t>
            </w:r>
            <w:r>
              <w:rPr>
                <w:sz w:val="20"/>
                <w:szCs w:val="20"/>
              </w:rPr>
              <w:t xml:space="preserve"> </w:t>
            </w:r>
            <w:r>
              <w:rPr>
                <w:sz w:val="20"/>
                <w:szCs w:val="20"/>
              </w:rPr>
              <w:t xml:space="preserve">(2013-05-29), Deep Impact final $332.0M, +19.1% vs baseline. planetary.org/articles/20130529-implementing-missions-within-budget-good-news</w:t>
            </w:r>
          </w:p>
        </w:tc>
      </w:tr>
      <w:tr>
        <w:tc>
          <w:tcPr>
            <w:tcW w:w="0" w:type="auto"/>
          </w:tcPr>
          <w:p>
            <w:pPr>
              <w:spacing w:line="240" w:lineRule="auto" w:before="0" w:after="0"/>
              <w:pStyle w:val="Compact"/>
            </w:pPr>
            <w:r>
              <w:rPr>
                <w:sz w:val="20"/>
                <w:szCs w:val="20"/>
              </w:rPr>
              <w:t xml:space="preserve">MESSENGER</w:t>
            </w:r>
          </w:p>
        </w:tc>
        <w:tc>
          <w:tcPr>
            <w:tcW w:w="0" w:type="auto"/>
          </w:tcPr>
          <w:p>
            <w:pPr>
              <w:spacing w:line="240" w:lineRule="auto" w:before="0" w:after="0"/>
              <w:pStyle w:val="Compact"/>
            </w:pPr>
            <w:r>
              <w:rPr>
                <w:sz w:val="20"/>
                <w:szCs w:val="20"/>
              </w:rPr>
              <w:t xml:space="preserve">SMD_Planetary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1.107</w:t>
            </w:r>
          </w:p>
        </w:tc>
        <w:tc>
          <w:tcPr>
            <w:tcW w:w="0" w:type="auto"/>
          </w:tcPr>
          <w:p>
            <w:pPr>
              <w:spacing w:line="240" w:lineRule="auto" w:before="0" w:after="0"/>
              <w:pStyle w:val="Compact"/>
            </w:pPr>
            <w:r>
              <w:rPr>
                <w:sz w:val="20"/>
                <w:szCs w:val="20"/>
              </w:rPr>
              <w:t xml:space="preserve">313.9</w:t>
            </w:r>
          </w:p>
        </w:tc>
        <w:tc>
          <w:tcPr>
            <w:tcW w:w="0" w:type="auto"/>
          </w:tcPr>
          <w:p>
            <w:pPr>
              <w:spacing w:line="240" w:lineRule="auto" w:before="0" w:after="0"/>
              <w:pStyle w:val="Compact"/>
            </w:pPr>
            <w:r>
              <w:rPr>
                <w:sz w:val="20"/>
                <w:szCs w:val="20"/>
              </w:rPr>
              <w:t xml:space="preserve">422.5</w:t>
            </w:r>
          </w:p>
        </w:tc>
        <w:tc>
          <w:tcPr>
            <w:tcW w:w="0" w:type="auto"/>
          </w:tcPr>
          <w:p>
            <w:pPr>
              <w:spacing w:line="240" w:lineRule="auto" w:before="0" w:after="0"/>
              <w:pStyle w:val="Compact"/>
            </w:pPr>
            <w:r>
              <w:rPr>
                <w:sz w:val="20"/>
                <w:szCs w:val="20"/>
              </w:rPr>
              <w:t xml:space="preserve">34.6</w:t>
            </w:r>
          </w:p>
        </w:tc>
        <w:tc>
          <w:tcPr>
            <w:tcW w:w="0" w:type="auto"/>
          </w:tcPr>
          <w:p>
            <w:pPr>
              <w:spacing w:line="240" w:lineRule="auto" w:before="0" w:after="0"/>
              <w:pStyle w:val="Compact"/>
            </w:pPr>
            <w:r>
              <w:rPr>
                <w:sz w:val="20"/>
                <w:szCs w:val="20"/>
              </w:rPr>
              <w:t xml:space="preserve">0.1017</w:t>
            </w:r>
          </w:p>
        </w:tc>
        <w:tc>
          <w:tcPr>
            <w:tcW w:w="0" w:type="auto"/>
          </w:tcPr>
          <w:p>
            <w:pPr>
              <w:spacing w:line="240" w:lineRule="auto" w:before="0" w:after="0"/>
              <w:pStyle w:val="Compact"/>
            </w:pPr>
            <w:r>
              <w:rPr>
                <w:sz w:val="20"/>
                <w:szCs w:val="20"/>
              </w:rPr>
              <w:t xml:space="preserve">Planetary Society,</w:t>
            </w:r>
            <w:r>
              <w:rPr>
                <w:sz w:val="20"/>
                <w:szCs w:val="20"/>
              </w:rPr>
              <w:t xml:space="preserve"> </w:t>
            </w:r>
            <w:r>
              <w:rPr>
                <w:sz w:val="20"/>
                <w:szCs w:val="20"/>
              </w:rPr>
              <w:t xml:space="preserve">‘Implementing Missions Within Budget’</w:t>
            </w:r>
            <w:r>
              <w:rPr>
                <w:sz w:val="20"/>
                <w:szCs w:val="20"/>
              </w:rPr>
              <w:t xml:space="preserve"> </w:t>
            </w:r>
            <w:r>
              <w:rPr>
                <w:sz w:val="20"/>
                <w:szCs w:val="20"/>
              </w:rPr>
              <w:t xml:space="preserve">(2013-05-29), MESSENGER final $422.5M, +34.6% vs baseline; bespoke Mercury-environment clean-sheet design. planetary.org/articles/20130529-implementing-missions-within-budget-good-news</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SMD_Planetary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1.218</w:t>
            </w:r>
          </w:p>
        </w:tc>
        <w:tc>
          <w:tcPr>
            <w:tcW w:w="0" w:type="auto"/>
          </w:tcPr>
          <w:p>
            <w:pPr>
              <w:spacing w:line="240" w:lineRule="auto" w:before="0" w:after="0"/>
              <w:pStyle w:val="Compact"/>
            </w:pPr>
            <w:r>
              <w:rPr>
                <w:sz w:val="20"/>
                <w:szCs w:val="20"/>
              </w:rPr>
              <w:t xml:space="preserve">373</w:t>
            </w:r>
          </w:p>
        </w:tc>
        <w:tc>
          <w:tcPr>
            <w:tcW w:w="0" w:type="auto"/>
          </w:tcPr>
          <w:p>
            <w:pPr>
              <w:spacing w:line="240" w:lineRule="auto" w:before="0" w:after="0"/>
              <w:pStyle w:val="Compact"/>
            </w:pPr>
            <w:r>
              <w:rPr>
                <w:sz w:val="20"/>
                <w:szCs w:val="20"/>
              </w:rPr>
              <w:t xml:space="preserve">465</w:t>
            </w:r>
          </w:p>
        </w:tc>
        <w:tc>
          <w:tcPr>
            <w:tcW w:w="0" w:type="auto"/>
          </w:tcPr>
          <w:p>
            <w:pPr>
              <w:spacing w:line="240" w:lineRule="auto" w:before="0" w:after="0"/>
              <w:pStyle w:val="Compact"/>
            </w:pPr>
            <w:r>
              <w:rPr>
                <w:sz w:val="20"/>
                <w:szCs w:val="20"/>
              </w:rPr>
              <w:t xml:space="preserve">24.7</w:t>
            </w:r>
          </w:p>
        </w:tc>
        <w:tc>
          <w:tcPr>
            <w:tcW w:w="0" w:type="auto"/>
          </w:tcPr>
          <w:p>
            <w:pPr>
              <w:spacing w:line="240" w:lineRule="auto" w:before="0" w:after="0"/>
              <w:pStyle w:val="Compact"/>
            </w:pPr>
            <w:r>
              <w:rPr>
                <w:sz w:val="20"/>
                <w:szCs w:val="20"/>
              </w:rPr>
              <w:t xml:space="preserve">0.1972</w:t>
            </w:r>
          </w:p>
        </w:tc>
        <w:tc>
          <w:tcPr>
            <w:tcW w:w="0" w:type="auto"/>
          </w:tcPr>
          <w:p>
            <w:pPr>
              <w:spacing w:line="240" w:lineRule="auto" w:before="0" w:after="0"/>
              <w:pStyle w:val="Compact"/>
            </w:pPr>
            <w:r>
              <w:rPr>
                <w:sz w:val="20"/>
                <w:szCs w:val="20"/>
              </w:rPr>
              <w:t xml:space="preserve">Planetary Society,</w:t>
            </w:r>
            <w:r>
              <w:rPr>
                <w:sz w:val="20"/>
                <w:szCs w:val="20"/>
              </w:rPr>
              <w:t xml:space="preserve"> </w:t>
            </w:r>
            <w:r>
              <w:rPr>
                <w:sz w:val="20"/>
                <w:szCs w:val="20"/>
              </w:rPr>
              <w:t xml:space="preserve">‘Implementing Missions Within Budget’</w:t>
            </w:r>
            <w:r>
              <w:rPr>
                <w:sz w:val="20"/>
                <w:szCs w:val="20"/>
              </w:rPr>
              <w:t xml:space="preserve"> </w:t>
            </w:r>
            <w:r>
              <w:rPr>
                <w:sz w:val="20"/>
                <w:szCs w:val="20"/>
              </w:rPr>
              <w:t xml:space="preserve">(2013-05-29), Dawn final $465.0M, +24.7% vs baseline; first ion-propulsion bespoke science platform. planetary.org/articles/20130529-implementing-missions-within-budget-good-news</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SMD_Planetary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0.694</w:t>
            </w:r>
          </w:p>
        </w:tc>
        <w:tc>
          <w:tcPr>
            <w:tcW w:w="0" w:type="auto"/>
          </w:tcPr>
          <w:p>
            <w:pPr>
              <w:spacing w:line="240" w:lineRule="auto" w:before="0" w:after="0"/>
              <w:pStyle w:val="Compact"/>
            </w:pPr>
            <w:r>
              <w:rPr>
                <w:sz w:val="20"/>
                <w:szCs w:val="20"/>
              </w:rPr>
              <w:t xml:space="preserve">675</w:t>
            </w:r>
          </w:p>
        </w:tc>
        <w:tc>
          <w:tcPr>
            <w:tcW w:w="0" w:type="auto"/>
          </w:tcPr>
          <w:p>
            <w:pPr>
              <w:spacing w:line="240" w:lineRule="auto" w:before="0" w:after="0"/>
              <w:pStyle w:val="Compact"/>
            </w:pPr>
            <w:r>
              <w:rPr>
                <w:sz w:val="20"/>
                <w:szCs w:val="20"/>
              </w:rPr>
              <w:t xml:space="preserve">813.8</w:t>
            </w:r>
          </w:p>
        </w:tc>
        <w:tc>
          <w:tcPr>
            <w:tcW w:w="0" w:type="auto"/>
          </w:tcPr>
          <w:p>
            <w:pPr>
              <w:spacing w:line="240" w:lineRule="auto" w:before="0" w:after="0"/>
              <w:pStyle w:val="Compact"/>
            </w:pPr>
            <w:r>
              <w:rPr>
                <w:sz w:val="20"/>
                <w:szCs w:val="20"/>
              </w:rPr>
              <w:t xml:space="preserve">20.6</w:t>
            </w:r>
          </w:p>
        </w:tc>
        <w:tc>
          <w:tcPr>
            <w:tcW w:w="0" w:type="auto"/>
          </w:tcPr>
          <w:p>
            <w:pPr>
              <w:spacing w:line="240" w:lineRule="auto" w:before="0" w:after="0"/>
              <w:pStyle w:val="Compact"/>
            </w:pPr>
            <w:r>
              <w:rPr>
                <w:sz w:val="20"/>
                <w:szCs w:val="20"/>
              </w:rPr>
              <w:t xml:space="preserve">-0.3653</w:t>
            </w:r>
          </w:p>
        </w:tc>
        <w:tc>
          <w:tcPr>
            <w:tcW w:w="0" w:type="auto"/>
          </w:tcPr>
          <w:p>
            <w:pPr>
              <w:spacing w:line="240" w:lineRule="auto" w:before="0" w:after="0"/>
              <w:pStyle w:val="Compact"/>
            </w:pPr>
            <w:r>
              <w:rPr>
                <w:sz w:val="20"/>
                <w:szCs w:val="20"/>
              </w:rPr>
              <w:t xml:space="preserve">Planetary Society</w:t>
            </w:r>
            <w:r>
              <w:rPr>
                <w:sz w:val="20"/>
                <w:szCs w:val="20"/>
              </w:rPr>
              <w:t xml:space="preserve"> </w:t>
            </w:r>
            <w:r>
              <w:rPr>
                <w:sz w:val="20"/>
                <w:szCs w:val="20"/>
              </w:rPr>
              <w:t xml:space="preserve">‘Within Budget’</w:t>
            </w:r>
            <w:r>
              <w:rPr>
                <w:sz w:val="20"/>
                <w:szCs w:val="20"/>
              </w:rPr>
              <w:t xml:space="preserve"> </w:t>
            </w:r>
            <w:r>
              <w:rPr>
                <w:sz w:val="20"/>
                <w:szCs w:val="20"/>
              </w:rPr>
              <w:t xml:space="preserve">notes InSight reused the Phoenix lander design; final spend $813.8M through prime mission per SpaceNews (2022-12-21,</w:t>
            </w:r>
            <w:r>
              <w:rPr>
                <w:sz w:val="20"/>
                <w:szCs w:val="20"/>
              </w:rPr>
              <w:t xml:space="preserve"> </w:t>
            </w:r>
            <w:r>
              <w:rPr>
                <w:sz w:val="20"/>
                <w:szCs w:val="20"/>
              </w:rPr>
              <w:t xml:space="preserve">‘NASA declares end of InSight Mars mission’</w:t>
            </w:r>
            <w:r>
              <w:rPr>
                <w:sz w:val="20"/>
                <w:szCs w:val="20"/>
              </w:rPr>
              <w:t xml:space="preserve">); baseline ~$675M Discovery cap plus the $153.8M seismometer-leak addition. spacenews.com/nasa-declares-end-of-insight-mars-mission</w:t>
            </w:r>
          </w:p>
        </w:tc>
      </w:tr>
      <w:tr>
        <w:tc>
          <w:tcPr>
            <w:tcW w:w="0" w:type="auto"/>
          </w:tcPr>
          <w:p>
            <w:pPr>
              <w:spacing w:line="240" w:lineRule="auto" w:before="0" w:after="0"/>
              <w:pStyle w:val="Compact"/>
            </w:pPr>
            <w:r>
              <w:rPr>
                <w:sz w:val="20"/>
                <w:szCs w:val="20"/>
              </w:rPr>
              <w:t xml:space="preserve">OSIRIS_REx</w:t>
            </w:r>
          </w:p>
        </w:tc>
        <w:tc>
          <w:tcPr>
            <w:tcW w:w="0" w:type="auto"/>
          </w:tcPr>
          <w:p>
            <w:pPr>
              <w:spacing w:line="240" w:lineRule="auto" w:before="0" w:after="0"/>
              <w:pStyle w:val="Compact"/>
            </w:pPr>
            <w:r>
              <w:rPr>
                <w:sz w:val="20"/>
                <w:szCs w:val="20"/>
              </w:rPr>
              <w:t xml:space="preserve">SMD_Planetary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2.11</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0.7467</w:t>
            </w:r>
          </w:p>
        </w:tc>
        <w:tc>
          <w:tcPr>
            <w:tcW w:w="0" w:type="auto"/>
          </w:tcPr>
          <w:p>
            <w:pPr>
              <w:spacing w:line="240" w:lineRule="auto" w:before="0" w:after="0"/>
              <w:pStyle w:val="Compact"/>
            </w:pPr>
            <w:r>
              <w:rPr>
                <w:sz w:val="20"/>
                <w:szCs w:val="20"/>
              </w:rPr>
              <w:t xml:space="preserve">Planetary Society</w:t>
            </w:r>
            <w:r>
              <w:rPr>
                <w:sz w:val="20"/>
                <w:szCs w:val="20"/>
              </w:rPr>
              <w:t xml:space="preserve"> </w:t>
            </w:r>
            <w:r>
              <w:rPr>
                <w:sz w:val="20"/>
                <w:szCs w:val="20"/>
              </w:rPr>
              <w:t xml:space="preserve">‘Cost of OSIRIS-REx’</w:t>
            </w:r>
            <w:r>
              <w:rPr>
                <w:sz w:val="20"/>
                <w:szCs w:val="20"/>
              </w:rPr>
              <w:t xml:space="preserve">; mission stayed within its ~$800M development baseline (reached pad with reserve to spare, Spaceflight Now 2016-09-07); Lockheed Martin MRO/MAVEN/Juno heritage bus. planetary.org/space-policy/cost-of-osiris-rex</w:t>
            </w:r>
          </w:p>
        </w:tc>
      </w:tr>
      <w:tr>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SMD_Planetary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3.893</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2500</w:t>
            </w:r>
          </w:p>
        </w:tc>
        <w:tc>
          <w:tcPr>
            <w:tcW w:w="0" w:type="auto"/>
          </w:tcPr>
          <w:p>
            <w:pPr>
              <w:spacing w:line="240" w:lineRule="auto" w:before="0" w:after="0"/>
              <w:pStyle w:val="Compact"/>
            </w:pPr>
            <w:r>
              <w:rPr>
                <w:sz w:val="20"/>
                <w:szCs w:val="20"/>
              </w:rPr>
              <w:t xml:space="preserve">56.3</w:t>
            </w:r>
          </w:p>
        </w:tc>
        <w:tc>
          <w:tcPr>
            <w:tcW w:w="0" w:type="auto"/>
          </w:tcPr>
          <w:p>
            <w:pPr>
              <w:spacing w:line="240" w:lineRule="auto" w:before="0" w:after="0"/>
              <w:pStyle w:val="Compact"/>
            </w:pPr>
            <w:r>
              <w:rPr>
                <w:sz w:val="20"/>
                <w:szCs w:val="20"/>
              </w:rPr>
              <w:t xml:space="preserve">1.3592</w:t>
            </w:r>
          </w:p>
        </w:tc>
        <w:tc>
          <w:tcPr>
            <w:tcW w:w="0" w:type="auto"/>
          </w:tcPr>
          <w:p>
            <w:pPr>
              <w:spacing w:line="240" w:lineRule="auto" w:before="0" w:after="0"/>
              <w:pStyle w:val="Compact"/>
            </w:pPr>
            <w:r>
              <w:rPr>
                <w:sz w:val="20"/>
                <w:szCs w:val="20"/>
              </w:rPr>
              <w:t xml:space="preserve">NBC News (2011-02-11)</w:t>
            </w:r>
            <w:r>
              <w:rPr>
                <w:sz w:val="20"/>
                <w:szCs w:val="20"/>
              </w:rPr>
              <w:t xml:space="preserve"> </w:t>
            </w:r>
            <w:r>
              <w:rPr>
                <w:sz w:val="20"/>
                <w:szCs w:val="20"/>
              </w:rPr>
              <w:t xml:space="preserve">‘Cost of NASA next Mars rover soars to $2.5 billion’</w:t>
            </w:r>
            <w:r>
              <w:rPr>
                <w:sz w:val="20"/>
                <w:szCs w:val="20"/>
              </w:rPr>
              <w:t xml:space="preserve">; baseline $1.6B at 2006 confirmation grew to $2.5B; bespoke sky-crane EDL and rover. nbcnews.com/id/wbna41374241</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SMD_Planetary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2.747</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985</w:t>
            </w:r>
          </w:p>
        </w:tc>
        <w:tc>
          <w:tcPr>
            <w:tcW w:w="0" w:type="auto"/>
          </w:tcPr>
          <w:p>
            <w:pPr>
              <w:spacing w:line="240" w:lineRule="auto" w:before="0" w:after="0"/>
              <w:pStyle w:val="Compact"/>
            </w:pPr>
            <w:r>
              <w:rPr>
                <w:sz w:val="20"/>
                <w:szCs w:val="20"/>
              </w:rPr>
              <w:t xml:space="preserve">15.9</w:t>
            </w:r>
          </w:p>
        </w:tc>
        <w:tc>
          <w:tcPr>
            <w:tcW w:w="0" w:type="auto"/>
          </w:tcPr>
          <w:p>
            <w:pPr>
              <w:spacing w:line="240" w:lineRule="auto" w:before="0" w:after="0"/>
              <w:pStyle w:val="Compact"/>
            </w:pPr>
            <w:r>
              <w:rPr>
                <w:sz w:val="20"/>
                <w:szCs w:val="20"/>
              </w:rPr>
              <w:t xml:space="preserve">1.0105</w:t>
            </w:r>
          </w:p>
        </w:tc>
        <w:tc>
          <w:tcPr>
            <w:tcW w:w="0" w:type="auto"/>
          </w:tcPr>
          <w:p>
            <w:pPr>
              <w:spacing w:line="240" w:lineRule="auto" w:before="0" w:after="0"/>
              <w:pStyle w:val="Compact"/>
            </w:pPr>
            <w:r>
              <w:rPr>
                <w:sz w:val="20"/>
                <w:szCs w:val="20"/>
              </w:rPr>
              <w:t xml:space="preserve">NASA life-cycle cost $985M (UPI 2023-08-14); New Frontiers/Discovery selection development cap ~$850M; bespoke Maxar SEP chassis adapted, software-driven 2022 slip. upi.com/Science_News/2023/08/14/psyche-asteroid-NASA-satellite-JPL</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SMD_Planetary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2600</w:t>
            </w:r>
          </w:p>
        </w:tc>
        <w:tc>
          <w:tcPr>
            <w:tcW w:w="0" w:type="auto"/>
          </w:tcPr>
          <w:p>
            <w:pPr>
              <w:spacing w:line="240" w:lineRule="auto" w:before="0" w:after="0"/>
              <w:pStyle w:val="Compact"/>
            </w:pPr>
            <w:r>
              <w:rPr>
                <w:sz w:val="20"/>
                <w:szCs w:val="20"/>
              </w:rPr>
              <w:t xml:space="preserve">3350</w:t>
            </w:r>
          </w:p>
        </w:tc>
        <w:tc>
          <w:tcPr>
            <w:tcW w:w="0" w:type="auto"/>
          </w:tcPr>
          <w:p>
            <w:pPr>
              <w:spacing w:line="240" w:lineRule="auto" w:before="0" w:after="0"/>
              <w:pStyle w:val="Compact"/>
            </w:pPr>
            <w:r>
              <w:rPr>
                <w:sz w:val="20"/>
                <w:szCs w:val="20"/>
              </w:rPr>
              <w:t xml:space="preserve">28.8</w:t>
            </w:r>
          </w:p>
        </w:tc>
        <w:tc>
          <w:tcPr>
            <w:tcW w:w="0" w:type="auto"/>
          </w:tcPr>
          <w:p>
            <w:pPr>
              <w:spacing w:line="240" w:lineRule="auto" w:before="0" w:after="0"/>
              <w:pStyle w:val="Compact"/>
            </w:pPr>
            <w:r>
              <w:rPr>
                <w:sz w:val="20"/>
                <w:szCs w:val="20"/>
              </w:rPr>
              <w:t xml:space="preserve">-0.7985</w:t>
            </w:r>
          </w:p>
        </w:tc>
        <w:tc>
          <w:tcPr>
            <w:tcW w:w="0" w:type="auto"/>
          </w:tcPr>
          <w:p>
            <w:pPr>
              <w:spacing w:line="240" w:lineRule="auto" w:before="0" w:after="0"/>
              <w:pStyle w:val="Compact"/>
            </w:pPr>
            <w:r>
              <w:rPr>
                <w:sz w:val="20"/>
                <w:szCs w:val="20"/>
              </w:rPr>
              <w:t xml:space="preserve">NASA OIG IG-25-011 (2025-09)</w:t>
            </w:r>
            <w:r>
              <w:rPr>
                <w:sz w:val="20"/>
                <w:szCs w:val="20"/>
              </w:rPr>
              <w:t xml:space="preserve"> </w:t>
            </w:r>
            <w:r>
              <w:rPr>
                <w:sz w:val="20"/>
                <w:szCs w:val="20"/>
              </w:rPr>
              <w:t xml:space="preserve">‘NASA Management of the Dragonfly Project’</w:t>
            </w:r>
            <w:r>
              <w:rPr>
                <w:sz w:val="20"/>
                <w:szCs w:val="20"/>
              </w:rPr>
              <w:t xml:space="preserve">: April 2024 baseline total PIMMC $2.6B and life-cycle $3.35B; Phase B PIMMC grew ~$640M; bespoke nuclear rotorcraft, first-of-kind. oig.nasa.gov/wp-content/uploads/2025/09/final-report-ig-25-011</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SMD_Astrophysics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4960</w:t>
            </w:r>
          </w:p>
        </w:tc>
        <w:tc>
          <w:tcPr>
            <w:tcW w:w="0" w:type="auto"/>
          </w:tcPr>
          <w:p>
            <w:pPr>
              <w:spacing w:line="240" w:lineRule="auto" w:before="0" w:after="0"/>
              <w:pStyle w:val="Compact"/>
            </w:pPr>
            <w:r>
              <w:rPr>
                <w:sz w:val="20"/>
                <w:szCs w:val="20"/>
              </w:rPr>
              <w:t xml:space="preserve">8800</w:t>
            </w:r>
          </w:p>
        </w:tc>
        <w:tc>
          <w:tcPr>
            <w:tcW w:w="0" w:type="auto"/>
          </w:tcPr>
          <w:p>
            <w:pPr>
              <w:spacing w:line="240" w:lineRule="auto" w:before="0" w:after="0"/>
              <w:pStyle w:val="Compact"/>
            </w:pPr>
            <w:r>
              <w:rPr>
                <w:sz w:val="20"/>
                <w:szCs w:val="20"/>
              </w:rPr>
              <w:t xml:space="preserve">77.4</w:t>
            </w:r>
          </w:p>
        </w:tc>
        <w:tc>
          <w:tcPr>
            <w:tcW w:w="0" w:type="auto"/>
          </w:tcPr>
          <w:p>
            <w:pPr>
              <w:spacing w:line="240" w:lineRule="auto" w:before="0" w:after="0"/>
              <w:pStyle w:val="Compact"/>
            </w:pPr>
            <w:r>
              <w:rPr>
                <w:sz w:val="20"/>
                <w:szCs w:val="20"/>
              </w:rPr>
              <w:t xml:space="preserve">1.8718</w:t>
            </w:r>
          </w:p>
        </w:tc>
        <w:tc>
          <w:tcPr>
            <w:tcW w:w="0" w:type="auto"/>
          </w:tcPr>
          <w:p>
            <w:pPr>
              <w:spacing w:line="240" w:lineRule="auto" w:before="0" w:after="0"/>
              <w:pStyle w:val="Compact"/>
            </w:pPr>
            <w:r>
              <w:rPr>
                <w:sz w:val="20"/>
                <w:szCs w:val="20"/>
              </w:rPr>
              <w:t xml:space="preserve">GAO-13-4 and Planetary Society</w:t>
            </w:r>
            <w:r>
              <w:rPr>
                <w:sz w:val="20"/>
                <w:szCs w:val="20"/>
              </w:rPr>
              <w:t xml:space="preserve"> </w:t>
            </w:r>
            <w:r>
              <w:rPr>
                <w:sz w:val="20"/>
                <w:szCs w:val="20"/>
              </w:rPr>
              <w:t xml:space="preserve">‘How much does JWST cost’</w:t>
            </w:r>
            <w:r>
              <w:rPr>
                <w:sz w:val="20"/>
                <w:szCs w:val="20"/>
              </w:rPr>
              <w:t xml:space="preserve">; 2008/2009 confirmation baseline ~$4.96B rebaselined 2011 to $8.8B development+; bespoke deployable cryogenic observatory. gao.gov/products/gao-13-4 ; planetary.org/articles/cost-of-the-jwst</w:t>
            </w:r>
          </w:p>
        </w:tc>
      </w:tr>
      <w:tr>
        <w:tc>
          <w:tcPr>
            <w:tcW w:w="0" w:type="auto"/>
          </w:tcPr>
          <w:p>
            <w:pPr>
              <w:spacing w:line="240" w:lineRule="auto" w:before="0" w:after="0"/>
              <w:pStyle w:val="Compact"/>
            </w:pPr>
            <w:r>
              <w:rPr>
                <w:sz w:val="20"/>
                <w:szCs w:val="20"/>
              </w:rPr>
              <w:t xml:space="preserve">Europa_Clipper</w:t>
            </w:r>
          </w:p>
        </w:tc>
        <w:tc>
          <w:tcPr>
            <w:tcW w:w="0" w:type="auto"/>
          </w:tcPr>
          <w:p>
            <w:pPr>
              <w:spacing w:line="240" w:lineRule="auto" w:before="0" w:after="0"/>
              <w:pStyle w:val="Compact"/>
            </w:pPr>
            <w:r>
              <w:rPr>
                <w:sz w:val="20"/>
                <w:szCs w:val="20"/>
              </w:rPr>
              <w:t xml:space="preserve">SMD_Planetary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6.065</w:t>
            </w:r>
          </w:p>
        </w:tc>
        <w:tc>
          <w:tcPr>
            <w:tcW w:w="0" w:type="auto"/>
          </w:tcPr>
          <w:p>
            <w:pPr>
              <w:spacing w:line="240" w:lineRule="auto" w:before="0" w:after="0"/>
              <w:pStyle w:val="Compact"/>
            </w:pPr>
            <w:r>
              <w:rPr>
                <w:sz w:val="20"/>
                <w:szCs w:val="20"/>
              </w:rPr>
              <w:t xml:space="preserve">4250</w:t>
            </w:r>
          </w:p>
        </w:tc>
        <w:tc>
          <w:tcPr>
            <w:tcW w:w="0" w:type="auto"/>
          </w:tcPr>
          <w:p>
            <w:pPr>
              <w:spacing w:line="240" w:lineRule="auto" w:before="0" w:after="0"/>
              <w:pStyle w:val="Compact"/>
            </w:pPr>
            <w:r>
              <w:rPr>
                <w:sz w:val="20"/>
                <w:szCs w:val="20"/>
              </w:rPr>
              <w:t xml:space="preserve">5200</w:t>
            </w:r>
          </w:p>
        </w:tc>
        <w:tc>
          <w:tcPr>
            <w:tcW w:w="0" w:type="auto"/>
          </w:tcPr>
          <w:p>
            <w:pPr>
              <w:spacing w:line="240" w:lineRule="auto" w:before="0" w:after="0"/>
              <w:pStyle w:val="Compact"/>
            </w:pPr>
            <w:r>
              <w:rPr>
                <w:sz w:val="20"/>
                <w:szCs w:val="20"/>
              </w:rPr>
              <w:t xml:space="preserve">22.4</w:t>
            </w:r>
          </w:p>
        </w:tc>
        <w:tc>
          <w:tcPr>
            <w:tcW w:w="0" w:type="auto"/>
          </w:tcPr>
          <w:p>
            <w:pPr>
              <w:spacing w:line="240" w:lineRule="auto" w:before="0" w:after="0"/>
              <w:pStyle w:val="Compact"/>
            </w:pPr>
            <w:r>
              <w:rPr>
                <w:sz w:val="20"/>
                <w:szCs w:val="20"/>
              </w:rPr>
              <w:t xml:space="preserve">1.8025</w:t>
            </w:r>
          </w:p>
        </w:tc>
        <w:tc>
          <w:tcPr>
            <w:tcW w:w="0" w:type="auto"/>
          </w:tcPr>
          <w:p>
            <w:pPr>
              <w:spacing w:line="240" w:lineRule="auto" w:before="0" w:after="0"/>
              <w:pStyle w:val="Compact"/>
            </w:pPr>
            <w:r>
              <w:rPr>
                <w:sz w:val="20"/>
                <w:szCs w:val="20"/>
              </w:rPr>
              <w:t xml:space="preserve">SpacePolicyOnline</w:t>
            </w:r>
            <w:r>
              <w:rPr>
                <w:sz w:val="20"/>
                <w:szCs w:val="20"/>
              </w:rPr>
              <w:t xml:space="preserve"> </w:t>
            </w:r>
            <w:r>
              <w:rPr>
                <w:sz w:val="20"/>
                <w:szCs w:val="20"/>
              </w:rPr>
              <w:t xml:space="preserve">‘NASA Reveals Europa Clipper Cost Growth’</w:t>
            </w:r>
            <w:r>
              <w:rPr>
                <w:sz w:val="20"/>
                <w:szCs w:val="20"/>
              </w:rPr>
              <w:t xml:space="preserve">; 2019 Agency Baseline Commitment $4.25B grew toward $5B; total $5.2B at launch (Spaceflight Now 2024-10-14); bespoke high-radiation flagship. spacepolicyonline.com/news/nasa-reveals-europa-clipper-cost-growth-mars-sample-return-replan</w:t>
            </w:r>
          </w:p>
        </w:tc>
      </w:tr>
      <w:tr>
        <w:tc>
          <w:tcPr>
            <w:tcW w:w="0" w:type="auto"/>
          </w:tcPr>
          <w:p>
            <w:pPr>
              <w:spacing w:line="240" w:lineRule="auto" w:before="0" w:after="0"/>
              <w:pStyle w:val="Compact"/>
            </w:pPr>
            <w:r>
              <w:rPr>
                <w:sz w:val="20"/>
                <w:szCs w:val="20"/>
              </w:rPr>
              <w:t xml:space="preserve">Roman</w:t>
            </w:r>
          </w:p>
        </w:tc>
        <w:tc>
          <w:tcPr>
            <w:tcW w:w="0" w:type="auto"/>
          </w:tcPr>
          <w:p>
            <w:pPr>
              <w:spacing w:line="240" w:lineRule="auto" w:before="0" w:after="0"/>
              <w:pStyle w:val="Compact"/>
            </w:pPr>
            <w:r>
              <w:rPr>
                <w:sz w:val="20"/>
                <w:szCs w:val="20"/>
              </w:rPr>
              <w:t xml:space="preserve">SMD_Astrophysics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4.166</w:t>
            </w:r>
          </w:p>
        </w:tc>
        <w:tc>
          <w:tcPr>
            <w:tcW w:w="0" w:type="auto"/>
          </w:tcPr>
          <w:p>
            <w:pPr>
              <w:spacing w:line="240" w:lineRule="auto" w:before="0" w:after="0"/>
              <w:pStyle w:val="Compact"/>
            </w:pPr>
            <w:r>
              <w:rPr>
                <w:sz w:val="20"/>
                <w:szCs w:val="20"/>
              </w:rPr>
              <w:t xml:space="preserve">3200</w:t>
            </w:r>
          </w:p>
        </w:tc>
        <w:tc>
          <w:tcPr>
            <w:tcW w:w="0" w:type="auto"/>
          </w:tcPr>
          <w:p>
            <w:pPr>
              <w:spacing w:line="240" w:lineRule="auto" w:before="0" w:after="0"/>
              <w:pStyle w:val="Compact"/>
            </w:pPr>
            <w:r>
              <w:rPr>
                <w:sz w:val="20"/>
                <w:szCs w:val="20"/>
              </w:rPr>
              <w:t xml:space="preserve">3934</w:t>
            </w:r>
          </w:p>
        </w:tc>
        <w:tc>
          <w:tcPr>
            <w:tcW w:w="0" w:type="auto"/>
          </w:tcPr>
          <w:p>
            <w:pPr>
              <w:spacing w:line="240" w:lineRule="auto" w:before="0" w:after="0"/>
              <w:pStyle w:val="Compact"/>
            </w:pPr>
            <w:r>
              <w:rPr>
                <w:sz w:val="20"/>
                <w:szCs w:val="20"/>
              </w:rPr>
              <w:t xml:space="preserve">22.9</w:t>
            </w:r>
          </w:p>
        </w:tc>
        <w:tc>
          <w:tcPr>
            <w:tcW w:w="0" w:type="auto"/>
          </w:tcPr>
          <w:p>
            <w:pPr>
              <w:spacing w:line="240" w:lineRule="auto" w:before="0" w:after="0"/>
              <w:pStyle w:val="Compact"/>
            </w:pPr>
            <w:r>
              <w:rPr>
                <w:sz w:val="20"/>
                <w:szCs w:val="20"/>
              </w:rPr>
              <w:t xml:space="preserve">1.427</w:t>
            </w:r>
          </w:p>
        </w:tc>
        <w:tc>
          <w:tcPr>
            <w:tcW w:w="0" w:type="auto"/>
          </w:tcPr>
          <w:p>
            <w:pPr>
              <w:spacing w:line="240" w:lineRule="auto" w:before="0" w:after="0"/>
              <w:pStyle w:val="Compact"/>
            </w:pPr>
            <w:r>
              <w:rPr>
                <w:sz w:val="20"/>
                <w:szCs w:val="20"/>
              </w:rPr>
              <w:t xml:space="preserve">NASA (2020-03-02)</w:t>
            </w:r>
            <w:r>
              <w:rPr>
                <w:sz w:val="20"/>
                <w:szCs w:val="20"/>
              </w:rPr>
              <w:t xml:space="preserve"> </w:t>
            </w:r>
            <w:r>
              <w:rPr>
                <w:sz w:val="20"/>
                <w:szCs w:val="20"/>
              </w:rPr>
              <w:t xml:space="preserve">‘NASA Approves Development of Roman’</w:t>
            </w:r>
            <w:r>
              <w:rPr>
                <w:sz w:val="20"/>
                <w:szCs w:val="20"/>
              </w:rPr>
              <w:t xml:space="preserve">; KDP-C development baseline $3.2B with $3.934B not-to-exceed including coronagraph and ops; repurposed 2.4m optics but bespoke integration. nasa.gov/missions/roman-space-telescope/nasa-approves-development</w:t>
            </w:r>
          </w:p>
        </w:tc>
      </w:tr>
      <w:tr>
        <w:tc>
          <w:tcPr>
            <w:tcW w:w="0" w:type="auto"/>
          </w:tcPr>
          <w:p>
            <w:pPr>
              <w:spacing w:line="240" w:lineRule="auto" w:before="0" w:after="0"/>
              <w:pStyle w:val="Compact"/>
            </w:pPr>
            <w:r>
              <w:rPr>
                <w:sz w:val="20"/>
                <w:szCs w:val="20"/>
              </w:rPr>
              <w:t xml:space="preserve">ICESat_2</w:t>
            </w:r>
          </w:p>
        </w:tc>
        <w:tc>
          <w:tcPr>
            <w:tcW w:w="0" w:type="auto"/>
          </w:tcPr>
          <w:p>
            <w:pPr>
              <w:spacing w:line="240" w:lineRule="auto" w:before="0" w:after="0"/>
              <w:pStyle w:val="Compact"/>
            </w:pPr>
            <w:r>
              <w:rPr>
                <w:sz w:val="20"/>
                <w:szCs w:val="20"/>
              </w:rPr>
              <w:t xml:space="preserve">SMD_Earth</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1.387</w:t>
            </w:r>
          </w:p>
        </w:tc>
        <w:tc>
          <w:tcPr>
            <w:tcW w:w="0" w:type="auto"/>
          </w:tcPr>
          <w:p>
            <w:pPr>
              <w:spacing w:line="240" w:lineRule="auto" w:before="0" w:after="0"/>
              <w:pStyle w:val="Compact"/>
            </w:pPr>
            <w:r>
              <w:rPr>
                <w:sz w:val="20"/>
                <w:szCs w:val="20"/>
              </w:rPr>
              <w:t xml:space="preserve">560</w:t>
            </w:r>
          </w:p>
        </w:tc>
        <w:tc>
          <w:tcPr>
            <w:tcW w:w="0" w:type="auto"/>
          </w:tcPr>
          <w:p>
            <w:pPr>
              <w:spacing w:line="240" w:lineRule="auto" w:before="0" w:after="0"/>
              <w:pStyle w:val="Compact"/>
            </w:pPr>
            <w:r>
              <w:rPr>
                <w:sz w:val="20"/>
                <w:szCs w:val="20"/>
              </w:rPr>
              <w:t xml:space="preserve">760</w:t>
            </w:r>
          </w:p>
        </w:tc>
        <w:tc>
          <w:tcPr>
            <w:tcW w:w="0" w:type="auto"/>
          </w:tcPr>
          <w:p>
            <w:pPr>
              <w:spacing w:line="240" w:lineRule="auto" w:before="0" w:after="0"/>
              <w:pStyle w:val="Compact"/>
            </w:pPr>
            <w:r>
              <w:rPr>
                <w:sz w:val="20"/>
                <w:szCs w:val="20"/>
              </w:rPr>
              <w:t xml:space="preserve">35.7</w:t>
            </w:r>
          </w:p>
        </w:tc>
        <w:tc>
          <w:tcPr>
            <w:tcW w:w="0" w:type="auto"/>
          </w:tcPr>
          <w:p>
            <w:pPr>
              <w:spacing w:line="240" w:lineRule="auto" w:before="0" w:after="0"/>
              <w:pStyle w:val="Compact"/>
            </w:pPr>
            <w:r>
              <w:rPr>
                <w:sz w:val="20"/>
                <w:szCs w:val="20"/>
              </w:rPr>
              <w:t xml:space="preserve">0.3271</w:t>
            </w:r>
          </w:p>
        </w:tc>
        <w:tc>
          <w:tcPr>
            <w:tcW w:w="0" w:type="auto"/>
          </w:tcPr>
          <w:p>
            <w:pPr>
              <w:spacing w:line="240" w:lineRule="auto" w:before="0" w:after="0"/>
              <w:pStyle w:val="Compact"/>
            </w:pPr>
            <w:r>
              <w:rPr>
                <w:sz w:val="20"/>
                <w:szCs w:val="20"/>
              </w:rPr>
              <w:t xml:space="preserve">SpaceNews (2014-06) and Spaceflight Now: ICESat-2 grew ~36% over the 2012 baseline (~$560M to ~$760M build+launch) driven by the ATLAS laser-altimeter instrument; bespoke single-instrument observatory. spacenews.com/41729paying-for-icesat-2-overruns-delays-international-earth-science-launches</w:t>
            </w:r>
          </w:p>
        </w:tc>
      </w:tr>
      <w:tr>
        <w:tc>
          <w:tcPr>
            <w:tcW w:w="0" w:type="auto"/>
          </w:tcPr>
          <w:p>
            <w:pPr>
              <w:spacing w:line="240" w:lineRule="auto" w:before="0" w:after="0"/>
              <w:pStyle w:val="Compact"/>
            </w:pPr>
            <w:r>
              <w:rPr>
                <w:sz w:val="20"/>
                <w:szCs w:val="20"/>
              </w:rPr>
              <w:t xml:space="preserve">GRACE_FO</w:t>
            </w:r>
          </w:p>
        </w:tc>
        <w:tc>
          <w:tcPr>
            <w:tcW w:w="0" w:type="auto"/>
          </w:tcPr>
          <w:p>
            <w:pPr>
              <w:spacing w:line="240" w:lineRule="auto" w:before="0" w:after="0"/>
              <w:pStyle w:val="Compact"/>
            </w:pPr>
            <w:r>
              <w:rPr>
                <w:sz w:val="20"/>
                <w:szCs w:val="20"/>
              </w:rPr>
              <w:t xml:space="preserve">SMD_Earth</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430</w:t>
            </w:r>
          </w:p>
        </w:tc>
        <w:tc>
          <w:tcPr>
            <w:tcW w:w="0" w:type="auto"/>
          </w:tcPr>
          <w:p>
            <w:pPr>
              <w:spacing w:line="240" w:lineRule="auto" w:before="0" w:after="0"/>
              <w:pStyle w:val="Compact"/>
            </w:pPr>
            <w:r>
              <w:rPr>
                <w:sz w:val="20"/>
                <w:szCs w:val="20"/>
              </w:rPr>
              <w:t xml:space="preserve">430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-0.5447</w:t>
            </w:r>
          </w:p>
        </w:tc>
        <w:tc>
          <w:tcPr>
            <w:tcW w:w="0" w:type="auto"/>
          </w:tcPr>
          <w:p>
            <w:pPr>
              <w:spacing w:line="240" w:lineRule="auto" w:before="0" w:after="0"/>
              <w:pStyle w:val="Compact"/>
            </w:pPr>
            <w:r>
              <w:rPr>
                <w:sz w:val="20"/>
                <w:szCs w:val="20"/>
              </w:rPr>
              <w:t xml:space="preserve">GRACE-FO NASA cost $430M (SpacePolicyOnline pre-launch press conference 2018-05); near-exact rebuild of the GRACE spacecraft on the Airbus heritage bus. spacepolicyonline.com/news/nasas-grace-fo-five-iridium-satellites-share-a-ride-to-space</w:t>
            </w:r>
          </w:p>
        </w:tc>
      </w:tr>
      <w:tr>
        <w:tc>
          <w:tcPr>
            <w:tcW w:w="0" w:type="auto"/>
          </w:tcPr>
          <w:p>
            <w:pPr>
              <w:spacing w:line="240" w:lineRule="auto" w:before="0" w:after="0"/>
              <w:pStyle w:val="Compact"/>
            </w:pPr>
            <w:r>
              <w:rPr>
                <w:sz w:val="20"/>
                <w:szCs w:val="20"/>
              </w:rPr>
              <w:t xml:space="preserve">SLS</w:t>
            </w:r>
          </w:p>
        </w:tc>
        <w:tc>
          <w:tcPr>
            <w:tcW w:w="0" w:type="auto"/>
          </w:tcPr>
          <w:p>
            <w:pPr>
              <w:spacing w:line="240" w:lineRule="auto" w:before="0" w:after="0"/>
              <w:pStyle w:val="Compact"/>
            </w:pPr>
            <w:r>
              <w:rPr>
                <w:sz w:val="20"/>
                <w:szCs w:val="20"/>
              </w:rPr>
              <w:t xml:space="preserve">ESDMD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2600</w:t>
            </w:r>
          </w:p>
        </w:tc>
        <w:tc>
          <w:tcPr>
            <w:tcW w:w="0" w:type="auto"/>
          </w:tcPr>
          <w:p>
            <w:pPr>
              <w:spacing w:line="240" w:lineRule="auto" w:before="0" w:after="0"/>
              <w:pStyle w:val="Compact"/>
            </w:pPr>
            <w:r>
              <w:rPr>
                <w:sz w:val="20"/>
                <w:szCs w:val="20"/>
              </w:rPr>
              <w:t xml:space="preserve">7000</w:t>
            </w:r>
          </w:p>
        </w:tc>
        <w:tc>
          <w:tcPr>
            <w:tcW w:w="0" w:type="auto"/>
          </w:tcPr>
          <w:p>
            <w:pPr>
              <w:spacing w:line="240" w:lineRule="auto" w:before="0" w:after="0"/>
              <w:pStyle w:val="Compact"/>
            </w:pPr>
            <w:r>
              <w:rPr>
                <w:sz w:val="20"/>
                <w:szCs w:val="20"/>
              </w:rPr>
              <w:t xml:space="preserve">9700</w:t>
            </w:r>
          </w:p>
        </w:tc>
        <w:tc>
          <w:tcPr>
            <w:tcW w:w="0" w:type="auto"/>
          </w:tcPr>
          <w:p>
            <w:pPr>
              <w:spacing w:line="240" w:lineRule="auto" w:before="0" w:after="0"/>
              <w:pStyle w:val="Compact"/>
            </w:pPr>
            <w:r>
              <w:rPr>
                <w:sz w:val="20"/>
                <w:szCs w:val="20"/>
              </w:rPr>
              <w:t xml:space="preserve">38.6</w:t>
            </w:r>
          </w:p>
        </w:tc>
        <w:tc>
          <w:tcPr>
            <w:tcW w:w="0" w:type="auto"/>
          </w:tcPr>
          <w:p>
            <w:pPr>
              <w:spacing w:line="240" w:lineRule="auto" w:before="0" w:after="0"/>
              <w:pStyle w:val="Compact"/>
            </w:pPr>
            <w:r>
              <w:rPr>
                <w:sz w:val="20"/>
                <w:szCs w:val="20"/>
              </w:rPr>
              <w:t xml:space="preserve">7.8633</w:t>
            </w:r>
          </w:p>
        </w:tc>
        <w:tc>
          <w:tcPr>
            <w:tcW w:w="0" w:type="auto"/>
          </w:tcPr>
          <w:p>
            <w:pPr>
              <w:spacing w:line="240" w:lineRule="auto" w:before="0" w:after="0"/>
              <w:pStyle w:val="Compact"/>
            </w:pPr>
            <w:r>
              <w:rPr>
                <w:sz w:val="20"/>
                <w:szCs w:val="20"/>
              </w:rPr>
              <w:t xml:space="preserve">GAO-19-262SP and GAO-18-280SP: SLS program experienced sustained cost growth; NASA rebaselined SLS in June 2020 after manufacturing-driven overruns and an ~8-month slip; bespoke heavy-lift core stage. gao.gov/assets/gao-19-262sp.pdf</w:t>
            </w:r>
          </w:p>
        </w:tc>
      </w:tr>
      <w:tr>
        <w:tc>
          <w:tcPr>
            <w:tcW w:w="0" w:type="auto"/>
          </w:tcPr>
          <w:p>
            <w:pPr>
              <w:spacing w:line="240" w:lineRule="auto" w:before="0" w:after="0"/>
              <w:pStyle w:val="Compact"/>
            </w:pPr>
            <w:r>
              <w:rPr>
                <w:sz w:val="20"/>
                <w:szCs w:val="20"/>
              </w:rPr>
              <w:t xml:space="preserve">Orion_MPCV</w:t>
            </w:r>
          </w:p>
        </w:tc>
        <w:tc>
          <w:tcPr>
            <w:tcW w:w="0" w:type="auto"/>
          </w:tcPr>
          <w:p>
            <w:pPr>
              <w:spacing w:line="240" w:lineRule="auto" w:before="0" w:after="0"/>
              <w:pStyle w:val="Compact"/>
            </w:pPr>
            <w:r>
              <w:rPr>
                <w:sz w:val="20"/>
                <w:szCs w:val="20"/>
              </w:rPr>
              <w:t xml:space="preserve">ESDMD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26.5</w:t>
            </w:r>
          </w:p>
        </w:tc>
        <w:tc>
          <w:tcPr>
            <w:tcW w:w="0" w:type="auto"/>
          </w:tcPr>
          <w:p>
            <w:pPr>
              <w:spacing w:line="240" w:lineRule="auto" w:before="0" w:after="0"/>
              <w:pStyle w:val="Compact"/>
            </w:pPr>
            <w:r>
              <w:rPr>
                <w:sz w:val="20"/>
                <w:szCs w:val="20"/>
              </w:rPr>
              <w:t xml:space="preserve">6700</w:t>
            </w:r>
          </w:p>
        </w:tc>
        <w:tc>
          <w:tcPr>
            <w:tcW w:w="0" w:type="auto"/>
          </w:tcPr>
          <w:p>
            <w:pPr>
              <w:spacing w:line="240" w:lineRule="auto" w:before="0" w:after="0"/>
              <w:pStyle w:val="Compact"/>
            </w:pPr>
            <w:r>
              <w:rPr>
                <w:sz w:val="20"/>
                <w:szCs w:val="20"/>
              </w:rPr>
              <w:t xml:space="preserve">9300</w:t>
            </w:r>
          </w:p>
        </w:tc>
        <w:tc>
          <w:tcPr>
            <w:tcW w:w="0" w:type="auto"/>
          </w:tcPr>
          <w:p>
            <w:pPr>
              <w:spacing w:line="240" w:lineRule="auto" w:before="0" w:after="0"/>
              <w:pStyle w:val="Compact"/>
            </w:pPr>
            <w:r>
              <w:rPr>
                <w:sz w:val="20"/>
                <w:szCs w:val="20"/>
              </w:rPr>
              <w:t xml:space="preserve">38.8</w:t>
            </w:r>
          </w:p>
        </w:tc>
        <w:tc>
          <w:tcPr>
            <w:tcW w:w="0" w:type="auto"/>
          </w:tcPr>
          <w:p>
            <w:pPr>
              <w:spacing w:line="240" w:lineRule="auto" w:before="0" w:after="0"/>
              <w:pStyle w:val="Compact"/>
            </w:pPr>
            <w:r>
              <w:rPr>
                <w:sz w:val="20"/>
                <w:szCs w:val="20"/>
              </w:rPr>
              <w:t xml:space="preserve">3.2771</w:t>
            </w:r>
          </w:p>
        </w:tc>
        <w:tc>
          <w:tcPr>
            <w:tcW w:w="0" w:type="auto"/>
          </w:tcPr>
          <w:p>
            <w:pPr>
              <w:spacing w:line="240" w:lineRule="auto" w:before="0" w:after="0"/>
              <w:pStyle w:val="Compact"/>
            </w:pPr>
            <w:r>
              <w:rPr>
                <w:sz w:val="20"/>
                <w:szCs w:val="20"/>
              </w:rPr>
              <w:t xml:space="preserve">GAO-25-107591 (July 2025): Orion Multi-Purpose Crew Vehicle accounted for over $360M of FY24-25 annual cost growth and is among the portfolio’s largest cumulative overruns; bespoke deep-space crew vehicle. gao.gov/assets/gao-25-107591-highlights.pdf</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SMD_Astrophysics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395</w:t>
            </w:r>
          </w:p>
        </w:tc>
        <w:tc>
          <w:tcPr>
            <w:tcW w:w="0" w:type="auto"/>
          </w:tcPr>
          <w:p>
            <w:pPr>
              <w:spacing w:line="240" w:lineRule="auto" w:before="0" w:after="0"/>
              <w:pStyle w:val="Compact"/>
            </w:pPr>
            <w:r>
              <w:rPr>
                <w:sz w:val="20"/>
                <w:szCs w:val="20"/>
              </w:rPr>
              <w:t xml:space="preserve">488</w:t>
            </w:r>
          </w:p>
        </w:tc>
        <w:tc>
          <w:tcPr>
            <w:tcW w:w="0" w:type="auto"/>
          </w:tcPr>
          <w:p>
            <w:pPr>
              <w:spacing w:line="240" w:lineRule="auto" w:before="0" w:after="0"/>
              <w:pStyle w:val="Compact"/>
            </w:pPr>
            <w:r>
              <w:rPr>
                <w:sz w:val="20"/>
                <w:szCs w:val="20"/>
              </w:rPr>
              <w:t xml:space="preserve">23.5</w:t>
            </w:r>
          </w:p>
        </w:tc>
        <w:tc>
          <w:tcPr>
            <w:tcW w:w="0" w:type="auto"/>
          </w:tcPr>
          <w:p>
            <w:pPr>
              <w:spacing w:line="240" w:lineRule="auto" w:before="0" w:after="0"/>
              <w:pStyle w:val="Compact"/>
            </w:pPr>
            <w:r>
              <w:rPr>
                <w:sz w:val="20"/>
                <w:szCs w:val="20"/>
              </w:rPr>
              <w:t xml:space="preserve">-0.3011</w:t>
            </w:r>
          </w:p>
        </w:tc>
        <w:tc>
          <w:tcPr>
            <w:tcW w:w="0" w:type="auto"/>
          </w:tcPr>
          <w:p>
            <w:pPr>
              <w:spacing w:line="240" w:lineRule="auto" w:before="0" w:after="0"/>
              <w:pStyle w:val="Compact"/>
            </w:pPr>
            <w:r>
              <w:rPr>
                <w:sz w:val="20"/>
                <w:szCs w:val="20"/>
              </w:rPr>
              <w:t xml:space="preserve">SPHEREx observatory final cost $488M (eoPortal; Wikipedia</w:t>
            </w:r>
            <w:r>
              <w:rPr>
                <w:sz w:val="20"/>
                <w:szCs w:val="20"/>
              </w:rPr>
              <w:t xml:space="preserve"> </w:t>
            </w:r>
            <w:r>
              <w:rPr>
                <w:sz w:val="20"/>
                <w:szCs w:val="20"/>
              </w:rPr>
              <w:t xml:space="preserve">‘SPHEREx’</w:t>
            </w:r>
            <w:r>
              <w:rPr>
                <w:sz w:val="20"/>
                <w:szCs w:val="20"/>
              </w:rPr>
              <w:t xml:space="preserve">), MIDEX-class single-instrument all-sky survey on a BAE/Ball Aerospace heritage smallsat bus. [illustrative] baseline ~$395M estimated from the MIDEX cost cap; final $488M is documented. eoportal.org/satellite-missions/spherex</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SMD_Astrophysics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0.362</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-1.0161</w:t>
            </w:r>
          </w:p>
        </w:tc>
        <w:tc>
          <w:tcPr>
            <w:tcW w:w="0" w:type="auto"/>
          </w:tcPr>
          <w:p>
            <w:pPr>
              <w:spacing w:line="240" w:lineRule="auto" w:before="0" w:after="0"/>
              <w:pStyle w:val="Compact"/>
            </w:pPr>
            <w:r>
              <w:rPr>
                <w:sz w:val="20"/>
                <w:szCs w:val="20"/>
              </w:rPr>
              <w:t xml:space="preserve">TESS (Transiting Exoplanet Survey Satellite) Explorer-class on the Orbital LEOStar-2 heritage bus; held to its $200M Explorer development cost cap (Wikipedia</w:t>
            </w:r>
            <w:r>
              <w:rPr>
                <w:sz w:val="20"/>
                <w:szCs w:val="20"/>
              </w:rPr>
              <w:t xml:space="preserve"> </w:t>
            </w:r>
            <w:r>
              <w:rPr>
                <w:sz w:val="20"/>
                <w:szCs w:val="20"/>
              </w:rPr>
              <w:t xml:space="preserve">‘TESS’</w:t>
            </w:r>
            <w:r>
              <w:rPr>
                <w:sz w:val="20"/>
                <w:szCs w:val="20"/>
              </w:rPr>
              <w:t xml:space="preserve">; Space.com), launched 2018. en.wikipedia.org/wiki/Transiting_Exoplanet_Survey_Satellite</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SMD_Planetary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981</w:t>
            </w:r>
          </w:p>
        </w:tc>
        <w:tc>
          <w:tcPr>
            <w:tcW w:w="0" w:type="auto"/>
          </w:tcPr>
          <w:p>
            <w:pPr>
              <w:spacing w:line="240" w:lineRule="auto" w:before="0" w:after="0"/>
              <w:pStyle w:val="Compact"/>
            </w:pPr>
            <w:r>
              <w:rPr>
                <w:sz w:val="20"/>
                <w:szCs w:val="20"/>
              </w:rPr>
              <w:t xml:space="preserve">981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0.4383</w:t>
            </w:r>
          </w:p>
        </w:tc>
        <w:tc>
          <w:tcPr>
            <w:tcW w:w="0" w:type="auto"/>
          </w:tcPr>
          <w:p>
            <w:pPr>
              <w:spacing w:line="240" w:lineRule="auto" w:before="0" w:after="0"/>
              <w:pStyle w:val="Compact"/>
            </w:pPr>
            <w:r>
              <w:rPr>
                <w:sz w:val="20"/>
                <w:szCs w:val="20"/>
              </w:rPr>
              <w:t xml:space="preserve">Lucy Discovery mission on Lockheed Martin heritage planetary bus; $981M mission cost held and launched on schedule 16 Oct 2021 (Wikipedia</w:t>
            </w:r>
            <w:r>
              <w:rPr>
                <w:sz w:val="20"/>
                <w:szCs w:val="20"/>
              </w:rPr>
              <w:t xml:space="preserve"> </w:t>
            </w:r>
            <w:r>
              <w:rPr>
                <w:sz w:val="20"/>
                <w:szCs w:val="20"/>
              </w:rPr>
              <w:t xml:space="preserve">‘Lucy’</w:t>
            </w:r>
            <w:r>
              <w:rPr>
                <w:sz w:val="20"/>
                <w:szCs w:val="20"/>
              </w:rPr>
              <w:t xml:space="preserve">; Planetary Society</w:t>
            </w:r>
            <w:r>
              <w:rPr>
                <w:sz w:val="20"/>
                <w:szCs w:val="20"/>
              </w:rPr>
              <w:t xml:space="preserve"> </w:t>
            </w:r>
            <w:r>
              <w:rPr>
                <w:sz w:val="20"/>
                <w:szCs w:val="20"/>
              </w:rPr>
              <w:t xml:space="preserve">‘Cost of the Lucy Mission’</w:t>
            </w:r>
            <w:r>
              <w:rPr>
                <w:sz w:val="20"/>
                <w:szCs w:val="20"/>
              </w:rPr>
              <w:t xml:space="preserve">). planetary.org/space-policy/lucy-cost</w:t>
            </w:r>
          </w:p>
        </w:tc>
      </w:tr>
      <w:tr>
        <w:tc>
          <w:tcPr>
            <w:tcW w:w="0" w:type="auto"/>
          </w:tcPr>
          <w:p>
            <w:pPr>
              <w:spacing w:line="240" w:lineRule="auto" w:before="0" w:after="0"/>
              <w:pStyle w:val="Compact"/>
            </w:pPr>
            <w:r>
              <w:rPr>
                <w:sz w:val="20"/>
                <w:szCs w:val="20"/>
              </w:rPr>
              <w:t xml:space="preserve">Landsat_9</w:t>
            </w:r>
          </w:p>
        </w:tc>
        <w:tc>
          <w:tcPr>
            <w:tcW w:w="0" w:type="auto"/>
          </w:tcPr>
          <w:p>
            <w:pPr>
              <w:spacing w:line="240" w:lineRule="auto" w:before="0" w:after="0"/>
              <w:pStyle w:val="Compact"/>
            </w:pPr>
            <w:r>
              <w:rPr>
                <w:sz w:val="20"/>
                <w:szCs w:val="20"/>
              </w:rPr>
              <w:t xml:space="preserve">SMD_Earth</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2.711</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0.9973</w:t>
            </w:r>
          </w:p>
        </w:tc>
        <w:tc>
          <w:tcPr>
            <w:tcW w:w="0" w:type="auto"/>
          </w:tcPr>
          <w:p>
            <w:pPr>
              <w:spacing w:line="240" w:lineRule="auto" w:before="0" w:after="0"/>
              <w:pStyle w:val="Compact"/>
            </w:pPr>
            <w:r>
              <w:rPr>
                <w:sz w:val="20"/>
                <w:szCs w:val="20"/>
              </w:rPr>
              <w:t xml:space="preserve">Landsat 9 near-twin rebuild of Landsat 8 on the Northrop Grumman heritage bus; held to ~$750M development cost, launched 2021 (SpaceNews</w:t>
            </w:r>
            <w:r>
              <w:rPr>
                <w:sz w:val="20"/>
                <w:szCs w:val="20"/>
              </w:rPr>
              <w:t xml:space="preserve"> </w:t>
            </w:r>
            <w:r>
              <w:rPr>
                <w:sz w:val="20"/>
                <w:szCs w:val="20"/>
              </w:rPr>
              <w:t xml:space="preserve">‘Atlas 5 launches Landsat 9’</w:t>
            </w:r>
            <w:r>
              <w:rPr>
                <w:sz w:val="20"/>
                <w:szCs w:val="20"/>
              </w:rPr>
              <w:t xml:space="preserve">; CRS R46560). spacenews.com/atlas-5-launches-landsat-9</w:t>
            </w:r>
          </w:p>
        </w:tc>
      </w:tr>
      <w:tr>
        <w:tc>
          <w:tcPr>
            <w:tcW w:w="0" w:type="auto"/>
          </w:tcPr>
          <w:p>
            <w:pPr>
              <w:spacing w:line="240" w:lineRule="auto" w:before="0" w:after="0"/>
              <w:pStyle w:val="Compact"/>
            </w:pPr>
            <w:r>
              <w:rPr>
                <w:sz w:val="20"/>
                <w:szCs w:val="20"/>
              </w:rPr>
              <w:t xml:space="preserve">NEO_Surveyor</w:t>
            </w:r>
          </w:p>
        </w:tc>
        <w:tc>
          <w:tcPr>
            <w:tcW w:w="0" w:type="auto"/>
          </w:tcPr>
          <w:p>
            <w:pPr>
              <w:spacing w:line="240" w:lineRule="auto" w:before="0" w:after="0"/>
              <w:pStyle w:val="Compact"/>
            </w:pPr>
            <w:r>
              <w:rPr>
                <w:sz w:val="20"/>
                <w:szCs w:val="20"/>
              </w:rPr>
              <w:t xml:space="preserve">SMD_Planetary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0.2624</w:t>
            </w:r>
          </w:p>
        </w:tc>
        <w:tc>
          <w:tcPr>
            <w:tcW w:w="0" w:type="auto"/>
          </w:tcPr>
          <w:p>
            <w:pPr>
              <w:spacing w:line="240" w:lineRule="auto" w:before="0" w:after="0"/>
              <w:pStyle w:val="Compact"/>
            </w:pPr>
            <w:r>
              <w:rPr>
                <w:sz w:val="20"/>
                <w:szCs w:val="20"/>
              </w:rPr>
              <w:t xml:space="preserve">NEO Surveyor: committed development cost baseline $1.2B after a budget-driven replan, up from an earlier $500-600M estimate (SpacePolicyOnline</w:t>
            </w:r>
            <w:r>
              <w:rPr>
                <w:sz w:val="20"/>
                <w:szCs w:val="20"/>
              </w:rPr>
              <w:t xml:space="preserve"> </w:t>
            </w:r>
            <w:r>
              <w:rPr>
                <w:sz w:val="20"/>
                <w:szCs w:val="20"/>
              </w:rPr>
              <w:t xml:space="preserve">‘Asteroid-Hunting Telescope Clears NASA Review’</w:t>
            </w:r>
            <w:r>
              <w:rPr>
                <w:sz w:val="20"/>
                <w:szCs w:val="20"/>
              </w:rPr>
              <w:t xml:space="preserve">; SpaceNews</w:t>
            </w:r>
            <w:r>
              <w:rPr>
                <w:sz w:val="20"/>
                <w:szCs w:val="20"/>
              </w:rPr>
              <w:t xml:space="preserve"> </w:t>
            </w:r>
            <w:r>
              <w:rPr>
                <w:sz w:val="20"/>
                <w:szCs w:val="20"/>
              </w:rPr>
              <w:t xml:space="preserve">‘NASA confirms NEO Surveyor for 2028 launch’</w:t>
            </w:r>
            <w:r>
              <w:rPr>
                <w:sz w:val="20"/>
                <w:szCs w:val="20"/>
              </w:rPr>
              <w:t xml:space="preserve">); bespoke cryogenic IR observatory. spacenews.com/nasa-confirms-neo-surveyor-for-2028-launch</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Realized development cost growth, percent: 100 * (final or current development cost / baseline-at-confirmation development cost - 1).</w:t>
            </w:r>
          </w:p>
        </w:tc>
        <w:tc>
          <w:tcPr>
            <w:tcW w:w="0" w:type="auto"/>
          </w:tcPr>
          <w:p>
            <w:pPr>
              <w:spacing w:line="240" w:lineRule="auto" w:before="0" w:after="0"/>
              <w:pStyle w:val="Compact"/>
            </w:pPr>
            <w:r>
              <w:rPr>
                <w:sz w:val="20"/>
                <w:szCs w:val="20"/>
              </w:rPr>
              <w:t xml:space="preserve">Computed per row from published baseline and final/current cost; where a source reports the percent directly (Planetary Society within-budget table), that figure is used.</w:t>
            </w:r>
          </w:p>
        </w:tc>
      </w:tr>
      <w:tr>
        <w:tc>
          <w:tcPr>
            <w:tcW w:w="0" w:type="auto"/>
          </w:tcPr>
          <w:p>
            <w:pPr>
              <w:spacing w:line="240" w:lineRule="auto" w:before="0" w:after="0"/>
              <w:pStyle w:val="Compact"/>
            </w:pPr>
            <w:r>
              <w:rPr>
                <w:sz w:val="20"/>
                <w:szCs w:val="20"/>
              </w:rPr>
              <w:t xml:space="preserve">reference_arch</w:t>
            </w:r>
          </w:p>
        </w:tc>
        <w:tc>
          <w:tcPr>
            <w:tcW w:w="0" w:type="auto"/>
          </w:tcPr>
          <w:p>
            <w:pPr>
              <w:spacing w:line="240" w:lineRule="auto" w:before="0" w:after="0"/>
              <w:pStyle w:val="Compact"/>
            </w:pPr>
            <w:r>
              <w:rPr>
                <w:sz w:val="20"/>
                <w:szCs w:val="20"/>
              </w:rPr>
              <w:t xml:space="preserve">Treatment indicator = 1 if the program adopted a standardized reference architecture or a documented heritage/common spacecraft bus (a near-copy rebuild or a published vendor platform), 0 if it commissioned a bespoke single-mission clean-sheet design.</w:t>
            </w:r>
          </w:p>
        </w:tc>
        <w:tc>
          <w:tcPr>
            <w:tcW w:w="0" w:type="auto"/>
          </w:tcPr>
          <w:p>
            <w:pPr>
              <w:spacing w:line="240" w:lineRule="auto" w:before="0" w:after="0"/>
              <w:pStyle w:val="Compact"/>
            </w:pPr>
            <w:r>
              <w:rPr>
                <w:sz w:val="20"/>
                <w:szCs w:val="20"/>
              </w:rPr>
              <w:t xml:space="preserve">Coded from project documentation against the prospectus rubric: named heritage bus or near-copy rebuild = 1 (e.g. MAVEN/OSIRIS-REx on the Lockheed Martin Mars-orbiter line, GRACE-FO rebuilding GRACE, Landsat 9 rebuilding Landsat 8, TESS on LEOStar-2); first-of-kind or single-mission clean sheet = 0 (e.g. JWST, MSL, Dragonfly, SLS).</w:t>
            </w:r>
          </w:p>
        </w:tc>
      </w:tr>
      <w:tr>
        <w:tc>
          <w:tcPr>
            <w:tcW w:w="0" w:type="auto"/>
          </w:tcPr>
          <w:p>
            <w:pPr>
              <w:spacing w:line="240" w:lineRule="auto" w:before="0" w:after="0"/>
              <w:pStyle w:val="Compact"/>
            </w:pPr>
            <w:r>
              <w:rPr>
                <w:sz w:val="20"/>
                <w:szCs w:val="20"/>
              </w:rPr>
              <w:t xml:space="preserve">instruments</w:t>
            </w:r>
          </w:p>
        </w:tc>
        <w:tc>
          <w:tcPr>
            <w:tcW w:w="0" w:type="auto"/>
          </w:tcPr>
          <w:p>
            <w:pPr>
              <w:spacing w:line="240" w:lineRule="auto" w:before="0" w:after="0"/>
              <w:pStyle w:val="Compact"/>
            </w:pPr>
            <w:r>
              <w:rPr>
                <w:sz w:val="20"/>
                <w:szCs w:val="20"/>
              </w:rPr>
              <w:t xml:space="preserve">Number of distinct science instruments carried, a proxy for mission technical complexity.</w:t>
            </w:r>
          </w:p>
        </w:tc>
        <w:tc>
          <w:tcPr>
            <w:tcW w:w="0" w:type="auto"/>
          </w:tcPr>
          <w:p>
            <w:pPr>
              <w:spacing w:line="240" w:lineRule="auto" w:before="0" w:after="0"/>
              <w:pStyle w:val="Compact"/>
            </w:pPr>
            <w:r>
              <w:rPr>
                <w:sz w:val="20"/>
                <w:szCs w:val="20"/>
              </w:rPr>
              <w:t xml:space="preserve">Public mission specifications and press kits; for crew/launch vehicles (SLS, Orion) coded 0 as they carry no science instrument payload.</w:t>
            </w:r>
          </w:p>
        </w:tc>
      </w:tr>
      <w:tr>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Natural log of launch mass in metric tons, a control for program scale and mass class.</w:t>
            </w:r>
          </w:p>
        </w:tc>
        <w:tc>
          <w:tcPr>
            <w:tcW w:w="0" w:type="auto"/>
          </w:tcPr>
          <w:p>
            <w:pPr>
              <w:spacing w:line="240" w:lineRule="auto" w:before="0" w:after="0"/>
              <w:pStyle w:val="Compact"/>
            </w:pPr>
            <w:r>
              <w:rPr>
                <w:sz w:val="20"/>
                <w:szCs w:val="20"/>
              </w:rPr>
              <w:t xml:space="preserve">Computed as ln(launch_mass_t); launch_mass_t taken from public mission specifications.</w:t>
            </w:r>
          </w:p>
        </w:tc>
      </w:tr>
      <w:tr>
        <w:tc>
          <w:tcPr>
            <w:tcW w:w="0" w:type="auto"/>
          </w:tcPr>
          <w:p>
            <w:pPr>
              <w:spacing w:line="240" w:lineRule="auto" w:before="0" w:after="0"/>
              <w:pStyle w:val="Compact"/>
            </w:pPr>
            <w:r>
              <w:rPr>
                <w:sz w:val="20"/>
                <w:szCs w:val="20"/>
              </w:rPr>
              <w:t xml:space="preserve">launch_mass_t</w:t>
            </w:r>
          </w:p>
        </w:tc>
        <w:tc>
          <w:tcPr>
            <w:tcW w:w="0" w:type="auto"/>
          </w:tcPr>
          <w:p>
            <w:pPr>
              <w:spacing w:line="240" w:lineRule="auto" w:before="0" w:after="0"/>
              <w:pStyle w:val="Compact"/>
            </w:pPr>
            <w:r>
              <w:rPr>
                <w:sz w:val="20"/>
                <w:szCs w:val="20"/>
              </w:rPr>
              <w:t xml:space="preserve">Launch (or, for stages, dry/structural) mass in metric tons.</w:t>
            </w:r>
          </w:p>
        </w:tc>
        <w:tc>
          <w:tcPr>
            <w:tcW w:w="0" w:type="auto"/>
          </w:tcPr>
          <w:p>
            <w:pPr>
              <w:spacing w:line="240" w:lineRule="auto" w:before="0" w:after="0"/>
              <w:pStyle w:val="Compact"/>
            </w:pPr>
            <w:r>
              <w:rPr>
                <w:sz w:val="20"/>
                <w:szCs w:val="20"/>
              </w:rPr>
              <w:t xml:space="preserve">Public mission specifications and fact sheets.</w:t>
            </w:r>
          </w:p>
        </w:tc>
      </w:tr>
      <w:tr>
        <w:tc>
          <w:tcPr>
            <w:tcW w:w="0" w:type="auto"/>
          </w:tcPr>
          <w:p>
            <w:pPr>
              <w:spacing w:line="240" w:lineRule="auto" w:before="0" w:after="0"/>
              <w:pStyle w:val="Compact"/>
            </w:pPr>
            <w:r>
              <w:rPr>
                <w:sz w:val="20"/>
                <w:szCs w:val="20"/>
              </w:rPr>
              <w:t xml:space="preserve">baseline_cost_musd</w:t>
            </w:r>
          </w:p>
        </w:tc>
        <w:tc>
          <w:tcPr>
            <w:tcW w:w="0" w:type="auto"/>
          </w:tcPr>
          <w:p>
            <w:pPr>
              <w:spacing w:line="240" w:lineRule="auto" w:before="0" w:after="0"/>
              <w:pStyle w:val="Compact"/>
            </w:pPr>
            <w:r>
              <w:rPr>
                <w:sz w:val="20"/>
                <w:szCs w:val="20"/>
              </w:rPr>
              <w:t xml:space="preserve">Development cost baseline at confirmation (KDP-C / Agency Baseline Commitment), millions of USD.</w:t>
            </w:r>
          </w:p>
        </w:tc>
        <w:tc>
          <w:tcPr>
            <w:tcW w:w="0" w:type="auto"/>
          </w:tcPr>
          <w:p>
            <w:pPr>
              <w:spacing w:line="240" w:lineRule="auto" w:before="0" w:after="0"/>
              <w:pStyle w:val="Compact"/>
            </w:pPr>
            <w:r>
              <w:rPr>
                <w:sz w:val="20"/>
                <w:szCs w:val="20"/>
              </w:rPr>
              <w:t xml:space="preserve">Per-row published source listed in the source column.</w:t>
            </w:r>
          </w:p>
        </w:tc>
      </w:tr>
      <w:tr>
        <w:tc>
          <w:tcPr>
            <w:tcW w:w="0" w:type="auto"/>
          </w:tcPr>
          <w:p>
            <w:pPr>
              <w:spacing w:line="240" w:lineRule="auto" w:before="0" w:after="0"/>
              <w:pStyle w:val="Compact"/>
            </w:pPr>
            <w:r>
              <w:rPr>
                <w:sz w:val="20"/>
                <w:szCs w:val="20"/>
              </w:rPr>
              <w:t xml:space="preserve">final_cost_musd</w:t>
            </w:r>
          </w:p>
        </w:tc>
        <w:tc>
          <w:tcPr>
            <w:tcW w:w="0" w:type="auto"/>
          </w:tcPr>
          <w:p>
            <w:pPr>
              <w:spacing w:line="240" w:lineRule="auto" w:before="0" w:after="0"/>
              <w:pStyle w:val="Compact"/>
            </w:pPr>
            <w:r>
              <w:rPr>
                <w:sz w:val="20"/>
                <w:szCs w:val="20"/>
              </w:rPr>
              <w:t xml:space="preserve">Final or current development cost estimate, millions of USD.</w:t>
            </w:r>
          </w:p>
        </w:tc>
        <w:tc>
          <w:tcPr>
            <w:tcW w:w="0" w:type="auto"/>
          </w:tcPr>
          <w:p>
            <w:pPr>
              <w:spacing w:line="240" w:lineRule="auto" w:before="0" w:after="0"/>
              <w:pStyle w:val="Compact"/>
            </w:pPr>
            <w:r>
              <w:rPr>
                <w:sz w:val="20"/>
                <w:szCs w:val="20"/>
              </w:rPr>
              <w:t xml:space="preserve">Per-row published source listed in the source column.</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44.09</w:t>
            </w:r>
          </w:p>
        </w:tc>
        <w:tc>
          <w:tcPr>
            <w:tcW w:w="0" w:type="auto"/>
          </w:tcPr>
          <w:p>
            <w:pPr>
              <w:spacing w:line="240" w:lineRule="auto" w:before="0" w:after="0"/>
              <w:pStyle w:val="Compact"/>
            </w:pPr>
            <w:r>
              <w:rPr>
                <w:sz w:val="20"/>
                <w:szCs w:val="20"/>
              </w:rPr>
              <w:t xml:space="preserve">13.1557</w:t>
            </w:r>
          </w:p>
        </w:tc>
        <w:tc>
          <w:tcPr>
            <w:tcW w:w="0" w:type="auto"/>
          </w:tcPr>
          <w:p>
            <w:pPr>
              <w:spacing w:line="240" w:lineRule="auto" w:before="0" w:after="0"/>
              <w:pStyle w:val="Compact"/>
            </w:pPr>
            <w:r>
              <w:rPr>
                <w:sz w:val="20"/>
                <w:szCs w:val="20"/>
              </w:rPr>
              <w:t xml:space="preserve">3.3514</w:t>
            </w:r>
          </w:p>
        </w:tc>
        <w:tc>
          <w:tcPr>
            <w:tcW w:w="0" w:type="auto"/>
          </w:tcPr>
          <w:p>
            <w:pPr>
              <w:spacing w:line="240" w:lineRule="auto" w:before="0" w:after="0"/>
              <w:pStyle w:val="Compact"/>
            </w:pPr>
            <w:r>
              <w:rPr>
                <w:sz w:val="20"/>
                <w:szCs w:val="20"/>
              </w:rPr>
              <w:t xml:space="preserve">0.0008041</w:t>
            </w:r>
          </w:p>
        </w:tc>
        <w:tc>
          <w:tcPr>
            <w:tcW w:w="0" w:type="auto"/>
          </w:tcPr>
          <w:p>
            <w:pPr>
              <w:spacing w:line="240" w:lineRule="auto" w:before="0" w:after="0"/>
              <w:pStyle w:val="Compact"/>
            </w:pPr>
            <w:r>
              <w:rPr>
                <w:sz w:val="20"/>
                <w:szCs w:val="20"/>
              </w:rPr>
              <w:t xml:space="preserve">[18.3052, 69.8747]</w:t>
            </w:r>
          </w:p>
        </w:tc>
      </w:tr>
      <w:tr>
        <w:tc>
          <w:tcPr>
            <w:tcW w:w="0" w:type="auto"/>
          </w:tcPr>
          <w:p>
            <w:pPr>
              <w:spacing w:line="240" w:lineRule="auto" w:before="0" w:after="0"/>
              <w:pStyle w:val="Compact"/>
            </w:pPr>
            <w:r>
              <w:rPr>
                <w:sz w:val="20"/>
                <w:szCs w:val="20"/>
              </w:rPr>
              <w:t xml:space="preserve">reference_arch</w:t>
            </w:r>
          </w:p>
        </w:tc>
        <w:tc>
          <w:tcPr>
            <w:tcW w:w="0" w:type="auto"/>
          </w:tcPr>
          <w:p>
            <w:pPr>
              <w:spacing w:line="240" w:lineRule="auto" w:before="0" w:after="0"/>
              <w:pStyle w:val="Compact"/>
            </w:pPr>
            <w:r>
              <w:rPr>
                <w:sz w:val="20"/>
                <w:szCs w:val="20"/>
              </w:rPr>
              <w:t xml:space="preserve">-34.237</w:t>
            </w:r>
          </w:p>
        </w:tc>
        <w:tc>
          <w:tcPr>
            <w:tcW w:w="0" w:type="auto"/>
          </w:tcPr>
          <w:p>
            <w:pPr>
              <w:spacing w:line="240" w:lineRule="auto" w:before="0" w:after="0"/>
              <w:pStyle w:val="Compact"/>
            </w:pPr>
            <w:r>
              <w:rPr>
                <w:sz w:val="20"/>
                <w:szCs w:val="20"/>
              </w:rPr>
              <w:t xml:space="preserve">9.8337</w:t>
            </w:r>
          </w:p>
        </w:tc>
        <w:tc>
          <w:tcPr>
            <w:tcW w:w="0" w:type="auto"/>
          </w:tcPr>
          <w:p>
            <w:pPr>
              <w:spacing w:line="240" w:lineRule="auto" w:before="0" w:after="0"/>
              <w:pStyle w:val="Compact"/>
            </w:pPr>
            <w:r>
              <w:rPr>
                <w:sz w:val="20"/>
                <w:szCs w:val="20"/>
              </w:rPr>
              <w:t xml:space="preserve">-3.4816</w:t>
            </w:r>
          </w:p>
        </w:tc>
        <w:tc>
          <w:tcPr>
            <w:tcW w:w="0" w:type="auto"/>
          </w:tcPr>
          <w:p>
            <w:pPr>
              <w:spacing w:line="240" w:lineRule="auto" w:before="0" w:after="0"/>
              <w:pStyle w:val="Compact"/>
            </w:pPr>
            <w:r>
              <w:rPr>
                <w:sz w:val="20"/>
                <w:szCs w:val="20"/>
              </w:rPr>
              <w:t xml:space="preserve">0.0004985</w:t>
            </w:r>
          </w:p>
        </w:tc>
        <w:tc>
          <w:tcPr>
            <w:tcW w:w="0" w:type="auto"/>
          </w:tcPr>
          <w:p>
            <w:pPr>
              <w:spacing w:line="240" w:lineRule="auto" w:before="0" w:after="0"/>
              <w:pStyle w:val="Compact"/>
            </w:pPr>
            <w:r>
              <w:rPr>
                <w:sz w:val="20"/>
                <w:szCs w:val="20"/>
              </w:rPr>
              <w:t xml:space="preserve">[-53.5108, -14.9633]</w:t>
            </w:r>
          </w:p>
        </w:tc>
      </w:tr>
      <w:tr>
        <w:tc>
          <w:tcPr>
            <w:tcW w:w="0" w:type="auto"/>
          </w:tcPr>
          <w:p>
            <w:pPr>
              <w:spacing w:line="240" w:lineRule="auto" w:before="0" w:after="0"/>
              <w:pStyle w:val="Compact"/>
            </w:pPr>
            <w:r>
              <w:rPr>
                <w:sz w:val="20"/>
                <w:szCs w:val="20"/>
              </w:rPr>
              <w:t xml:space="preserve">instruments</w:t>
            </w:r>
          </w:p>
        </w:tc>
        <w:tc>
          <w:tcPr>
            <w:tcW w:w="0" w:type="auto"/>
          </w:tcPr>
          <w:p>
            <w:pPr>
              <w:spacing w:line="240" w:lineRule="auto" w:before="0" w:after="0"/>
              <w:pStyle w:val="Compact"/>
            </w:pPr>
            <w:r>
              <w:rPr>
                <w:sz w:val="20"/>
                <w:szCs w:val="20"/>
              </w:rPr>
              <w:t xml:space="preserve">-1.7183</w:t>
            </w:r>
          </w:p>
        </w:tc>
        <w:tc>
          <w:tcPr>
            <w:tcW w:w="0" w:type="auto"/>
          </w:tcPr>
          <w:p>
            <w:pPr>
              <w:spacing w:line="240" w:lineRule="auto" w:before="0" w:after="0"/>
              <w:pStyle w:val="Compact"/>
            </w:pPr>
            <w:r>
              <w:rPr>
                <w:sz w:val="20"/>
                <w:szCs w:val="20"/>
              </w:rPr>
              <w:t xml:space="preserve">1.8035</w:t>
            </w:r>
          </w:p>
        </w:tc>
        <w:tc>
          <w:tcPr>
            <w:tcW w:w="0" w:type="auto"/>
          </w:tcPr>
          <w:p>
            <w:pPr>
              <w:spacing w:line="240" w:lineRule="auto" w:before="0" w:after="0"/>
              <w:pStyle w:val="Compact"/>
            </w:pPr>
            <w:r>
              <w:rPr>
                <w:sz w:val="20"/>
                <w:szCs w:val="20"/>
              </w:rPr>
              <w:t xml:space="preserve">-0.9527</w:t>
            </w:r>
          </w:p>
        </w:tc>
        <w:tc>
          <w:tcPr>
            <w:tcW w:w="0" w:type="auto"/>
          </w:tcPr>
          <w:p>
            <w:pPr>
              <w:spacing w:line="240" w:lineRule="auto" w:before="0" w:after="0"/>
              <w:pStyle w:val="Compact"/>
            </w:pPr>
            <w:r>
              <w:rPr>
                <w:sz w:val="20"/>
                <w:szCs w:val="20"/>
              </w:rPr>
              <w:t xml:space="preserve">0.3407</w:t>
            </w:r>
          </w:p>
        </w:tc>
        <w:tc>
          <w:tcPr>
            <w:tcW w:w="0" w:type="auto"/>
          </w:tcPr>
          <w:p>
            <w:pPr>
              <w:spacing w:line="240" w:lineRule="auto" w:before="0" w:after="0"/>
              <w:pStyle w:val="Compact"/>
            </w:pPr>
            <w:r>
              <w:rPr>
                <w:sz w:val="20"/>
                <w:szCs w:val="20"/>
              </w:rPr>
              <w:t xml:space="preserve">[-5.2531, 1.8166]</w:t>
            </w:r>
          </w:p>
        </w:tc>
      </w:tr>
      <w:tr>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-0.2058</w:t>
            </w:r>
          </w:p>
        </w:tc>
        <w:tc>
          <w:tcPr>
            <w:tcW w:w="0" w:type="auto"/>
          </w:tcPr>
          <w:p>
            <w:pPr>
              <w:spacing w:line="240" w:lineRule="auto" w:before="0" w:after="0"/>
              <w:pStyle w:val="Compact"/>
            </w:pPr>
            <w:r>
              <w:rPr>
                <w:sz w:val="20"/>
                <w:szCs w:val="20"/>
              </w:rPr>
              <w:t xml:space="preserve">1.8007</w:t>
            </w:r>
          </w:p>
        </w:tc>
        <w:tc>
          <w:tcPr>
            <w:tcW w:w="0" w:type="auto"/>
          </w:tcPr>
          <w:p>
            <w:pPr>
              <w:spacing w:line="240" w:lineRule="auto" w:before="0" w:after="0"/>
              <w:pStyle w:val="Compact"/>
            </w:pPr>
            <w:r>
              <w:rPr>
                <w:sz w:val="20"/>
                <w:szCs w:val="20"/>
              </w:rPr>
              <w:t xml:space="preserve">-0.1143</w:t>
            </w:r>
          </w:p>
        </w:tc>
        <w:tc>
          <w:tcPr>
            <w:tcW w:w="0" w:type="auto"/>
          </w:tcPr>
          <w:p>
            <w:pPr>
              <w:spacing w:line="240" w:lineRule="auto" w:before="0" w:after="0"/>
              <w:pStyle w:val="Compact"/>
            </w:pPr>
            <w:r>
              <w:rPr>
                <w:sz w:val="20"/>
                <w:szCs w:val="20"/>
              </w:rPr>
              <w:t xml:space="preserve">0.909</w:t>
            </w:r>
          </w:p>
        </w:tc>
        <w:tc>
          <w:tcPr>
            <w:tcW w:w="0" w:type="auto"/>
          </w:tcPr>
          <w:p>
            <w:pPr>
              <w:spacing w:line="240" w:lineRule="auto" w:before="0" w:after="0"/>
              <w:pStyle w:val="Compact"/>
            </w:pPr>
            <w:r>
              <w:rPr>
                <w:sz w:val="20"/>
                <w:szCs w:val="20"/>
              </w:rPr>
              <w:t xml:space="preserve">[-3.735, 3.3234]</w:t>
            </w:r>
          </w:p>
        </w:tc>
      </w:tr>
    </w:tbl>
    <w:p>
      <w:pPr>
        <w:pStyle w:val="BodyText"/>
      </w:pPr>
      <w:r>
        <w:t xml:space="preserve">Fit: N = 24 R2 = 0.4271 R2_adj = 0.3412 F = 10.0547 F_p = 0.0002997</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 Type="http://schemas.openxmlformats.org/officeDocument/2006/relationships/hyperlink" Id="rId68" Target="https://doi.org/10.1016/j.actaastro.2025.07.055" TargetMode="External" /></Relationships>
</file>

<file path=word/_rels/footnotes.xml.rels><?xml version="1.0" encoding="UTF-8"?><Relationships xmlns="http://schemas.openxmlformats.org/package/2006/relationships"><Relationship Type="http://schemas.openxmlformats.org/officeDocument/2006/relationships/hyperlink" Id="rId68" Target="https://doi.org/10.1016/j.actaastro.2025.07.05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2026-06-25T14:26:14Z</dcterms:created>
  <dcterms:modified xsi:type="dcterms:W3CDTF">2026-06-25T14:26:14Z</dcterms:modified>
</cp:coreProperties>
</file>

<file path=docProps/custom.xml><?xml version="1.0" encoding="utf-8"?>
<Properties xmlns="http://schemas.openxmlformats.org/officeDocument/2006/custom-properties" xmlns:vt="http://schemas.openxmlformats.org/officeDocument/2006/docPropsVTypes"/>
</file>