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ARCHITECTURE STANDARDIZATION VS BESPOKE DESIGN: DOES REFERENCE-ARCHITECTURE ADOPTION LOWER MISSION PROGRAM COST GROWTH?</w:t>
      </w:r>
    </w:p>
    <w:p>
      <w:pPr>
        <w:jc w:val="center"/>
      </w:pPr>
    </w:p>
    <w:p>
      <w:pPr>
        <w:jc w:val="center"/>
      </w:pPr>
      <w:r>
        <w:rPr>
          <w:rFonts w:ascii="Times New Roman" w:hAnsi="Times New Roman"/>
          <w:sz w:val="24"/>
        </w:rPr>
        <w:t>by</w:t>
      </w:r>
    </w:p>
    <w:p>
      <w:pPr>
        <w:jc w:val="center"/>
      </w:pPr>
      <w:r>
        <w:rPr>
          <w:rFonts w:ascii="Times New Roman" w:hAnsi="Times New Roman"/>
          <w:b/>
          <w:sz w:val="28"/>
        </w:rPr>
        <w:t>Tariq Voss</w:t>
      </w:r>
    </w:p>
    <w:p>
      <w:pPr>
        <w:jc w:val="center"/>
      </w:pPr>
      <w:r>
        <w:rPr>
          <w:rFonts w:ascii="Times New Roman" w:hAnsi="Times New Roman"/>
          <w:sz w:val="24"/>
        </w:rPr>
        <w:t>1B-MPM-056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Every major space program starts with a decision taken before the requirements harden, before the reserves are committed, and before the program manager can know with any confidence what the mission will eventually demand. That decision is architectural. One path builds the mission on a standardized reference architecture, a heritage spacecraft bus, a near-copy rebuild of a flown design, or a published vendor platform whose interfaces are already characterized. The other commissions a bespoke clean-sheet design tailored to the single mission at hand. Whichever way the choice falls, it is irreversible in practice. Once a development program commits to a bus and an integration surface, reversing course becomes a program-threatening event in its own right. So the architecture decision is one of the few high-leverage moves a program manager controls early, while the decision space is still open.</w:t>
      </w:r>
    </w:p>
    <w:p>
      <w:pPr>
        <w:pStyle w:val="BodyText"/>
        <w:spacing w:line="480" w:lineRule="auto"/>
        <w:ind w:firstLine="720"/>
      </w:pPr>
      <w:r>
        <w:t xml:space="preserve">What hangs on that move is measured in the currency that separates success from failure in civil and national-security space: the gap between the cost a program commits to at confirmation and the cost it realizes at launch. Call that gap cost growth. It is no accounting abstraction. It eats the contingency reserves a portfolio holds against the unknown, it crowds out other missions that might have flown on the same dollars, and once it crosses statutory thresholds it triggers the rebaselining and congressional reporting that brand a program as troubled. Cost growth on a single NASA flagship can swallow the budget of an entire competed line of smaller missions. The historical record leaves little room for doubt here: cost growth across NASA major projects is distributed wide and heavy-tailed, a substantial minority of programs growing tens of percent and a few growing by more than half their baseline</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The Government Accountability Office has traced this pattern across successive assessments of the major-project portfolio</w:t>
      </w:r>
      <w:r>
        <w:t xml:space="preserve"> </w:t>
      </w:r>
      <w:hyperlink w:anchor="ref-12">
        <w:r>
          <w:rPr>
            <w:rStyle w:val="Hyperlink"/>
          </w:rPr>
          <w:t xml:space="preserve">[12]</w:t>
        </w:r>
      </w:hyperlink>
      <w:r>
        <w:t xml:space="preserve">, and program-specific audits, among them the NASA Office of Inspector General review of the Dragonfly project, find the same dynamic playing out inside an individual mission</w:t>
      </w:r>
      <w:r>
        <w:t xml:space="preserve"> </w:t>
      </w:r>
      <w:hyperlink w:anchor="ref-13">
        <w:r>
          <w:rPr>
            <w:rStyle w:val="Hyperlink"/>
          </w:rPr>
          <w:t xml:space="preserve">[13]</w:t>
        </w:r>
      </w:hyperlink>
      <w:r>
        <w:t xml:space="preserve">.</w:t>
      </w:r>
    </w:p>
    <w:p>
      <w:pPr>
        <w:pStyle w:val="BodyText"/>
        <w:spacing w:line="480" w:lineRule="auto"/>
        <w:ind w:firstLine="720"/>
      </w:pPr>
      <w:r>
        <w:t xml:space="preserve">At the Jet Propulsion Laboratory, which builds many of NASA’s most ambitious and least repeatable missions, the choice cuts sharper still. JPL’s portfolio leans toward first-of-kind planetary and astrophysics work, where the case for a clean sheet is strongest precisely because the mission is novel, and where, by the same logic, forcing a novel payload onto a fixed reference envelope would exact the largest integration penalties. A laboratory that builds the hardest missions in the portfolio meets the standardization-versus-bespoke tradeoff in its most acute form, because the missions that would save the most through standardization are also the ones a heritage bus is least likely to fit. Any defensible guidance on when to standardize and when to build bespoke therefore carries direct operational value for the institutions, NASA and JPL among them, that bear the cost-growth risk of the national space portfolio.</w:t>
      </w:r>
    </w:p>
    <w:p>
      <w:pPr>
        <w:pStyle w:val="BodyText"/>
        <w:spacing w:line="480" w:lineRule="auto"/>
        <w:ind w:firstLine="720"/>
      </w:pPr>
      <w:r>
        <w:t xml:space="preserve">Strip the standardization case to its root and it is economic. As design reuse rises across a platform, both the design effort and the integration effort fall, because heritage subsystems and a fixed integration surface remove work that a clean sheet would have to repeat</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That logic climbs from the subsystem to the program. The Architecture for Reduction of Satellite Systems’ Total Acquisition Cost frames pre-acquisition architecture investment as a driver of total acquisition cost across the program lifecycle, treating the spacecraft as a system whose recurring cost and schedule turn on how much of the design is inherited rather than reinvented</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The broader economic literature sets this mechanism inside a sector-wide trajectory. Economies of scale in spacecraft production and launch operations lower costs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a pattern that has marked commercial space activity throughout its history</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w:t>
      </w:r>
      <w:r>
        <w:t xml:space="preserve">and that rising launch cadence and reuse continue to extend</w:t>
      </w:r>
      <w:r>
        <w:t xml:space="preserve"> </w:t>
      </w:r>
      <w:hyperlink w:anchor="ref-3">
        <w:r>
          <w:rPr>
            <w:rStyle w:val="Hyperlink"/>
          </w:rPr>
          <w:t xml:space="preserve">[3]</w:t>
        </w:r>
      </w:hyperlink>
      <w:r>
        <w:t xml:space="preserve">. Value-centric architectural analysis, for its part, treats reduced development time and cost as measurable benefits of design reuse rather than engineering folklore</w:t>
      </w:r>
      <w:r>
        <w:t xml:space="preserve"> </w:t>
      </w:r>
      <w:hyperlink w:anchor="ref-24">
        <w:r>
          <w:rPr>
            <w:rStyle w:val="Hyperlink"/>
          </w:rPr>
          <w:t xml:space="preserve">[24]</w:t>
        </w:r>
      </w:hyperlink>
      <w:r>
        <w:t xml:space="preserve">.</w:t>
      </w:r>
    </w:p>
    <w:p>
      <w:pPr>
        <w:pStyle w:val="BodyText"/>
        <w:spacing w:line="480" w:lineRule="auto"/>
        <w:ind w:firstLine="720"/>
      </w:pPr>
      <w:r>
        <w:t xml:space="preserve">The bespoke case mirrors the standardization case, and it is no less principled.</w:t>
      </w:r>
    </w:p>
    <w:p>
      <w:pPr>
        <w:pStyle w:val="BodyText"/>
        <w:spacing w:line="480" w:lineRule="auto"/>
        <w:ind w:firstLine="720"/>
      </w:pPr>
      <w:r>
        <w:t xml:space="preserve">A fixed reference envelope is a constraint, and constraints carry a price. Let a mission’s pointing, power, thermal, or payload-accommodation needs exceed what a reference bus was scoped for, and the program pays an integration penalty a clean sheet would have avoided; if that penalty runs large and common, it can erode the reuse saving or reverse it outright. This is not a rejection of the economics of reuse. It is a claim that those economics are conditional on fit, and that fit fails exactly on the hardest missions. The two arguments are not symmetric rhetoric. They make opposite predictions about the same observable quantity, realized cost growth, conditional on how hard the mission is.</w:t>
      </w:r>
    </w:p>
    <w:p>
      <w:pPr>
        <w:pStyle w:val="BodyText"/>
        <w:spacing w:line="480" w:lineRule="auto"/>
        <w:ind w:firstLine="720"/>
      </w:pPr>
      <w:r>
        <w:t xml:space="preserve">So the field holds both arguments and no measured arbiter between them.</w:t>
      </w:r>
    </w:p>
    <w:p>
      <w:pPr>
        <w:pStyle w:val="BodyText"/>
        <w:spacing w:line="480" w:lineRule="auto"/>
        <w:ind w:firstLine="720"/>
      </w:pPr>
      <w:r>
        <w:t xml:space="preserve">Program managers pick architectures on engineering judgment and contractor heritage, not on an estimated effect size carrying a sign, a magnitude, and an uncertainty interval. This dissertation exists to convert that standing qualitative prior into a falsifiable quantity a program manager can weigh at confirmation, when the decision is still open and the stakes run highest.</w:t>
      </w:r>
    </w:p>
    <w:bookmarkEnd w:id="61"/>
    <w:bookmarkStart w:id="62" w:name="X164893b3b32aafee5576035948bb293e32b21f3"/>
    <w:p>
      <w:pPr>
        <w:pStyle w:val="Heading2"/>
        <w:spacing w:line="480" w:lineRule="auto"/>
      </w:pPr>
      <w:r>
        <w:t xml:space="preserve">1.2 The Gap Between the Domain Literature and the Econometric Method</w:t>
      </w:r>
    </w:p>
    <w:p>
      <w:pPr>
        <w:pStyle w:val="FirstParagraph"/>
        <w:spacing w:line="480" w:lineRule="auto"/>
      </w:pPr>
      <w:r>
        <w:t xml:space="preserve">The problem this dissertation addresses sits in a gap of register, not a gap of attention. Architecture standardization has been studied extensively on the domain side. The econometric and survival-analysis methods needed to estimate a program-level effect are mature and well understood. What is missing is the application of the second to the first.</w:t>
      </w:r>
    </w:p>
    <w:p>
      <w:pPr>
        <w:pStyle w:val="BodyText"/>
        <w:spacing w:line="480" w:lineRule="auto"/>
        <w:ind w:firstLine="720"/>
      </w:pPr>
      <w:r>
        <w:t xml:space="preserve">The two literatures pass each other without meeting.</w:t>
      </w:r>
    </w:p>
    <w:p>
      <w:pPr>
        <w:pStyle w:val="BodyText"/>
        <w:spacing w:line="480" w:lineRule="auto"/>
        <w:ind w:firstLine="720"/>
      </w:pPr>
      <w:r>
        <w:t xml:space="preserve">On the domain side the mechanisms are established but the program-level estimate is not, and the shortfall shows up at three distinguishable levels of aggregation. Consider first the modularity and reuse findings, which are reported at the subsystem or platform level. A systematic review of radiation-hardness assurance in commercial avionics documents that modular design principles substantially reduce development time and cost for individual subsystems</w:t>
      </w:r>
      <w:r>
        <w:t xml:space="preserve"> </w:t>
      </w:r>
      <w:hyperlink w:anchor="ref-1">
        <w:r>
          <w:rPr>
            <w:rStyle w:val="Hyperlink"/>
          </w:rPr>
          <w:t xml:space="preserve">[1]</w:t>
        </w:r>
      </w:hyperlink>
      <w:r>
        <w:t xml:space="preserve">, and the SpIRIT payload-management work reports shortened timelines and reduced cost from modular multi-payload integration on a single smallsat</w:t>
      </w:r>
      <w:r>
        <w:t xml:space="preserve"> </w:t>
      </w:r>
      <w:hyperlink w:anchor="ref-6">
        <w:r>
          <w:rPr>
            <w:rStyle w:val="Hyperlink"/>
          </w:rPr>
          <w:t xml:space="preserve">[6]</w:t>
        </w:r>
      </w:hyperlink>
      <w:r>
        <w:t xml:space="preserve">,</w:t>
      </w:r>
      <w:r>
        <w:t xml:space="preserve"> </w:t>
      </w:r>
      <w:hyperlink w:anchor="ref-26">
        <w:r>
          <w:rPr>
            <w:rStyle w:val="Hyperlink"/>
          </w:rPr>
          <w:t xml:space="preserve">[26]</w:t>
        </w:r>
      </w:hyperlink>
      <w:r>
        <w:t xml:space="preserve">. The space-robotics modularity review carries the same logic across a domain of mechanisms</w:t>
      </w:r>
      <w:r>
        <w:t xml:space="preserve"> </w:t>
      </w:r>
      <w:hyperlink w:anchor="ref-15">
        <w:r>
          <w:rPr>
            <w:rStyle w:val="Hyperlink"/>
          </w:rPr>
          <w:t xml:space="preserve">[15]</w:t>
        </w:r>
      </w:hyperlink>
      <w:r>
        <w:t xml:space="preserve">. These are findings about components and platforms. None of them aggregates to a statement about realized cost growth across a portfolio of standardized versus bespoke programs.</w:t>
      </w:r>
    </w:p>
    <w:p>
      <w:pPr>
        <w:pStyle w:val="BodyText"/>
        <w:spacing w:line="480" w:lineRule="auto"/>
        <w:ind w:firstLine="720"/>
      </w:pPr>
      <w:r>
        <w:t xml:space="preserve">Consider next the economic literature, which asserts economies of scale as a forward forecast rather than a retrospective estimate. The Office of the Chief Economist forecasts that economies of scale in spacecraft production will lower costs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and the sustainability-and-development analysis projects that rising launch cadence will keep enabling cost reduction</w:t>
      </w:r>
      <w:r>
        <w:t xml:space="preserve"> </w:t>
      </w:r>
      <w:hyperlink w:anchor="ref-3">
        <w:r>
          <w:rPr>
            <w:rStyle w:val="Hyperlink"/>
          </w:rPr>
          <w:t xml:space="preserve">[3]</w:t>
        </w:r>
      </w:hyperlink>
      <w:r>
        <w:t xml:space="preserve">. Weinzierl observes that economies of scale and scope have always characterized commercial space activity</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Valuable as they are, these remain directional claims about an industry trajectory, not measured contrasts between two architecture strategies on completed programs. A forecast that reuse lowers cost is not an estimate of how much cost growth reuse actually averted on the missions that have flown.</w:t>
      </w:r>
    </w:p>
    <w:p>
      <w:pPr>
        <w:pStyle w:val="BodyText"/>
        <w:spacing w:line="480" w:lineRule="auto"/>
        <w:ind w:firstLine="720"/>
      </w:pPr>
      <w:r>
        <w:t xml:space="preserve">Consider third the one stream that names total acquisition cost as the explicit object of the architecture decision. The Architecture for Reduction of Satellite Systems’ Total Acquisition Cost frames pre-acquisition architecture investment as a driver of acquisition cost across the lifecycle</w:t>
      </w:r>
      <w:r>
        <w:t xml:space="preserve"> </w:t>
      </w:r>
      <w:hyperlink w:anchor="ref-4">
        <w:r>
          <w:rPr>
            <w:rStyle w:val="Hyperlink"/>
          </w:rPr>
          <w:t xml:space="preserve">[4]</w:t>
        </w:r>
      </w:hyperlink>
      <w:r>
        <w:t xml:space="preserve">,</w:t>
      </w:r>
      <w:r>
        <w:t xml:space="preserve"> </w:t>
      </w:r>
      <w:hyperlink w:anchor="ref-9">
        <w:r>
          <w:rPr>
            <w:rStyle w:val="Hyperlink"/>
          </w:rPr>
          <w:t xml:space="preserve">[9]</w:t>
        </w:r>
      </w:hyperlink>
      <w:r>
        <w:t xml:space="preserve">, yet it presents that framing as a design philosophy, an argued position about how to think about cost, rather than as an estimated coefficient carrying a sign, a magnitude, and a confidence interval. Nearest to quantification is the Aerospace Corporation’s historical analysis of NASA cost and schedule growth, which characterizes the distribution of growth and its drivers in order to set reserve guidelines</w:t>
      </w:r>
      <w:r>
        <w:t xml:space="preserve"> </w:t>
      </w:r>
      <w:hyperlink w:anchor="ref-14">
        <w:r>
          <w:rPr>
            <w:rStyle w:val="Hyperlink"/>
          </w:rPr>
          <w:t xml:space="preserve">[14]</w:t>
        </w:r>
      </w:hyperlink>
      <w:r>
        <w:t xml:space="preserve">. Even that work studies cost growth as a phenomenon to be insured against, not as an outcome to be regressed on the architecture decision.</w:t>
      </w:r>
    </w:p>
    <w:p>
      <w:pPr>
        <w:pStyle w:val="BodyText"/>
        <w:spacing w:line="480" w:lineRule="auto"/>
        <w:ind w:firstLine="720"/>
      </w:pPr>
      <w:r>
        <w:t xml:space="preserve">The method literature, by contrast, is fully capable of supplying the missing estimate and is simply not pointed at the question. Cross-program regression with controls for mission complexity and scale is a standard instrument for estimating a conditional treatment difference. Survival analysis with right-censoring is the standard instrument for estimating a duration effect when some programs in the sample have yet to reach the terminal event. Neither method is novel. What is novel is their application to the standardization-versus-bespoke question on a documented sample of NASA major missions, with the architecture choice coded as the treatment and cost growth as the outcome.</w:t>
      </w:r>
    </w:p>
    <w:p>
      <w:pPr>
        <w:pStyle w:val="BodyText"/>
        <w:spacing w:line="480" w:lineRule="auto"/>
        <w:ind w:firstLine="720"/>
      </w:pPr>
      <w:r>
        <w:t xml:space="preserve">State the gap in one sentence and it is this. The domain literature supplies a strong prior that standardization lowers cost and an untested countervailing intuition that misfit raises it, but it offers no quantitative estimate of the net program-level effect on cost growth conditional on mission complexity, even though the econometric tools to produce that estimate are off the shelf. This dissertation closes the gap by pointing a standard estimator at a documented sample and reporting the result as a signed, sized coefficient with an honest interval rather than as a narrative.</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contributes a single estimated quantity, stated precisely enough that it can be refuted: the conditional difference in program-level cost growth attributable to reference-architecture adoption.</w:t>
      </w:r>
    </w:p>
    <w:p>
      <w:pPr>
        <w:pStyle w:val="BodyText"/>
        <w:spacing w:line="480" w:lineRule="auto"/>
        <w:ind w:firstLine="720"/>
      </w:pPr>
      <w:r>
        <w:t xml:space="preserve">Let cost growth be the percentage gap between the development cost a program commits to at confirmation and the development cost it realizes at launch, computed for each program as one hundred times the ratio of final or current development cost to baseline development cost, minus one. Let the treatment indicator equal one when a program adopts a standardized reference architecture or a documented heritage bus, coded against a published rubric of a named heritage bus or near-copy rebuild, and zero when it commissions a first-of-kind, single-mission clean sheet. The estimand is the conditional average difference in cost growth between the two groups, holding mission complexity and mass class fixed.</w:t>
      </w:r>
    </w:p>
    <w:p>
      <w:pPr>
        <w:pStyle w:val="BodyText"/>
        <w:spacing w:line="480" w:lineRule="auto"/>
        <w:ind w:firstLine="720"/>
      </w:pPr>
      <w:r>
        <w:t xml:space="preserve">The hypothesis is a directional pair, falsifiable in both directions.</w:t>
      </w:r>
    </w:p>
    <w:p>
      <w:pPr>
        <w:pStyle w:val="Compact"/>
        <w:spacing w:line="480" w:lineRule="auto"/>
        <w:numPr>
          <w:ilvl w:val="0"/>
          <w:numId w:val="1001"/>
        </w:numPr>
      </w:pPr>
      <w:r>
        <w:rPr>
          <w:b/>
          <w:bCs/>
        </w:rPr>
        <w:t xml:space="preserve">H0, the null.</w:t>
      </w:r>
      <w:r>
        <w:t xml:space="preserve"> </w:t>
      </w:r>
      <w:r>
        <w:t xml:space="preserve">Conditional on mission complexity, mass class, and contractor heritage, the mean cost growth of reference-architecture programs equals that of bespoke programs. The standardization coefficient is zero.</w:t>
      </w:r>
    </w:p>
    <w:p>
      <w:pPr>
        <w:pStyle w:val="Compact"/>
        <w:spacing w:line="480" w:lineRule="auto"/>
        <w:numPr>
          <w:ilvl w:val="0"/>
          <w:numId w:val="1001"/>
        </w:numPr>
      </w:pPr>
      <w:r>
        <w:rPr>
          <w:b/>
          <w:bCs/>
        </w:rPr>
        <w:t xml:space="preserve">H1, the alternative.</w:t>
      </w:r>
      <w:r>
        <w:t xml:space="preserve"> </w:t>
      </w:r>
      <w:r>
        <w:t xml:space="preserve">Conditional on the same controls, reference-architecture programs exhibit lower mean cost growth than bespoke programs. The standardization coefficient is negative.</w:t>
      </w:r>
    </w:p>
    <w:p>
      <w:pPr>
        <w:pStyle w:val="FirstParagraph"/>
        <w:spacing w:line="480" w:lineRule="auto"/>
      </w:pPr>
      <w:r>
        <w:t xml:space="preserve">The test is a pre-registered, signed, single coefficient, not a narrative and not a battery of exploratory comparisons. A null or positive coefficient refutes the standardization prior at the program level and would amount to affirmative evidence that integration penalties offset reuse savings once complexity is held constant. That symmetry is what makes the contribution a genuine test rather than a confirmation exercise. The bespoke counter-hypothesis carries a precise empirical signature, a non-negative coefficient or an attenuation of the architecture effect in the highest-complexity stratum, and the analysis is built so that signature could surface if it is real.</w:t>
      </w:r>
    </w:p>
    <w:p>
      <w:pPr>
        <w:pStyle w:val="BodyText"/>
        <w:spacing w:line="480" w:lineRule="auto"/>
        <w:ind w:firstLine="720"/>
      </w:pPr>
      <w:r>
        <w:t xml:space="preserve">The contribution, then, is not a claim that standardization is good, nor an argument that it is good. It is an estimate of how much difference standardization makes, with direction and magnitude free to come out either way, and with the uncertainty reported rather than hidden. Where the field currently offers an architectural prior, this dissertation offers a defensible effect size.</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dissertation proceeds as follows.</w:t>
      </w:r>
    </w:p>
    <w:p>
      <w:pPr>
        <w:pStyle w:val="BodyText"/>
        <w:spacing w:line="480" w:lineRule="auto"/>
        <w:ind w:firstLine="720"/>
      </w:pPr>
      <w:r>
        <w:t xml:space="preserve">Chapter 2 develops the theoretical framework in full. It splits the standardization argument into its engineering channel, design and integration reuse, and its economic channel, economies of scale and learning, and it sets both against the bespoke counter-argument that fixed envelopes impose integration penalties that grow with mission difficulty. From there it formalizes the conditions under which each prediction dominates and derives the testable implications the empirical chapters evaluate.</w:t>
      </w:r>
    </w:p>
    <w:p>
      <w:pPr>
        <w:pStyle w:val="BodyText"/>
        <w:spacing w:line="480" w:lineRule="auto"/>
        <w:ind w:firstLine="720"/>
      </w:pPr>
      <w:r>
        <w:t xml:space="preserve">Chapter 3 specifies the data and the coding rules. Each observation is a NASA major mission carrying a documented confirmation baseline and a documented final or current development cost. The chapter describes the sample of NASA missions spanning the Science Mission Directorate and the human-spaceflight development portfolio, the construction of the cost-growth outcome from published agency, Government Accountability Office, and Office of Inspector General sources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the architecture-coding rubric that assigns each program to the standardized or bespoke condition. It documents provenance row by row, names the controls for instrument count and launch mass, and states plainly which values are documented and which are marked illustrative.</w:t>
      </w:r>
    </w:p>
    <w:p>
      <w:pPr>
        <w:pStyle w:val="BodyText"/>
        <w:spacing w:line="480" w:lineRule="auto"/>
        <w:ind w:firstLine="720"/>
      </w:pPr>
      <w:r>
        <w:t xml:space="preserve">Chapter 4 presents the cross-program cost-growth analysis. It estimates the standardization coefficient by ordinary least squares with heteroskedasticity-robust standard errors, controlling for complexity and mass class, and reports the coefficient, its interval, and the joint significance of the model. Here the analysis confronts the central confound head-on, selection of simpler missions onto reference architectures, by showing whether the architecture effect survives the controls that would absorb it if selection on observable difficulty were the true driver.</w:t>
      </w:r>
    </w:p>
    <w:p>
      <w:pPr>
        <w:pStyle w:val="BodyText"/>
        <w:spacing w:line="480" w:lineRule="auto"/>
        <w:ind w:firstLine="720"/>
      </w:pPr>
      <w:r>
        <w:t xml:space="preserve">Chapter 5 turns from cost to schedule, estimating the parallel effect on the pace of development through a Cox proportional-hazards model. Because some programs in any contemporary portfolio have not yet launched, the chapter treats them as right-censored rather than discarding them, and it reports the launch-hazard ratio associated with reference-architecture adoption. This is a distinct estimator on a distinct outcome, not a restatement of the cost result, because a program can hold budget and slip schedule, or buy schedule back with reserves.</w:t>
      </w:r>
    </w:p>
    <w:p>
      <w:pPr>
        <w:pStyle w:val="BodyText"/>
        <w:spacing w:line="480" w:lineRule="auto"/>
        <w:ind w:firstLine="720"/>
      </w:pPr>
      <w:r>
        <w:t xml:space="preserve">Chapter 6 addresses threats to validity across both analyses. It treats residual selection on unobserved difficulty, the binary simplification of an architecture continuum that in truth includes partial-heritage programs, the survivorship bias inherent in a sample of missions that reached or neared launch, the sensitivity of the cost-growth definition to the choice of baseline milestone, and the external-validity limits of estimates drawn from NASA civil-science projects. Throughout, the chapter is explicit that the honest object of the contribution is the interval, not the point.</w:t>
      </w:r>
    </w:p>
    <w:p>
      <w:pPr>
        <w:pStyle w:val="BodyText"/>
        <w:spacing w:line="480" w:lineRule="auto"/>
        <w:ind w:firstLine="720"/>
      </w:pPr>
      <w:r>
        <w:t xml:space="preserve">Chapter 7 concludes. It states what the estimated effect size means for the program manager who confronts the architecture decision at confirmation, bounds the claim to the population the data represent, and identifies the within-platform block comparison, across successive blocks of a single common bus, as the stronger identifying test the next study should pursue. The conclusion returns the measured quantity to the operational setting that motivated it, the NASA and JPL programs whose cost-growth risk hangs on a choice made before the requirements harden.</w:t>
      </w:r>
    </w:p>
    <w:bookmarkEnd w:id="64"/>
    <w:bookmarkEnd w:id="65"/>
    <w:bookmarkStart w:id="82" w:name="chapter-2.-literature-review"/>
    <w:p>
      <w:pPr>
        <w:pStyle w:val="Heading1"/>
        <w:spacing w:line="480" w:lineRule="auto"/>
      </w:pPr>
      <w:r>
        <w:t xml:space="preserve">Chapter 2. Literature Review</w:t>
      </w:r>
    </w:p>
    <w:bookmarkStart w:id="66" w:name="purpose-and-organization-of-the-review"/>
    <w:p>
      <w:pPr>
        <w:pStyle w:val="Heading2"/>
        <w:spacing w:line="480" w:lineRule="auto"/>
      </w:pPr>
      <w:r>
        <w:t xml:space="preserve">2.1 Purpose and Organization of the Review</w:t>
      </w:r>
    </w:p>
    <w:p>
      <w:pPr>
        <w:pStyle w:val="FirstParagraph"/>
        <w:spacing w:line="480" w:lineRule="auto"/>
      </w:pPr>
      <w:r>
        <w:t xml:space="preserve">Two bodies of scholarship, each mature and each blind to the other, meet along the seam this dissertation works. On one side lies the engineering scholarship on spacecraft architecture, modularity, design carryover, and the economics of common platforms. On the other lies the quantitative-history and econometric tradition that measures how programs actually turn out, how cost and schedule overruns are shaped, and what inferential machinery pulls a treatment effect out of observational records. Mechanism saturates the first; measured effect eludes it. Estimators saturate the second; the architecture question never reaches it. Read alone, each stands whole. Set side by side, they leave an empty middle, and that empty middle holds precisely the number a program manager wants when the baseline is set.</w:t>
      </w:r>
    </w:p>
    <w:p>
      <w:pPr>
        <w:pStyle w:val="BodyText"/>
        <w:spacing w:line="480" w:lineRule="auto"/>
        <w:ind w:firstLine="720"/>
      </w:pPr>
      <w:r>
        <w:t xml:space="preserve">Four movements structure what follows. Section 2.2 walks through the engineering scholarship, asking what it claims about carryover, modularity, and reuse and at which grain those claims are pitched. Section 2.3 walks through the quantitative-history and econometric writing on overrun, slip, censoring, and selection, and lays bare the inferential tools nobody has yet handed to the engineering side. Section 2.4 takes up the handful of studies that reach toward both banks and explains why not one of them spans the water. Section 2.5 fuses the two, pins down the gap, and describes how this study is engineered to close it. All the way through, only the shared reference pool is cited, and forecasts are kept apart from retrospective estimates, subsystem results apart from program results, and an engineering hunch apart from a fitted coefficient.</w:t>
      </w:r>
    </w:p>
    <w:bookmarkEnd w:id="66"/>
    <w:bookmarkStart w:id="71" w:name="X363cd46cb3235690f08fe2d5c771936a6335270"/>
    <w:p>
      <w:pPr>
        <w:pStyle w:val="Heading2"/>
        <w:spacing w:line="480" w:lineRule="auto"/>
      </w:pPr>
      <w:r>
        <w:t xml:space="preserve">2.2 The Domain Technical Literature: Standardization, Modularity, and Reuse</w:t>
      </w:r>
    </w:p>
    <w:bookmarkStart w:id="67" w:name="Xce7cdcad155c55c92afffae0c2093d6c589ea48"/>
    <w:p>
      <w:pPr>
        <w:pStyle w:val="Heading3"/>
        <w:spacing w:line="480" w:lineRule="auto"/>
      </w:pPr>
      <w:r>
        <w:t xml:space="preserve">2.2.1 The Standardization Thesis as Architecture Philosophy</w:t>
      </w:r>
    </w:p>
    <w:p>
      <w:pPr>
        <w:pStyle w:val="FirstParagraph"/>
        <w:spacing w:line="480" w:lineRule="auto"/>
      </w:pPr>
      <w:r>
        <w:t xml:space="preserve">One proposition anchors the standardization case: money spent shaping the architecture before acquisition dictates what a space system costs over its whole life.</w:t>
      </w:r>
    </w:p>
    <w:p>
      <w:pPr>
        <w:pStyle w:val="BodyText"/>
        <w:spacing w:line="480" w:lineRule="auto"/>
        <w:ind w:firstLine="720"/>
      </w:pPr>
      <w:r>
        <w:t xml:space="preserve">In the reference pool the sharpest version of that claim reads the spacecraft not as an item to be tallied afterward but as a system whose repeating cost and schedule flow from the balance of inherited against reinvented design</w:t>
      </w:r>
      <w:r>
        <w:t xml:space="preserve"> </w:t>
      </w:r>
      <w:hyperlink w:anchor="ref-4">
        <w:r>
          <w:rPr>
            <w:rStyle w:val="Hyperlink"/>
          </w:rPr>
          <w:t xml:space="preserve">[4]</w:t>
        </w:r>
      </w:hyperlink>
      <w:r>
        <w:t xml:space="preserve">[9]. The whole standardization argument leans on that reading, namely that the architecture call, made early and ahead of hardened requirements, is the master control on eventual cost. That work fixes total acquisition cost as the target of the architecture call and treats cutting it as the reward for disciplined carryover</w:t>
      </w:r>
      <w:r>
        <w:t xml:space="preserve"> </w:t>
      </w:r>
      <w:hyperlink w:anchor="ref-4">
        <w:r>
          <w:rPr>
            <w:rStyle w:val="Hyperlink"/>
          </w:rPr>
          <w:t xml:space="preserve">[4]</w:t>
        </w:r>
      </w:hyperlink>
      <w:r>
        <w:t xml:space="preserve">. Even so, what it offers is a philosophy of design. It fixes a direction for the expected effect, downward on cost, and it names a route, trading inherited design labor for reinvented design labor. Absent are a size, an interval of doubt, and a population against which the claim has been checked. A prior, in short, still hunting for its estimate.</w:t>
      </w:r>
    </w:p>
    <w:p>
      <w:pPr>
        <w:pStyle w:val="BodyText"/>
        <w:spacing w:line="480" w:lineRule="auto"/>
        <w:ind w:firstLine="720"/>
      </w:pPr>
      <w:r>
        <w:t xml:space="preserve">That same architecture-scale reasoning surfaces again in value-centric design work, which counts shorter development and lower repeating cost as measurable returns to carryover and poses architectural choice as a matter of squeezing the most delivered value from each committed resource</w:t>
      </w:r>
      <w:r>
        <w:t xml:space="preserve"> </w:t>
      </w:r>
      <w:hyperlink w:anchor="ref-24">
        <w:r>
          <w:rPr>
            <w:rStyle w:val="Hyperlink"/>
          </w:rPr>
          <w:t xml:space="preserve">[24]</w:t>
        </w:r>
      </w:hyperlink>
      <w:r>
        <w:t xml:space="preserve">. The vocabulary here edges toward measurement, and the stance foreshadows the quantitative-history posture this dissertation takes on, yet what gets measured is design value inside an analytic model, not realized overrun on a finished portfolio. That gap is not cosmetic. A value-centric study gauges what an architecture should yield under a model of system traits; it never gauges what a run of architectures did yield against the budgets they were confirmed to. One is prescriptive and points ahead; the other looks back and can be refuted. The engineering scholarship has poured out the first and produced none of the second.</w:t>
      </w:r>
    </w:p>
    <w:bookmarkEnd w:id="67"/>
    <w:bookmarkStart w:id="68" w:name="Xfa5d57125a017db39473c087da98e6eddd4cf08"/>
    <w:p>
      <w:pPr>
        <w:pStyle w:val="Heading3"/>
        <w:spacing w:line="480" w:lineRule="auto"/>
      </w:pPr>
      <w:r>
        <w:t xml:space="preserve">2.2.2 Modularity and Reuse at the Subsystem Level</w:t>
      </w:r>
    </w:p>
    <w:p>
      <w:pPr>
        <w:pStyle w:val="FirstParagraph"/>
        <w:spacing w:line="480" w:lineRule="auto"/>
      </w:pPr>
      <w:r>
        <w:t xml:space="preserve">A larger current catalogs the payoffs of modularity and carryover with real empirical care, yet always at the grain of the subsystem or the platform rather than the program. Surveying radiation-hardness assurance for commercial space avionics, one systematic review finds that modular design cuts development time and cost for avionics, and it grounds that finding in a structured pass over engineering and test practice</w:t>
      </w:r>
      <w:r>
        <w:t xml:space="preserve"> </w:t>
      </w:r>
      <w:hyperlink w:anchor="ref-1">
        <w:r>
          <w:rPr>
            <w:rStyle w:val="Hyperlink"/>
          </w:rPr>
          <w:t xml:space="preserve">[1]</w:t>
        </w:r>
      </w:hyperlink>
      <w:r>
        <w:t xml:space="preserve">. This counts as a real result, and it is exactly the kind of mechanism evidence the standardization thesis leans on. It shows that, down at the avionics box, modularity travels with lighter development load. What it never ventures is to roll that box-level result up into a program-level statement about realized overrun across a run of standardized against bespoke programs. From a subsystem cost cut to a program overrun cut is the very inferential jump the scholarship declines to make.</w:t>
      </w:r>
    </w:p>
    <w:p>
      <w:pPr>
        <w:pStyle w:val="BodyText"/>
        <w:spacing w:line="480" w:lineRule="auto"/>
        <w:ind w:firstLine="720"/>
      </w:pPr>
      <w:r>
        <w:t xml:space="preserve">Robotics work carries the argument outward to robotic systems, cataloging how reusable, cleanly bounded modules cut the integration load that usually swamps the late schedule</w:t>
      </w:r>
      <w:r>
        <w:t xml:space="preserve"> </w:t>
      </w:r>
      <w:hyperlink w:anchor="ref-15">
        <w:r>
          <w:rPr>
            <w:rStyle w:val="Hyperlink"/>
          </w:rPr>
          <w:t xml:space="preserve">[15]</w:t>
        </w:r>
      </w:hyperlink>
      <w:r>
        <w:t xml:space="preserve">. For the schedule channel this matters, because it seats the modularity payoff in integration load, and integration load is a late-phase affair pressing straight on time-to-launch. Here again, though, the object under study is the module and its interface, not the program and its confirmation baseline. A mechanism gets established that ought, if the standardization thesis holds, to register as a program-level schedule effect. That effect goes unestimated.</w:t>
      </w:r>
    </w:p>
    <w:p>
      <w:pPr>
        <w:pStyle w:val="BodyText"/>
        <w:spacing w:line="480" w:lineRule="auto"/>
        <w:ind w:firstLine="720"/>
      </w:pPr>
      <w:r>
        <w:t xml:space="preserve">Payload work restates the same shape at the grain of the multi-payload smallsat. Cast as a template for smallsat multi-payload integration, the SpIRIT payload management system is credited with shorter development and lower cost from folding several payloads onto one shared management layer</w:t>
      </w:r>
      <w:r>
        <w:t xml:space="preserve"> </w:t>
      </w:r>
      <w:hyperlink w:anchor="ref-6">
        <w:r>
          <w:rPr>
            <w:rStyle w:val="Hyperlink"/>
          </w:rPr>
          <w:t xml:space="preserve">[6]</w:t>
        </w:r>
      </w:hyperlink>
      <w:r>
        <w:t xml:space="preserve">[26]. Credible, particular, empirically anchored once more, and once more reported for a single spacecraft’s payload layout rather than a run of programs. SpIRIT tells us modular payload integration trimmed one mission’s calendar. It says nothing about whether standardized-architecture programs, as a population, realize lighter overrun than bespoke programs with complexity pinned. The result is real, aimed the right way, and pitched at the wrong grain.</w:t>
      </w:r>
    </w:p>
    <w:bookmarkEnd w:id="68"/>
    <w:bookmarkStart w:id="69" w:name="Xb4da58536da958e0b2f21cb9bdc09d39e989847"/>
    <w:p>
      <w:pPr>
        <w:pStyle w:val="Heading3"/>
        <w:spacing w:line="480" w:lineRule="auto"/>
      </w:pPr>
      <w:r>
        <w:t xml:space="preserve">2.2.3 Flexible and Reusable Architectures in the Surveillance and Data Domains</w:t>
      </w:r>
    </w:p>
    <w:p>
      <w:pPr>
        <w:pStyle w:val="FirstParagraph"/>
        <w:spacing w:line="480" w:lineRule="auto"/>
      </w:pPr>
      <w:r>
        <w:t xml:space="preserve">Alongside runs a current pressing flexible, modular, reusable architectures in space domain awareness and surveillance payloads, forever on the footing that reuse trims repeating development load. A flexible closed-loop feedback control architecture for space domain awareness payloads is built on the case that a reconfigurable control layer lets one design cover many payload setups, trimming the repeating cost of standing up new sensors</w:t>
      </w:r>
      <w:r>
        <w:t xml:space="preserve"> </w:t>
      </w:r>
      <w:hyperlink w:anchor="ref-5">
        <w:r>
          <w:rPr>
            <w:rStyle w:val="Hyperlink"/>
          </w:rPr>
          <w:t xml:space="preserve">[5]</w:t>
        </w:r>
      </w:hyperlink>
      <w:r>
        <w:t xml:space="preserve">. Modular, scalable data-transform work riding a data fabric makes the parallel case for the processing layer, holding that a modular transform layer cheapens the folding-in of fresh data sources by reusing one shared transform base</w:t>
      </w:r>
      <w:r>
        <w:t xml:space="preserve"> </w:t>
      </w:r>
      <w:hyperlink w:anchor="ref-16">
        <w:r>
          <w:rPr>
            <w:rStyle w:val="Hyperlink"/>
          </w:rPr>
          <w:t xml:space="preserve">[16]</w:t>
        </w:r>
      </w:hyperlink>
      <w:r>
        <w:t xml:space="preserve">. Resilient networking in the same arena casts standardized, reusable networking as the way to hold critical sensors linked without one-off per-sensor integration</w:t>
      </w:r>
      <w:r>
        <w:t xml:space="preserve"> </w:t>
      </w:r>
      <w:hyperlink w:anchor="ref-20">
        <w:r>
          <w:rPr>
            <w:rStyle w:val="Hyperlink"/>
          </w:rPr>
          <w:t xml:space="preserve">[20]</w:t>
        </w:r>
      </w:hyperlink>
      <w:r>
        <w:t xml:space="preserve">, and an extensible telescope architecture for ephemeris refinement is put forward as a deliberately extensible, reusable base whose worth lies in taking on later missions without a redesign</w:t>
      </w:r>
      <w:r>
        <w:t xml:space="preserve"> </w:t>
      </w:r>
      <w:hyperlink w:anchor="ref-19">
        <w:r>
          <w:rPr>
            <w:rStyle w:val="Hyperlink"/>
          </w:rPr>
          <w:t xml:space="preserve">[19]</w:t>
        </w:r>
      </w:hyperlink>
      <w:r>
        <w:t xml:space="preserve">. Architectural exploration of surveillance sensor layouts for geosynchronous spacecraft canvasses the space of reusable sensor architectures and holds reuse up as a first-order design good</w:t>
      </w:r>
      <w:r>
        <w:t xml:space="preserve"> </w:t>
      </w:r>
      <w:hyperlink w:anchor="ref-21">
        <w:r>
          <w:rPr>
            <w:rStyle w:val="Hyperlink"/>
          </w:rPr>
          <w:t xml:space="preserve">[21]</w:t>
        </w:r>
      </w:hyperlink>
      <w:r>
        <w:t xml:space="preserve">.</w:t>
      </w:r>
    </w:p>
    <w:p>
      <w:pPr>
        <w:pStyle w:val="BodyText"/>
        <w:spacing w:line="480" w:lineRule="auto"/>
        <w:ind w:firstLine="720"/>
      </w:pPr>
      <w:r>
        <w:t xml:space="preserve">These studies pull their weight because they show the standardization thesis is not penned inside spacecraft buses; it travels to control layers, data layers, networking layers, and sensor layers. They widen the mechanism. Yet they inherit the whole engineering scholarship’s defining shortfall: each reasons from the footing that reuse trims load, and each proves the footing at the grain of one architecture or one design exercise, never gauging the realized program-level outcome the footing implies. Machine-learning-driven instrument design and optimal multispectral instrument design fall in line, treating reuse and modular tunability as design goods whose payoff is asserted inside an optimization frame rather than gauged against confirmed budgets</w:t>
      </w:r>
      <w:r>
        <w:t xml:space="preserve"> </w:t>
      </w:r>
      <w:hyperlink w:anchor="ref-22">
        <w:r>
          <w:rPr>
            <w:rStyle w:val="Hyperlink"/>
          </w:rPr>
          <w:t xml:space="preserve">[22]</w:t>
        </w:r>
      </w:hyperlink>
      <w:r>
        <w:t xml:space="preserve">[17]. The footing turns up everywhere; the program-level estimate turns up nowhere.</w:t>
      </w:r>
    </w:p>
    <w:bookmarkEnd w:id="69"/>
    <w:bookmarkStart w:id="70" w:name="X663527350e40ca4c0fd8fab332f53ce862aa437"/>
    <w:p>
      <w:pPr>
        <w:pStyle w:val="Heading3"/>
        <w:spacing w:line="480" w:lineRule="auto"/>
      </w:pPr>
      <w:r>
        <w:t xml:space="preserve">2.2.4 The Bespoke Counter-Argument in the Domain Literature</w:t>
      </w:r>
    </w:p>
    <w:p>
      <w:pPr>
        <w:pStyle w:val="FirstParagraph"/>
        <w:spacing w:line="480" w:lineRule="auto"/>
      </w:pPr>
      <w:r>
        <w:t xml:space="preserve">One voice does not carry the whole engineering scholarship.</w:t>
      </w:r>
    </w:p>
    <w:p>
      <w:pPr>
        <w:pStyle w:val="BodyText"/>
        <w:spacing w:line="480" w:lineRule="auto"/>
        <w:ind w:firstLine="720"/>
      </w:pPr>
      <w:r>
        <w:t xml:space="preserve">Threaded through it runs a rival hunch: a fixed reference envelope is a cage, and cages cost something. This counter-argument gets stated outright less often than the standardization thesis, yet it lives structurally in any architecture study that counts requirements fit as a design goal. Let a mission’s pointing, power, thermal, or payload-accommodation needs run past what a reference bus was scoped to give, and the program must bend the reference architecture, paying an integration toll, or settle for weaker mission performance. Value-centric design, by naming delivered value as the thing to maximize, quietly grants that a caged architecture can bleed value when the mission strains the envelope</w:t>
      </w:r>
      <w:r>
        <w:t xml:space="preserve"> </w:t>
      </w:r>
      <w:hyperlink w:anchor="ref-24">
        <w:r>
          <w:rPr>
            <w:rStyle w:val="Hyperlink"/>
          </w:rPr>
          <w:t xml:space="preserve">[24]</w:t>
        </w:r>
      </w:hyperlink>
      <w:r>
        <w:t xml:space="preserve">. Instrument-optimization work, by tuning instrument design to mission-specific characterization demands, quietly grants that mission-specific tuning can beat a fixed reusable setup once the mission grows hard enough</w:t>
      </w:r>
      <w:r>
        <w:t xml:space="preserve"> </w:t>
      </w:r>
      <w:hyperlink w:anchor="ref-22">
        <w:r>
          <w:rPr>
            <w:rStyle w:val="Hyperlink"/>
          </w:rPr>
          <w:t xml:space="preserve">[22]</w:t>
        </w:r>
      </w:hyperlink>
      <w:r>
        <w:t xml:space="preserve">.</w:t>
      </w:r>
    </w:p>
    <w:p>
      <w:pPr>
        <w:pStyle w:val="BodyText"/>
        <w:spacing w:line="480" w:lineRule="auto"/>
        <w:ind w:firstLine="720"/>
      </w:pPr>
      <w:r>
        <w:t xml:space="preserve">So the bespoke counter-argument stands as a genuine, theoretically grounded rival to the standardization thesis. It forecasts that the standardization payoff should thin, and can flip, in the top complexity band, where integration tolls bite hardest. Here lies the rub: the engineering scholarship floats the counter-argument as a hunch, never as a checked hypothesis. Nothing in the reference pool gauges the conditional gap in overrun between standardized and bespoke programs across complexity bands, which is the sole check that could settle the standardization thesis against its bespoke rival. The two live in the scholarship as rival priors with no gauged referee between them. That is the substantive hole on the engineering side of the seam.</w:t>
      </w:r>
    </w:p>
    <w:bookmarkEnd w:id="70"/>
    <w:bookmarkEnd w:id="71"/>
    <w:bookmarkStart w:id="76" w:name="X07fe73e594277fc276c6392b9242153367417e1"/>
    <w:p>
      <w:pPr>
        <w:pStyle w:val="Heading2"/>
        <w:spacing w:line="480" w:lineRule="auto"/>
      </w:pPr>
      <w:r>
        <w:t xml:space="preserve">2.3 The Cliometric and Econometric Methodology Literature</w:t>
      </w:r>
    </w:p>
    <w:bookmarkStart w:id="72" w:name="cost-growth-as-a-measured-quantity"/>
    <w:p>
      <w:pPr>
        <w:pStyle w:val="Heading3"/>
        <w:spacing w:line="480" w:lineRule="auto"/>
      </w:pPr>
      <w:r>
        <w:t xml:space="preserve">2.3.1 Cost Growth as a Measured Quantity</w:t>
      </w:r>
    </w:p>
    <w:p>
      <w:pPr>
        <w:pStyle w:val="FirstParagraph"/>
        <w:spacing w:line="480" w:lineRule="auto"/>
      </w:pPr>
      <w:r>
        <w:t xml:space="preserve">Next this review must canvass the quantitative-history and econometric line of work built on measuring how programs turn out. Where the engineering scholarship talks mechanism and design philosophy, this one talks baselines, realized values, and fitted effects. Its bedrock object is overrun, the gap between what a program signs up for at a set baseline and what it books at completion, put as a gauged ratio rather than a forecast.</w:t>
      </w:r>
    </w:p>
    <w:p>
      <w:pPr>
        <w:pStyle w:val="BodyText"/>
        <w:spacing w:line="480" w:lineRule="auto"/>
        <w:ind w:firstLine="720"/>
      </w:pPr>
      <w:r>
        <w:t xml:space="preserve">Inside the reference pool, the methodological bedrock of this line is the Aerospace Corporation study of past NASA cost and schedule growth. It handles overrun and slip as empirical quantities, gauged over a historical run of programs and turned into forward reserve guidance</w:t>
      </w:r>
      <w:r>
        <w:t xml:space="preserve"> </w:t>
      </w:r>
      <w:hyperlink w:anchor="ref-14">
        <w:r>
          <w:rPr>
            <w:rStyle w:val="Hyperlink"/>
          </w:rPr>
          <w:t xml:space="preserve">[14]</w:t>
        </w:r>
      </w:hyperlink>
      <w:r>
        <w:t xml:space="preserve">[11]. Its stance is the one this study borrows: outcomes are watched after the fact, over a population, and boiled down to fitted parameters that carry ahead as decision inputs. The Aerospace study also settles that overrun and slip, though they move together, are separately driven by technical immaturity at confirmation, which frees this dissertation to gauge the cost channel and the schedule channel with separate estimators instead of treating slip as a free tag-along of overrun</w:t>
      </w:r>
      <w:r>
        <w:t xml:space="preserve"> </w:t>
      </w:r>
      <w:hyperlink w:anchor="ref-11">
        <w:r>
          <w:rPr>
            <w:rStyle w:val="Hyperlink"/>
          </w:rPr>
          <w:t xml:space="preserve">[11]</w:t>
        </w:r>
      </w:hyperlink>
      <w:r>
        <w:t xml:space="preserve">. That counts as a methodological result of the first rank. It says a full handling of the architecture call wants two outcome variables, not one, and two fitting estimators, not one.</w:t>
      </w:r>
    </w:p>
    <w:p>
      <w:pPr>
        <w:pStyle w:val="BodyText"/>
        <w:spacing w:line="480" w:lineRule="auto"/>
        <w:ind w:firstLine="720"/>
      </w:pPr>
      <w:r>
        <w:t xml:space="preserve">Government Accountability Office reviews of major NASA projects hand over the recurring, public, citable run of overrun observations that any quantitative-history study of NASA programs has to stand on. Those reviews post project-level baseline and current cost for the run of major projects, and they do it on a fixed cadence, throwing off the longitudinal record overrun measurement wants</w:t>
      </w:r>
      <w:r>
        <w:t xml:space="preserve"> </w:t>
      </w:r>
      <w:hyperlink w:anchor="ref-12">
        <w:r>
          <w:rPr>
            <w:rStyle w:val="Hyperlink"/>
          </w:rPr>
          <w:t xml:space="preserve">[12]</w:t>
        </w:r>
      </w:hyperlink>
      <w:r>
        <w:t xml:space="preserve">. NASA Office of Inspector General audits add program-specific cost and schedule reconstructions at finer grain for single troubled programs</w:t>
      </w:r>
      <w:r>
        <w:t xml:space="preserve"> </w:t>
      </w:r>
      <w:hyperlink w:anchor="ref-13">
        <w:r>
          <w:rPr>
            <w:rStyle w:val="Hyperlink"/>
          </w:rPr>
          <w:t xml:space="preserve">[13]</w:t>
        </w:r>
      </w:hyperlink>
      <w:r>
        <w:t xml:space="preserve">, and the Planetary Society’s rebuild of confirmation-to-final cost for the competed planetary set adds an under-budget benchmark run vital for showing that overrun is not uniformly positive</w:t>
      </w:r>
      <w:r>
        <w:t xml:space="preserve"> </w:t>
      </w:r>
      <w:hyperlink w:anchor="ref-11">
        <w:r>
          <w:rPr>
            <w:rStyle w:val="Hyperlink"/>
          </w:rPr>
          <w:t xml:space="preserve">[11]</w:t>
        </w:r>
      </w:hyperlink>
      <w:r>
        <w:t xml:space="preserve">. Pulled together, these sources settle that this dissertation’s dependent variable, realized overrun from confirmation baseline to launch actual, is a gauged, sourced, replicable quantity and not a forecast. This is the quantitative-history bedrock the engineering scholarship goes without.</w:t>
      </w:r>
    </w:p>
    <w:bookmarkEnd w:id="72"/>
    <w:bookmarkStart w:id="73" w:name="X21940f4b39a58ff9268d292717f61cfb266cb8b"/>
    <w:p>
      <w:pPr>
        <w:pStyle w:val="Heading3"/>
        <w:spacing w:line="480" w:lineRule="auto"/>
      </w:pPr>
      <w:r>
        <w:t xml:space="preserve">2.3.2 The Forecast Posture of the Economic Literature</w:t>
      </w:r>
    </w:p>
    <w:p>
      <w:pPr>
        <w:pStyle w:val="FirstParagraph"/>
        <w:spacing w:line="480" w:lineRule="auto"/>
      </w:pPr>
      <w:r>
        <w:t xml:space="preserve">Care is wanted about what the economic writing in the reference pool does and does not add to that bedrock. The economic forecasts of the space economy float economies of scale in spacecraft production and launch operations as a forward path rather than a backward estimate. One forecast of the space economy projects economies of scale in spacecraft production cutting costs over the sector’s future</w:t>
      </w:r>
      <w:r>
        <w:t xml:space="preserve"> </w:t>
      </w:r>
      <w:hyperlink w:anchor="ref-2">
        <w:r>
          <w:rPr>
            <w:rStyle w:val="Hyperlink"/>
          </w:rPr>
          <w:t xml:space="preserve">[2]</w:t>
        </w:r>
      </w:hyperlink>
      <w:r>
        <w:t xml:space="preserve">[8]. An analysis of space in driving sustainability, security, and development projects rising launch cadence continuing to unlock cost cuts</w:t>
      </w:r>
      <w:r>
        <w:t xml:space="preserve"> </w:t>
      </w:r>
      <w:hyperlink w:anchor="ref-3">
        <w:r>
          <w:rPr>
            <w:rStyle w:val="Hyperlink"/>
          </w:rPr>
          <w:t xml:space="preserve">[3]</w:t>
        </w:r>
      </w:hyperlink>
      <w:r>
        <w:t xml:space="preserve">. Weinzierl remarks that economies of scale and scope have always marked commercial space activity, casting the remark as a portrait of an industry path</w:t>
      </w:r>
      <w:r>
        <w:t xml:space="preserve"> </w:t>
      </w:r>
      <w:hyperlink w:anchor="ref-7">
        <w:r>
          <w:rPr>
            <w:rStyle w:val="Hyperlink"/>
          </w:rPr>
          <w:t xml:space="preserve">[7]</w:t>
        </w:r>
      </w:hyperlink>
      <w:r>
        <w:t xml:space="preserve">[10].</w:t>
      </w:r>
    </w:p>
    <w:p>
      <w:pPr>
        <w:pStyle w:val="BodyText"/>
        <w:spacing w:line="480" w:lineRule="auto"/>
        <w:ind w:firstLine="720"/>
      </w:pPr>
      <w:r>
        <w:t xml:space="preserve">Directional claims about where the industry heads, worth having as backdrop, and categorically apart from the quantitative-history quantity this dissertation gauges. A forecast that economies of scale will cut costs sector-wide is no gauged contrast between two architecture strategies on finished programs. The economic writing hands over the prior that standardization and scale cut cost; it never hands over the backward, conditional, signed estimate of the program-level effect. Laying the economic forecasts next to the Aerospace overrun study sharpens the methodological split at this review’s heart: one and the same expected direction can be voiced as a forecast about an industry or as a gauged coefficient on a population, and only the latter is refutable in the sense this dissertation wants. The economic writing hands over the forecast; the quantitative-history writing hands over the apparatus that turns a forecast into a gauged coefficient. On the architecture question, the two have never met.</w:t>
      </w:r>
    </w:p>
    <w:bookmarkEnd w:id="73"/>
    <w:bookmarkStart w:id="74" w:name="Xf0453ae7f0a418b2d62062f6225f05d0b221f8d"/>
    <w:p>
      <w:pPr>
        <w:pStyle w:val="Heading3"/>
        <w:spacing w:line="480" w:lineRule="auto"/>
      </w:pPr>
      <w:r>
        <w:t xml:space="preserve">2.3.3 The Selection Problem and the Identification Apparatus</w:t>
      </w:r>
    </w:p>
    <w:p>
      <w:pPr>
        <w:pStyle w:val="FirstParagraph"/>
        <w:spacing w:line="480" w:lineRule="auto"/>
      </w:pPr>
      <w:r>
        <w:t xml:space="preserve">Quantitative-history measurement of overrun, on its own, only describes.</w:t>
      </w:r>
    </w:p>
    <w:p>
      <w:pPr>
        <w:pStyle w:val="BodyText"/>
        <w:spacing w:line="480" w:lineRule="auto"/>
        <w:ind w:firstLine="720"/>
      </w:pPr>
      <w:r>
        <w:t xml:space="preserve">Turning a description into an estimate of a treatment effect means facing the core inferential danger, which is selection, and the econometric writing is built squarely around that danger. In the architecture setting the selection danger is plain and sharp: program managers may steer simple, well-charted missions onto reference architectures and hold bespoke clean sheets back for the hardest, most novel work. A green comparison of standardized against bespoke programs would then pin on architecture an effect that rightly belongs to complexity. The Aerospace study grounds this worry by settling that technical immaturity at confirmation separately drives both overrun and slip</w:t>
      </w:r>
      <w:r>
        <w:t xml:space="preserve"> </w:t>
      </w:r>
      <w:hyperlink w:anchor="ref-11">
        <w:r>
          <w:rPr>
            <w:rStyle w:val="Hyperlink"/>
          </w:rPr>
          <w:t xml:space="preserve">[11]</w:t>
        </w:r>
      </w:hyperlink>
      <w:r>
        <w:t xml:space="preserve">, which makes complexity a confounder to be gauged and held rather than waved away.</w:t>
      </w:r>
    </w:p>
    <w:p>
      <w:pPr>
        <w:pStyle w:val="BodyText"/>
        <w:spacing w:line="480" w:lineRule="auto"/>
        <w:ind w:firstLine="720"/>
      </w:pPr>
      <w:r>
        <w:t xml:space="preserve">Against selection on observables, the econometric apparatus is the regression-with-controls design, in which the treatment flag enters beside gauged stand-ins for the confounding dimensions, so the treatment coefficient is pinned conditional on those controls. The methodology writing settles that such a design earns belief only if the controls soak up the confounding spread: were architecture choice driven by observable hardness, the treatment coefficient would fade once hardness joined the model. That fade test is the packhorse of observational treatment-effect estimation, and it is the test this study is built to run. The reference-pool writing also hands over the sturdier identification play of a within-band comparison, in which the treatment is nailed down by construction so residual outcome spread cannot mirror the treatment-selection call; the quantitative-history line honors this within-platform contrast as the tougher identifying test, and checks the cross-program estimate against it.</w:t>
      </w:r>
    </w:p>
    <w:bookmarkEnd w:id="74"/>
    <w:bookmarkStart w:id="75" w:name="X62af15e448c74fbd762984339c2e47b6e3006ae"/>
    <w:p>
      <w:pPr>
        <w:pStyle w:val="Heading3"/>
        <w:spacing w:line="480" w:lineRule="auto"/>
      </w:pPr>
      <w:r>
        <w:t xml:space="preserve">2.3.4 Censoring and the Survival-Analysis Apparatus</w:t>
      </w:r>
    </w:p>
    <w:p>
      <w:pPr>
        <w:pStyle w:val="FirstParagraph"/>
        <w:spacing w:line="480" w:lineRule="auto"/>
      </w:pPr>
      <w:r>
        <w:t xml:space="preserve">The schedule channel throws up a methodological snag the cost channel skips, and the econometric writing hands over the fix. Some programs in any current portfolio have not flown at the observation cutoff. They are neither wins nor losses; they are still under build. Drop them and you throw away word about the programs running longest, tilting the gauged pace of development toward the quicker programs already flown; treat their run time as finished and you undersell the true build time. This is the censoring snag, and survival analysis is the branch of the methodology writing raised to meet it. The Cox proportional-hazards estimator takes right-censored observations head-on, letting a not-yet-flown program hand over the word that it lasted under build at least as long as its run time, without a made-up launch date.</w:t>
      </w:r>
    </w:p>
    <w:p>
      <w:pPr>
        <w:pStyle w:val="BodyText"/>
        <w:spacing w:line="480" w:lineRule="auto"/>
        <w:ind w:firstLine="720"/>
      </w:pPr>
      <w:r>
        <w:t xml:space="preserve">The reference pool’s finding that slip and overrun are separately driven</w:t>
      </w:r>
      <w:r>
        <w:t xml:space="preserve"> </w:t>
      </w:r>
      <w:hyperlink w:anchor="ref-11">
        <w:r>
          <w:rPr>
            <w:rStyle w:val="Hyperlink"/>
          </w:rPr>
          <w:t xml:space="preserve">[11]</w:t>
        </w:r>
      </w:hyperlink>
      <w:r>
        <w:t xml:space="preserve"> </w:t>
      </w:r>
      <w:r>
        <w:t xml:space="preserve">is what frees a separate survival estimator for the schedule channel rather than a recycling of the overrun regression. So the methodology writing hands over not one estimator but a matched brace: a regression-with-controls estimator for the cost channel, whose dependent variable is a gauged ratio, and a censoring-aware hazard estimator for the schedule channel, whose dependent variable is a duration with an event flag. That matched-brace stance is the quantitative-history method this dissertation carries in. It is fully worked out in the methodology writing and wholly missing from the engineering architecture writing.</w:t>
      </w:r>
    </w:p>
    <w:bookmarkEnd w:id="75"/>
    <w:bookmarkEnd w:id="76"/>
    <w:bookmarkStart w:id="77" w:name="work-that-touches-both-shores"/>
    <w:p>
      <w:pPr>
        <w:pStyle w:val="Heading2"/>
        <w:spacing w:line="480" w:lineRule="auto"/>
      </w:pPr>
      <w:r>
        <w:t xml:space="preserve">2.4 Work That Touches Both Shores</w:t>
      </w:r>
    </w:p>
    <w:p>
      <w:pPr>
        <w:pStyle w:val="FirstParagraph"/>
        <w:spacing w:line="480" w:lineRule="auto"/>
      </w:pPr>
      <w:r>
        <w:t xml:space="preserve">A careful review has to reckon with the studies that come nearest to bridging the two lines, since the sharpness of the gap claim rests on showing that even the closest neighbors fall short of the crossing. Three kinds of near-neighbor live in the reference pool.</w:t>
      </w:r>
    </w:p>
    <w:p>
      <w:pPr>
        <w:pStyle w:val="BodyText"/>
        <w:spacing w:line="480" w:lineRule="auto"/>
        <w:ind w:firstLine="720"/>
      </w:pPr>
      <w:r>
        <w:t xml:space="preserve">First stands the architecture-cost philosophy work, which names total acquisition cost as the object of architecture calls and casts pre-acquisition architecture spend as a cost driver</w:t>
      </w:r>
      <w:r>
        <w:t xml:space="preserve"> </w:t>
      </w:r>
      <w:hyperlink w:anchor="ref-4">
        <w:r>
          <w:rPr>
            <w:rStyle w:val="Hyperlink"/>
          </w:rPr>
          <w:t xml:space="preserve">[4]</w:t>
        </w:r>
      </w:hyperlink>
      <w:r>
        <w:t xml:space="preserve">[9]. It stretches toward the quantitative-history object, cost, from the engineering bank. But it halts at the philosophy. It asserts that architecture spend drives total acquisition cost; it never fits a coefficient tying an architecture flag to a gauged overrun outcome over a population. It is the engineering scholarship aiming at the quantitative-history quantity without gauging it.</w:t>
      </w:r>
    </w:p>
    <w:p>
      <w:pPr>
        <w:pStyle w:val="BodyText"/>
        <w:spacing w:line="480" w:lineRule="auto"/>
        <w:ind w:firstLine="720"/>
      </w:pPr>
      <w:r>
        <w:t xml:space="preserve">Second stands the value-centric design work, which counts shorter development and lower cost as measurable returns and takes on a semi-quantitative stance</w:t>
      </w:r>
      <w:r>
        <w:t xml:space="preserve"> </w:t>
      </w:r>
      <w:hyperlink w:anchor="ref-24">
        <w:r>
          <w:rPr>
            <w:rStyle w:val="Hyperlink"/>
          </w:rPr>
          <w:t xml:space="preserve">[24]</w:t>
        </w:r>
      </w:hyperlink>
      <w:r>
        <w:t xml:space="preserve">. It stretches toward measurement, but what it measures is modeled design value under a system-traits model, not realized overrun against confirmed budgets. It is the engineering scholarship borrowing the words of measurement without taking on the quantitative-history object of measurement.</w:t>
      </w:r>
    </w:p>
    <w:p>
      <w:pPr>
        <w:pStyle w:val="BodyText"/>
        <w:spacing w:line="480" w:lineRule="auto"/>
        <w:ind w:firstLine="720"/>
      </w:pPr>
      <w:r>
        <w:t xml:space="preserve">Third stands the quantitative-history cost-and-schedule-growth writing itself, which gauges realized overrun and slip across NASA programs and boils them into reserve guidance</w:t>
      </w:r>
      <w:r>
        <w:t xml:space="preserve"> </w:t>
      </w:r>
      <w:hyperlink w:anchor="ref-14">
        <w:r>
          <w:rPr>
            <w:rStyle w:val="Hyperlink"/>
          </w:rPr>
          <w:t xml:space="preserve">[14]</w:t>
        </w:r>
      </w:hyperlink>
      <w:r>
        <w:t xml:space="preserve">[11][12]. It fully inhabits the quantitative-history object and the econometric apparatus. But it does not treat architecture as the treatment. It fits overrun and slip as functions of program traits and technical maturity; it never splits the population into standardized and bespoke programs and gauges the conditional architecture effect. It is the quantitative-history writing with the apparatus fully raised and the architecture question never put.</w:t>
      </w:r>
    </w:p>
    <w:p>
      <w:pPr>
        <w:pStyle w:val="BodyText"/>
        <w:spacing w:line="480" w:lineRule="auto"/>
        <w:ind w:firstLine="720"/>
      </w:pPr>
      <w:r>
        <w:t xml:space="preserve">So each near-neighbor misses the bridging in its own telling way. The architecture-cost work owns the architecture question and not the estimate. The value-centric work owns the words of measurement and not the quantitative-history object. The overrun work owns the estimate and the object and not the architecture treatment. Where all three overlap, an estimate of the conditional architecture effect on realized overrun and slip across a population, sits vacant.</w:t>
      </w:r>
    </w:p>
    <w:bookmarkEnd w:id="77"/>
    <w:bookmarkStart w:id="81" w:name="synthesis-and-the-gap"/>
    <w:p>
      <w:pPr>
        <w:pStyle w:val="Heading2"/>
        <w:spacing w:line="480" w:lineRule="auto"/>
      </w:pPr>
      <w:r>
        <w:t xml:space="preserve">2.5 Synthesis and the Gap</w:t>
      </w:r>
    </w:p>
    <w:bookmarkStart w:id="78" w:name="Xe429f6ad6706ba15283e2709d33929559c4344c"/>
    <w:p>
      <w:pPr>
        <w:pStyle w:val="Heading3"/>
        <w:spacing w:line="480" w:lineRule="auto"/>
      </w:pPr>
      <w:r>
        <w:t xml:space="preserve">2.5.1 Two Complete Literatures, One Empty Intersection</w:t>
      </w:r>
    </w:p>
    <w:p>
      <w:pPr>
        <w:pStyle w:val="FirstParagraph"/>
        <w:spacing w:line="480" w:lineRule="auto"/>
      </w:pPr>
      <w:r>
        <w:t xml:space="preserve">The synthesis can now be put sharply. The engineering scholarship hands over a strong, mechanistically grounded prior that standardization, modularity, and carryover cut development cost and shorten development time</w:t>
      </w:r>
      <w:r>
        <w:t xml:space="preserve"> </w:t>
      </w:r>
      <w:hyperlink w:anchor="ref-1">
        <w:r>
          <w:rPr>
            <w:rStyle w:val="Hyperlink"/>
          </w:rPr>
          <w:t xml:space="preserve">[1]</w:t>
        </w:r>
      </w:hyperlink>
      <w:r>
        <w:t xml:space="preserve">[15][6][24][4]. It hands over that prior at the subsystem grain</w:t>
      </w:r>
      <w:r>
        <w:t xml:space="preserve"> </w:t>
      </w:r>
      <w:hyperlink w:anchor="ref-1">
        <w:r>
          <w:rPr>
            <w:rStyle w:val="Hyperlink"/>
          </w:rPr>
          <w:t xml:space="preserve">[1]</w:t>
        </w:r>
      </w:hyperlink>
      <w:r>
        <w:t xml:space="preserve">, the module grain</w:t>
      </w:r>
      <w:r>
        <w:t xml:space="preserve"> </w:t>
      </w:r>
      <w:hyperlink w:anchor="ref-15">
        <w:r>
          <w:rPr>
            <w:rStyle w:val="Hyperlink"/>
          </w:rPr>
          <w:t xml:space="preserve">[15]</w:t>
        </w:r>
      </w:hyperlink>
      <w:r>
        <w:t xml:space="preserve">, the payload grain</w:t>
      </w:r>
      <w:r>
        <w:t xml:space="preserve"> </w:t>
      </w:r>
      <w:hyperlink w:anchor="ref-6">
        <w:r>
          <w:rPr>
            <w:rStyle w:val="Hyperlink"/>
          </w:rPr>
          <w:t xml:space="preserve">[6]</w:t>
        </w:r>
      </w:hyperlink>
      <w:r>
        <w:t xml:space="preserve">[26], the control-architecture grain</w:t>
      </w:r>
      <w:r>
        <w:t xml:space="preserve"> </w:t>
      </w:r>
      <w:hyperlink w:anchor="ref-5">
        <w:r>
          <w:rPr>
            <w:rStyle w:val="Hyperlink"/>
          </w:rPr>
          <w:t xml:space="preserve">[5]</w:t>
        </w:r>
      </w:hyperlink>
      <w:r>
        <w:t xml:space="preserve">, the data-architecture grain</w:t>
      </w:r>
      <w:r>
        <w:t xml:space="preserve"> </w:t>
      </w:r>
      <w:hyperlink w:anchor="ref-16">
        <w:r>
          <w:rPr>
            <w:rStyle w:val="Hyperlink"/>
          </w:rPr>
          <w:t xml:space="preserve">[16]</w:t>
        </w:r>
      </w:hyperlink>
      <w:r>
        <w:t xml:space="preserve">, and the sensor-architecture grain</w:t>
      </w:r>
      <w:r>
        <w:t xml:space="preserve"> </w:t>
      </w:r>
      <w:hyperlink w:anchor="ref-19">
        <w:r>
          <w:rPr>
            <w:rStyle w:val="Hyperlink"/>
          </w:rPr>
          <w:t xml:space="preserve">[19]</w:t>
        </w:r>
      </w:hyperlink>
      <w:r>
        <w:t xml:space="preserve">[21]. It hands over a theoretically grounded bespoke counter-argument that integration tolls may cancel carryover savings when a mission strains the reference envelope. What it never hands over, at any grain, is a program-level estimate of the realized overrun or schedule effect of the architecture choice, conditional on complexity. Mechanism fills the engineering scholarship; measured program-level effect leaves it empty.</w:t>
      </w:r>
    </w:p>
    <w:p>
      <w:pPr>
        <w:pStyle w:val="BodyText"/>
        <w:spacing w:line="480" w:lineRule="auto"/>
        <w:ind w:firstLine="720"/>
      </w:pPr>
      <w:r>
        <w:t xml:space="preserve">The quantitative-history and econometric writing hands over the matching half. It hands over a gauged, sourced, replicable overrun quantity</w:t>
      </w:r>
      <w:r>
        <w:t xml:space="preserve"> </w:t>
      </w:r>
      <w:hyperlink w:anchor="ref-14">
        <w:r>
          <w:rPr>
            <w:rStyle w:val="Hyperlink"/>
          </w:rPr>
          <w:t xml:space="preserve">[14]</w:t>
        </w:r>
      </w:hyperlink>
      <w:r>
        <w:t xml:space="preserve">[11][12][13][8 via 11], the finding that overrun and slip are separately driven and so want separate estimators</w:t>
      </w:r>
      <w:r>
        <w:t xml:space="preserve"> </w:t>
      </w:r>
      <w:hyperlink w:anchor="ref-11">
        <w:r>
          <w:rPr>
            <w:rStyle w:val="Hyperlink"/>
          </w:rPr>
          <w:t xml:space="preserve">[11]</w:t>
        </w:r>
      </w:hyperlink>
      <w:r>
        <w:t xml:space="preserve">, the regression-with-controls apparatus for pinning a treatment effect under selection on observables, and the censoring-aware survival apparatus for gauging a duration outcome with not-yet-flown programs in the sample. What it never hands over is the aiming of that apparatus at the architecture treatment. Estimators fill the quantitative-history writing; the architecture question leaves it empty.</w:t>
      </w:r>
    </w:p>
    <w:p>
      <w:pPr>
        <w:pStyle w:val="BodyText"/>
        <w:spacing w:line="480" w:lineRule="auto"/>
        <w:ind w:firstLine="720"/>
      </w:pPr>
      <w:r>
        <w:t xml:space="preserve">So each line stands whole in itself and unaware of the other. The engineering scholarship owns the question and not the method; the methodology writing owns the method and not the question. Where they cross, a conditional, signed, sized estimate of the program-level architecture effect on realized overrun and on time-to-launch, sits vacant. That vacant crossing is the gap this dissertation aims at, and it is a gap of bridging rather than of discovery: neither line is wrong, neither falls short on its own terms, and the contribution is to weld them into one refutable estimate.</w:t>
      </w:r>
    </w:p>
    <w:bookmarkEnd w:id="78"/>
    <w:bookmarkStart w:id="79" w:name="X0042ed1992fb2de87ac4da1dba57f0c1351423b"/>
    <w:p>
      <w:pPr>
        <w:pStyle w:val="Heading3"/>
        <w:spacing w:line="480" w:lineRule="auto"/>
      </w:pPr>
      <w:r>
        <w:t xml:space="preserve">2.5.2 The Shape of the Contribution Against the Gap</w:t>
      </w:r>
    </w:p>
    <w:p>
      <w:pPr>
        <w:pStyle w:val="FirstParagraph"/>
        <w:spacing w:line="480" w:lineRule="auto"/>
      </w:pPr>
      <w:r>
        <w:t xml:space="preserve">The gap so drawn sets the shape of the contribution. Because the engineering scholarship hands over the prior and the mechanism but no estimate, the contribution has to be an estimate, not one more mechanism argument. Because the bespoke counter-argument is real but unchecked, the estimate has to be conditional on complexity, so the standardization coefficient is pinned against the rival claim that selection on hardness drives any green gap. Because the quantitative-history writing settles that overrun and slip are separately driven</w:t>
      </w:r>
      <w:r>
        <w:t xml:space="preserve"> </w:t>
      </w:r>
      <w:hyperlink w:anchor="ref-11">
        <w:r>
          <w:rPr>
            <w:rStyle w:val="Hyperlink"/>
          </w:rPr>
          <w:t xml:space="preserve">[11]</w:t>
        </w:r>
      </w:hyperlink>
      <w:r>
        <w:t xml:space="preserve">, the contribution has to gauge both channels with fitting and separate estimators rather than folding them together. Because the methodology writing hands over the censoring apparatus, the schedule channel has to be gauged with a survival model that keeps the not-yet-flown programs rather than dropping them. And because the whole undertaking is observational, the contribution has to stay honest about residual selection, posting an interval rather than a point claim and holding the within-platform contrast back as the tougher identifying test.</w:t>
      </w:r>
    </w:p>
    <w:p>
      <w:pPr>
        <w:pStyle w:val="BodyText"/>
        <w:spacing w:line="480" w:lineRule="auto"/>
        <w:ind w:firstLine="720"/>
      </w:pPr>
      <w:r>
        <w:t xml:space="preserve">That is exactly the build of the empirical work ahead. The cost-channel paper carries in the quantitative-history overrun object and the regression-with-controls apparatus, splits the NASA major-mission population into standardized and bespoke programs against a documented rubric, and gauges the conditional overrun coefficient with robust standard errors, checking whether complexity controls soak up the architecture effect. The schedule-channel paper carries in the same split population and the censoring-aware Cox apparatus, gauging the conditional launch hazard with the not-yet-flown programs kept as right-censored observations. Each paper weds one line’s question to the other line’s method into a single refutable estimate. The chapters ahead post those estimates, and the dissertation’s contribution is the welding itself: a defensible program-level effect size where the field had before held only an architectural prior on one bank and an unaimed estimator on the other.</w:t>
      </w:r>
    </w:p>
    <w:bookmarkEnd w:id="79"/>
    <w:bookmarkStart w:id="80" w:name="positioning-against-the-reference-pool"/>
    <w:p>
      <w:pPr>
        <w:pStyle w:val="Heading3"/>
        <w:spacing w:line="480" w:lineRule="auto"/>
      </w:pPr>
      <w:r>
        <w:t xml:space="preserve">2.5.3 Positioning Against the Reference Pool</w:t>
      </w:r>
    </w:p>
    <w:p>
      <w:pPr>
        <w:pStyle w:val="FirstParagraph"/>
        <w:spacing w:line="480" w:lineRule="auto"/>
      </w:pPr>
      <w:r>
        <w:t xml:space="preserve">The review shuts by placing the dissertation squarely against the frame of the cited writing. The standardization thesis is drawn from the architecture-cost philosophy</w:t>
      </w:r>
      <w:r>
        <w:t xml:space="preserve"> </w:t>
      </w:r>
      <w:hyperlink w:anchor="ref-4">
        <w:r>
          <w:rPr>
            <w:rStyle w:val="Hyperlink"/>
          </w:rPr>
          <w:t xml:space="preserve">[4]</w:t>
        </w:r>
      </w:hyperlink>
      <w:r>
        <w:t xml:space="preserve">[9] and the value-centric design line</w:t>
      </w:r>
      <w:r>
        <w:t xml:space="preserve"> </w:t>
      </w:r>
      <w:hyperlink w:anchor="ref-24">
        <w:r>
          <w:rPr>
            <w:rStyle w:val="Hyperlink"/>
          </w:rPr>
          <w:t xml:space="preserve">[24]</w:t>
        </w:r>
      </w:hyperlink>
      <w:r>
        <w:t xml:space="preserve">, and it is braced by the subsystem and platform modularity findings</w:t>
      </w:r>
      <w:r>
        <w:t xml:space="preserve"> </w:t>
      </w:r>
      <w:hyperlink w:anchor="ref-1">
        <w:r>
          <w:rPr>
            <w:rStyle w:val="Hyperlink"/>
          </w:rPr>
          <w:t xml:space="preserve">[1]</w:t>
        </w:r>
      </w:hyperlink>
      <w:r>
        <w:t xml:space="preserve">[15][6][26] and by the wide surveillance-domain reuse writing</w:t>
      </w:r>
      <w:r>
        <w:t xml:space="preserve"> </w:t>
      </w:r>
      <w:hyperlink w:anchor="ref-5">
        <w:r>
          <w:rPr>
            <w:rStyle w:val="Hyperlink"/>
          </w:rPr>
          <w:t xml:space="preserve">[5]</w:t>
        </w:r>
      </w:hyperlink>
      <w:r>
        <w:t xml:space="preserve">[16][19][20][21][22][17]. The economic forecasts</w:t>
      </w:r>
      <w:r>
        <w:t xml:space="preserve"> </w:t>
      </w:r>
      <w:hyperlink w:anchor="ref-2">
        <w:r>
          <w:rPr>
            <w:rStyle w:val="Hyperlink"/>
          </w:rPr>
          <w:t xml:space="preserve">[2]</w:t>
        </w:r>
      </w:hyperlink>
      <w:r>
        <w:t xml:space="preserve">[8][3][7][10] hand over the sector-path prior but, being forecasts, cannot themselves stand as the refutable test. The quantitative-history apparatus is drawn from the Aerospace cost-and-schedule-growth study</w:t>
      </w:r>
      <w:r>
        <w:t xml:space="preserve"> </w:t>
      </w:r>
      <w:hyperlink w:anchor="ref-11">
        <w:r>
          <w:rPr>
            <w:rStyle w:val="Hyperlink"/>
          </w:rPr>
          <w:t xml:space="preserve">[11]</w:t>
        </w:r>
      </w:hyperlink>
      <w:r>
        <w:t xml:space="preserve">[14], the public outcome record</w:t>
      </w:r>
      <w:r>
        <w:t xml:space="preserve"> </w:t>
      </w:r>
      <w:hyperlink w:anchor="ref-12">
        <w:r>
          <w:rPr>
            <w:rStyle w:val="Hyperlink"/>
          </w:rPr>
          <w:t xml:space="preserve">[12]</w:t>
        </w:r>
      </w:hyperlink>
      <w:r>
        <w:t xml:space="preserve">[13], and the under-budget benchmark run</w:t>
      </w:r>
      <w:r>
        <w:t xml:space="preserve"> </w:t>
      </w:r>
      <w:hyperlink w:anchor="ref-11">
        <w:r>
          <w:rPr>
            <w:rStyle w:val="Hyperlink"/>
          </w:rPr>
          <w:t xml:space="preserve">[11]</w:t>
        </w:r>
      </w:hyperlink>
      <w:r>
        <w:t xml:space="preserve">. The dissertation’s own move is to draw the dependent variable and the inferential apparatus from the second body of work and the treatment definition and the substantive question from the first, and to gauge the resulting coefficient on a population both lines grant is real but neither has worked in this way. Nothing in the reference pool sits at that crossing, which is the exact sense in which the contribution is new and the exact reason the two lines are reviewed here as an unwelded brace.</w:t>
      </w:r>
    </w:p>
    <w:bookmarkEnd w:id="80"/>
    <w:bookmarkEnd w:id="81"/>
    <w:bookmarkEnd w:id="82"/>
    <w:bookmarkStart w:id="92" w:name="Xcfcc00a3ded59aed0c781c16bfc121f2a509603"/>
    <w:p>
      <w:pPr>
        <w:pStyle w:val="Heading1"/>
        <w:spacing w:line="480" w:lineRule="auto"/>
      </w:pPr>
      <w:r>
        <w:t xml:space="preserve">Chapter 3. Theoretical Framework and Hypotheses</w:t>
      </w:r>
    </w:p>
    <w:bookmarkStart w:id="83" w:name="purpose-and-position-of-the-chapter"/>
    <w:p>
      <w:pPr>
        <w:pStyle w:val="Heading2"/>
        <w:spacing w:line="480" w:lineRule="auto"/>
      </w:pPr>
      <w:r>
        <w:t xml:space="preserve">3.1 Purpose and Position of the Chapter</w:t>
      </w:r>
    </w:p>
    <w:p>
      <w:pPr>
        <w:pStyle w:val="FirstParagraph"/>
        <w:spacing w:line="480" w:lineRule="auto"/>
      </w:pPr>
      <w:r>
        <w:t xml:space="preserve">Two chapters have now laid out the problem and canvassed the writing around it. Mission program execution gets marked on overrun, the gap between what a program signs up for at confirmation and what it books at launch, and the biggest architectural dial a program manager turns before requirements set is the pick between a standardized reference architecture and a bespoke clean sheet. The writing hands over a strong directional prior that standardization trims cost, rooted in design carryover, economies of scale, and lighter pre-acquisition doubt</w:t>
      </w:r>
      <w:r>
        <w:t xml:space="preserve"> </w:t>
      </w:r>
      <w:hyperlink w:anchor="ref-4">
        <w:r>
          <w:rPr>
            <w:rStyle w:val="Hyperlink"/>
          </w:rPr>
          <w:t xml:space="preserve">[4]</w:t>
        </w:r>
      </w:hyperlink>
      <w:r>
        <w:t xml:space="preserve">[2][3], paired with an unchecked rival hunch that a fixed reference envelope levies an integration toll once a mission strains it. What the writing withholds is a gauged referee between the two claims at the program grain, conditional on mission complexity. This chapter does the groundwork that has to come ahead of that gauging. It pins down the mechanism tying the architecture pick to realized overrun, sets out the causal reasoning the empirical build must honor, and pours that reasoning into the formal null and alternative the dissertation puts to the test.</w:t>
      </w:r>
    </w:p>
    <w:p>
      <w:pPr>
        <w:pStyle w:val="BodyText"/>
        <w:spacing w:line="480" w:lineRule="auto"/>
        <w:ind w:firstLine="720"/>
      </w:pPr>
      <w:r>
        <w:t xml:space="preserve">By design this is no empirical chapter. It posts no estimates, no sample makeup, no coefficients; those belong to the analysis chapters and to the two companion studies that put this frame to work. Its job is to make the inferential target plain and refutable ahead of any contact with data, so the empirical work becomes a check on a pre-committed claim rather than a hunt for an agreeable one. What gets built here is the theoretical backbone onto which both the cross-program overrun estimator and the within-platform contrast bolt.</w:t>
      </w:r>
    </w:p>
    <w:bookmarkEnd w:id="83"/>
    <w:bookmarkStart w:id="84" w:name="X5bfbd604b94504ddc775331d54eb91f8480b830"/>
    <w:p>
      <w:pPr>
        <w:pStyle w:val="Heading2"/>
        <w:spacing w:line="480" w:lineRule="auto"/>
      </w:pPr>
      <w:r>
        <w:t xml:space="preserve">3.2 Constructs and Their Operational Referents</w:t>
      </w:r>
    </w:p>
    <w:p>
      <w:pPr>
        <w:pStyle w:val="FirstParagraph"/>
        <w:spacing w:line="480" w:lineRule="auto"/>
      </w:pPr>
      <w:r>
        <w:t xml:space="preserve">A theoretical frame runs only as tight as its constructs.</w:t>
      </w:r>
    </w:p>
    <w:p>
      <w:pPr>
        <w:pStyle w:val="BodyText"/>
        <w:spacing w:line="480" w:lineRule="auto"/>
        <w:ind w:firstLine="720"/>
      </w:pPr>
      <w:r>
        <w:t xml:space="preserve">Four of them carry the argument, and each has to be lashed to an operational referent the data can bear.</w:t>
      </w:r>
    </w:p>
    <w:p>
      <w:pPr>
        <w:pStyle w:val="BodyText"/>
        <w:spacing w:line="480" w:lineRule="auto"/>
        <w:ind w:firstLine="720"/>
      </w:pPr>
      <w:r>
        <w:t xml:space="preserve">First comes</w:t>
      </w:r>
      <w:r>
        <w:t xml:space="preserve"> </w:t>
      </w:r>
      <w:r>
        <w:rPr>
          <w:b/>
          <w:bCs/>
        </w:rPr>
        <w:t xml:space="preserve">architecture choice</w:t>
      </w:r>
      <w:r>
        <w:t xml:space="preserve">, the binary split between a standardized reference architecture and a bespoke design. By a standardized reference architecture this dissertation means a settled, already-validated system breakdown that a program takes over rather than reworks: a named heritage spacecraft bus, a near-copy rebuild of an earlier flight system, or a published vendor platform spec. By a bespoke design it means a first-of-kind, single-mission clean sheet whose integration surface and subsystem breakdown are worked out for the program itself. This construct necessarily flattens a continuum, since partial-heritage programs perch between the poles, and the frame owns that flattening as a measurement call to be defended rather than a fact to be taken as given.</w:t>
      </w:r>
    </w:p>
    <w:p>
      <w:pPr>
        <w:pStyle w:val="BodyText"/>
        <w:spacing w:line="480" w:lineRule="auto"/>
        <w:ind w:firstLine="720"/>
      </w:pPr>
      <w:r>
        <w:t xml:space="preserve">Second comes</w:t>
      </w:r>
      <w:r>
        <w:t xml:space="preserve"> </w:t>
      </w:r>
      <w:r>
        <w:rPr>
          <w:b/>
          <w:bCs/>
        </w:rPr>
        <w:t xml:space="preserve">realized cost growth</w:t>
      </w:r>
      <w:r>
        <w:t xml:space="preserve">, the dependent variable. It is the ratio of cost booked at launch to cost signed up for at the confirmation baseline, put as a proportional shift. Why pick this construct over raw cost or schedule? Because it is the number execution management is actually marked on. It shrugs off program size, it is the figure that drains contingency reserves and sets off rebaselining, and it peels the management showing of a program away from the sheer reach of its ambition. A billion-dollar overrun on a five-billion-dollar flagship and a fifty-million-dollar overrun on a quarter-billion-dollar competed mission are different management facts, and the ratio form is what lines them up for comparison.</w:t>
      </w:r>
    </w:p>
    <w:p>
      <w:pPr>
        <w:pStyle w:val="BodyText"/>
        <w:spacing w:line="480" w:lineRule="auto"/>
        <w:ind w:firstLine="720"/>
      </w:pPr>
      <w:r>
        <w:t xml:space="preserve">Third comes</w:t>
      </w:r>
      <w:r>
        <w:t xml:space="preserve"> </w:t>
      </w:r>
      <w:r>
        <w:rPr>
          <w:b/>
          <w:bCs/>
        </w:rPr>
        <w:t xml:space="preserve">mission complexity</w:t>
      </w:r>
      <w:r>
        <w:t xml:space="preserve">, the chief confounder. Complexity is the buried difficulty of the mission as scoped at confirmation: how many distinct instruments, how ready the critical subsystems are, and how much of the design is truly new. It bears on the frame not as a nuisance to scrub out but as the channel through which the central causal danger runs, which is why it gets raised to a first-class construct rather than parked as a control.</w:t>
      </w:r>
    </w:p>
    <w:p>
      <w:pPr>
        <w:pStyle w:val="BodyText"/>
        <w:spacing w:line="480" w:lineRule="auto"/>
        <w:ind w:firstLine="720"/>
      </w:pPr>
      <w:r>
        <w:t xml:space="preserve">Fourth comes</w:t>
      </w:r>
      <w:r>
        <w:t xml:space="preserve"> </w:t>
      </w:r>
      <w:r>
        <w:rPr>
          <w:b/>
          <w:bCs/>
        </w:rPr>
        <w:t xml:space="preserve">contractor heritage</w:t>
      </w:r>
      <w:r>
        <w:t xml:space="preserve">, the seasoning and banked design capital an integrating contractor carries into a program apart from whatever architecture it builds. Heritage is theorized as a believable shared cause of both the architecture call and the execution outcome, so the frame lets it in outright, so its causal part can be inspected rather than quietly soaked up.</w:t>
      </w:r>
    </w:p>
    <w:bookmarkEnd w:id="84"/>
    <w:bookmarkStart w:id="85" w:name="the-theoretical-mechanism"/>
    <w:p>
      <w:pPr>
        <w:pStyle w:val="Heading2"/>
        <w:spacing w:line="480" w:lineRule="auto"/>
      </w:pPr>
      <w:r>
        <w:t xml:space="preserve">3.3 The Theoretical Mechanism</w:t>
      </w:r>
    </w:p>
    <w:p>
      <w:pPr>
        <w:pStyle w:val="FirstParagraph"/>
        <w:spacing w:line="480" w:lineRule="auto"/>
      </w:pPr>
      <w:r>
        <w:t xml:space="preserve">What this dissertation theorizes is a</w:t>
      </w:r>
      <w:r>
        <w:t xml:space="preserve"> </w:t>
      </w:r>
      <w:r>
        <w:rPr>
          <w:b/>
          <w:bCs/>
        </w:rPr>
        <w:t xml:space="preserve">risk-retirement</w:t>
      </w:r>
      <w:r>
        <w:t xml:space="preserve"> </w:t>
      </w:r>
      <w:r>
        <w:t xml:space="preserve">mechanism, and it runs through the timing of where in a program’s life the hardest design and integration labor gets done.</w:t>
      </w:r>
    </w:p>
    <w:p>
      <w:pPr>
        <w:pStyle w:val="BodyText"/>
        <w:spacing w:line="480" w:lineRule="auto"/>
        <w:ind w:firstLine="720"/>
      </w:pPr>
      <w:r>
        <w:t xml:space="preserve">Every space program has, at some point, to retire the technical risk baked into its design: mature its subsystems to flight readiness, chart their interfaces, and qualify their integration. The architecture pick settles not whether that labor happens but when. The deeper matter still is whether it happens inside the priced and reserved development window of the program at hand, or outside it, on an earlier program whose cost the present one never bears.</w:t>
      </w:r>
    </w:p>
    <w:p>
      <w:pPr>
        <w:pStyle w:val="BodyText"/>
        <w:spacing w:line="480" w:lineRule="auto"/>
        <w:ind w:firstLine="720"/>
      </w:pPr>
      <w:r>
        <w:t xml:space="preserve">Cast this way, a standardized reference architecture is a stockpile of risk already retired. The heritage bus has flown; its interfaces are charted; its integration and test procedures are set down and have taken contact with hardware. The reference breakdown has been validated, so the program inherits not just parts but the pricier asset of a settled answer to how the system splits. The foundational architecture argument frames just this: money put into pre-acquisition architecture and engineering governs total acquisition cost over the lifecycle because it fixes how much of the design is inherited rather than reworked</w:t>
      </w:r>
      <w:r>
        <w:t xml:space="preserve"> </w:t>
      </w:r>
      <w:hyperlink w:anchor="ref-4">
        <w:r>
          <w:rPr>
            <w:rStyle w:val="Hyperlink"/>
          </w:rPr>
          <w:t xml:space="preserve">[4]</w:t>
        </w:r>
      </w:hyperlink>
      <w:r>
        <w:t xml:space="preserve">. Carryover thus strips out design labor and, weighing heavier on overrun in particular, strips out integration labor, since a fixed integration surface kills the re-finding of interface faults that a clean sheet has to run for the first time</w:t>
      </w:r>
      <w:r>
        <w:t xml:space="preserve"> </w:t>
      </w:r>
      <w:hyperlink w:anchor="ref-1">
        <w:r>
          <w:rPr>
            <w:rStyle w:val="Hyperlink"/>
          </w:rPr>
          <w:t xml:space="preserve">[1]</w:t>
        </w:r>
      </w:hyperlink>
      <w:r>
        <w:t xml:space="preserve">. The wider economic writing seats this inside a sector path in which economies of scale in spacecraft production and launch operations trim costs</w:t>
      </w:r>
      <w:r>
        <w:t xml:space="preserve"> </w:t>
      </w:r>
      <w:hyperlink w:anchor="ref-2">
        <w:r>
          <w:rPr>
            <w:rStyle w:val="Hyperlink"/>
          </w:rPr>
          <w:t xml:space="preserve">[2]</w:t>
        </w:r>
      </w:hyperlink>
      <w:r>
        <w:t xml:space="preserve">, a pattern that has marked commercial space activity across its whole history</w:t>
      </w:r>
      <w:r>
        <w:t xml:space="preserve"> </w:t>
      </w:r>
      <w:hyperlink w:anchor="ref-7">
        <w:r>
          <w:rPr>
            <w:rStyle w:val="Hyperlink"/>
          </w:rPr>
          <w:t xml:space="preserve">[7]</w:t>
        </w:r>
      </w:hyperlink>
      <w:r>
        <w:t xml:space="preserve"> </w:t>
      </w:r>
      <w:r>
        <w:t xml:space="preserve">and that rising launch cadence and reuse keep pushing further</w:t>
      </w:r>
      <w:r>
        <w:t xml:space="preserve"> </w:t>
      </w:r>
      <w:hyperlink w:anchor="ref-3">
        <w:r>
          <w:rPr>
            <w:rStyle w:val="Hyperlink"/>
          </w:rPr>
          <w:t xml:space="preserve">[3]</w:t>
        </w:r>
      </w:hyperlink>
      <w:r>
        <w:t xml:space="preserve">.</w:t>
      </w:r>
    </w:p>
    <w:p>
      <w:pPr>
        <w:pStyle w:val="BodyText"/>
        <w:spacing w:line="480" w:lineRule="auto"/>
        <w:ind w:firstLine="720"/>
      </w:pPr>
      <w:r>
        <w:t xml:space="preserve">A bespoke clean sheet, by contrast, packs its risk retirement inside the development phase. The novel subsystems have to be matured, qualified, and integrated for the first time within the program’s own confirmation-to-launch window, against its own baseline and its own reserves. The mechanism forecasts that overrun gets thrown off out of all proportion in exactly this phase, because the confirmation baseline gets set before the hardest first-of-kind faults are fully grasped, and the finding of those faults during development is what drains contingency and forces rebaselining.</w:t>
      </w:r>
    </w:p>
    <w:p>
      <w:pPr>
        <w:pStyle w:val="BodyText"/>
        <w:spacing w:line="480" w:lineRule="auto"/>
        <w:ind w:firstLine="720"/>
      </w:pPr>
      <w:r>
        <w:t xml:space="preserve">None of this is a loose nod to</w:t>
      </w:r>
      <w:r>
        <w:t xml:space="preserve"> </w:t>
      </w:r>
      <w:r>
        <w:t xml:space="preserve">“reuse is good.”</w:t>
      </w:r>
      <w:r>
        <w:t xml:space="preserve"> </w:t>
      </w:r>
      <w:r>
        <w:t xml:space="preserve">It is a pointed claim about where risk retirement sits relative to the priced baseline. Standardization shoves risk retirement to the left of the confirmation baseline, onto earlier programs and earlier flights; bespoke design leaves it to the right, inside the window the overrun measure watches. The tie between subsystem modularity and lighter integration load is set down in the modularity reviews</w:t>
      </w:r>
      <w:r>
        <w:t xml:space="preserve"> </w:t>
      </w:r>
      <w:hyperlink w:anchor="ref-1">
        <w:r>
          <w:rPr>
            <w:rStyle w:val="Hyperlink"/>
          </w:rPr>
          <w:t xml:space="preserve">[1]</w:t>
        </w:r>
      </w:hyperlink>
      <w:r>
        <w:t xml:space="preserve">, and that same reasoning underwrites the forecast that the reference-architecture program enters development past the steepest stretch of the risk-retirement curve.</w:t>
      </w:r>
    </w:p>
    <w:bookmarkEnd w:id="85"/>
    <w:bookmarkStart w:id="86" w:name="Xea92eee5f71bc246e90465de4061c5257b60261"/>
    <w:p>
      <w:pPr>
        <w:pStyle w:val="Heading2"/>
        <w:spacing w:line="480" w:lineRule="auto"/>
      </w:pPr>
      <w:r>
        <w:t xml:space="preserve">3.4 The Countervailing Mechanism: The Integration Penalty</w:t>
      </w:r>
    </w:p>
    <w:p>
      <w:pPr>
        <w:pStyle w:val="FirstParagraph"/>
        <w:spacing w:line="480" w:lineRule="auto"/>
      </w:pPr>
      <w:r>
        <w:t xml:space="preserve">A frame that theorized only the standardization payoff would be a prior wearing a hypothesis.</w:t>
      </w:r>
    </w:p>
    <w:p>
      <w:pPr>
        <w:pStyle w:val="BodyText"/>
        <w:spacing w:line="480" w:lineRule="auto"/>
        <w:ind w:firstLine="720"/>
      </w:pPr>
      <w:r>
        <w:t xml:space="preserve">The intellectual meat of the test sits in granting, with equal weight, the mechanism that could undo it.</w:t>
      </w:r>
    </w:p>
    <w:p>
      <w:pPr>
        <w:pStyle w:val="BodyText"/>
        <w:spacing w:line="480" w:lineRule="auto"/>
        <w:ind w:firstLine="720"/>
      </w:pPr>
      <w:r>
        <w:t xml:space="preserve">That rival mechanism is the</w:t>
      </w:r>
      <w:r>
        <w:t xml:space="preserve"> </w:t>
      </w:r>
      <w:r>
        <w:rPr>
          <w:b/>
          <w:bCs/>
        </w:rPr>
        <w:t xml:space="preserve">integration penalty</w:t>
      </w:r>
      <w:r>
        <w:t xml:space="preserve">.</w:t>
      </w:r>
    </w:p>
    <w:p>
      <w:pPr>
        <w:pStyle w:val="BodyText"/>
        <w:spacing w:line="480" w:lineRule="auto"/>
        <w:ind w:firstLine="720"/>
      </w:pPr>
      <w:r>
        <w:t xml:space="preserve">A reference architecture is a settled envelope, and a settled envelope is a cage. The bus was scoped for a set band of pointing accuracy, power, thermal dissipation, and payload accommodation. When a mission’s needs fall inside that band, the inherited design is a gift. When they run past it, the program has to bend the mission to the architecture, and the changes needed to stretch a heritage envelope can turn pricier and more fault-prone than a purpose-built design would have been, because they ripple through interfaces tuned for a different operating point. At the limit the program pays twice: once for the heritage design it took over and again for the rework that makes that design serve a mission it was never scoped for, where a clean sheet would have skipped the second bill.</w:t>
      </w:r>
    </w:p>
    <w:p>
      <w:pPr>
        <w:pStyle w:val="BodyText"/>
        <w:spacing w:line="480" w:lineRule="auto"/>
        <w:ind w:firstLine="720"/>
      </w:pPr>
      <w:r>
        <w:t xml:space="preserve">The integration-penalty mechanism throws off a crisp, checkable forecast that marks it apart from the standardization mechanism: the toll should pack into high complexity. A simple mission rarely strains a reference envelope, so the toll sits near zero where complexity runs low. A demanding mission is just the case where the envelope is likeliest to be overrun, so the toll should swell with complexity. So the standardization payoff and the integration toll leave different fingerprints along the complexity axis: the payoff is theorized as broadly present, the toll as complexity-bound. That difference is what lets the empirical build referee between them rather than merely assert one.</w:t>
      </w:r>
    </w:p>
    <w:bookmarkEnd w:id="86"/>
    <w:bookmarkStart w:id="87" w:name="X20a678faa4cad3f5f0d1f20380a036a4ffc1cd7"/>
    <w:p>
      <w:pPr>
        <w:pStyle w:val="Heading2"/>
        <w:spacing w:line="480" w:lineRule="auto"/>
      </w:pPr>
      <w:r>
        <w:t xml:space="preserve">3.5 The Causal Logic and the Central Confound</w:t>
      </w:r>
    </w:p>
    <w:p>
      <w:pPr>
        <w:pStyle w:val="FirstParagraph"/>
        <w:spacing w:line="480" w:lineRule="auto"/>
      </w:pPr>
      <w:r>
        <w:t xml:space="preserve">The constructs and the two mechanisms together mark out a causal structure, and that structure dictates what has to be held still for any gauged gap to bear a causal reading.</w:t>
      </w:r>
    </w:p>
    <w:p>
      <w:pPr>
        <w:pStyle w:val="BodyText"/>
        <w:spacing w:line="480" w:lineRule="auto"/>
        <w:ind w:firstLine="720"/>
      </w:pPr>
      <w:r>
        <w:t xml:space="preserve">The estimand in view is the</w:t>
      </w:r>
      <w:r>
        <w:t xml:space="preserve"> </w:t>
      </w:r>
      <w:r>
        <w:rPr>
          <w:b/>
          <w:bCs/>
        </w:rPr>
        <w:t xml:space="preserve">conditional average difference in cost growth</w:t>
      </w:r>
      <w:r>
        <w:t xml:space="preserve"> </w:t>
      </w:r>
      <w:r>
        <w:t xml:space="preserve">owing to architecture choice. The word conditional bears the load. A green comparison of mean overrun between standardized and bespoke programs does not gauge the effect of architecture, because architecture is not thrown by a coin. It is picked, and picked by program managers who watch mission difficulty before they pick. The frame names this the</w:t>
      </w:r>
      <w:r>
        <w:t xml:space="preserve"> </w:t>
      </w:r>
      <w:r>
        <w:rPr>
          <w:b/>
          <w:bCs/>
        </w:rPr>
        <w:t xml:space="preserve">selection-on-complexity</w:t>
      </w:r>
      <w:r>
        <w:t xml:space="preserve"> </w:t>
      </w:r>
      <w:r>
        <w:t xml:space="preserve">confound, and it is the single gravest danger the causal reasoning has to face.</w:t>
      </w:r>
    </w:p>
    <w:p>
      <w:pPr>
        <w:pStyle w:val="BodyText"/>
        <w:spacing w:line="480" w:lineRule="auto"/>
        <w:ind w:firstLine="720"/>
      </w:pPr>
      <w:r>
        <w:t xml:space="preserve">The confound runs through a pointed and believable decision rule. A shrewd program office steers simple, well-charted missions onto reference architectures, where the heritage fit is good and the saving is real, and holds bespoke clean sheets back for the hardest, most novel missions, which no standing envelope can take. If managers act this way, standardized programs are simple programs and bespoke programs are hard programs, and a gap in their overrun would be at least partly a shadow of the gap in their difficulty rather than an effect of the architecture itself. Complexity would be a shared cause: it would throw the architecture pick and throw the overrun, and the plain association between architecture and overrun would blur the two.</w:t>
      </w:r>
    </w:p>
    <w:p>
      <w:pPr>
        <w:pStyle w:val="BodyText"/>
        <w:spacing w:line="480" w:lineRule="auto"/>
        <w:ind w:firstLine="720"/>
      </w:pPr>
      <w:r>
        <w:t xml:space="preserve">The causal reasoning replies in three layers, each of which the empirical build puts into practice.</w:t>
      </w:r>
    </w:p>
    <w:p>
      <w:pPr>
        <w:pStyle w:val="BodyText"/>
        <w:spacing w:line="480" w:lineRule="auto"/>
        <w:ind w:firstLine="720"/>
      </w:pPr>
      <w:r>
        <w:t xml:space="preserve">Layer one is</w:t>
      </w:r>
      <w:r>
        <w:t xml:space="preserve"> </w:t>
      </w:r>
      <w:r>
        <w:rPr>
          <w:b/>
          <w:bCs/>
        </w:rPr>
        <w:t xml:space="preserve">conditioning on observed complexity and scale</w:t>
      </w:r>
      <w:r>
        <w:t xml:space="preserve">. Here the frame holds mission complexity, stood in for by instrument count and technology readiness, and mass class, stood in for by launch mass, still while it weighs architectures. Were selection on observable difficulty the whole tale, the architecture gap would fade toward zero once these controls entered, because the controls would soak up the difficulty the architecture coding was merely fronting for. So an architecture gap that persists past conditioning is the prime evidence that the gap is no relabeling of complexity.</w:t>
      </w:r>
    </w:p>
    <w:p>
      <w:pPr>
        <w:pStyle w:val="BodyText"/>
        <w:spacing w:line="480" w:lineRule="auto"/>
        <w:ind w:firstLine="720"/>
      </w:pPr>
      <w:r>
        <w:t xml:space="preserve">Layer two is</w:t>
      </w:r>
      <w:r>
        <w:t xml:space="preserve"> </w:t>
      </w:r>
      <w:r>
        <w:rPr>
          <w:b/>
          <w:bCs/>
        </w:rPr>
        <w:t xml:space="preserve">the within-platform contrast</w:t>
      </w:r>
      <w:r>
        <w:t xml:space="preserve">, which meets the residual selection on buried difficulty that no batch of observed controls can wholly strip out. Within one common bus, the reference architecture is nailed down by construction. Successive blocks built on that bus carry the same architecture, so spread in their overrun cannot be the architecture-selection call; it is execution under a fixed standardization regime. Setting those blocks against contemporaneous bespoke programs of like complexity peels the standardization effect away from the act of picking it. Agreement between the cross-program conditional estimate and the within-platform contrast is the identifying evidence; a split between them pins where the selection bias lives.</w:t>
      </w:r>
    </w:p>
    <w:p>
      <w:pPr>
        <w:pStyle w:val="BodyText"/>
        <w:spacing w:line="480" w:lineRule="auto"/>
        <w:ind w:firstLine="720"/>
      </w:pPr>
      <w:r>
        <w:t xml:space="preserve">Layer three is the</w:t>
      </w:r>
      <w:r>
        <w:t xml:space="preserve"> </w:t>
      </w:r>
      <w:r>
        <w:rPr>
          <w:b/>
          <w:bCs/>
        </w:rPr>
        <w:t xml:space="preserve">complexity interaction</w:t>
      </w:r>
      <w:r>
        <w:t xml:space="preserve">, which is no robustness afterthought but the head-on check of the integration-penalty mechanism. Because the toll is theorized to swell with complexity, the frame calls for an interaction between architecture and complexity. If integration tolls are real and heavy, the standardization payoff should thin, vanish, or flip in the top complexity band. A standardization payoff flat across complexity is evidence against the toll; a payoff that decays as complexity climbs is evidence for it. So the interaction term puts into operation the refereeing between the two rival mechanisms that Sections 3.3 and 3.4 set up.</w:t>
      </w:r>
    </w:p>
    <w:p>
      <w:pPr>
        <w:pStyle w:val="BodyText"/>
        <w:spacing w:line="480" w:lineRule="auto"/>
        <w:ind w:firstLine="720"/>
      </w:pPr>
      <w:r>
        <w:t xml:space="preserve">Contractor heritage earns its part in this causal reasoning by heading off a rival shared cause. A seasoned integrating contractor may both favor reference architectures, because the firm owns the heritage, and run well, because the firm is able. If so, heritage rather than architecture would account for the overrun gap. The frame lets heritage in outright so this channel gets inspected rather than waved away, and so an architecture effect that outlasts the entry of heritage cannot be brushed off as plain contractor ability.</w:t>
      </w:r>
    </w:p>
    <w:bookmarkEnd w:id="87"/>
    <w:bookmarkStart w:id="88" w:name="from-mechanism-to-estimand"/>
    <w:p>
      <w:pPr>
        <w:pStyle w:val="Heading2"/>
        <w:spacing w:line="480" w:lineRule="auto"/>
      </w:pPr>
      <w:r>
        <w:t xml:space="preserve">3.6 From Mechanism to Estimand</w:t>
      </w:r>
    </w:p>
    <w:p>
      <w:pPr>
        <w:pStyle w:val="FirstParagraph"/>
        <w:spacing w:line="480" w:lineRule="auto"/>
      </w:pPr>
      <w:r>
        <w:t xml:space="preserve">The causal reasoning boils down to one signed quantity, and the discipline of the frame is to commit to that quantity ahead of estimation.</w:t>
      </w:r>
    </w:p>
    <w:p>
      <w:pPr>
        <w:pStyle w:val="BodyText"/>
        <w:spacing w:line="480" w:lineRule="auto"/>
        <w:ind w:firstLine="720"/>
      </w:pPr>
      <w:r>
        <w:t xml:space="preserve">Let cost growth be set per program as the proportional shift from the confirmation baseline to the realized cost at launch. Let the treatment flag equal one when a program takes on a standardized reference architecture and zero when it orders a bespoke design. Let the conditioning set hold mission complexity, mass class, and contractor heritage. The estimand is the coefficient on the treatment flag in the conditional model: the average gap in overrun between standardized and bespoke programs left over once the conditioning set is held still. The standardization mechanism forecasts this coefficient runs negative; the integration-penalty mechanism forecasts it runs zero on average and turns positive in the high-complexity interaction; the frame’s contribution is to let the data pick among these signed forecasts rather than assert one.</w:t>
      </w:r>
    </w:p>
    <w:p>
      <w:pPr>
        <w:pStyle w:val="BodyText"/>
        <w:spacing w:line="480" w:lineRule="auto"/>
        <w:ind w:firstLine="720"/>
      </w:pPr>
      <w:r>
        <w:t xml:space="preserve">That boiling-down to a single coefficient is what makes the claim refutable. A tale about reuse can swallow any outcome; a signed coefficient with a conditioning set cannot. Pre-registering the specification, with the confirmation baseline as the prime baseline definition, the conditioning set, and the interaction term, bars the specification hunt that would otherwise let the analyst haul the prior back regardless of what the data say. The Aerospace Corporation’s historical handling of NASA cost and schedule growth settles that growth is separately driven by technical immaturity at confirmation</w:t>
      </w:r>
      <w:r>
        <w:t xml:space="preserve"> </w:t>
      </w:r>
      <w:hyperlink w:anchor="ref-11">
        <w:r>
          <w:rPr>
            <w:rStyle w:val="Hyperlink"/>
          </w:rPr>
          <w:t xml:space="preserve">[11]</w:t>
        </w:r>
      </w:hyperlink>
      <w:r>
        <w:t xml:space="preserve">, the empirical anchor for treating the confirmation baseline as the right reference point for the dependent variable: confirmation is the moment the program’s risk gets priced, and so the moment against which the coming-true of that risk should be marked.</w:t>
      </w:r>
    </w:p>
    <w:bookmarkEnd w:id="88"/>
    <w:bookmarkStart w:id="89" w:name="formal-hypotheses"/>
    <w:p>
      <w:pPr>
        <w:pStyle w:val="Heading2"/>
        <w:spacing w:line="480" w:lineRule="auto"/>
      </w:pPr>
      <w:r>
        <w:t xml:space="preserve">3.7 Formal Hypotheses</w:t>
      </w:r>
    </w:p>
    <w:p>
      <w:pPr>
        <w:pStyle w:val="FirstParagraph"/>
        <w:spacing w:line="480" w:lineRule="auto"/>
      </w:pPr>
      <w:r>
        <w:t xml:space="preserve">The frame now throws off the two hypotheses the dissertation puts to the test. They are conditional, signed, and refutable in both directions.</w:t>
      </w:r>
    </w:p>
    <w:p>
      <w:pPr>
        <w:pStyle w:val="BodyText"/>
        <w:spacing w:line="480" w:lineRule="auto"/>
        <w:ind w:firstLine="720"/>
      </w:pPr>
      <w:r>
        <w:rPr>
          <w:b/>
          <w:bCs/>
        </w:rPr>
        <w:t xml:space="preserve">H0, the null hypothesis.</w:t>
      </w:r>
      <w:r>
        <w:t xml:space="preserve"> </w:t>
      </w:r>
      <w:r>
        <w:t xml:space="preserve">Conditional on mission complexity, mass class, and contractor heritage, the mean cost growth of reference-architecture programs equals that of bespoke programs. In the conditional model, the coefficient on the standardization flag is zero. In plain terms, H0 holds that once difficulty and contractor seasoning are held still, architecture choice carries no detectable tie to realized overrun: any green gap between standardized and bespoke programs is wholly accounted for by the confounders, and architecture is inferentially dead.</w:t>
      </w:r>
    </w:p>
    <w:p>
      <w:pPr>
        <w:pStyle w:val="BodyText"/>
        <w:spacing w:line="480" w:lineRule="auto"/>
        <w:ind w:firstLine="720"/>
      </w:pPr>
      <w:r>
        <w:rPr>
          <w:b/>
          <w:bCs/>
        </w:rPr>
        <w:t xml:space="preserve">H1, the alternative hypothesis.</w:t>
      </w:r>
      <w:r>
        <w:t xml:space="preserve"> </w:t>
      </w:r>
      <w:r>
        <w:t xml:space="preserve">Conditional on the same set, reference-architecture programs run lower mean cost growth than bespoke programs. In the conditional model, the coefficient on the standardization flag runs negative. In plain terms, H1 holds that the risk-retirement mechanism of Section 3.3 beats the integration-penalty mechanism of Section 3.4 across the population the data stand for, so that taking over a settled architecture goes with materially lighter overrun than raising a clean sheet, even after difficulty and heritage are reckoned in.</w:t>
      </w:r>
    </w:p>
    <w:p>
      <w:pPr>
        <w:pStyle w:val="BodyText"/>
        <w:spacing w:line="480" w:lineRule="auto"/>
        <w:ind w:firstLine="720"/>
      </w:pPr>
      <w:r>
        <w:t xml:space="preserve">The two hypotheses do not use up the sign space, and that is on purpose. A coefficient that runs null after conditioning backs H0 and sinks H1. A coefficient that runs negative and clear of zero backs H1 and sinks H0. A coefficient that runs positive sinks both the null of no gap and the standardization prior, and would stand as head-on evidence that integration tolls rule, that bespoke designs go with lighter overrun once complexity is held still. The frame takes this positive-coefficient outcome as a genuine and postable result, not a botched experiment, because the worth of the test sits in its power to jolt the prior. A junior claim rides on the interaction term: under H1, the standardization payoff may thin at high complexity if the integration toll is partly present, and the sign and strength of the interaction coefficient sort a flat payoff from a complexity-bound one.</w:t>
      </w:r>
    </w:p>
    <w:p>
      <w:pPr>
        <w:pStyle w:val="BodyText"/>
        <w:spacing w:line="480" w:lineRule="auto"/>
        <w:ind w:firstLine="720"/>
      </w:pPr>
      <w:r>
        <w:t xml:space="preserve">The hypotheses rule the overrun estimand outright. The parallel schedule outcome, time from confirmation to launch, is ruled by the same theoretical mechanism, because risk retired before the development clock starts shortens the clock as well as cheapens it. That parallel claim, that standardized-architecture programs hit launch faster, is the natural companion test and carries this frame’s causal reasoning and conditioning set, with the same selection confound and the same conditional fix.</w:t>
      </w:r>
    </w:p>
    <w:bookmarkEnd w:id="89"/>
    <w:bookmarkStart w:id="90" w:name="X019d9e617281359a5b7a91f2932754827035d25"/>
    <w:p>
      <w:pPr>
        <w:pStyle w:val="Heading2"/>
        <w:spacing w:line="480" w:lineRule="auto"/>
      </w:pPr>
      <w:r>
        <w:t xml:space="preserve">3.8 Scope Conditions and Auxiliary Assumptions</w:t>
      </w:r>
    </w:p>
    <w:p>
      <w:pPr>
        <w:pStyle w:val="FirstParagraph"/>
        <w:spacing w:line="480" w:lineRule="auto"/>
      </w:pPr>
      <w:r>
        <w:t xml:space="preserve">A frame that leaves its scope unstated invites its results to be misread. Three scope conditions and two auxiliary assumptions fence the claim.</w:t>
      </w:r>
    </w:p>
    <w:p>
      <w:pPr>
        <w:pStyle w:val="BodyText"/>
        <w:spacing w:line="480" w:lineRule="auto"/>
        <w:ind w:firstLine="720"/>
      </w:pPr>
      <w:r>
        <w:t xml:space="preserve">One scope condition is</w:t>
      </w:r>
      <w:r>
        <w:t xml:space="preserve"> </w:t>
      </w:r>
      <w:r>
        <w:rPr>
          <w:b/>
          <w:bCs/>
        </w:rPr>
        <w:t xml:space="preserve">population</w:t>
      </w:r>
      <w:r>
        <w:t xml:space="preserve">. Here the hypotheses are claims about the population of finished and late-stage major space programs for which a documented confirmation baseline and a documented realized cost exist. They are not claims about programs killed before launch, about programs too small to throw off a formal baseline, or about commercial and national-security programs whose reserve and reporting regimes part ways from the civil-science regime that throws off the data. The estimand is conditional on, and fenced to, the population the data stand for.</w:t>
      </w:r>
    </w:p>
    <w:p>
      <w:pPr>
        <w:pStyle w:val="BodyText"/>
        <w:spacing w:line="480" w:lineRule="auto"/>
        <w:ind w:firstLine="720"/>
      </w:pPr>
      <w:r>
        <w:t xml:space="preserve">A second scope condition is</w:t>
      </w:r>
      <w:r>
        <w:t xml:space="preserve"> </w:t>
      </w:r>
      <w:r>
        <w:rPr>
          <w:b/>
          <w:bCs/>
        </w:rPr>
        <w:t xml:space="preserve">the architecture dichotomy</w:t>
      </w:r>
      <w:r>
        <w:t xml:space="preserve">. The hypotheses are put over a binary treatment, and the frame takes it that the standardized-versus-bespoke coding catches the first-order spread in architectural inheritance. The continuum of partial heritage is granted as a measurement flattening, and a graded heritage measure is the right robustness check; the binary form is the prime object, and the graded form is the check on whether the binary coding warps the estimate.</w:t>
      </w:r>
    </w:p>
    <w:p>
      <w:pPr>
        <w:pStyle w:val="BodyText"/>
        <w:spacing w:line="480" w:lineRule="auto"/>
        <w:ind w:firstLine="720"/>
      </w:pPr>
      <w:r>
        <w:t xml:space="preserve">A third scope condition is</w:t>
      </w:r>
      <w:r>
        <w:t xml:space="preserve"> </w:t>
      </w:r>
      <w:r>
        <w:rPr>
          <w:b/>
          <w:bCs/>
        </w:rPr>
        <w:t xml:space="preserve">the baseline definition</w:t>
      </w:r>
      <w:r>
        <w:t xml:space="preserve">. Overrun is set against the confirmation baseline. The frame takes it that confirmation is the right pricing point because it is where the program’s risk gets committed and reserved</w:t>
      </w:r>
      <w:r>
        <w:t xml:space="preserve"> </w:t>
      </w:r>
      <w:hyperlink w:anchor="ref-11">
        <w:r>
          <w:rPr>
            <w:rStyle w:val="Hyperlink"/>
          </w:rPr>
          <w:t xml:space="preserve">[11]</w:t>
        </w:r>
      </w:hyperlink>
      <w:r>
        <w:t xml:space="preserve">; a rival baseline at preliminary design review is held back as a sensitivity analysis rather than let in as a competing definition.</w:t>
      </w:r>
    </w:p>
    <w:p>
      <w:pPr>
        <w:pStyle w:val="BodyText"/>
        <w:spacing w:line="480" w:lineRule="auto"/>
        <w:ind w:firstLine="720"/>
      </w:pPr>
      <w:r>
        <w:t xml:space="preserve">One auxiliary assumption is</w:t>
      </w:r>
      <w:r>
        <w:t xml:space="preserve"> </w:t>
      </w:r>
      <w:r>
        <w:rPr>
          <w:b/>
          <w:bCs/>
        </w:rPr>
        <w:t xml:space="preserve">conditional ignorability with respect to the observed and within-platform structure</w:t>
      </w:r>
      <w:r>
        <w:t xml:space="preserve">. The frame does not take it that architecture is thrown by a coin; it takes it that, once the observed complexity and scale controls are conditioned on and the within-platform contrast is worked, the leftover spread in architecture tells nothing about potential overrun. This is a lighter and more defensible assumption than plain ignorability, and the within-platform band is the device that makes it believable where observed controls alone would fall short.</w:t>
      </w:r>
    </w:p>
    <w:p>
      <w:pPr>
        <w:pStyle w:val="BodyText"/>
        <w:spacing w:line="480" w:lineRule="auto"/>
        <w:ind w:firstLine="720"/>
      </w:pPr>
      <w:r>
        <w:t xml:space="preserve">A second auxiliary assumption is</w:t>
      </w:r>
      <w:r>
        <w:t xml:space="preserve"> </w:t>
      </w:r>
      <w:r>
        <w:rPr>
          <w:b/>
          <w:bCs/>
        </w:rPr>
        <w:t xml:space="preserve">stable construct measurement across programs</w:t>
      </w:r>
      <w:r>
        <w:t xml:space="preserve">. The frame takes it that overrun, complexity, and heritage mean the same thing across the programs set against one another, so a coefficient gauged by pooling them can be read. Where this assumption strains, at an odd baseline or an illustrative value, the touched observation gets flagged rather than quietly pooled, and the honest object of the contribution is the interval around the estimate rather than a point claim.</w:t>
      </w:r>
    </w:p>
    <w:bookmarkEnd w:id="90"/>
    <w:bookmarkStart w:id="91" w:name="summary"/>
    <w:p>
      <w:pPr>
        <w:pStyle w:val="Heading2"/>
        <w:spacing w:line="480" w:lineRule="auto"/>
      </w:pPr>
      <w:r>
        <w:t xml:space="preserve">3.9 Summary</w:t>
      </w:r>
    </w:p>
    <w:p>
      <w:pPr>
        <w:pStyle w:val="FirstParagraph"/>
        <w:spacing w:line="480" w:lineRule="auto"/>
      </w:pPr>
      <w:r>
        <w:t xml:space="preserve">This chapter has pinned down the theoretical machinery the rest of the dissertation puts to the test. The mechanism is risk retirement relative to the priced confirmation baseline: standardization shoves the hardest design and integration labor onto earlier programs and earlier flights, outside the window the overrun measure watches, while bespoke design leaves that labor inside the program’s own baseline and reserves</w:t>
      </w:r>
      <w:r>
        <w:t xml:space="preserve"> </w:t>
      </w:r>
      <w:hyperlink w:anchor="ref-4">
        <w:r>
          <w:rPr>
            <w:rStyle w:val="Hyperlink"/>
          </w:rPr>
          <w:t xml:space="preserve">[4]</w:t>
        </w:r>
      </w:hyperlink>
      <w:r>
        <w:t xml:space="preserve">[1][2][7][3]. The rival mechanism is the integration penalty, theorized to pack into high complexity, which hands the two mechanisms telling-apart fingerprints and makes refereeing doable rather than rhetorical. The causal reasoning names selection on complexity as the central confound and answers it in three layers: conditioning on observed difficulty and scale, the within-platform contrast that nails the architecture and strips the selection call, and the complexity interaction that head-on checks the toll. The estimand is one signed coefficient, the conditional gap in overrun owing to architecture, anchored to the confirmation baseline as the moment risk gets priced</w:t>
      </w:r>
      <w:r>
        <w:t xml:space="preserve"> </w:t>
      </w:r>
      <w:hyperlink w:anchor="ref-11">
        <w:r>
          <w:rPr>
            <w:rStyle w:val="Hyperlink"/>
          </w:rPr>
          <w:t xml:space="preserve">[11]</w:t>
        </w:r>
      </w:hyperlink>
      <w:r>
        <w:t xml:space="preserve">. From this the formal hypotheses fall out: H0, that the conditional standardization coefficient is zero, and H1, that it runs negative, with a positive outcome held back as the sinking result that would vindicate the integration penalty over the standardization prior. The scope conditions fence the claim to the population the data stand for, to the binary architecture coding with a graded-heritage robustness check, and to the confirmation baseline, under conditional ignorability and stable measurement. The empirical chapters now aim this frame at the data and post the sign, the size, and the interval of the coefficient it marks out.</w:t>
      </w:r>
    </w:p>
    <w:bookmarkEnd w:id="91"/>
    <w:bookmarkEnd w:id="92"/>
    <w:bookmarkStart w:id="103" w:name="chapter-4.-data-and-measurement"/>
    <w:p>
      <w:pPr>
        <w:pStyle w:val="Heading1"/>
        <w:spacing w:line="480" w:lineRule="auto"/>
      </w:pPr>
      <w:r>
        <w:t xml:space="preserve">Chapter 4. Data and Measurement</w:t>
      </w:r>
    </w:p>
    <w:bookmarkStart w:id="93" w:name="purpose-and-scope-of-the-chapter"/>
    <w:p>
      <w:pPr>
        <w:pStyle w:val="Heading2"/>
        <w:spacing w:line="480" w:lineRule="auto"/>
      </w:pPr>
      <w:r>
        <w:t xml:space="preserve">4.1 Purpose and scope of the chapter</w:t>
      </w:r>
    </w:p>
    <w:p>
      <w:pPr>
        <w:pStyle w:val="FirstParagraph"/>
        <w:spacing w:line="480" w:lineRule="auto"/>
      </w:pPr>
      <w:r>
        <w:t xml:space="preserve">Here is the empirical material the dissertation stands on. Chapters 5 and 6 lay out, in turn, the cross-program overrun analysis and the survival analysis of time-to-launch; both feed off one deliberately frozen dataset of NASA major missions. What the dissertation brings is not a fresh instrument or a locked-up database but a disciplined gathering of public, attributable cost and schedule records into an analysis file from which a signed and sized architecture effect can be gauged</w:t>
      </w:r>
      <w:r>
        <w:t xml:space="preserve"> </w:t>
      </w:r>
      <w:hyperlink w:anchor="ref-4">
        <w:r>
          <w:rPr>
            <w:rStyle w:val="Hyperlink"/>
          </w:rPr>
          <w:t xml:space="preserve">[4]</w:t>
        </w:r>
      </w:hyperlink>
      <w:r>
        <w:t xml:space="preserve">. Because the standing of every coefficient in the later chapters hangs on the soundness of that gathering, this chapter sets out the dataset, its authoritative sources, the unit of analysis, and the build of every variable from primary records ahead of any estimation.</w:t>
      </w:r>
    </w:p>
    <w:p>
      <w:pPr>
        <w:pStyle w:val="BodyText"/>
        <w:spacing w:line="480" w:lineRule="auto"/>
        <w:ind w:firstLine="720"/>
      </w:pPr>
      <w:r>
        <w:t xml:space="preserve">Four claims frame the chapter, each of which the reader is owed. That the data are real, public, and traceable to named documents rather than pieced together from memory or analogy. That the unit of analysis holds steady and can be defended. That each variable is built from primary records by a stated rule rather than by loose judgment. And that the spots where a value is guessed rather than documented are flagged outright, so a replication can wall them off. The prospectus pledged the study to filing away every coding call, the architecture rubric, and the merged analysis file for replication, and this chapter is the prose face of that file.</w:t>
      </w:r>
    </w:p>
    <w:bookmarkEnd w:id="93"/>
    <w:bookmarkStart w:id="94" w:name="X97e7525fff8819a1ba8f5dd31e62e67ce06e0e6"/>
    <w:p>
      <w:pPr>
        <w:pStyle w:val="Heading2"/>
        <w:spacing w:line="480" w:lineRule="auto"/>
      </w:pPr>
      <w:r>
        <w:t xml:space="preserve">4.2 The intended source of record and the operating dataset</w:t>
      </w:r>
    </w:p>
    <w:p>
      <w:pPr>
        <w:pStyle w:val="FirstParagraph"/>
        <w:spacing w:line="480" w:lineRule="auto"/>
      </w:pPr>
      <w:r>
        <w:t xml:space="preserve">The prospectus named the NASA Cost Analysis Data Requirement (CADRe) record set and the paired One NASA Cost Engineering (ONCE) database, kept by the NASA Cost Analysis Division, as the ideal source of record. CADRe documents come out at each major project milestone and post baseline and actual cost split by work breakdown structure, mass and power by subsystem, technology readiness, and contractor for finished NASA projects. In principle CADRe feeds the dependent variable and the complexity and heritage controls off one authoritative spine. The prospectus also foresaw that CADRe access is walled, and it pre-pledged a public fallback: the recurring reviews of major NASA projects put out by the Government Accountability Office, which post project-level overrun tables at a coarser work-breakdown grain but are open and citable</w:t>
      </w:r>
      <w:r>
        <w:t xml:space="preserve"> </w:t>
      </w:r>
      <w:hyperlink w:anchor="ref-12">
        <w:r>
          <w:rPr>
            <w:rStyle w:val="Hyperlink"/>
          </w:rPr>
          <w:t xml:space="preserve">[12]</w:t>
        </w:r>
      </w:hyperlink>
      <w:r>
        <w:t xml:space="preserve">.</w:t>
      </w:r>
    </w:p>
    <w:p>
      <w:pPr>
        <w:pStyle w:val="BodyText"/>
        <w:spacing w:line="480" w:lineRule="auto"/>
        <w:ind w:firstLine="720"/>
      </w:pPr>
      <w:r>
        <w:t xml:space="preserve">This dissertation’s working dataset rests on that fallback spine, topped up with mission-specific primary records wherever the public reviews leave a figure unresolved. This is a substantive measurement call and no shortcut.</w:t>
      </w:r>
    </w:p>
    <w:p>
      <w:pPr>
        <w:pStyle w:val="BodyText"/>
        <w:spacing w:line="480" w:lineRule="auto"/>
        <w:ind w:firstLine="720"/>
      </w:pPr>
      <w:r>
        <w:t xml:space="preserve">The overrun and duration figures used here come off documents any reader can pull and audit: the Government Accountability Office reviews of major projects</w:t>
      </w:r>
      <w:r>
        <w:t xml:space="preserve"> </w:t>
      </w:r>
      <w:hyperlink w:anchor="ref-12">
        <w:r>
          <w:rPr>
            <w:rStyle w:val="Hyperlink"/>
          </w:rPr>
          <w:t xml:space="preserve">[12]</w:t>
        </w:r>
      </w:hyperlink>
      <w:r>
        <w:t xml:space="preserve">, NASA Office of Inspector General audits of single projects</w:t>
      </w:r>
      <w:r>
        <w:t xml:space="preserve"> </w:t>
      </w:r>
      <w:hyperlink w:anchor="ref-13">
        <w:r>
          <w:rPr>
            <w:rStyle w:val="Hyperlink"/>
          </w:rPr>
          <w:t xml:space="preserve">[13]</w:t>
        </w:r>
      </w:hyperlink>
      <w:r>
        <w:t xml:space="preserve">, the Planetary Society’s rebuild of confirmation-to-final cost for the competed planetary set</w:t>
      </w:r>
      <w:r>
        <w:t xml:space="preserve"> </w:t>
      </w:r>
      <w:hyperlink w:anchor="ref-11">
        <w:r>
          <w:rPr>
            <w:rStyle w:val="Hyperlink"/>
          </w:rPr>
          <w:t xml:space="preserve">[11]</w:t>
        </w:r>
      </w:hyperlink>
      <w:r>
        <w:t xml:space="preserve">, the Aerospace Corporation’s historical study of NASA cost and schedule growth used to frame the reserve and growth backdrop</w:t>
      </w:r>
      <w:r>
        <w:t xml:space="preserve"> </w:t>
      </w:r>
      <w:hyperlink w:anchor="ref-14">
        <w:r>
          <w:rPr>
            <w:rStyle w:val="Hyperlink"/>
          </w:rPr>
          <w:t xml:space="preserve">[14]</w:t>
        </w:r>
      </w:hyperlink>
      <w:r>
        <w:t xml:space="preserve">, and primary NASA confirmation announcements and mission press materials for baseline values and launch dates. The swap is openness for grain. The public sources post cost at a coarser work-breakdown grain than CADRe would, which pins the dependent variable to development-phase totals rather than subsystem-level splits, but every figure carries a public provenance, and provenance is the thing the prospectus set above grain.</w:t>
      </w:r>
    </w:p>
    <w:bookmarkEnd w:id="94"/>
    <w:bookmarkStart w:id="95" w:name="unit-of-analysis"/>
    <w:p>
      <w:pPr>
        <w:pStyle w:val="Heading2"/>
        <w:spacing w:line="480" w:lineRule="auto"/>
      </w:pPr>
      <w:r>
        <w:t xml:space="preserve">4.3 Unit of analysis</w:t>
      </w:r>
    </w:p>
    <w:p>
      <w:pPr>
        <w:pStyle w:val="FirstParagraph"/>
        <w:spacing w:line="480" w:lineRule="auto"/>
      </w:pPr>
      <w:r>
        <w:t xml:space="preserve">Each observation is a NASA major mission, marked as a flight project carrying a documented development-cost baseline set at confirmation and a documented final or current development cost. Confirmation is worked as the Key Decision Point-C milestone or, the same thing for the recent programs, the Agency Baseline Commitment, the point where NASA formally locks a project to a cost and schedule baseline. Pinning the unit at confirmation is the call that gives the dependent variable meaning: overrun and slip are marked against the commitment the agency made, not against an early planning guess nobody was held to. The prospectus pre-registered the confirmation baseline as prime for the very reason that the baseline pick, preliminary design review against confirmation, shifts the gauged growth, and a study that left this loose would lie open to a baseline-selection artifact.</w:t>
      </w:r>
    </w:p>
    <w:p>
      <w:pPr>
        <w:pStyle w:val="BodyText"/>
        <w:spacing w:line="480" w:lineRule="auto"/>
        <w:ind w:firstLine="720"/>
      </w:pPr>
      <w:r>
        <w:t xml:space="preserve">The two empirical chapters keep the unit of analysis one and the same. The same 24-mission universe carries both the overrun analysis and the survival analysis, so the architecture coding and the complexity and mass controls are the same vectors in both. This is a methodological pledge and no side fact. Freezing the program universe across the two papers means any gap between the cost result and the schedule result mirrors the outcome variable and not a swap in the sample, which is the setting under which the two coefficients can be read as matched takes on the same architecture call. A reader who grants the sample for the overrun analysis has, by build, granted it for the schedule analysis.</w:t>
      </w:r>
    </w:p>
    <w:bookmarkEnd w:id="95"/>
    <w:bookmarkStart w:id="96" w:name="the-sample"/>
    <w:p>
      <w:pPr>
        <w:pStyle w:val="Heading2"/>
        <w:spacing w:line="480" w:lineRule="auto"/>
      </w:pPr>
      <w:r>
        <w:t xml:space="preserve">4.4 The sample</w:t>
      </w:r>
    </w:p>
    <w:p>
      <w:pPr>
        <w:pStyle w:val="FirstParagraph"/>
        <w:spacing w:line="480" w:lineRule="auto"/>
      </w:pPr>
      <w:r>
        <w:t xml:space="preserve">The sample is 24 NASA major missions crossing the Science Mission Directorate in its planetary, astrophysics, and Earth-science divisions and the Exploration Systems Development Mission Directorate. The missions stretch from the 1999 Stardust launch through the 2025 portfolio, a window picked to take in both the historical competed-planetary record, where confirmation-to-final cost is well rebuilt, and the current flagship and human-spaceflight programs, where baselines and growth are set down in live oversight reporting. Of the 24, ten are coded reference-architecture programs and fourteen bespoke, and 21 had flown as of the June 2026 observation cutoff while three stayed under build.</w:t>
      </w:r>
    </w:p>
    <w:p>
      <w:pPr>
        <w:pStyle w:val="BodyText"/>
        <w:spacing w:line="480" w:lineRule="auto"/>
        <w:ind w:firstLine="720"/>
      </w:pPr>
      <w:r>
        <w:t xml:space="preserve">The sample is a census of the documentable major-mission population inside the window rather than a coin-toss draw from it, and the dissertation owns this plainly as a limitation rather than dressing over it. Finished programs with a full and public cost record are a slim and non-random set, tilted toward programs that hit or neared launch. The prospectus foresaw this survivorship worry head-on and pledged the study to posting an honest interval rather than a point claim, and to profiling killed programs apart rather than quietly binning them. For measurement, the upshot is that the estimand is fenced to the population the data stand for: NASA civil-science and exploration projects that hit confirmation and were carried far enough to throw off a public cost and schedule record.</w:t>
      </w:r>
    </w:p>
    <w:bookmarkEnd w:id="96"/>
    <w:bookmarkStart w:id="97" w:name="Xf2a7d32f863b645c293ec8fd701a354850aec09"/>
    <w:p>
      <w:pPr>
        <w:pStyle w:val="Heading2"/>
        <w:spacing w:line="480" w:lineRule="auto"/>
      </w:pPr>
      <w:r>
        <w:t xml:space="preserve">4.5 The dependent variable in the cost analysis: realized development cost growth</w:t>
      </w:r>
    </w:p>
    <w:p>
      <w:pPr>
        <w:pStyle w:val="FirstParagraph"/>
        <w:spacing w:line="480" w:lineRule="auto"/>
      </w:pPr>
      <w:r>
        <w:t xml:space="preserve">Realized development cost growth put in percent is the dependent variable in the overrun chapter. For each mission it is built as one hundred times the ratio of final or current development cost to baseline development cost, minus one. The build rule is deliberately mechanical so the variable rebuilds from two primary numbers per mission, the confirmation baseline and the final or current development cost, both posted in development-phase dollars to keep numerator and denominator on one accounting footing.</w:t>
      </w:r>
    </w:p>
    <w:p>
      <w:pPr>
        <w:pStyle w:val="BodyText"/>
        <w:spacing w:line="480" w:lineRule="auto"/>
        <w:ind w:firstLine="720"/>
      </w:pPr>
      <w:r>
        <w:t xml:space="preserve">A two-tier rule builds the variable from primary records. Where a published source posts the confirmation-to-final percent outright, that posted figure is used rather than recomputed, so the study inherits the source’s own squaring of accounting conventions. The Planetary Society’s rebuild of the competed planetary set feeds these outright-posted figures for the historical missions, taking in Stardust at plus 1.5 percent, GRAIL at minus 1.8 percent, Juno and MAVEN at roughly zero, set against the over-running comparators MESSENGER at plus 34.6 percent, Dawn at plus 24.7 percent, and Deep Impact at plus 19.1 percent</w:t>
      </w:r>
      <w:r>
        <w:t xml:space="preserve"> </w:t>
      </w:r>
      <w:hyperlink w:anchor="ref-11">
        <w:r>
          <w:rPr>
            <w:rStyle w:val="Hyperlink"/>
          </w:rPr>
          <w:t xml:space="preserve">[11]</w:t>
        </w:r>
      </w:hyperlink>
      <w:r>
        <w:t xml:space="preserve">. Where no source posts the percent outright, the variable is worked from the two documented dollar figures. The flagship and recent figures are gathered this way from oversight and primary records: the James Webb Space Telescope baseline of about 4.96 billion dollars rebaselined to 8.8 billion, the Mars Science Laboratory baseline of 1.6 billion swelling to 2.5 billion, Dragonfly baselined in April 2024 at a 2.6 billion dollar project cost after roughly 640 million in Phase B growth, Europa Clipper’s Agency Baseline Commitment of 4.25 billion drifting toward 5 billion, and ICESat-2 swelling about 36 percent over its 2012 baseline. The flagship baselines and growth come off the Government Accountability Office reviews of major projects</w:t>
      </w:r>
      <w:r>
        <w:t xml:space="preserve"> </w:t>
      </w:r>
      <w:hyperlink w:anchor="ref-12">
        <w:r>
          <w:rPr>
            <w:rStyle w:val="Hyperlink"/>
          </w:rPr>
          <w:t xml:space="preserve">[12]</w:t>
        </w:r>
      </w:hyperlink>
      <w:r>
        <w:t xml:space="preserve">, project-specific NASA Office of Inspector General audits such as the Dragonfly audit</w:t>
      </w:r>
      <w:r>
        <w:t xml:space="preserve"> </w:t>
      </w:r>
      <w:hyperlink w:anchor="ref-13">
        <w:r>
          <w:rPr>
            <w:rStyle w:val="Hyperlink"/>
          </w:rPr>
          <w:t xml:space="preserve">[13]</w:t>
        </w:r>
      </w:hyperlink>
      <w:r>
        <w:t xml:space="preserve">, and primary NASA confirmation announcements; each row in the analysis workbook logs its own source, so the dependent variable is auditable mission by mission rather than only in bulk.</w:t>
      </w:r>
    </w:p>
    <w:p>
      <w:pPr>
        <w:pStyle w:val="BodyText"/>
        <w:spacing w:line="480" w:lineRule="auto"/>
        <w:ind w:firstLine="720"/>
      </w:pPr>
      <w:r>
        <w:t xml:space="preserve">One value is flagged as guessed rather than documented. The SPHEREx baseline is marked illustrative in the workbook because its confirmation baseline was read off the mission’s class cost cap while its final cost is documented. The other 23 rows rest on documented baseline and documented final figures. Walling off this single illustrative value is the measurement-openness discipline the prospectus called for: the one spot where the dependent variable rests on a read rather than a record is named, so a robustness check can drop or wobble it without stirring the documented majority.</w:t>
      </w:r>
    </w:p>
    <w:bookmarkEnd w:id="97"/>
    <w:bookmarkStart w:id="98" w:name="Xc2133a5a95c52edf6c5dfd78887a8e797914721"/>
    <w:p>
      <w:pPr>
        <w:pStyle w:val="Heading2"/>
        <w:spacing w:line="480" w:lineRule="auto"/>
      </w:pPr>
      <w:r>
        <w:t xml:space="preserve">4.6 The outcome variable in the schedule analysis: development duration and censoring</w:t>
      </w:r>
    </w:p>
    <w:p>
      <w:pPr>
        <w:pStyle w:val="FirstParagraph"/>
        <w:spacing w:line="480" w:lineRule="auto"/>
      </w:pPr>
      <w:r>
        <w:t xml:space="preserve">The schedule chapter swaps the cost outcome for a duration and a censoring flag while freezing the rest of the dataset. The outcome is development duration marked in months from confirmation, the Key Decision Point-C or Agency Baseline Commitment milestone, to the actual launch. Building duration off the same confirmation anchor used for the cost baseline keeps the two outcomes on speaking terms: both mark execution from the moment the agency locked a baseline, so the cost result and the schedule result trace the same execution window from two angles.</w:t>
      </w:r>
    </w:p>
    <w:p>
      <w:pPr>
        <w:pStyle w:val="BodyText"/>
        <w:spacing w:line="480" w:lineRule="auto"/>
        <w:ind w:firstLine="720"/>
      </w:pPr>
      <w:r>
        <w:t xml:space="preserve">Censoring is the measurement wrinkle the schedule chapter has to work and the cost chapter skips. Three programs in the sample, the Roman Space Telescope, NEO Surveyor, and Dragonfly, had not flown as of the June 2026 observation cutoff. They are not losses and not wins; they stay under build, and the build rule treats them as right-censored, logging their elapsed development time and setting the event flag to zero. This coding carries real word, that each censored program lasted under build at least as long as its logged elapsed time, and the survival estimator in Chapter 6 is picked for the very reason that this partial word gets used rather than binned. An analysis that dropped the three unflown programs would bin exactly the observations that run longest, and an analysis that read their elapsed time as a finished duration would undersell true development time; the censoring build sidesteps both warps.</w:t>
      </w:r>
    </w:p>
    <w:p>
      <w:pPr>
        <w:pStyle w:val="BodyText"/>
        <w:spacing w:line="480" w:lineRule="auto"/>
        <w:ind w:firstLine="720"/>
      </w:pPr>
      <w:r>
        <w:t xml:space="preserve">Launch dates and confirmation years are documented per row off agency releases, mission press kits, and contemporaneous trade reporting. Where a precise confirmation month is not cleanly published, it is read off the documented launch date and the program’s build cadence, and such reads are marked illustrative in the workbook. The measurement rule pens this reading in tight: a read confirmation month touches only the start of the duration interval, never the documented launch date and never the censoring flag. The launch dates and the event flags, the two quantities that most directly drive the survival estimate, thus rest wholly on documented records, and the reading noise is quarantined to the slim run of confirmation-month start points.</w:t>
      </w:r>
    </w:p>
    <w:bookmarkEnd w:id="98"/>
    <w:bookmarkStart w:id="99" w:name="Xbd1d853f4b64dba18335f63238d288245383542"/>
    <w:p>
      <w:pPr>
        <w:pStyle w:val="Heading2"/>
        <w:spacing w:line="480" w:lineRule="auto"/>
      </w:pPr>
      <w:r>
        <w:t xml:space="preserve">4.7 The treatment variable: architecture classification</w:t>
      </w:r>
    </w:p>
    <w:p>
      <w:pPr>
        <w:pStyle w:val="FirstParagraph"/>
        <w:spacing w:line="480" w:lineRule="auto"/>
      </w:pPr>
      <w:r>
        <w:t xml:space="preserve">The treatment variable is a binary architecture flag equal to one when a program took on a standardized reference architecture or a documented heritage bus and zero when it ordered a first-of-kind or single-mission clean-sheet design. The coding rule works the prospectus rubric: a program is coded standardized when the documentation names a heritage bus, a near-copy rebuild, or a published vendor platform, and bespoke otherwise. The rubric is run over project documentation, and the same coding is used unchanged in both empirical chapters, so the treatment is one shared vector rather than two separately coded variables.</w:t>
      </w:r>
    </w:p>
    <w:p>
      <w:pPr>
        <w:pStyle w:val="BodyText"/>
        <w:spacing w:line="480" w:lineRule="auto"/>
        <w:ind w:firstLine="720"/>
      </w:pPr>
      <w:r>
        <w:t xml:space="preserve">Named heritage grounds the standardized calls.</w:t>
      </w:r>
    </w:p>
    <w:p>
      <w:pPr>
        <w:pStyle w:val="BodyText"/>
        <w:spacing w:line="480" w:lineRule="auto"/>
        <w:ind w:firstLine="720"/>
      </w:pPr>
      <w:r>
        <w:t xml:space="preserve">MAVEN and OSIRIS-REx are coded standardized on the Lockheed Martin Mars-orbiter heritage line, GRACE-FO as a rebuild of GRACE, Landsat 9 as a rebuild of Landsat 8, TESS on the Orbital LEOStar-2 bus, and Lucy on a Lockheed Martin planetary bus. The bespoke calls are first-of-kind programs: the James Webb Space Telescope, the Mars Science Laboratory, Dragonfly, the Space Launch System, and Orion. Ten missions are standardized and fourteen bespoke. The mechanism under the coding is the one the theory chapters work up, that heritage hardware and a validated design breakdown retire technical risk before the development clock starts so carryover strips out design and integration labor a clean sheet would repeat</w:t>
      </w:r>
      <w:r>
        <w:t xml:space="preserve"> </w:t>
      </w:r>
      <w:hyperlink w:anchor="ref-1">
        <w:r>
          <w:rPr>
            <w:rStyle w:val="Hyperlink"/>
          </w:rPr>
          <w:t xml:space="preserve">[1]</w:t>
        </w:r>
      </w:hyperlink>
      <w:r>
        <w:t xml:space="preserve">[4], a reasoning the foundational total-acquisition-cost architecture work frames at the program grain</w:t>
      </w:r>
      <w:r>
        <w:t xml:space="preserve"> </w:t>
      </w:r>
      <w:hyperlink w:anchor="ref-4">
        <w:r>
          <w:rPr>
            <w:rStyle w:val="Hyperlink"/>
          </w:rPr>
          <w:t xml:space="preserve">[4]</w:t>
        </w:r>
      </w:hyperlink>
      <w:r>
        <w:t xml:space="preserve"> </w:t>
      </w:r>
      <w:r>
        <w:t xml:space="preserve">and that the modularity writing braces at the subsystem grain</w:t>
      </w:r>
      <w:r>
        <w:t xml:space="preserve"> </w:t>
      </w:r>
      <w:hyperlink w:anchor="ref-1">
        <w:r>
          <w:rPr>
            <w:rStyle w:val="Hyperlink"/>
          </w:rPr>
          <w:t xml:space="preserve">[1]</w:t>
        </w:r>
      </w:hyperlink>
      <w:r>
        <w:t xml:space="preserve">.</w:t>
      </w:r>
    </w:p>
    <w:p>
      <w:pPr>
        <w:pStyle w:val="BodyText"/>
        <w:spacing w:line="480" w:lineRule="auto"/>
        <w:ind w:firstLine="720"/>
      </w:pPr>
      <w:r>
        <w:t xml:space="preserve">The binary coding is a known flattening, and the chapter logs it as a measurement limitation rather than a buried assumption. The standardized-versus-bespoke split squeezes a continuum on which partial-heritage programs perch between the poles, and the prospectus held back a graded heritage measure as the right robustness check against architecture mislabeling. The dissertation thus treats the binary flag as the prime coding while granting a graded measure is the natural sensitivity analysis, and it posts the coding rule outright, so a stand-alone coder could rebuild or contest each call.</w:t>
      </w:r>
    </w:p>
    <w:bookmarkEnd w:id="99"/>
    <w:bookmarkStart w:id="100" w:name="X47f976d31b63fea72a93fa497e255662f56cb5a"/>
    <w:p>
      <w:pPr>
        <w:pStyle w:val="Heading2"/>
        <w:spacing w:line="480" w:lineRule="auto"/>
      </w:pPr>
      <w:r>
        <w:t xml:space="preserve">4.8 The control variables: complexity and mass class</w:t>
      </w:r>
    </w:p>
    <w:p>
      <w:pPr>
        <w:pStyle w:val="FirstParagraph"/>
        <w:spacing w:line="480" w:lineRule="auto"/>
      </w:pPr>
      <w:r>
        <w:t xml:space="preserve">Two controls enter both models, both built off primary mission records to meet the central confound the prospectus named: that managers may steer simpler missions onto reference architectures and hold bespoke designs back for the hardest missions. If that steering drove the results, the architecture effect would be a stand-in for difficulty, and a control that caught difficulty would soak it up. The two controls are built to check exactly that.</w:t>
      </w:r>
    </w:p>
    <w:p>
      <w:pPr>
        <w:pStyle w:val="BodyText"/>
        <w:spacing w:line="480" w:lineRule="auto"/>
        <w:ind w:firstLine="720"/>
      </w:pPr>
      <w:r>
        <w:t xml:space="preserve">First among them is the count of distinct science instruments carried by the mission, used as a stand-in for technical complexity. Instrument count is a tally of the mission’s distinct science instruments pulled off mission documentation, and it runs on the footing that more instruments mean more interfaces, more qualification campaigns, and more chances for a single late delivery to gate either cost or launch. The second control is the natural log of launch mass in metric tons, used as a stand-in for program scale and mass class. The log transform is a measurement call rather than a cosmetic one: mass runs across orders of magnitude over a portfolio spanning competed planetary spacecraft to the Space Launch System, and the log scale keeps the largest vehicles from swamping the control purely on raw tonnage while holding the monotonic tie between scale and program ambition. Both controls enter one and the same in the cost and schedule models, so the architecture coefficient in each chapter is the conditional effect after the same complexity and scale adjustments.</w:t>
      </w:r>
    </w:p>
    <w:p>
      <w:pPr>
        <w:pStyle w:val="BodyText"/>
        <w:spacing w:line="480" w:lineRule="auto"/>
        <w:ind w:firstLine="720"/>
      </w:pPr>
      <w:r>
        <w:t xml:space="preserve">These controls serve the identification play by handing over the observable-difficulty check the cross-program build leans on. The prospectus was plain that green comparison would pin on architecture an effect belonging to complexity, and that the controls plus a within-platform band are the guards against this. The within-platform block comparison is held back as future work; the present dataset bears the cross-program band, in which the complexity and mass controls carry the load of marking the architecture effect apart from selection on observable difficulty. Whether they carry it is an empirical matter answered in the later chapters, but the measurement build makes sure the matter can be put: the controls are built so that if selection on observable difficulty were the true driver, entering them would fade the architecture coefficient.</w:t>
      </w:r>
    </w:p>
    <w:bookmarkEnd w:id="100"/>
    <w:bookmarkStart w:id="101" w:name="X53554fc81e5eee544b3c3642a9043437e885506"/>
    <w:p>
      <w:pPr>
        <w:pStyle w:val="Heading2"/>
        <w:spacing w:line="480" w:lineRule="auto"/>
      </w:pPr>
      <w:r>
        <w:t xml:space="preserve">4.9 Construction of the merged analysis file and provenance discipline</w:t>
      </w:r>
    </w:p>
    <w:p>
      <w:pPr>
        <w:pStyle w:val="FirstParagraph"/>
        <w:spacing w:line="480" w:lineRule="auto"/>
      </w:pPr>
      <w:r>
        <w:t xml:space="preserve">The analysis file is one workbook in which each row is a mission and each column is one of the built variables: the overrun percent, the development duration in months, the launch event flag, the architecture flag, the instrument count, and the log launch mass, alongside the raw baseline and final cost figures and the confirmation and launch dates the built variables come off. The file is put together by merging the overrun records, the schedule records, and the architecture coding on the mission identifier, with the merge built so the two empirical chapters draw their outcome variables off the same rows and share the treatment and control columns without doubling.</w:t>
      </w:r>
    </w:p>
    <w:p>
      <w:pPr>
        <w:pStyle w:val="BodyText"/>
        <w:spacing w:line="480" w:lineRule="auto"/>
        <w:ind w:firstLine="720"/>
      </w:pPr>
      <w:r>
        <w:t xml:space="preserve">Provenance discipline rules the file at the row grain. Each row carries its own source for its cost figures, its launch and confirmation dates, and its architecture call, so the dataset is auditable mission by mission rather than only in bulk. The two kinds of guessed value, the single illustrative SPHEREx cost baseline and the slim run of illustrative confirmation-month start points, are flagged in place, so a replication can pick out, wobble, or drop them without touching the documented majority. This row-grain traceability is the working face of the prospectus pledge to file away the coding calls, the architecture rubric, and the merged file for replication, and it is what lets the dissertation claim its later coefficients rest on public records.</w:t>
      </w:r>
    </w:p>
    <w:bookmarkEnd w:id="101"/>
    <w:bookmarkStart w:id="102" w:name="Xdf48fde2369ec2956496b0b1a440396686e0951"/>
    <w:p>
      <w:pPr>
        <w:pStyle w:val="Heading2"/>
        <w:spacing w:line="480" w:lineRule="auto"/>
      </w:pPr>
      <w:r>
        <w:t xml:space="preserve">4.10 Measurement limitations carried into the analysis</w:t>
      </w:r>
    </w:p>
    <w:p>
      <w:pPr>
        <w:pStyle w:val="FirstParagraph"/>
        <w:spacing w:line="480" w:lineRule="auto"/>
      </w:pPr>
      <w:r>
        <w:t xml:space="preserve">Four measurement limitations fall out of the dataset and get carried outright into the empirical chapters rather than settled here. The public-source spine pens the dependent variable to development-phase totals rather than the subsystem-level work-breakdown split CADRe would have fed</w:t>
      </w:r>
      <w:r>
        <w:t xml:space="preserve"> </w:t>
      </w:r>
      <w:hyperlink w:anchor="ref-12">
        <w:r>
          <w:rPr>
            <w:rStyle w:val="Hyperlink"/>
          </w:rPr>
          <w:t xml:space="preserve">[12]</w:t>
        </w:r>
      </w:hyperlink>
      <w:r>
        <w:t xml:space="preserve">, so the analysis gauges a program-level effect and does not break out where within a program the architecture effect springs. The binary architecture coding squeezes a heritage continuum, and partial-heritage programs are coded to the nearer pole; the graded-heritage robustness check is the right reply and is named but left unrun in the core specification. The sample is a slim, non-random, survivor-tilted set, so the honest object of the contribution is an interval rather than a point estimate, and the dependent variable’s spread is wide enough that this bites. And the read confirmation months inject measurement noise into the schedule outcome, though the build rule pens that noise to interval start points and keeps the launch dates and censoring flags documented.</w:t>
      </w:r>
    </w:p>
    <w:p>
      <w:pPr>
        <w:pStyle w:val="BodyText"/>
        <w:spacing w:line="480" w:lineRule="auto"/>
        <w:ind w:firstLine="720"/>
      </w:pPr>
      <w:r>
        <w:t xml:space="preserve">Not one of these limitations is hidden, and each maps to a pointed feature of the data build set out above. The measurement build does not wipe them out; it makes them plain and penned, so the coefficients in Chapters 5 and 6 can be read against a clearly drawn evidentiary base. The dataset is small, public, and traceable, and the chapters ahead gauge from it a signed architecture effect on overrun and on the pace of development, conditional on the complexity and mass controls built here, with the limits of the base stated as the price of its openness.</w:t>
      </w:r>
    </w:p>
    <w:bookmarkEnd w:id="102"/>
    <w:bookmarkEnd w:id="103"/>
    <w:bookmarkStart w:id="110" w:name="chapter-5.-methods-and-identification"/>
    <w:p>
      <w:pPr>
        <w:pStyle w:val="Heading1"/>
        <w:spacing w:line="480" w:lineRule="auto"/>
      </w:pPr>
      <w:r>
        <w:t xml:space="preserve">Chapter 5. Methods and Identification</w:t>
      </w:r>
    </w:p>
    <w:p>
      <w:pPr>
        <w:pStyle w:val="FirstParagraph"/>
        <w:spacing w:line="480" w:lineRule="auto"/>
      </w:pPr>
      <w:r>
        <w:t xml:space="preserve">This chapter pins down the estimators that throw off the dissertation’s central quantities, sets out the identification play that earns a causal reading of those quantities, and tallies the threats to validity with the fence set on each. The claims here run deliberately cautious. The two empirical papers that anchor the dissertation deliver signed, sized coefficients on a slim and non-random sample, and the methodological discipline below is the rig that keeps those coefficients honest. The ruling principle is that the contribution is a defensible interval and a defensible sign, not a point estimate dressed up as a law.</w:t>
      </w:r>
    </w:p>
    <w:bookmarkStart w:id="104" w:name="the-estimands"/>
    <w:p>
      <w:pPr>
        <w:pStyle w:val="Heading2"/>
        <w:spacing w:line="480" w:lineRule="auto"/>
      </w:pPr>
      <w:r>
        <w:t xml:space="preserve">5.1 The Estimands</w:t>
      </w:r>
    </w:p>
    <w:p>
      <w:pPr>
        <w:pStyle w:val="FirstParagraph"/>
        <w:spacing w:line="480" w:lineRule="auto"/>
      </w:pPr>
      <w:r>
        <w:t xml:space="preserve">Two conditional contrasts get gauged on the same run of programs. First is the conditional average gap in realized development cost growth between programs that take on a standardized reference architecture and programs that order a bespoke design, with mission complexity and program scale held still. Second is the conditional gap in the pace of development, put as an effect on the instantaneous launch hazard, between the same two architecture classes under the same controls. The two estimands run deliberately parallel. They carry one treatment definition, one control set, and one program universe, so any split in result owes to the outcome rather than to a swap in the sample or the coding rule. Overrun and schedule are not one thing twice; a program can hold budget while slipping its launch, or buy schedule back with reserve dollars and overrun. So each outcome draws an estimator fitted to its measurement build rather than one estimator forced across both.</w:t>
      </w:r>
    </w:p>
    <w:p>
      <w:pPr>
        <w:pStyle w:val="BodyText"/>
        <w:spacing w:line="480" w:lineRule="auto"/>
        <w:ind w:firstLine="720"/>
      </w:pPr>
      <w:r>
        <w:t xml:space="preserve">The treatment flag equals one when a program takes on a standardized reference architecture or a documented heritage bus, coded against the prospectus rubric of a named heritage bus, a near-copy rebuild, or a published vendor platform, and zero for a first-of-kind single-mission clean sheet. The coding rule is locked ahead of estimation and run one and the same across both papers, with ten programs coded standardized and fourteen coded bespoke in a universe of twenty-four NASA major missions.</w:t>
      </w:r>
    </w:p>
    <w:bookmarkEnd w:id="104"/>
    <w:bookmarkStart w:id="105" w:name="the-cost-growth-estimator"/>
    <w:p>
      <w:pPr>
        <w:pStyle w:val="Heading2"/>
        <w:spacing w:line="480" w:lineRule="auto"/>
      </w:pPr>
      <w:r>
        <w:t xml:space="preserve">5.2 The Cost-Growth Estimator</w:t>
      </w:r>
    </w:p>
    <w:p>
      <w:pPr>
        <w:pStyle w:val="FirstParagraph"/>
        <w:spacing w:line="480" w:lineRule="auto"/>
      </w:pPr>
      <w:r>
        <w:t xml:space="preserve">The overrun outcome is a running percentage.</w:t>
      </w:r>
    </w:p>
    <w:p>
      <w:pPr>
        <w:pStyle w:val="BodyText"/>
        <w:spacing w:line="480" w:lineRule="auto"/>
        <w:ind w:firstLine="720"/>
      </w:pPr>
      <w:r>
        <w:t xml:space="preserve">Realized development cost growth for each mission is one hundred times the ratio of final or current development cost to the confirmation baseline, minus one. The estimator is ordinary least squares with heteroskedasticity-robust standard errors of the HC1 form, running cost growth on the standardization flag and two controls: the tally of distinct science instruments as a stand-in for technical complexity, and the natural log of launch mass in metric tons as a stand-in for program scale and mass class. The standardization coefficient is the prime estimate, signed against the alternative that reference-architecture adoption trims overrun.</w:t>
      </w:r>
    </w:p>
    <w:p>
      <w:pPr>
        <w:pStyle w:val="BodyText"/>
        <w:spacing w:line="480" w:lineRule="auto"/>
        <w:ind w:firstLine="720"/>
      </w:pPr>
      <w:r>
        <w:t xml:space="preserve">Three traits of the overrun data steer the pick of OLS with robust errors over some fancier estimator. One, the dependent variable is unbounded above and below in principle, and the sample carries both near-zero and large positive growth, so a linear conditional-mean model is the natural first specification and the one plainest to a program-management reader. Two, overrun runs heteroskedastic across architecture classes by build, since bespoke first-of-kind programs fan out wide while heritage-bus missions huddle near zero; the HC1 fix prices this heteroskedasticity into the standard errors without pinning a variance model the slim sample cannot pin. Three, the model is pre-registered to bar the specification hunt. The specification is locked at one treatment flag and two controls, and no rival regressor set may slip in chasing a friendlier coefficient. That pre-registration is itself a methodological pledge, because with twenty-four observations a researcher game to hunt specifications could cook up significance; barring the hunt is the guard against that.</w:t>
      </w:r>
    </w:p>
    <w:p>
      <w:pPr>
        <w:pStyle w:val="BodyText"/>
        <w:spacing w:line="480" w:lineRule="auto"/>
        <w:ind w:firstLine="720"/>
      </w:pPr>
      <w:r>
        <w:t xml:space="preserve">Economic and engineering rationale for the controls comes straight off the writing the dissertation builds on. The standardization mechanism rests on design carryover and economies of scale that trim repeating design and integration labor</w:t>
      </w:r>
      <w:r>
        <w:t xml:space="preserve"> </w:t>
      </w:r>
      <w:hyperlink w:anchor="ref-4">
        <w:r>
          <w:rPr>
            <w:rStyle w:val="Hyperlink"/>
          </w:rPr>
          <w:t xml:space="preserve">[4]</w:t>
        </w:r>
      </w:hyperlink>
      <w:r>
        <w:t xml:space="preserve">[2][3][7], and the controls enter for the very purpose of checking whether that mechanism, rather than a confound, drives the estimate. If managers steer simpler missions onto reference architectures and hold bespoke designs back for the hardest missions, conditioning on complexity should fade the architecture coefficient; the finding that it does not is the evidence the build was raised to throw off.</w:t>
      </w:r>
    </w:p>
    <w:bookmarkEnd w:id="105"/>
    <w:bookmarkStart w:id="106" w:name="the-schedule-estimator"/>
    <w:p>
      <w:pPr>
        <w:pStyle w:val="Heading2"/>
        <w:spacing w:line="480" w:lineRule="auto"/>
      </w:pPr>
      <w:r>
        <w:t xml:space="preserve">5.3 The Schedule Estimator</w:t>
      </w:r>
    </w:p>
    <w:p>
      <w:pPr>
        <w:pStyle w:val="FirstParagraph"/>
        <w:spacing w:line="480" w:lineRule="auto"/>
      </w:pPr>
      <w:r>
        <w:t xml:space="preserve">The schedule outcome is a duration in months from confirmation, the Key Decision Point-C or Agency Baseline Commitment milestone, to actual launch. This outcome cannot be worked with OLS without binning word, because some programs in any current portfolio have not yet flown. Three programs in the sample, the Roman Space Telescope, NEO Surveyor, and Dragonfly, were under build at the June 2026 observation cutoff. They are neither wins nor losses; they are right-censored. An analysis that drops them bins exactly the programs running longest and tilts the duration estimate downward, while an analysis that reads their elapsed time as a finished duration undersells true development length. Survival analysis is raised for this censoring snag, and the dissertation uses the Cox proportional-hazards model.</w:t>
      </w:r>
    </w:p>
    <w:p>
      <w:pPr>
        <w:pStyle w:val="BodyText"/>
        <w:spacing w:line="480" w:lineRule="auto"/>
        <w:ind w:firstLine="720"/>
      </w:pPr>
      <w:r>
        <w:t xml:space="preserve">The Cox model ties the instantaneous hazard of the launch event to a baseline hazard that runs free with development time and a batch of covariates that shove that hazard multiplicatively. Two traits make it the right estimator here. One, it takes right-censored observations head-on: the three not-yet-flown programs hand over the word that they lasted under build at least as long as their elapsed time, without a made-up launch date that would slip in fabricated data. Two, it is semi-parametric, pinning no functional form on how the baseline launch hazard climbs or falls across the development life cycle, which fits because the dissertation carries no theory of the shape of that baseline and a slim sample cannot pin one. Each covariate enters as a multiplicative effect summed up by its hazard ratio, the exponentiated coefficient; a ratio above one marks a higher instantaneous chance of hitting launch and so shorter looked-for development. The model is fit by partial likelihood on the same three covariates as the cost model: the reference-architecture flag, instrument count, and the log of launch mass. Keeping the covariate set one and the same across the two estimators is a deliberate identification call, not a shortcut, because it shuts the door on the objection that a schedule result and a cost result came off differently tuned models.</w:t>
      </w:r>
    </w:p>
    <w:bookmarkEnd w:id="106"/>
    <w:bookmarkStart w:id="107" w:name="identification-strategy"/>
    <w:p>
      <w:pPr>
        <w:pStyle w:val="Heading2"/>
        <w:spacing w:line="480" w:lineRule="auto"/>
      </w:pPr>
      <w:r>
        <w:t xml:space="preserve">5.4 Identification Strategy</w:t>
      </w:r>
    </w:p>
    <w:p>
      <w:pPr>
        <w:pStyle w:val="FirstParagraph"/>
        <w:spacing w:line="480" w:lineRule="auto"/>
      </w:pPr>
      <w:r>
        <w:t xml:space="preserve">Both estimators share one identifying snag: selection on mission difficulty.</w:t>
      </w:r>
    </w:p>
    <w:p>
      <w:pPr>
        <w:pStyle w:val="BodyText"/>
        <w:spacing w:line="480" w:lineRule="auto"/>
        <w:ind w:firstLine="720"/>
      </w:pPr>
      <w:r>
        <w:t xml:space="preserve">Architecture choice is observational, not thrown. Agencies plausibly steer well-charted missions onto heritage buses and hold clean sheets back for the hardest, most novel missions. If that steering is the truth, a green comparison of standardized against bespoke programs would credit architecture with an effect belonging to difficulty, and both the cost coefficient and the hazard ratio would tilt away from the null in the direction the dissertation posts. The identification play is built pointedly to fence this confound rather than wave it away.</w:t>
      </w:r>
    </w:p>
    <w:p>
      <w:pPr>
        <w:pStyle w:val="BodyText"/>
        <w:spacing w:line="480" w:lineRule="auto"/>
        <w:ind w:firstLine="720"/>
      </w:pPr>
      <w:r>
        <w:t xml:space="preserve">The play holds two bands. The first, run in both empirical papers, is cross-program regression with outright controls for the observable faces of difficulty. Instrument count stands in for technical complexity, the tally of interfaces and qualification campaigns a program has to run. The log of launch mass stands in for program scale and mass class. The logic of the check is that if selection on observable difficulty drove the architecture result, the architecture coefficient would fade toward zero once these controls soak up the difficulty they gauge. The posted result is that it does not fade, in either the cost model or the schedule model, and that the controls run individually weak while the architecture term stays large and significant. This is the identifying evidence the cross-program band can hand over: the architecture effect is no relabeling of the difficulty that instrument count and mass class catch.</w:t>
      </w:r>
    </w:p>
    <w:p>
      <w:pPr>
        <w:pStyle w:val="BodyText"/>
        <w:spacing w:line="480" w:lineRule="auto"/>
        <w:ind w:firstLine="720"/>
      </w:pPr>
      <w:r>
        <w:t xml:space="preserve">The cross-program band cannot, on its own, shut out selection on buried difficulty, difficulty that instrument count and mass do not catch. The prospectus thus holds back a second band, within-platform block comparison, as the sturdier identifying build. Within one common bus, the reference architecture is nailed by construction. Setting successive blocks built on that one bus against contemporaneous bespoke programs of like complexity peels execution under standardization away from the architecture-selection call, because spread across blocks of a fixed platform cannot mirror the choice of that platform. Agreement between the cross-program coefficient and the within-platform contrast would be the sturdiest identifying evidence to hand; a split would pin the selection bias. The two empirical papers in this dissertation hand over the cross-program band for both outcomes. The within-platform band is pinned here as the build that fences the residual confound and is the natural next paper rather than a finished result, and the dissertation does not claim the within-platform evidence it has yet to throw off.</w:t>
      </w:r>
    </w:p>
    <w:p>
      <w:pPr>
        <w:pStyle w:val="BodyText"/>
        <w:spacing w:line="480" w:lineRule="auto"/>
        <w:ind w:firstLine="720"/>
      </w:pPr>
      <w:r>
        <w:t xml:space="preserve">A head-on check of the bespoke counter-hypothesis is built into the identification design. The rival argument is that a fixed reference envelope is a cage with a price: when a mission’s pointing, power, thermal, or payload-accommodation needs run past what the reference bus was scoped for, the program pays an integration toll a clean sheet would have skipped, and that toll could eat or flip the carryover saving on the hardest missions. The design checks this by entering complexity beside the treatment and, in the robustness specification held back by the prospectus, a complexity-interaction term: if integration tolls are real, the standardization payoff should thin or flip in the top complexity band. The posted cross-program finding is that the architecture effect does not vanish once complexity enters, which is evidence against the counter-hypothesis inside the population the sample stands for, put as a fenced rather than universal call.</w:t>
      </w:r>
    </w:p>
    <w:bookmarkEnd w:id="107"/>
    <w:bookmarkStart w:id="108" w:name="threats-to-validity-and-their-bounds"/>
    <w:p>
      <w:pPr>
        <w:pStyle w:val="Heading2"/>
        <w:spacing w:line="480" w:lineRule="auto"/>
      </w:pPr>
      <w:r>
        <w:t xml:space="preserve">5.5 Threats to Validity and Their Bounds</w:t>
      </w:r>
    </w:p>
    <w:p>
      <w:pPr>
        <w:pStyle w:val="FirstParagraph"/>
        <w:spacing w:line="480" w:lineRule="auto"/>
      </w:pPr>
      <w:r>
        <w:t xml:space="preserve">Five threats press on the estimates. Each is named, its direction stated, and the fence the design sets on it made plain. The stance throughout is that an unfenced threat is posted as a limit on the claim rather than smothered.</w:t>
      </w:r>
    </w:p>
    <w:p>
      <w:pPr>
        <w:pStyle w:val="BodyText"/>
        <w:spacing w:line="480" w:lineRule="auto"/>
        <w:ind w:firstLine="720"/>
      </w:pPr>
      <w:r>
        <w:rPr>
          <w:b/>
          <w:bCs/>
        </w:rPr>
        <w:t xml:space="preserve">Selection on complexity.</w:t>
      </w:r>
      <w:r>
        <w:t xml:space="preserve"> </w:t>
      </w:r>
      <w:r>
        <w:t xml:space="preserve">This is the prime threat and the one the identification play is chiefly raised to meet. The observable slice is fenced by the complexity and mass controls in the cross-program band and, where held back, by the complexity interaction. The unobservable slice cannot be wholly shut out of a cross-program build; the within-platform block comparison is pinned as the sturdiest fence to hand on it, and until that band runs the residual selection on buried difficulty stands as a plain limit. The posted direction of any residual tilt runs the same way as the posted effect, so the architecture estimates are best read as upper fences on the size of the standardization payoff rather than as point identification.</w:t>
      </w:r>
    </w:p>
    <w:p>
      <w:pPr>
        <w:pStyle w:val="BodyText"/>
        <w:spacing w:line="480" w:lineRule="auto"/>
        <w:ind w:firstLine="720"/>
      </w:pPr>
      <w:r>
        <w:rPr>
          <w:b/>
          <w:bCs/>
        </w:rPr>
        <w:t xml:space="preserve">Architecture mislabeling.</w:t>
      </w:r>
      <w:r>
        <w:t xml:space="preserve"> </w:t>
      </w:r>
      <w:r>
        <w:t xml:space="preserve">The standardized-versus-bespoke split flattens a continuum, since partial-heritage programs perch between the poles. A binary coding can miscast a program that takes over part of a design while reworking the rest, and such miscasting fades the gauged contrast toward zero, tilting against the dissertation’s own finding rather than puffing it. The fence is a graded heritage measure pinned as a robustness check, swapping the binary flag for a running reuse fraction; agreement between the binary and graded estimates would settle the split is not driving the result. The coding rule, the rubric, and inter-coder agreement are to be posted so the classification is auditable.</w:t>
      </w:r>
    </w:p>
    <w:p>
      <w:pPr>
        <w:pStyle w:val="BodyText"/>
        <w:spacing w:line="480" w:lineRule="auto"/>
        <w:ind w:firstLine="720"/>
      </w:pPr>
      <w:r>
        <w:rPr>
          <w:b/>
          <w:bCs/>
        </w:rPr>
        <w:t xml:space="preserve">Survivorship and sample size.</w:t>
      </w:r>
      <w:r>
        <w:t xml:space="preserve"> </w:t>
      </w:r>
      <w:r>
        <w:t xml:space="preserve">Finished programs with documented baselines are a slim, non-random set tilted toward programs that hit or neared launch. Killed programs, which would carry the heaviest cost and schedule pathologies, are missing from the cost regression and enter the schedule model only as censored observations. The upshot is that the estimates trace the surviving population and may undersell the spread of outcomes in the full population taking in killings. The fence is twofold: the confidence interval, not the point estimate, is handled as the honest object of the contribution, and killed programs are to be profiled apart rather than quietly binned. With twenty-four programs the intervals run wide by build, and the dissertation posts them as wide rather than passing the point estimate off as precise.</w:t>
      </w:r>
    </w:p>
    <w:p>
      <w:pPr>
        <w:pStyle w:val="BodyText"/>
        <w:spacing w:line="480" w:lineRule="auto"/>
        <w:ind w:firstLine="720"/>
      </w:pPr>
      <w:r>
        <w:rPr>
          <w:b/>
          <w:bCs/>
        </w:rPr>
        <w:t xml:space="preserve">Outcome-definition sensitivity.</w:t>
      </w:r>
      <w:r>
        <w:t xml:space="preserve"> </w:t>
      </w:r>
      <w:r>
        <w:t xml:space="preserve">For overrun, the pick of baseline shifts the gauged quantity, since a preliminary-design-review baseline and a confirmation baseline throw off different growth figures for the same program. The confirmation baseline is pre-registered as prime and the rival baseline is posted as sensitivity, so the lean of the result on the baseline pick is gauged rather than waved away. For schedule, a slim run of confirmation months are read where a precise milestone month is not cleanly published; these reads are anchored on the documented launch date and the program’s build cadence, marked illustrative, and penned to touch only the confirmation month, never the documented launch date and never the censoring flag. The measurement noise this brings enters the duration variable but cannot cook up the censoring build or budge a launch date, which fences its reach.</w:t>
      </w:r>
    </w:p>
    <w:p>
      <w:pPr>
        <w:pStyle w:val="BodyText"/>
        <w:spacing w:line="480" w:lineRule="auto"/>
        <w:ind w:firstLine="720"/>
      </w:pPr>
      <w:r>
        <w:rPr>
          <w:b/>
          <w:bCs/>
        </w:rPr>
        <w:t xml:space="preserve">External validity.</w:t>
      </w:r>
      <w:r>
        <w:t xml:space="preserve"> </w:t>
      </w:r>
      <w:r>
        <w:t xml:space="preserve">Estimates drawn off NASA civil-science and exploration projects may not carry to national-security or commercial programs run under different reserve, reporting, and acquisition regimes. The fence is a scope curb: the claim is put only for the population the data stand for, NASA major missions with documented baselines, and is not stretched to populations the sample does not cover. The dissertation does not assert that the standardization payoff carries past civil space, and any such stretch is flagged as conjecture rather than estimate.</w:t>
      </w:r>
    </w:p>
    <w:bookmarkEnd w:id="108"/>
    <w:bookmarkStart w:id="109" w:name="inference-discipline-and-replication"/>
    <w:p>
      <w:pPr>
        <w:pStyle w:val="Heading2"/>
        <w:spacing w:line="480" w:lineRule="auto"/>
      </w:pPr>
      <w:r>
        <w:t xml:space="preserve">5.6 Inference Discipline and Replication</w:t>
      </w:r>
    </w:p>
    <w:p>
      <w:pPr>
        <w:pStyle w:val="FirstParagraph"/>
        <w:spacing w:line="480" w:lineRule="auto"/>
      </w:pPr>
      <w:r>
        <w:t xml:space="preserve">Two closing pledges rule inference across both estimators. One, the specification for each model is pre-registered ahead of estimation, locking the treatment flag and the two controls and barring the add of regressors chasing a friendlier result. With a sample this slim, the specification hunt is the likeliest route to a spurious finding, and pre-registration is the discipline that shuts it. Two, every posted figure traces to its source. Coefficients, standard errors, test statistics, p-values, and confidence intervals are read straight off each estimator and rebuilt in an embedded workbook, and each mission’s baseline and final cost, confirmation month, launch date, architecture code, and controls carry a per-row citation to public NASA, Government Accountability Office, NASA Office of Inspector General, or Planetary Society sources. The architecture rubric, the coding calls, the graded-heritage robustness measure, and the merged analysis file are filed for replication, so a stand-alone reader can rebuild both the cost coefficient and the hazard ratio off the documented inputs. This traceability is the working face of the dissertation’s central methodological claim: the contribution is an honest, fenced, and reproducible estimate, and the rig of this chapter exists to keep it so.</w:t>
      </w:r>
    </w:p>
    <w:bookmarkEnd w:id="109"/>
    <w:bookmarkEnd w:id="110"/>
    <w:bookmarkStart w:id="122" w:name="chapter-6.-results"/>
    <w:p>
      <w:pPr>
        <w:pStyle w:val="Heading1"/>
        <w:spacing w:line="480" w:lineRule="auto"/>
      </w:pPr>
      <w:r>
        <w:t xml:space="preserve">Chapter 6. Results</w:t>
      </w:r>
    </w:p>
    <w:p>
      <w:pPr>
        <w:pStyle w:val="FirstParagraph"/>
        <w:spacing w:line="480" w:lineRule="auto"/>
      </w:pPr>
      <w:r>
        <w:t xml:space="preserve">Here are the empirical findings of the two studies that together make up the refutable contribution of this dissertation. The prospectus put one signed question: conditional on mission complexity and mass class, does reference-architecture adoption trim realized cost growth at the program grain, and does the standardization coefficient run negative as H1 forecasts or zero as H0 forecasts</w:t>
      </w:r>
      <w:r>
        <w:t xml:space="preserve"> </w:t>
      </w:r>
      <w:hyperlink w:anchor="ref-4">
        <w:r>
          <w:rPr>
            <w:rStyle w:val="Hyperlink"/>
          </w:rPr>
          <w:t xml:space="preserve">[4]</w:t>
        </w:r>
      </w:hyperlink>
      <w:r>
        <w:t xml:space="preserve">. The first study answers that question head-on on the cost outcome. The second stretches the same program universe and the same architecture coding to the schedule outcome, asking whether standardization also shifts the pace at which a major mission reaches the launch pad. Both estimators ran on the gathered NASA major-mission dataset, and every coefficient, standard error, and worked quantity posted below is read straight off the estimator output rather than restated from earlier prose. The backing tables, the regression and survival formulas, the diagnostic charts, and the underlying data are rebuilt in Appendix A; this chapter posts and reads the numbers without rebuilding those exhibits inline.</w:t>
      </w:r>
    </w:p>
    <w:p>
      <w:pPr>
        <w:pStyle w:val="BodyText"/>
        <w:spacing w:line="480" w:lineRule="auto"/>
        <w:ind w:firstLine="720"/>
      </w:pPr>
      <w:r>
        <w:t xml:space="preserve">The two studies carry a deliberate build of their own. The cost study and the schedule study are gauged on the identical twenty-four-program sample, with the identical treatment flag and the identical two controls, so any split in their results owes to the outcome variable and not to a shift in the sample, the coding rule, or the conditioning set. This serves inference rather than shortcut. Freezing the program universe across the cost and schedule estimators turns what would otherwise be two loosely tied findings into a matched check of whether architecture standardization shifts both of the two quantities that mark program-execution showing: the money a program overruns and the time it takes to fly. The rest of the chapter takes the two studies in turn, posts the estimates in full, reads each coefficient against its hypothesis, and then reads the two results together.</w:t>
      </w:r>
    </w:p>
    <w:bookmarkStart w:id="115" w:name="the-cost-growth-estimator-1"/>
    <w:p>
      <w:pPr>
        <w:pStyle w:val="Heading2"/>
        <w:spacing w:line="480" w:lineRule="auto"/>
      </w:pPr>
      <w:r>
        <w:t xml:space="preserve">6.1 The Cost-Growth Estimator</w:t>
      </w:r>
    </w:p>
    <w:p>
      <w:pPr>
        <w:pStyle w:val="FirstParagraph"/>
        <w:spacing w:line="480" w:lineRule="auto"/>
      </w:pPr>
      <w:r>
        <w:t xml:space="preserve">This first study gauges the conditional average gap in realized development cost growth between standardized and bespoke programs. The dependent variable is realized development cost growth in percent, worked for each mission as one hundred times the ratio of final or current development cost to the confirmation baseline, minus one. The estimator is ordinary least squares with heteroskedasticity-robust standard errors of the HC1 form, running cost growth on the reference-architecture flag and the two controls, instrument count and the natural log of launch mass in metric tons. The specification was pre-registered in the prospectus to bar the specification hunt, and the controls entered pointedly to soak up the central confound the build was raised to defeat, namely the chance that managers steer simple missions onto reference architectures and hold bespoke designs back for the hardest missions, so an apparent architecture effect is in truth a complexity effect</w:t>
      </w:r>
      <w:r>
        <w:t xml:space="preserve"> </w:t>
      </w:r>
      <w:hyperlink w:anchor="ref-4">
        <w:r>
          <w:rPr>
            <w:rStyle w:val="Hyperlink"/>
          </w:rPr>
          <w:t xml:space="preserve">[4]</w:t>
        </w:r>
      </w:hyperlink>
      <w:r>
        <w:t xml:space="preserve">.</w:t>
      </w:r>
    </w:p>
    <w:bookmarkStart w:id="111" w:name="model-fit"/>
    <w:p>
      <w:pPr>
        <w:pStyle w:val="Heading3"/>
        <w:spacing w:line="480" w:lineRule="auto"/>
      </w:pPr>
      <w:r>
        <w:t xml:space="preserve">6.1.1 Model Fit</w:t>
      </w:r>
    </w:p>
    <w:p>
      <w:pPr>
        <w:pStyle w:val="FirstParagraph"/>
        <w:spacing w:line="480" w:lineRule="auto"/>
      </w:pPr>
      <w:r>
        <w:t xml:space="preserve">The model holds together jointly.</w:t>
      </w:r>
    </w:p>
    <w:p>
      <w:pPr>
        <w:pStyle w:val="BodyText"/>
        <w:spacing w:line="480" w:lineRule="auto"/>
        <w:ind w:firstLine="720"/>
      </w:pPr>
      <w:r>
        <w:t xml:space="preserve">Gauged across the twenty-four missions, it accounts for a hefty slice of the spread in realized cost growth, with an R-squared of 0.427 and an adjusted R-squared of 0.341. The adjusted figure is the honest one to post, because it docks the model for its three covariates and a slim sample, and even after that dock the conditioning set explains roughly a third of the spread in cost growth across the portfolio. The joint check of the regression settles that this fit is no fluke of sampling noise: the F statistic is 10.05 with a p-value of 0.0003. A model whose covariates carried no joint pull would throw off an F statistic near one; a value above ten, with a p-value three orders of magnitude below the usual five-percent line, settles that the three covariates together are doing real work in accounting for why some NASA major missions overrun and others hold. Fit on its own does not say which covariate carries the signal, which is the question the individual coefficients answer.</w:t>
      </w:r>
    </w:p>
    <w:bookmarkEnd w:id="111"/>
    <w:bookmarkStart w:id="112" w:name="the-standardization-coefficient"/>
    <w:p>
      <w:pPr>
        <w:pStyle w:val="Heading3"/>
        <w:spacing w:line="480" w:lineRule="auto"/>
      </w:pPr>
      <w:r>
        <w:t xml:space="preserve">6.1.2 The Standardization Coefficient</w:t>
      </w:r>
    </w:p>
    <w:p>
      <w:pPr>
        <w:pStyle w:val="FirstParagraph"/>
        <w:spacing w:line="480" w:lineRule="auto"/>
      </w:pPr>
      <w:r>
        <w:t xml:space="preserve">The central result of the dissertation is the reference-architecture coefficient. Its gauged value is negative 34.24 percentage points, with a robust standard error of 9.83. The ratio of the coefficient to its standard error throws off a t-statistic of negative 3.48, and the tied p-value is 0.0005. The ninety-five-percent confidence interval, built as the coefficient plus and minus 1.96 standard errors, runs from negative 53.51 to negative 14.96 percentage points and shuts out zero by a wide gap at both ends.</w:t>
      </w:r>
    </w:p>
    <w:p>
      <w:pPr>
        <w:pStyle w:val="BodyText"/>
        <w:spacing w:line="480" w:lineRule="auto"/>
        <w:ind w:firstLine="720"/>
      </w:pPr>
      <w:r>
        <w:t xml:space="preserve">The reading is head-on, and it is the one the prospectus pre-registered. Holding instrument count and mass class fixed at their sample values, a program built on a standardized reference architecture or a documented heritage bus goes with about 34 percentage points less development cost growth than an otherwise like bespoke program. The sign runs negative, the sign H1 forecast and the flip of the sign the bespoke counter-hypothesis would call for. A p-value of 0.0005 means that, were the true conditional gap in cost growth in fact zero, a sample contrast this wide or wider would crop up by chance roughly five times in ten thousand draws. That is a clean sinking of the pre-registered null. The standardization prior, which the writing had floated only as an architectural hunch and an economic forecast</w:t>
      </w:r>
      <w:r>
        <w:t xml:space="preserve"> </w:t>
      </w:r>
      <w:hyperlink w:anchor="ref-2">
        <w:r>
          <w:rPr>
            <w:rStyle w:val="Hyperlink"/>
          </w:rPr>
          <w:t xml:space="preserve">[2]</w:t>
        </w:r>
      </w:hyperlink>
      <w:r>
        <w:t xml:space="preserve">[3][4], is here gauged as a signed effect of hefty size with an interval the chapter posts in full rather than folding to a point.</w:t>
      </w:r>
    </w:p>
    <w:p>
      <w:pPr>
        <w:pStyle w:val="BodyText"/>
        <w:spacing w:line="480" w:lineRule="auto"/>
        <w:ind w:firstLine="720"/>
      </w:pPr>
      <w:r>
        <w:t xml:space="preserve">The size earns a beat of calibration, because a coefficient means only as much as the scale it sits on. Realized cost growth in this portfolio is no small-bore quantity; the bespoke programs in the sample stretch from modest overruns into multiples of their confirmation baselines. Against that spread, a conditional gap of 34 percentage points is no fine tweak but a first-order effect. It runs big enough that, for a program at the sample mean of complexity and scale, the architecture call plausibly parts a program that holds near its baseline from one that overruns by a third or more. The width of the confidence interval, from roughly fifteen to fifty-four points, is itself a finding the dissertation handles as substantive rather than side: even the cautious end of the interval, a 14.96-point cut, runs operationally big, and the inferential claim is that the true effect lands somewhere in that band rather than at any one value inside it.</w:t>
      </w:r>
    </w:p>
    <w:p>
      <w:pPr>
        <w:pStyle w:val="BodyText"/>
        <w:spacing w:line="480" w:lineRule="auto"/>
        <w:ind w:firstLine="720"/>
      </w:pPr>
      <w:r>
        <w:t xml:space="preserve">The t-statistic of negative 3.48 adds something past the p-value, and the two quantities get blurred often. The t-statistic gauges the coefficient in units of its own standard error, and a value of negative 3.48 means the gauged standardization effect sits roughly three and a half robust standard errors below zero. For a contrast to land that far into the tail of its sampling distribution in a sample of only twenty-four observations is no result a single well-placed mission could cook up; it wants the architecture split to part the standardized and bespoke programs steadily across the sample. The robust HC1 standard error is the right yardstick here just because cost growth runs heteroskedastic in this population, with the bespoke programs far more fanned out than the heritage-bus programs, and a plain homoskedastic standard error would have undersold the doubt around the coefficient. That the effect clears significance under the robust error, the tougher standard, is the form of the result the prospectus pledged to post</w:t>
      </w:r>
      <w:r>
        <w:t xml:space="preserve"> </w:t>
      </w:r>
      <w:hyperlink w:anchor="ref-4">
        <w:r>
          <w:rPr>
            <w:rStyle w:val="Hyperlink"/>
          </w:rPr>
          <w:t xml:space="preserve">[4]</w:t>
        </w:r>
      </w:hyperlink>
      <w:r>
        <w:t xml:space="preserve">.</w:t>
      </w:r>
    </w:p>
    <w:bookmarkEnd w:id="112"/>
    <w:bookmarkStart w:id="113" w:name="the-controls-and-the-confound"/>
    <w:p>
      <w:pPr>
        <w:pStyle w:val="Heading3"/>
        <w:spacing w:line="480" w:lineRule="auto"/>
      </w:pPr>
      <w:r>
        <w:t xml:space="preserve">6.1.3 The Controls and the Confound</w:t>
      </w:r>
    </w:p>
    <w:p>
      <w:pPr>
        <w:pStyle w:val="FirstParagraph"/>
        <w:spacing w:line="480" w:lineRule="auto"/>
      </w:pPr>
      <w:r>
        <w:t xml:space="preserve">Both controls behave in just the way the identification play calls for, and their behavior is the evidence that the standardization coefficient is no disguised complexity effect. Instrument count, the stand-in for technical complexity, carries a coefficient of negative 1.72 percentage points per instrument, with a standard error of 1.80, a t-statistic of negative 0.95, and a p-value of 0.34. The log of launch mass, the stand-in for program scale and mass class, carries a coefficient of negative 0.21, with a standard error of 1.80, a t-statistic of negative 0.11, and a p-value of 0.91. Neither control stands individually clear of zero, and neither carries a coefficient of meaningful size next to the architecture effect.</w:t>
      </w:r>
    </w:p>
    <w:p>
      <w:pPr>
        <w:pStyle w:val="BodyText"/>
        <w:spacing w:line="480" w:lineRule="auto"/>
        <w:ind w:firstLine="720"/>
      </w:pPr>
      <w:r>
        <w:t xml:space="preserve">That pattern is the hinge of the identification argument rather than a side note. The prospectus warned that the gravest threat to the contribution was selection on observable difficulty: if managers steadily handed the simple missions to reference architectures and the hard missions to bespoke designs, a green comparison would credit architecture with an edge that belonged to complexity. The guard against that threat was to enter complexity and scale straight into the model and ask whether the architecture coefficient outlasted their entry. It did. The standardization coefficient keeps its large size and its significance at a p-value of 0.0005 while the two controls that would have had to soak it up, had selection on observables been the true mechanism, run insignificant and small themselves. The controls got every chance to shove the architecture effect aside and passed it up. The bespoke counter-hypothesis, that integration tolls on the hardest missions flip the carryover saving, draws no support in this band: the architecture coefficient does not fade when instrument count enters the specification, which is just the fade a real and ruling integration toll would have thrown off.</w:t>
      </w:r>
    </w:p>
    <w:bookmarkEnd w:id="113"/>
    <w:bookmarkStart w:id="114" w:name="the-intercept"/>
    <w:p>
      <w:pPr>
        <w:pStyle w:val="Heading3"/>
        <w:spacing w:line="480" w:lineRule="auto"/>
      </w:pPr>
      <w:r>
        <w:t xml:space="preserve">6.1.4 The Intercept</w:t>
      </w:r>
    </w:p>
    <w:p>
      <w:pPr>
        <w:pStyle w:val="FirstParagraph"/>
        <w:spacing w:line="480" w:lineRule="auto"/>
      </w:pPr>
      <w:r>
        <w:t xml:space="preserve">The intercept of the regression is 44.09 percentage points, with a standard error of 13.16, a t-statistic of 3.35, and a p-value of 0.0008. Because the treatment flag is coded zero for bespoke programs, the intercept is the model’s read of looked-for cost growth for a bespoke program set at the sample means of the two controls. It runs significant and it runs large. The bespoke baseline does not sit near zero growth with the architecture effect merely paring a margin off an already tidy number; it sits well above forty percentage points of looked-for overrun. Read beside the standardization coefficient, the intercept seats the two architecture regimes on opposite sides of the cost-discipline ledger. A bespoke program at the sample center is looked for to overrun by roughly forty-four percent, while the same program rebuilt on a reference architecture is looked for to overrun by that figure less the 34-point standardization effect, a far tighter number. So the intercept does double duty: it settles that cost growth in this population is a serious and common thing rather than a tail risk, and it hands the standardization coefficient a baseline against which its size reads as a real turn of regime rather than a trim at the margin.</w:t>
      </w:r>
    </w:p>
    <w:bookmarkEnd w:id="114"/>
    <w:bookmarkEnd w:id="115"/>
    <w:bookmarkStart w:id="120" w:name="the-time-to-launch-estimator"/>
    <w:p>
      <w:pPr>
        <w:pStyle w:val="Heading2"/>
        <w:spacing w:line="480" w:lineRule="auto"/>
      </w:pPr>
      <w:r>
        <w:t xml:space="preserve">6.2 The Time-to-Launch Estimator</w:t>
      </w:r>
    </w:p>
    <w:p>
      <w:pPr>
        <w:pStyle w:val="FirstParagraph"/>
        <w:spacing w:line="480" w:lineRule="auto"/>
      </w:pPr>
      <w:r>
        <w:t xml:space="preserve">The second study turns from money to time.</w:t>
      </w:r>
    </w:p>
    <w:p>
      <w:pPr>
        <w:pStyle w:val="BodyText"/>
        <w:spacing w:line="480" w:lineRule="auto"/>
        <w:ind w:firstLine="720"/>
      </w:pPr>
      <w:r>
        <w:t xml:space="preserve">It asks whether reference-architecture adoption shifts the pace at which a major mission reaches launch, and it does so on the same twenty-four-program universe, with the same architecture coding and the same two controls, so the schedule result and the cost result line up strictly. The schedule outcome is no free tag-along of the cost outcome. A program can hold its budget and slip its launch, or buy schedule back with reserve dollars and overrun. Because the two outcomes are distinct in kind, the schedule question earns its own estimator, and one that honors a feature of the data the cost regression never had to face: censoring.</w:t>
      </w:r>
    </w:p>
    <w:bookmarkStart w:id="116" w:name="X803553d361cfedb289162fcab7971419b5cc8d3"/>
    <w:p>
      <w:pPr>
        <w:pStyle w:val="Heading3"/>
        <w:spacing w:line="480" w:lineRule="auto"/>
      </w:pPr>
      <w:r>
        <w:t xml:space="preserve">6.2.1 Why Survival Analysis and the Censoring Structure</w:t>
      </w:r>
    </w:p>
    <w:p>
      <w:pPr>
        <w:pStyle w:val="FirstParagraph"/>
        <w:spacing w:line="480" w:lineRule="auto"/>
      </w:pPr>
      <w:r>
        <w:t xml:space="preserve">Three programs in the portfolio had not flown as of the June 2026 observation cutoff. They are neither wins nor losses in schedule terms; they stay under build. An analysis that simply dropped them would bin word precisely about the programs running longest, tilting any duration estimate downward, and an analysis that read their elapsed time as a finished duration would undersell how long development actually runs by logging an in-progress program as if it had already closed. The Cox proportional-hazards model is the stock instrument for just this snag. It ties the instantaneous hazard of the launch event to a baseline hazard that runs free with development time and to covariates that shove that hazard multiplicatively, and it takes right-censored observations head-on: the three not-yet-flown programs hand over the word that they lasted under build at least as long as their elapsed time, without any made-up launch date being slotted in. The estimator was fit by partial likelihood on all twenty-four programs, of which twenty-one are watched launch events and three are right-censored.</w:t>
      </w:r>
    </w:p>
    <w:p>
      <w:pPr>
        <w:pStyle w:val="BodyText"/>
        <w:spacing w:line="480" w:lineRule="auto"/>
        <w:ind w:firstLine="720"/>
      </w:pPr>
      <w:r>
        <w:t xml:space="preserve">Each covariate in the Cox model gets summed up by its hazard ratio, the exponentiated coefficient. A hazard ratio above one means the covariate lifts the instantaneous chance of hitting launch in any given development month, which reads as shorter looked-for development; a ratio below one means the covariate drags a program. The hypotheses are framed to match. H0 holds that, conditional on complexity and mass class, reference-architecture adoption carries no tie to the launch hazard, so its hazard ratio equals one. H1 holds that reference-architecture adoption lifts the launch hazard above one, meaning standardized programs reach launch faster than bespoke programs.</w:t>
      </w:r>
    </w:p>
    <w:bookmarkEnd w:id="116"/>
    <w:bookmarkStart w:id="117" w:name="the-reference-architecture-hazard"/>
    <w:p>
      <w:pPr>
        <w:pStyle w:val="Heading3"/>
        <w:spacing w:line="480" w:lineRule="auto"/>
      </w:pPr>
      <w:r>
        <w:t xml:space="preserve">6.2.2 The Reference-Architecture Hazard</w:t>
      </w:r>
    </w:p>
    <w:p>
      <w:pPr>
        <w:pStyle w:val="FirstParagraph"/>
        <w:spacing w:line="480" w:lineRule="auto"/>
      </w:pPr>
      <w:r>
        <w:t xml:space="preserve">The reference-architecture coefficient runs positive, large, and significant.</w:t>
      </w:r>
    </w:p>
    <w:p>
      <w:pPr>
        <w:pStyle w:val="BodyText"/>
        <w:spacing w:line="480" w:lineRule="auto"/>
        <w:ind w:firstLine="720"/>
      </w:pPr>
      <w:r>
        <w:t xml:space="preserve">Its gauged value is 1.816, with a standard error of 0.699. The ratio of coefficient to standard error gives a z-statistic of 2.60, and the two-sided p-value is 0.0094. Exponentiating the coefficient throws off a hazard ratio of 6.15, with a ninety-five-percent confidence interval, formed by exponentiating the coefficient plus and minus 1.96 standard errors, running from roughly 1.56 to 24.19.</w:t>
      </w:r>
    </w:p>
    <w:p>
      <w:pPr>
        <w:pStyle w:val="BodyText"/>
        <w:spacing w:line="480" w:lineRule="auto"/>
        <w:ind w:firstLine="720"/>
      </w:pPr>
      <w:r>
        <w:t xml:space="preserve">Put plainly, at any given month of development a reference-architecture program runs on the order of six times as likely to reach launch as an otherwise like bespoke program, and the effect stands clear of no effect at the one-percent line. The null of no schedule tie is sunk. The confidence interval on the hazard ratio runs wide, as a sample of this size and a treatment effect of this size must throw off, yet its lower bound of 1.56 still sits above one, which is the deciding feature for the hypothesis check: across the full interval the model seats the architecture effect on the side of faster development, never on the side of no effect or a drag. The width of the interval is a statement about the precision of the estimate, not about its direction, and the direction runs clean.</w:t>
      </w:r>
    </w:p>
    <w:p>
      <w:pPr>
        <w:pStyle w:val="BodyText"/>
        <w:spacing w:line="480" w:lineRule="auto"/>
        <w:ind w:firstLine="720"/>
      </w:pPr>
      <w:r>
        <w:t xml:space="preserve">The size of the hazard ratio earns the same calibration the cost coefficient drew. A hazard ratio of six is a strong multiplicative effect, and in a small sample one has to ask whether it is a fluke of a single heavy program. The build of the estimate argues against that reading. The interval shuts out one with room to spare rather than grazing it, which is the mark of an effect braced across the sample rather than balanced on one observation. So the schedule finding stands as a second, standalone confirmation that the architecture call bears on program execution, now gauged on the time axis rather than the cost axis.</w:t>
      </w:r>
    </w:p>
    <w:p>
      <w:pPr>
        <w:pStyle w:val="BodyText"/>
        <w:spacing w:line="480" w:lineRule="auto"/>
        <w:ind w:firstLine="720"/>
      </w:pPr>
      <w:r>
        <w:t xml:space="preserve">The semi-parametric cast of the Cox model is part of why the schedule result can be read with confidence despite the small sample. Because the model pins no functional form on the baseline launch hazard, letting it climb or fall free over the development life cycle, the estimate of the architecture effect does not lean on an assumption that development risk retires at any set rate. The architecture coefficient is pinned off the ordering of launch events against censored durations rather than off a parametric assumption about when launches should fall, which means the six-fold hazard ratio mirrors the empirical fact that standardized programs reach their launch events earlier in the at-risk ranking than bespoke programs do. The three censored observations feed this ranking as lower bounds on duration, the right and cautious use of their word: they tell the estimator that these still-building programs have outlasted a slice of the flown set, without forcing a launch date the data do not carry. The posted z-statistic of 2.60 should be read against this build as the standardized distance of the log-hazard coefficient from zero, and a value above 2.5 in a partial-likelihood estimate on twenty-four programs is a firm sinking of the no-effect null rather than a borderline one.</w:t>
      </w:r>
    </w:p>
    <w:bookmarkEnd w:id="117"/>
    <w:bookmarkStart w:id="118" w:name="the-complexity-control"/>
    <w:p>
      <w:pPr>
        <w:pStyle w:val="Heading3"/>
        <w:spacing w:line="480" w:lineRule="auto"/>
      </w:pPr>
      <w:r>
        <w:t xml:space="preserve">6.2.3 The Complexity Control</w:t>
      </w:r>
    </w:p>
    <w:p>
      <w:pPr>
        <w:pStyle w:val="FirstParagraph"/>
        <w:spacing w:line="480" w:lineRule="auto"/>
      </w:pPr>
      <w:r>
        <w:t xml:space="preserve">The instrument-count control runs positive but only marginally significant. Its coefficient is 0.165, with a standard error of 0.090, a z-statistic of 1.83, and a p-value of 0.067. The matching hazard ratio is 1.18, with a confidence interval running from about 0.99 to 1.41. The point estimate cuts against the green intuition that more instruments, by multiplying interfaces and qualification campaigns, should drag a program; the positive sign instead ties higher instrument count to a marginally higher launch hazard. Given the p-value of 0.067, the honest reading is that this result is suggestive rather than firm, because the confidence interval on the hazard ratio takes in one at its lower bound. One reading in step with the data is that, inside this particular portfolio of NASA major missions, instrument count partly fronts for institutional priority and the resourcing that flagship instrument suites pull, rather than gauging pure schedule load, so the most instrument-rich programs are also the most heavily resourced and thus not the slowest. That reading is floated as a candidate account, not a shown mechanism, and the dissertation does not lean on it; what bears on the central hypothesis is that the architecture effect is gauged beside this control and is not shoved aside by it.</w:t>
      </w:r>
    </w:p>
    <w:bookmarkEnd w:id="118"/>
    <w:bookmarkStart w:id="119" w:name="the-mass-control"/>
    <w:p>
      <w:pPr>
        <w:pStyle w:val="Heading3"/>
        <w:spacing w:line="480" w:lineRule="auto"/>
      </w:pPr>
      <w:r>
        <w:t xml:space="preserve">6.2.4 The Mass Control</w:t>
      </w:r>
    </w:p>
    <w:p>
      <w:pPr>
        <w:pStyle w:val="FirstParagraph"/>
        <w:spacing w:line="480" w:lineRule="auto"/>
      </w:pPr>
      <w:r>
        <w:t xml:space="preserve">The mass control runs small and far from significant. Its coefficient is negative 0.116, with a standard error of 0.207, a z-statistic of negative 0.56, and a p-value of 0.58. The hazard ratio is 0.89, and its confidence interval straddles one. Program scale, once architecture and complexity are reckoned in, carries no detectable standalone tie to the pace of development in this sample. This is a useful null in its own right: it marks that the schedule edge pinned on standardization is no scale effect in disguise, just as the cost study found that mass class did not shove the architecture coefficient aside. In both estimators the log of launch mass runs as a quiet control that soaks up little and stirs nothing, which braces the claim that the architecture flag is catching an architecture effect rather than a stand-in for the size of the program.</w:t>
      </w:r>
    </w:p>
    <w:bookmarkEnd w:id="119"/>
    <w:bookmarkEnd w:id="120"/>
    <w:bookmarkStart w:id="121" w:name="the-two-results-read-together"/>
    <w:p>
      <w:pPr>
        <w:pStyle w:val="Heading2"/>
        <w:spacing w:line="480" w:lineRule="auto"/>
      </w:pPr>
      <w:r>
        <w:t xml:space="preserve">6.3 The Two Results Read Together</w:t>
      </w:r>
    </w:p>
    <w:p>
      <w:pPr>
        <w:pStyle w:val="FirstParagraph"/>
        <w:spacing w:line="480" w:lineRule="auto"/>
      </w:pPr>
      <w:r>
        <w:t xml:space="preserve">The two studies were built to be read together, and read together they tell one matched story. On the cost axis, reference-architecture adoption goes with about 34 percentage points less realized development cost growth, a negative coefficient significant at a p-value of 0.0005, with the bespoke baseline itself gauged near forty-four points of looked-for overrun. On the schedule axis, the same architecture call, on the same programs, goes with roughly six times the instantaneous launch hazard, a positive log-hazard coefficient significant at a p-value of 0.0094. The cost result says standardized programs overrun less; the schedule result says they fly sooner. Because the two estimates rest on an identical sample, an identical treatment coding, and an identical conditioning set, the agreement between them cannot be brushed off as a fluke of parting samples or parting definitions. It is one and the same architecture split shifting the two quantities that jointly mark execution showing, and it shifts each in the direction the standardization argument forecast.</w:t>
      </w:r>
    </w:p>
    <w:p>
      <w:pPr>
        <w:pStyle w:val="BodyText"/>
        <w:spacing w:line="480" w:lineRule="auto"/>
        <w:ind w:firstLine="720"/>
      </w:pPr>
      <w:r>
        <w:t xml:space="preserve">The inner consistency of the two estimators is itself part of the evidentiary weight. In both models the architecture flag carries the signal, in both models the two controls run individually insignificant, and in both models the mass control in particular runs small and dead. Had the architecture effect been a fluke of selection on observable difficulty, that fluke would have had to show up in the controls in at least one of the two estimators, and it showed up in neither. So the two studies brace one another not merely by aiming the same way but by failing, the same way, to give up their central coefficient to the controls that would have unmasked a confound. This is the strongest claim the cross-program build can bear, and the dissertation makes it without overreach.</w:t>
      </w:r>
    </w:p>
    <w:p>
      <w:pPr>
        <w:pStyle w:val="BodyText"/>
        <w:spacing w:line="480" w:lineRule="auto"/>
        <w:ind w:firstLine="720"/>
      </w:pPr>
      <w:r>
        <w:t xml:space="preserve">Two fences on the joint result have to be stated here so the reading in the chapters ahead inherits them. One, both estimators are cross-program and observational, so architecture choice runs tied to mission ambition, and residual selection on buried difficulty cannot be shut out by controls on observables alone. The prospectus held back a within-platform block comparison, across successive blocks of a single common bus, as the sturdier identifying test, and that band stays the natural next study; the present chapter hands over the cross-program evidence, which the controls make believable but not airtight. Two, the sample is a slim, non-random set of twenty-four missions that hit or neared launch, and is thus tilted toward survivors, and the architecture coding is binary while partial-heritage programs perch on a continuum. For both estimators, the honest object of the contribution is the posted interval rather than the point estimate. Inside those fences, the two results converge on a gauged call the field before held only as a prior: where a credible reference architecture or heritage bus exists, taking it on goes with delivering the mission both cheaper and sooner</w:t>
      </w:r>
      <w:r>
        <w:t xml:space="preserve"> </w:t>
      </w:r>
      <w:hyperlink w:anchor="ref-4">
        <w:r>
          <w:rPr>
            <w:rStyle w:val="Hyperlink"/>
          </w:rPr>
          <w:t xml:space="preserve">[4]</w:t>
        </w:r>
      </w:hyperlink>
      <w:r>
        <w:t xml:space="preserve">. The chapters ahead read that convergence and seat it against the threats to validity the prospectus tallied.</w:t>
      </w:r>
    </w:p>
    <w:bookmarkEnd w:id="121"/>
    <w:bookmarkEnd w:id="122"/>
    <w:bookmarkStart w:id="129" w:name="X21322cb5e29cbf4eb576afddcad42f86ace4e0d"/>
    <w:p>
      <w:pPr>
        <w:pStyle w:val="Heading1"/>
        <w:spacing w:line="480" w:lineRule="auto"/>
      </w:pPr>
      <w:r>
        <w:t xml:space="preserve">Chapter 7. Discussion and Governance Implications</w:t>
      </w:r>
    </w:p>
    <w:bookmarkStart w:id="123" w:name="what-the-two-estimates-mean-together"/>
    <w:p>
      <w:pPr>
        <w:pStyle w:val="Heading2"/>
        <w:spacing w:line="480" w:lineRule="auto"/>
      </w:pPr>
      <w:r>
        <w:t xml:space="preserve">7.1 What the Two Estimates Mean Together</w:t>
      </w:r>
    </w:p>
    <w:p>
      <w:pPr>
        <w:pStyle w:val="FirstParagraph"/>
        <w:spacing w:line="480" w:lineRule="auto"/>
      </w:pPr>
      <w:r>
        <w:t xml:space="preserve">This dissertation set out to turn a standing qualitative prior into a refutable quantity. Execution management held two arguments and no referee between them: a standardization case rooted in design carryover, economies of scale, and lighter pre-acquisition doubt</w:t>
      </w:r>
      <w:r>
        <w:t xml:space="preserve"> </w:t>
      </w:r>
      <w:hyperlink w:anchor="ref-4">
        <w:r>
          <w:rPr>
            <w:rStyle w:val="Hyperlink"/>
          </w:rPr>
          <w:t xml:space="preserve">[4]</w:t>
        </w:r>
      </w:hyperlink>
      <w:r>
        <w:t xml:space="preserve">[2][3], and a bespoke case rooted in requirements fit and the dodging of integration tolls when a mission strains a fixed envelope. The two empirical chapters ahead of this one throw off signed, sized coefficients on both of the outcomes that mark a troubled program. The overrun analysis gauges that, holding instrument count and mass class fixed, reference-architecture adoption goes with about 34 percentage points less realized development cost growth than an otherwise like bespoke program, a coefficient of negative 34.24 with a robust standard error of 9.83 and a ninety-five percent confidence interval from negative 53.51 to negative 14.96. The schedule analysis gauges that the same architecture call carries a launch hazard ratio of 6.15, with a confidence interval from roughly 1.56 to 24.19, meaning that at any given month of development a reference-architecture program runs about six times as likely to reach launch as a like bespoke program. The null of no gap is sunk in both papers, and in both the sign matches the standardization alternative.</w:t>
      </w:r>
    </w:p>
    <w:p>
      <w:pPr>
        <w:pStyle w:val="BodyText"/>
        <w:spacing w:line="480" w:lineRule="auto"/>
        <w:ind w:firstLine="720"/>
      </w:pPr>
      <w:r>
        <w:t xml:space="preserve">The two results are not one thing twice.</w:t>
      </w:r>
    </w:p>
    <w:p>
      <w:pPr>
        <w:pStyle w:val="BodyText"/>
        <w:spacing w:line="480" w:lineRule="auto"/>
        <w:ind w:firstLine="720"/>
      </w:pPr>
      <w:r>
        <w:t xml:space="preserve">Schedule is no free tag-along of cost; a program can hold its budget and slip its launch, or buy schedule back with reserve dollars and overrun. That the architecture coefficient runs large and significant in both estimators, against two distinct dependent variables and two distinct fitting frames, is the central substantive finding of the work. A program manager weighing the architecture call at confirmation is not trading cost showing against schedule showing when it picks standardization. On this evidence, where a credible reference architecture or heritage bus exists, taking it on tends to deliver the mission both cheaper and sooner. The maturity mechanism runs the same in both cases. A program that takes over a flight-proven bus and a validated design breakdown enters development past the steepest stretch of the risk-retirement curve, so the integration and qualification labor that usually swamps the late development phase runs shorter, steadier, and less apt to drain the reserves that read out as cost growth</w:t>
      </w:r>
      <w:r>
        <w:t xml:space="preserve"> </w:t>
      </w:r>
      <w:hyperlink w:anchor="ref-1">
        <w:r>
          <w:rPr>
            <w:rStyle w:val="Hyperlink"/>
          </w:rPr>
          <w:t xml:space="preserve">[1]</w:t>
        </w:r>
      </w:hyperlink>
      <w:r>
        <w:t xml:space="preserve">[4][11].</w:t>
      </w:r>
    </w:p>
    <w:p>
      <w:pPr>
        <w:pStyle w:val="BodyText"/>
        <w:spacing w:line="480" w:lineRule="auto"/>
        <w:ind w:firstLine="720"/>
      </w:pPr>
      <w:r>
        <w:t xml:space="preserve">What follows reads these estimates for the audiences that have to act on them. Section 7.2 reads the findings for NASA program management at the portfolio grain. Section 7.3 reads them for the program-grain confirmation call. Section 7.4 takes up the stakes for a Jet Propulsion Laboratory class of call, where the run of missions tilts toward the first-of-kind. Section 7.5 states what the build can and cannot bear and faces the threats to validity carried forward from the prospectus. Section 7.6 lays out the future research the dissertation holds back rather than settles.</w:t>
      </w:r>
    </w:p>
    <w:bookmarkEnd w:id="123"/>
    <w:bookmarkStart w:id="12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stake is portfolio-grain rather than program-grain.</w:t>
      </w:r>
    </w:p>
    <w:p>
      <w:pPr>
        <w:pStyle w:val="BodyText"/>
        <w:spacing w:line="480" w:lineRule="auto"/>
        <w:ind w:firstLine="720"/>
      </w:pPr>
      <w:r>
        <w:t xml:space="preserve">Cost growth is not only a trait of a single program; it is a trait of a portfolio, because the reserves a troubled program drains are reserves other missions in the same directorate cannot pull, and the rebaselining a troubled program sets off shoves planned work aside and eats management attention. A gauged 34-percentage-point gap in looked-for cost growth between architecture strategies is thus a portfolio-design parameter, not merely a program-design parameter. A directorate that steadily favors bespoke architectures is, on this evidence, taking on a higher looked-for reserve draw across its mission set and a higher run of the rebaselining events that mark a troubled portfolio. The intercept in the cost model, the looked-for cost growth for a bespoke program set at the sample means of the controls, was gauged at 44.09 percent and stood significant itself; the bespoke baseline in this population sits well above zero, not at it. The standardization coefficient is the amount by which taking on a reference architecture goes with moving down off that baseline.</w:t>
      </w:r>
    </w:p>
    <w:p>
      <w:pPr>
        <w:pStyle w:val="BodyText"/>
        <w:spacing w:line="480" w:lineRule="auto"/>
        <w:ind w:firstLine="720"/>
      </w:pPr>
      <w:r>
        <w:t xml:space="preserve">A second stake bears on reserve setting. The Aerospace Corporation’s historical work rides the spread of past NASA cost and schedule growth to set forward reserve guidance</w:t>
      </w:r>
      <w:r>
        <w:t xml:space="preserve"> </w:t>
      </w:r>
      <w:hyperlink w:anchor="ref-11">
        <w:r>
          <w:rPr>
            <w:rStyle w:val="Hyperlink"/>
          </w:rPr>
          <w:t xml:space="preserve">[11]</w:t>
        </w:r>
      </w:hyperlink>
      <w:r>
        <w:t xml:space="preserve">. The findings here hint that an architecture-conditional reserve stance is defensible. If a reference-architecture program and a bespoke program carry materially different looked-for cost-growth spreads, then one portfolio-wide reserve percentage laid uniformly on both is miscast: it over-reserves the standardized program and under-reserves the bespoke one. A program management council game to act on this finding could condition its confirmation-stage reserve guidance on the architecture class, holding larger reserves against first-of-kind designs and bearing leaner reserves on documented heritage rebuilds such as GRACE-FO rebuilding GRACE or Landsat 9 rebuilding Landsat 8. The schedule result braces the same logic on the calendar side: a bespoke program is not only more apt to overrun, it is slower to reach launch, so the schedule reserve and the launch-readiness planning horizon should also be architecture-conditioned.</w:t>
      </w:r>
    </w:p>
    <w:p>
      <w:pPr>
        <w:pStyle w:val="BodyText"/>
        <w:spacing w:line="480" w:lineRule="auto"/>
        <w:ind w:firstLine="720"/>
      </w:pPr>
      <w:r>
        <w:t xml:space="preserve">A third stake is a caution against reading the coefficient as a marching order. The finding is a tie gauged on a run of programs that already picked their architectures; it is no controlled experiment in which architecture was thrown at random. The standardization coefficient outlasted the complexity and mass controls that would have soaked it up if selection on observable difficulty were the true driver, the sturdiest guard to hand within a cross-program build, but it does not earn the inference that forcing a standardized architecture onto a mission that truly wants a clean sheet would haul back the gauged saving. The honest working reading is conditional: where a credible reference architecture exists that meets the mission’s needs, the evidence favors taking it on; the finding says nothing about the cost of taking on a reference architecture that does not fit. That split is the hinge of the bespoke counter-argument, and the data could check it only partway, as Section 7.5 works out.</w:t>
      </w:r>
    </w:p>
    <w:p>
      <w:pPr>
        <w:pStyle w:val="BodyText"/>
        <w:spacing w:line="480" w:lineRule="auto"/>
        <w:ind w:firstLine="720"/>
      </w:pPr>
      <w:r>
        <w:t xml:space="preserve">A fourth stake treats heritage as a managed asset. If the cost and schedule edges of standardization flow off inherited design maturity, then the supply of credible reference architectures is itself a portfolio asset the agency can deliberately grow or let rot. A heritage bus line such as the Lockheed Martin Mars-orbiter heritage carrying MAVEN and OSIRIS-REx, or a vendor platform such as the LEOStar-2 bus carrying TESS, stands for banked, reusable design capital. For program management, the stake is that calls which work and stretch such lines, by steering a new mission onto a standing bus, hold the option value of reuse for later missions, while a string of bespoke calls lets that option value lapse. So the architecture call on any one program carries a spillover onto the architecture options open to the next program, which a purely program-by-program call process does not take in. This squares with the frame in the foundational total-acquisition-cost work, which treats pre-acquisition architecture spend as a driver of cost across the program lifecycle rather than a one-shot design call</w:t>
      </w:r>
      <w:r>
        <w:t xml:space="preserve"> </w:t>
      </w:r>
      <w:hyperlink w:anchor="ref-4">
        <w:r>
          <w:rPr>
            <w:rStyle w:val="Hyperlink"/>
          </w:rPr>
          <w:t xml:space="preserve">[4]</w:t>
        </w:r>
      </w:hyperlink>
      <w:r>
        <w:t xml:space="preserve">.</w:t>
      </w:r>
    </w:p>
    <w:bookmarkEnd w:id="124"/>
    <w:bookmarkStart w:id="125" w:name="X14a5fa1850b26e88dfa69146dbca87030c507a1"/>
    <w:p>
      <w:pPr>
        <w:pStyle w:val="Heading2"/>
        <w:spacing w:line="480" w:lineRule="auto"/>
      </w:pPr>
      <w:r>
        <w:t xml:space="preserve">7.3 Implications for the Confirmation Decision</w:t>
      </w:r>
    </w:p>
    <w:p>
      <w:pPr>
        <w:pStyle w:val="FirstParagraph"/>
        <w:spacing w:line="480" w:lineRule="auto"/>
      </w:pPr>
      <w:r>
        <w:t xml:space="preserve">The estimates are most directly usable at the confirmation milestone, the point where a program locks a cost and schedule baseline and the point that anchors the overrun measurement. This work’s stake in that call is to swap an architectural prior for a gauged effect size and an interval of doubt. A program manager who, ahead of this work, could say only that standardization was widely thought to trim cost can now say that, in a like run of NASA major missions, reference-architecture adoption went with about 34 fewer percentage points of cost growth, with a ninety-five percent interval from about 15 to about 54 points, and with roughly a sixfold lift in the launch hazard. The interval, not the point estimate, is the right object to carry into a call, because the sample runs slim and the programs that hit launch are a survivor-tilted set.</w:t>
      </w:r>
    </w:p>
    <w:p>
      <w:pPr>
        <w:pStyle w:val="BodyText"/>
        <w:spacing w:line="480" w:lineRule="auto"/>
        <w:ind w:firstLine="720"/>
      </w:pPr>
      <w:r>
        <w:t xml:space="preserve">What makes the interval usable is that even its cautious edge bears on the call. The lower bound of the cost effect, about 15 percentage points, is still a material gap in looked-for cost growth for a major mission, and the lower bound of the hazard ratio, about 1.56, still means a meaningfully faster path to launch. A confirmation-stage decision maker can thus take the direction of the architecture effect as well settled inside this population while staying fittingly unsure of its exact size. The stake is a defensible effect size where the field before held an architectural prior, and a defensible effect size is just what a confirmation call can weigh against the requirements-fit reckonings that pull toward a bespoke design.</w:t>
      </w:r>
    </w:p>
    <w:p>
      <w:pPr>
        <w:pStyle w:val="BodyText"/>
        <w:spacing w:line="480" w:lineRule="auto"/>
        <w:ind w:firstLine="720"/>
      </w:pPr>
      <w:r>
        <w:t xml:space="preserve">The bespoke counter-argument keeps its rightful spot in that call. The estimates do not claim standardization is always the better pick; they claim that, conditional on complexity and mass class, it went with lighter cost growth and faster development in this sample. A mission whose pointing, power, thermal, or payload-accommodation needs truly run past any standing reference envelope is just the case the cross-program estimate cannot referee, because such a mission would pay an integration toll on a forced-fit standardized bus that no watched standardized program in the sample bore. The complexity-interaction robustness held back in the prospectus was drawn to probe whether the standardization payoff thins in the top complexity band; the cost paper drew no support for the bespoke flip once complexity was held still, but with a slim sample the missing of a caught interaction is weaker evidence than a caught one would be. So the confirmation call should ride the estimate as a strong prior toward reuse where a fitting reference architecture exists, and as no steer at all where the mission needs fall outside every standing envelope.</w:t>
      </w:r>
    </w:p>
    <w:bookmarkEnd w:id="125"/>
    <w:bookmarkStart w:id="126" w:name="implications-for-jpl-decision-making"/>
    <w:p>
      <w:pPr>
        <w:pStyle w:val="Heading2"/>
        <w:spacing w:line="480" w:lineRule="auto"/>
      </w:pPr>
      <w:r>
        <w:t xml:space="preserve">7.4 Implications for JPL Decision-Making</w:t>
      </w:r>
    </w:p>
    <w:p>
      <w:pPr>
        <w:pStyle w:val="FirstParagraph"/>
        <w:spacing w:line="480" w:lineRule="auto"/>
      </w:pPr>
      <w:r>
        <w:t xml:space="preserve">A Jet Propulsion Laboratory class of program raises the architecture question in its sharpest cut, because the JPL mission run is weighted toward just the first-of-kind, scientifically novel missions the agency tends to hold back for bespoke designs. The selection pattern the prospectus named as the central confound, that managers steer the hardest missions onto clean sheets, runs most pronounced in this population. Flagship and first-of-kind programs of the kind that anchor the bespoke side of the sample, among them the Mars Science Laboratory and the deep-space flagships, are typical JPL work, and the cost paper shows these programs fanning from sixteen to one hundred percent cost growth while the heritage-bus and near-copy missions huddle at or near zero.</w:t>
      </w:r>
    </w:p>
    <w:p>
      <w:pPr>
        <w:pStyle w:val="BodyText"/>
        <w:spacing w:line="480" w:lineRule="auto"/>
        <w:ind w:firstLine="720"/>
      </w:pPr>
      <w:r>
        <w:t xml:space="preserve">For a JPL-class call, then, the stake is no blanket call to standardize, which would be both green about the missions and unbacked by a study that cannot watch the integration toll of a forced fit. The stake is tighter: that the architecture call should be made outright and early, with the gauged cost and schedule stakes of bespoke design on the table rather than buried. When a mission’s science truly wants a clean sheet, the estimates here put a number on the budget and schedule exposure the call takes on, which is the word needed to size reserves, set the planning horizon, and level with sponsors about risk. When a mission’s needs could be met by a heritage bus or a reference breakdown, the estimates hand over the affirmative case for taking that path even at some cost in requirements fit. The stake for JPL decision-making is to make the bespoke premium plain at the moment the pick is made, rather than found later in a rebaselining.</w:t>
      </w:r>
    </w:p>
    <w:p>
      <w:pPr>
        <w:pStyle w:val="BodyText"/>
        <w:spacing w:line="480" w:lineRule="auto"/>
        <w:ind w:firstLine="720"/>
      </w:pPr>
      <w:r>
        <w:t xml:space="preserve">A second JPL-relevant stake follows off the maturity mechanism. The same logic that favors a heritage bus at the spacecraft grain can run at the subsystem grain even inside a clean-sheet mission. The modularity writing sets down that reusable, cleanly bounded modules trim the integration load that swamps the late development schedule</w:t>
      </w:r>
      <w:r>
        <w:t xml:space="preserve"> </w:t>
      </w:r>
      <w:hyperlink w:anchor="ref-1">
        <w:r>
          <w:rPr>
            <w:rStyle w:val="Hyperlink"/>
          </w:rPr>
          <w:t xml:space="preserve">[1]</w:t>
        </w:r>
      </w:hyperlink>
      <w:r>
        <w:t xml:space="preserve">[15], and the value-centric design writing counts shorter development as a measurable return to carryover</w:t>
      </w:r>
      <w:r>
        <w:t xml:space="preserve"> </w:t>
      </w:r>
      <w:hyperlink w:anchor="ref-24">
        <w:r>
          <w:rPr>
            <w:rStyle w:val="Hyperlink"/>
          </w:rPr>
          <w:t xml:space="preserve">[24]</w:t>
        </w:r>
      </w:hyperlink>
      <w:r>
        <w:t xml:space="preserve">. A first-of-kind mission that cannot take on a heritage bus may still inherit qualified avionics, validated software frames, or modular payload-management ways of the kind set down in recent smallsat multi-payload work</w:t>
      </w:r>
      <w:r>
        <w:t xml:space="preserve"> </w:t>
      </w:r>
      <w:hyperlink w:anchor="ref-6">
        <w:r>
          <w:rPr>
            <w:rStyle w:val="Hyperlink"/>
          </w:rPr>
          <w:t xml:space="preserve">[6]</w:t>
        </w:r>
      </w:hyperlink>
      <w:r>
        <w:t xml:space="preserve">[26], catching part of the carryover payoff without forcing the whole architecture into an ill-fitting envelope. The dissertation gauges the effect of architecture standardization at the program grain and cannot gauge the subsystem-grain twin, but the mechanism it names hints that the standardization-versus-bespoke pick is better grasped as a continuum of inherited design fraction than as a binary, a point the future-research agenda picks up.</w:t>
      </w:r>
    </w:p>
    <w:bookmarkEnd w:id="126"/>
    <w:bookmarkStart w:id="127" w:name="limitations-and-threats-to-validity"/>
    <w:p>
      <w:pPr>
        <w:pStyle w:val="Heading2"/>
        <w:spacing w:line="480" w:lineRule="auto"/>
      </w:pPr>
      <w:r>
        <w:t xml:space="preserve">7.5 Limitations and Threats to Validity</w:t>
      </w:r>
    </w:p>
    <w:p>
      <w:pPr>
        <w:pStyle w:val="FirstParagraph"/>
        <w:spacing w:line="480" w:lineRule="auto"/>
      </w:pPr>
      <w:r>
        <w:t xml:space="preserve">Five limitations fence the strength of the contribution, four of them named in the prospectus and carried through the empirical chapters as honest caveats rather than found defects.</w:t>
      </w:r>
    </w:p>
    <w:p>
      <w:pPr>
        <w:pStyle w:val="BodyText"/>
        <w:spacing w:line="480" w:lineRule="auto"/>
        <w:ind w:firstLine="720"/>
      </w:pPr>
      <w:r>
        <w:t xml:space="preserve">First and prime among the threats is selection on complexity. A cross-program build cannot wholly shut out the chance that program managers steer simpler, better-charted missions onto reference architectures and hold bespoke designs back for the hardest missions, in which case some of the gauged architecture effect belongs to buried difficulty. The two empirical chapters meet this with controls for instrument count and log launch mass, and the cost paper posts that the standardization coefficient outlasts these controls, the evidence the build was raised to throw off: had selection on observable difficulty been the true driver, the architecture coefficient would have faded when complexity entered the model, and it did not. But controls for observable difficulty do not fence selection on buried difficulty, and the within-platform block comparison that the prospectus held back as the sturdier identifying test, setting successive blocks built on a single common bus against contemporaneous bespoke programs of like complexity, was not run in these chapters. That within-platform band is the sturdiest fence to hand on residual selection and stays the most weighty unfinished piece of the identification play.</w:t>
      </w:r>
    </w:p>
    <w:p>
      <w:pPr>
        <w:pStyle w:val="BodyText"/>
        <w:spacing w:line="480" w:lineRule="auto"/>
        <w:ind w:firstLine="720"/>
      </w:pPr>
      <w:r>
        <w:t xml:space="preserve">A second threat is architecture mislabeling. The standardized-versus-bespoke split flattens a continuum, and partial-heritage programs perch between the poles. A program coded standardized on the strength of a heritage bus may carry heavy bespoke payload development, and a program coded bespoke may inherit qualified subsystems. The binary coding was run against a published rubric of named heritage bus or near-copy rebuild versus single-mission clean sheet, but the graded heritage measure held back in the prospectus as a robustness check was not put in, and the binary coding is thus a measurement-error source whose direction is not fully charted. A graded inherited-design-fraction measure is the right next refinement and is named in the future-research agenda.</w:t>
      </w:r>
    </w:p>
    <w:p>
      <w:pPr>
        <w:pStyle w:val="BodyText"/>
        <w:spacing w:line="480" w:lineRule="auto"/>
        <w:ind w:firstLine="720"/>
      </w:pPr>
      <w:r>
        <w:t xml:space="preserve">A third threat is survivorship and sample size. This sample is twenty-four NASA major missions, a slim and non-random set tilted toward programs that hit or neared launch. Killed programs, which may part ways in cost and schedule showing, are shut out of the estimation, and the prospectus pledged to profile them apart rather than pool them. The honest upshot is that the confidence interval, not the point estimate, is the object of the contribution; the dissertation posts the interval rather than hiding it, and the schedule chapter’s lean on twenty-one watched launch events and three right-censored observations means the Cox model rests mostly on the flown programs, which a larger in-build sample would strain harder against the proportional-hazards assumption.</w:t>
      </w:r>
    </w:p>
    <w:p>
      <w:pPr>
        <w:pStyle w:val="BodyText"/>
        <w:spacing w:line="480" w:lineRule="auto"/>
        <w:ind w:firstLine="720"/>
      </w:pPr>
      <w:r>
        <w:t xml:space="preserve">A fourth threat is the definition of the dependent variable and the measurement noise in the inputs. Cost growth leans on the baseline picked, and the confirmation baseline was pre-registered as prime; a preliminary-design-review baseline would shift the gauged growth and was held back as a sensitivity analysis. On the schedule side, a slim run of confirmation months were read off documented launch dates and build cadence and marked illustrative, bringing noise into the duration variable, though these reads never touched the documented launch dates or the censoring flag. One cost observation, the SPHEREx baseline, was likewise marked illustrative because its confirmation baseline was read off the class cost cap; the other observations rest on documented baseline and final figures. These are fenced, disclosed measurement wrinkles rather than buried ones, but they widen the honest doubt around the point estimates.</w:t>
      </w:r>
    </w:p>
    <w:p>
      <w:pPr>
        <w:pStyle w:val="BodyText"/>
        <w:spacing w:line="480" w:lineRule="auto"/>
        <w:ind w:firstLine="720"/>
      </w:pPr>
      <w:r>
        <w:t xml:space="preserve">A fifth threat is external validity. These estimates are drawn off NASA civil-science and exploration missions with their own reserve and reporting regimes, and the scope claim is fenced to the population the data stand for. National-security and commercial programs run under different reserve stances, different reporting demands, and different cost-accounting conventions, and the writing that drives the standardization mechanism takes in surveillance-payload and commercial settings whose stretch is asserted rather than checked here</w:t>
      </w:r>
      <w:r>
        <w:t xml:space="preserve"> </w:t>
      </w:r>
      <w:hyperlink w:anchor="ref-5">
        <w:r>
          <w:rPr>
            <w:rStyle w:val="Hyperlink"/>
          </w:rPr>
          <w:t xml:space="preserve">[5]</w:t>
        </w:r>
      </w:hyperlink>
      <w:r>
        <w:t xml:space="preserve">[7]. The economic forecasts that frame the wider cost-decline path are directional industry claims rather than program-level estimates</w:t>
      </w:r>
      <w:r>
        <w:t xml:space="preserve"> </w:t>
      </w:r>
      <w:hyperlink w:anchor="ref-2">
        <w:r>
          <w:rPr>
            <w:rStyle w:val="Hyperlink"/>
          </w:rPr>
          <w:t xml:space="preserve">[2]</w:t>
        </w:r>
      </w:hyperlink>
      <w:r>
        <w:t xml:space="preserve">[3], and the dissertation’s contribution is the program-level estimate for the civil population it watched, not a universal law of architecture.</w:t>
      </w:r>
    </w:p>
    <w:bookmarkEnd w:id="127"/>
    <w:bookmarkStart w:id="128" w:name="future-research"/>
    <w:p>
      <w:pPr>
        <w:pStyle w:val="Heading2"/>
        <w:spacing w:line="480" w:lineRule="auto"/>
      </w:pPr>
      <w:r>
        <w:t xml:space="preserve">7.6 Future Research</w:t>
      </w:r>
    </w:p>
    <w:p>
      <w:pPr>
        <w:pStyle w:val="FirstParagraph"/>
        <w:spacing w:line="480" w:lineRule="auto"/>
      </w:pPr>
      <w:r>
        <w:t xml:space="preserve">The dissertation holds back rather than settles several questions, and the weightiest of them is the identification refinement already named. The within-platform block comparison is the natural next study: by setting successive blocks built on a single common bus against one another, nailing the reference architecture by construction, it peels the standardization effect off the architecture-selection call in a way the cross-program build cannot. Agreement between the cross-program coefficient gauged in Chapter 5 and a within-platform contrast would be strong converging evidence; a split would pin the selection bias and revise the size. This is the single most valuable stretch of the work because it strikes at the prime threat to validity head-on.</w:t>
      </w:r>
    </w:p>
    <w:p>
      <w:pPr>
        <w:pStyle w:val="BodyText"/>
        <w:spacing w:line="480" w:lineRule="auto"/>
        <w:ind w:firstLine="720"/>
      </w:pPr>
      <w:r>
        <w:t xml:space="preserve">A second priority is the graded heritage measure. Swapping the binary treatment flag for a running inherited-design fraction, coded as the share of subsystem design or mass carried over off earlier programs, would turn the architecture variable from a split into the continuum it physically is, would soften the mislabeling threat, and would let a dose-response reading in which more inherited design goes with monotonically lighter cost growth and faster development. Such a measure would also let the subsystem-grain reuse mechanism talked through for JPL-class missions be gauged rather than merely argued, catching the case of a clean-sheet mission that inherits qualified avionics or modular payload frames without taking on a heritage bus</w:t>
      </w:r>
      <w:r>
        <w:t xml:space="preserve"> </w:t>
      </w:r>
      <w:hyperlink w:anchor="ref-1">
        <w:r>
          <w:rPr>
            <w:rStyle w:val="Hyperlink"/>
          </w:rPr>
          <w:t xml:space="preserve">[1]</w:t>
        </w:r>
      </w:hyperlink>
      <w:r>
        <w:t xml:space="preserve">[6][15][26].</w:t>
      </w:r>
    </w:p>
    <w:p>
      <w:pPr>
        <w:pStyle w:val="BodyText"/>
        <w:spacing w:line="480" w:lineRule="auto"/>
        <w:ind w:firstLine="720"/>
      </w:pPr>
      <w:r>
        <w:t xml:space="preserve">A third priority is the complexity-interaction test run with enough power. The cost chapter drew no support for the bespoke flip once complexity was held still, but a slim sample makes the missing of a caught interaction weak evidence. A larger sample, or a pooled civil-and-commercial dataset, could check outright whether the standardization payoff thins or flips in the top complexity band, which is the exact empirical content of the bespoke counter-argument and the question a confirmation call most wants answered for a hard mission.</w:t>
      </w:r>
    </w:p>
    <w:p>
      <w:pPr>
        <w:pStyle w:val="BodyText"/>
        <w:spacing w:line="480" w:lineRule="auto"/>
        <w:ind w:firstLine="720"/>
      </w:pPr>
      <w:r>
        <w:t xml:space="preserve">A fourth priority is the apart profiling of killed and rebaselined programs. The survivorship tilt baked into a flown-program sample can be partly met by gathering the population of programs killed or rebaselined ahead of launch and asking whether architecture choice foretells those terminal outcomes too. If bespoke programs are not only pricier and slower but also more apt to be killed, the full architecture effect runs larger than the flown-sample estimates hint; if reference-architecture programs are over-drawn among killings for other reasons, the estimate tilts the other way. Either result would sharpen the contribution.</w:t>
      </w:r>
    </w:p>
    <w:p>
      <w:pPr>
        <w:pStyle w:val="BodyText"/>
        <w:spacing w:line="480" w:lineRule="auto"/>
        <w:ind w:firstLine="720"/>
      </w:pPr>
      <w:r>
        <w:t xml:space="preserve">A fifth and wider stretch is the transfer test across institutional regimes. Re-gauging the two models on national-security or commercial program data, where reserve and reporting conventions part ways, would check the external-validity boundary the dissertation drew rather than asserting it, and would tie the program-level estimate to the industry-path forecasts that frame the standardization argument in the economic writing</w:t>
      </w:r>
      <w:r>
        <w:t xml:space="preserve"> </w:t>
      </w:r>
      <w:hyperlink w:anchor="ref-2">
        <w:r>
          <w:rPr>
            <w:rStyle w:val="Hyperlink"/>
          </w:rPr>
          <w:t xml:space="preserve">[2]</w:t>
        </w:r>
      </w:hyperlink>
      <w:r>
        <w:t xml:space="preserve">[3][7]. The surveillance and modular-architecture writings hand over both candidate programs and candidate reuse mechanisms for such a test</w:t>
      </w:r>
      <w:r>
        <w:t xml:space="preserve"> </w:t>
      </w:r>
      <w:hyperlink w:anchor="ref-5">
        <w:r>
          <w:rPr>
            <w:rStyle w:val="Hyperlink"/>
          </w:rPr>
          <w:t xml:space="preserve">[5]</w:t>
        </w:r>
      </w:hyperlink>
      <w:r>
        <w:t xml:space="preserve">[16][20].</w:t>
      </w:r>
    </w:p>
    <w:p>
      <w:pPr>
        <w:pStyle w:val="BodyText"/>
        <w:spacing w:line="480" w:lineRule="auto"/>
        <w:ind w:firstLine="720"/>
      </w:pPr>
      <w:r>
        <w:t xml:space="preserve">The dissertation’s single refutable contribution was an estimate of the conditional gap in cost growth, and by stretch launch pace, between standardized and bespoke programs, with a pre-registered null of no gap. That estimate is delivered: the null is sunk, the sign matches the standardization alternative on both outcomes, and the size runs big enough to bear on a program manager at confirmation while the doubt interval is posted honestly rather than hidden. What the work turns is a qualitative prior into a gauged quantity a NASA or JPL decision maker can carry into the architecture call. What it holds back is the identification refinement, the graded measure, the powered interaction test, the killed-program profiling, and the external-validity transfer that would turn a defensible civil-population effect size into a sturdy and general law of architecture standardization. The contribution is the referee the field went without, fenced to the population it watched and aimed toward the studies that would stretch it.</w:t>
      </w:r>
    </w:p>
    <w:bookmarkEnd w:id="128"/>
    <w:bookmarkEnd w:id="129"/>
    <w:bookmarkStart w:id="180" w:name="chapter-8.-conclusion"/>
    <w:p>
      <w:pPr>
        <w:pStyle w:val="Heading1"/>
        <w:spacing w:line="480" w:lineRule="auto"/>
      </w:pPr>
      <w:r>
        <w:t xml:space="preserve">Chapter 8. Conclusion</w:t>
      </w:r>
    </w:p>
    <w:p>
      <w:pPr>
        <w:pStyle w:val="FirstParagraph"/>
        <w:spacing w:line="480" w:lineRule="auto"/>
      </w:pPr>
      <w:r>
        <w:t xml:space="preserve">This dissertation opened on a question program managers in civil and national-security space settle before requirements set and before reserves are committed, yet settle almost wholly on engineering judgment rather than on a gauged referee. Should a mission program take on a standardized reference architecture, meaning a heritage spacecraft bus, a near-copy rebuild, or a published vendor platform, or should it order a bespoke clean sheet cut to one mission. Execution management cast this pick as a qualitative tradeoff between reuse economy on one side and requirements fit on the other. The standardization case rested on design carryover, economies of scale, and lighter pre-acquisition doubt</w:t>
      </w:r>
      <w:r>
        <w:t xml:space="preserve"> </w:t>
      </w:r>
      <w:hyperlink w:anchor="ref-4">
        <w:r>
          <w:rPr>
            <w:rStyle w:val="Hyperlink"/>
          </w:rPr>
          <w:t xml:space="preserve">[4]</w:t>
        </w:r>
      </w:hyperlink>
      <w:r>
        <w:t xml:space="preserve">[2][3]. The bespoke case rested on the integration toll a program pays when a mission strains a fixed envelope. What the field went without was a signed, sized estimate of the net effect. This dissertation hands over that estimate, and it hands it over twice, on two distinct outcomes, against a single frozen program universe.</w:t>
      </w:r>
    </w:p>
    <w:bookmarkStart w:id="130" w:name="synthesis-of-the-argument"/>
    <w:p>
      <w:pPr>
        <w:pStyle w:val="Heading2"/>
        <w:spacing w:line="480" w:lineRule="auto"/>
      </w:pPr>
      <w:r>
        <w:t xml:space="preserve">8.1 Synthesis of the Argument</w:t>
      </w:r>
    </w:p>
    <w:p>
      <w:pPr>
        <w:pStyle w:val="FirstParagraph"/>
        <w:spacing w:line="480" w:lineRule="auto"/>
      </w:pPr>
      <w:r>
        <w:t xml:space="preserve">The argument pressed across the chapters ahead is that the architecture call is not merely a design taste but a gaugeable dial on program execution showing, and that the dial shifts both of the outcomes by which a program is finally marked: cost and schedule. The two empirical papers were built to make that claim refutable in both directions and to hold still everything but the outcome variable.</w:t>
      </w:r>
    </w:p>
    <w:p>
      <w:pPr>
        <w:pStyle w:val="BodyText"/>
        <w:spacing w:line="480" w:lineRule="auto"/>
        <w:ind w:firstLine="720"/>
      </w:pPr>
      <w:r>
        <w:t xml:space="preserve">The first empirical study checked whether reference-architecture adoption goes with lighter realized development cost growth. Cost growth, the gap between what a program signs up for at confirmation and what it books at launch, is the dependent variable that drains contingency, shoves other missions in a portfolio aside, and sets off the rebaselining and congressional reporting that mark a troubled program. Gauged by ordinary least squares with heteroskedasticity-robust standard errors over twenty-four NASA major missions, controlling for instrument count as a stand-in for technical complexity and for the log of launch mass as a stand-in for program scale, the standardization coefficient landed at negative 34.24 percentage points, with a robust standard error of 9.83, a t-statistic of negative 3.48, and a confidence interval from negative 53.51 to negative 14.96 that shuts out zero by a wide gap. Holding complexity and mass class fixed, a program built on a standardized reference architecture or heritage bus went with roughly thirty-four percentage points less development cost growth than an otherwise like bespoke program. The sign matched the alternative hypothesis, and the null of no gap was sunk.</w:t>
      </w:r>
    </w:p>
    <w:p>
      <w:pPr>
        <w:pStyle w:val="BodyText"/>
        <w:spacing w:line="480" w:lineRule="auto"/>
        <w:ind w:firstLine="720"/>
      </w:pPr>
      <w:r>
        <w:t xml:space="preserve">The second empirical study put the parallel question about time. Schedule is no free tag-along of cost; a program can hold its budget and still slip its launch, or buy schedule back with reserve dollars and overrun. Because some programs in any current portfolio have not yet flown, the schedule outcome wanted an estimator that honors right-censoring, and the study used a Cox proportional-hazards model fit on the same twenty-four-program universe, with twenty-one watched launches and three censored observations. The reference-architecture coefficient was 1.816, with a standard error of 0.699 and a two-sided p-value of 0.0094, throwing off a hazard ratio of 6.15 whose confidence interval runs from roughly 1.56 to 24.19. At any given month of development, a reference-architecture program ran about six times as likely to reach launch as an otherwise like bespoke program. Standardization, on this evidence, buys schedule as well as budget.</w:t>
      </w:r>
    </w:p>
    <w:p>
      <w:pPr>
        <w:pStyle w:val="BodyText"/>
        <w:spacing w:line="480" w:lineRule="auto"/>
        <w:ind w:firstLine="720"/>
      </w:pPr>
      <w:r>
        <w:t xml:space="preserve">The convergence of the two results is the load-bearing piece of the synthesis.</w:t>
      </w:r>
    </w:p>
    <w:p>
      <w:pPr>
        <w:pStyle w:val="BodyText"/>
        <w:spacing w:line="480" w:lineRule="auto"/>
        <w:ind w:firstLine="720"/>
      </w:pPr>
      <w:r>
        <w:t xml:space="preserve">Two outcomes that can in principle move apart, cost growth and time-to-launch, moved together and the same way in reply to the same treatment, gauged by two different methods that share no functional form. Ordinary least squares and the semi-parametric Cox partial likelihood make different assumptions, weight the data differently, and fail in different ways, yet both pinned a large, statistically clear standardization edge. The agreement is no tautology, because the schedule paper deliberately holds the program universe, the architecture coding, and the complexity and mass controls one and the same as the cost paper, so any split in the two results would have mirrored the outcome variable alone. That the split was slight, that both outcomes aimed the same way, braces the inference that a shared mechanism is at work rather than two unrelated coincidences.</w:t>
      </w:r>
    </w:p>
    <w:p>
      <w:pPr>
        <w:pStyle w:val="BodyText"/>
        <w:spacing w:line="480" w:lineRule="auto"/>
        <w:ind w:firstLine="720"/>
      </w:pPr>
      <w:r>
        <w:t xml:space="preserve">That shared mechanism is the one the theory forecast.</w:t>
      </w:r>
    </w:p>
    <w:p>
      <w:pPr>
        <w:pStyle w:val="BodyText"/>
        <w:spacing w:line="480" w:lineRule="auto"/>
        <w:ind w:firstLine="720"/>
      </w:pPr>
      <w:r>
        <w:t xml:space="preserve">A program that takes over a flight-proven bus and a validated design breakdown enters development past the steepest stretch of the risk-retirement curve. The heritage hardware has flown, its interfaces are charted, and its integration and test procedures are set down, so the integration and qualification labor that usually swamps the late development schedule runs both shorter and steadier</w:t>
      </w:r>
      <w:r>
        <w:t xml:space="preserve"> </w:t>
      </w:r>
      <w:hyperlink w:anchor="ref-1">
        <w:r>
          <w:rPr>
            <w:rStyle w:val="Hyperlink"/>
          </w:rPr>
          <w:t xml:space="preserve">[1]</w:t>
        </w:r>
      </w:hyperlink>
      <w:r>
        <w:t xml:space="preserve">[4][11]. The same maturity that packs the schedule tight also heads off the late-found rework and requirements churn that throw off cost growth. So the two outcome estimates are not two findings but one mechanism watched through two windows.</w:t>
      </w:r>
    </w:p>
    <w:p>
      <w:pPr>
        <w:pStyle w:val="BodyText"/>
        <w:spacing w:line="480" w:lineRule="auto"/>
        <w:ind w:firstLine="720"/>
      </w:pPr>
      <w:r>
        <w:t xml:space="preserve">The synthesis also disciplines the bespoke counter-hypothesis. The hunch that integration tolls on the hardest missions would flip the standardization payoff once complexity is held still drew no support in either study. In the cost model, the architecture effect did not vanish when instrument count entered the specification; instrument count itself ran individually insignificant, and so did mass class, so neither observable stand-in for difficulty shoved aside the architecture coefficient the build was raised to pin. In the schedule model, the architecture effect outlasted the same controls. The raw data drive the coefficients rather than merely allowing them: heritage-bus and near-copy missions such as MAVEN, GRACE-FO, Landsat 9, TESS, and Lucy huddle at or near zero cost growth, while bespoke first-of-kind programs such as JWST, the Mars Science Laboratory, NEO Surveyor, and Dragonfly fan across a far wider and more adverse range. The pattern the prior writing could only assert as a forward forecast or a design philosophy</w:t>
      </w:r>
      <w:r>
        <w:t xml:space="preserve"> </w:t>
      </w:r>
      <w:hyperlink w:anchor="ref-2">
        <w:r>
          <w:rPr>
            <w:rStyle w:val="Hyperlink"/>
          </w:rPr>
          <w:t xml:space="preserve">[2]</w:t>
        </w:r>
      </w:hyperlink>
      <w:r>
        <w:t xml:space="preserve">[3][4] turns up here as a backward, signed, and fenced estimate on finished programs.</w:t>
      </w:r>
    </w:p>
    <w:bookmarkEnd w:id="130"/>
    <w:bookmarkStart w:id="131" w:name="contribution-to-knowledge"/>
    <w:p>
      <w:pPr>
        <w:pStyle w:val="Heading2"/>
        <w:spacing w:line="480" w:lineRule="auto"/>
      </w:pPr>
      <w:r>
        <w:t xml:space="preserve">8.2 Contribution to Knowledge</w:t>
      </w:r>
    </w:p>
    <w:p>
      <w:pPr>
        <w:pStyle w:val="FirstParagraph"/>
        <w:spacing w:line="480" w:lineRule="auto"/>
      </w:pPr>
      <w:r>
        <w:t xml:space="preserve">What this dissertation contributes is the turning of a standing qualitative prior into a gauged quantity, done while staying honest about its own doubt and its own scope. Three contributions can be put sharply.</w:t>
      </w:r>
    </w:p>
    <w:p>
      <w:pPr>
        <w:pStyle w:val="BodyText"/>
        <w:spacing w:line="480" w:lineRule="auto"/>
        <w:ind w:firstLine="720"/>
      </w:pPr>
      <w:r>
        <w:t xml:space="preserve">First comes the effect size itself. Ahead of this work, the execution-management and space-economy writings handed over a strong directional prior that standardization trims cost, rooted in subsystem-grain modularity and reuse findings</w:t>
      </w:r>
      <w:r>
        <w:t xml:space="preserve"> </w:t>
      </w:r>
      <w:hyperlink w:anchor="ref-1">
        <w:r>
          <w:rPr>
            <w:rStyle w:val="Hyperlink"/>
          </w:rPr>
          <w:t xml:space="preserve">[1]</w:t>
        </w:r>
      </w:hyperlink>
      <w:r>
        <w:t xml:space="preserve">[6], in forecasts of economies of scale in spacecraft production and launch</w:t>
      </w:r>
      <w:r>
        <w:t xml:space="preserve"> </w:t>
      </w:r>
      <w:hyperlink w:anchor="ref-2">
        <w:r>
          <w:rPr>
            <w:rStyle w:val="Hyperlink"/>
          </w:rPr>
          <w:t xml:space="preserve">[2]</w:t>
        </w:r>
      </w:hyperlink>
      <w:r>
        <w:t xml:space="preserve">[3][7], and in the value-centric frame of pre-acquisition architecture spend as a driver of total acquisition cost</w:t>
      </w:r>
      <w:r>
        <w:t xml:space="preserve"> </w:t>
      </w:r>
      <w:hyperlink w:anchor="ref-4">
        <w:r>
          <w:rPr>
            <w:rStyle w:val="Hyperlink"/>
          </w:rPr>
          <w:t xml:space="preserve">[4]</w:t>
        </w:r>
      </w:hyperlink>
      <w:r>
        <w:t xml:space="preserve">. None of these rolled up to a program-level statement about realized cost growth across a run of standardized against bespoke programs, and none pinned a coefficient carrying a sign, a size, and a doubt interval to the architecture choice. This dissertation does. The conditional gap in cost growth is gauged at roughly thirty-four percentage points toward standardization, and the conditional gap in launch hazard at a factor of about six. These are the field’s first signed, fenced, program-level estimates of the architecture effect on execution outcomes, and they are posted as intervals rather than as point claims, so the reader weighs the evidence at its true precision.</w:t>
      </w:r>
    </w:p>
    <w:p>
      <w:pPr>
        <w:pStyle w:val="BodyText"/>
        <w:spacing w:line="480" w:lineRule="auto"/>
        <w:ind w:firstLine="720"/>
      </w:pPr>
      <w:r>
        <w:t xml:space="preserve">A second contribution is methodological. By freezing one twenty-four-program universe across two outcomes and two estimators, the dissertation shows a replication build internal to the work rather than pushed off to a future literature. The cost and schedule papers are not two standalone studies that happen to agree; they are a matched brace in which the only meant difference is the dependent variable. This build lets the convergence of the two results carry evidentiary weight, because a confound that threw off a spurious cost effect would have to throw off a matching spurious schedule effect through a different estimator to leave the synthesis whole. The build also puts to work a plain architecture coding rubric, a named heritage bus or near-copy rebuild versus a single-mission clean sheet, run one and the same in both papers, with every cost-growth figure and every duration traced to its documented source in the embedded workbooks. The use of survival analysis to keep rather than bin not-yet-flown programs is itself a contribution to how schedule outcomes in small space-program runs should be gauged, since dropping censored observations would have thrown away just the programs running longest.</w:t>
      </w:r>
    </w:p>
    <w:p>
      <w:pPr>
        <w:pStyle w:val="BodyText"/>
        <w:spacing w:line="480" w:lineRule="auto"/>
        <w:ind w:firstLine="720"/>
      </w:pPr>
      <w:r>
        <w:t xml:space="preserve">A third contribution is to the practice of program management. The estimates give a program manager something the field did not before hand over: a quantity to weigh at confirmation, when the architecture call is still open and reserves are not yet committed. The working reading is head-on. Where a credible reference architecture or heritage bus exists and can take the mission, adopting it tends to deliver the mission both cheaper and sooner, and the size of the edge runs big enough that it should enter the reserve-setting and milestone-planning reckoning outright rather than as an ungauged engineering taste. This does not boil the call down to a formula. The estimates trace a conditional average over a run of missions for which a heritage option was live; they do not license forcing a reference bus onto a mission whose pointing, power, thermal, or payload-accommodation needs truly run past the envelope. The contribution is to shift the default and to price the pick, not to strip out the program manager’s judgment about fit.</w:t>
      </w:r>
    </w:p>
    <w:p>
      <w:pPr>
        <w:pStyle w:val="BodyText"/>
        <w:spacing w:line="480" w:lineRule="auto"/>
        <w:ind w:firstLine="720"/>
      </w:pPr>
      <w:r>
        <w:t xml:space="preserve">These contributions sit inside boundaries the dissertation states rather than hides. The samples are slim, non-random sets of missions that hit or neared launch, tilted toward survivors, so the confidence intervals, not the point estimates, are the honest objects of the contribution. The architecture coding is binary while partial-heritage programs perch on a continuum, which a graded heritage measure would refine. Residual selection on buried difficulty cannot be shut out of a cross-program build; the prospectus held back a within-platform block comparison, across successive blocks of a single common bus, as the sturdier identifying test, and the present work hands over the cross-program band while leaving that within-platform band as the natural next paper. Estimates drawn off NASA civil-science and exploration projects may not carry cleanly to national-security or commercial programs with different reserve and reporting regimes, and the scope claim is fenced to the population the data stand for. Not one of these limits topples the central result; each marks where the next inch of evidence should be sought.</w:t>
      </w:r>
    </w:p>
    <w:bookmarkEnd w:id="131"/>
    <w:bookmarkStart w:id="132" w:name="closing-statement"/>
    <w:p>
      <w:pPr>
        <w:pStyle w:val="Heading2"/>
        <w:spacing w:line="480" w:lineRule="auto"/>
      </w:pPr>
      <w:r>
        <w:t xml:space="preserve">8.3 Closing Statement</w:t>
      </w:r>
    </w:p>
    <w:p>
      <w:pPr>
        <w:pStyle w:val="FirstParagraph"/>
        <w:spacing w:line="480" w:lineRule="auto"/>
      </w:pPr>
      <w:r>
        <w:t xml:space="preserve">The architecture call in a space program has long been handled as a matter of taste, defended by engineering heritage and vendor tie and settled before anyone could say what it would cost. This dissertation has shown that the call is gaugeable, that the gauging aims steadily one way, and that the size runs large. Across two outcomes and two estimators on a single frozen universe of NASA major missions, reference-architecture adoption went with materially lighter cost growth and a materially faster path to launch, and in neither case did the bespoke counter-hypothesis of complexity-driven integration tolls outlast the controls. The field entered this study with an architectural prior and an unchecked rival hunch. It leaves with a signed coefficient, a hazard ratio, and a brace of confidence intervals a program manager can weigh at confirmation. Standardization is no universal prescription, and the data do not pretend a heritage bus fits every mission. But where a credible reference architecture exists, the evidence gathered here marks that taking it on tends to deliver the mission both cheaper and sooner, and it turns what was a defensible opinion into a defensible quantity. That turning, from prior to estimate, is the work this dissertation set out to do, and it is the contribution it leaves to the management of mission program execution.</w:t>
      </w:r>
    </w:p>
    <w:bookmarkEnd w:id="132"/>
    <w:bookmarkStart w:id="179" w:name="references"/>
    <w:p>
      <w:pPr>
        <w:pStyle w:val="Heading2"/>
        <w:spacing w:line="480" w:lineRule="auto"/>
      </w:pPr>
      <w:r>
        <w:t xml:space="preserve">References</w:t>
      </w:r>
    </w:p>
    <w:p>
      <w:pPr>
        <w:pStyle w:val="FirstParagraph"/>
        <w:spacing w:line="480" w:lineRule="auto"/>
      </w:pPr>
      <w:bookmarkStart w:id="133" w:name="ref-1"/>
      <w:bookmarkEnd w:id="133"/>
      <w:r>
        <w:t xml:space="preserve">1. J. Dijks, S. de Jong, A. Menicucci, and I. Akay,</w:t>
      </w:r>
      <w:r>
        <w:t xml:space="preserve"> </w:t>
      </w:r>
      <w:r>
        <w:t xml:space="preserve">“Systematic review of engineering and testing approaches for radiation hardness assurance in commercial space avionics,”</w:t>
      </w:r>
      <w:r>
        <w:t xml:space="preserve"> </w:t>
      </w:r>
      <w:r>
        <w:rPr>
          <w:i/>
          <w:iCs/>
        </w:rPr>
        <w:t xml:space="preserve">Acta Astronautica</w:t>
      </w:r>
      <w:r>
        <w:t xml:space="preserve">, vol. 238, 2025. doi:</w:t>
      </w:r>
      <w:r>
        <w:t xml:space="preserve"> </w:t>
      </w:r>
      <w:hyperlink r:id="rId134">
        <w:r>
          <w:rPr>
            <w:rStyle w:val="Hyperlink"/>
          </w:rPr>
          <w:t xml:space="preserve">10.1016/j.actaastro.2025.07.055</w:t>
        </w:r>
      </w:hyperlink>
    </w:p>
    <w:p>
      <w:pPr>
        <w:pStyle w:val="BodyText"/>
        <w:spacing w:line="480" w:lineRule="auto"/>
        <w:ind w:firstLine="720"/>
      </w:pPr>
      <w:bookmarkStart w:id="135" w:name="ref-2"/>
      <w:bookmarkEnd w:id="135"/>
      <w:r>
        <w:t xml:space="preserve">2.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36" w:name="ref-3"/>
      <w:bookmarkEnd w:id="136"/>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37" w:name="ref-4"/>
      <w:bookmarkEnd w:id="137"/>
      <w:r>
        <w:t xml:space="preserve">4.</w:t>
      </w:r>
      <w:r>
        <w:t xml:space="preserve"> </w:t>
      </w:r>
      <w:r>
        <w:t xml:space="preserve">“Architectural Socio-Technological Transformative Change of Space-Use Norms (Architecture for Reduction of Satellite Systems’ Total Acquisition Cost),”</w:t>
      </w:r>
      <w:r>
        <w:t xml:space="preserve"> </w:t>
      </w:r>
      <w:r>
        <w:t xml:space="preserve">Space Economy Papers corpus, source SD03.</w:t>
      </w:r>
    </w:p>
    <w:p>
      <w:pPr>
        <w:pStyle w:val="BodyText"/>
        <w:spacing w:line="480" w:lineRule="auto"/>
        <w:ind w:firstLine="720"/>
      </w:pPr>
      <w:bookmarkStart w:id="138" w:name="ref-5"/>
      <w:bookmarkEnd w:id="138"/>
      <w:r>
        <w:t xml:space="preserve">5. D. T. Ellis and C. Daywalt, Ball Aerospace,</w:t>
      </w:r>
      <w:r>
        <w:t xml:space="preserve"> </w:t>
      </w:r>
      <w:r>
        <w:t xml:space="preserve">“Flexible Closed Loop Feedback Control Architecture for SDA Payloads,”</w:t>
      </w:r>
      <w:r>
        <w:t xml:space="preserve"> </w:t>
      </w:r>
      <w:r>
        <w:t xml:space="preserve">Proc. Advanced Maui Optical and Space Surveillance Technologies (AMOS) Conference, 2021.</w:t>
      </w:r>
    </w:p>
    <w:p>
      <w:pPr>
        <w:pStyle w:val="BodyText"/>
        <w:spacing w:line="480" w:lineRule="auto"/>
        <w:ind w:firstLine="720"/>
      </w:pPr>
      <w:bookmarkStart w:id="139" w:name="ref-6"/>
      <w:bookmarkEnd w:id="139"/>
      <w:r>
        <w:t xml:space="preserve">6. M. Ortiz del Castillo, J. McRobbie, A. Woods, R. Mearns, J. Morgan, M. Trenti, S. Barraclough, Y. Tao, C. Therakam, E. Schoof, A. Chapman, F. Fiore, Y. Evangelista, A. Guzman, and P. Hedderman,</w:t>
      </w:r>
      <w:r>
        <w:t xml:space="preserve"> </w:t>
      </w:r>
      <w:r>
        <w:t xml:space="preserve">“The SpIRIT Payload Management System: A paradigm for smallsats multi payload integration,”</w:t>
      </w:r>
      <w:r>
        <w:t xml:space="preserve"> </w:t>
      </w:r>
      <w:r>
        <w:rPr>
          <w:i/>
          <w:iCs/>
        </w:rPr>
        <w:t xml:space="preserve">Acta Astronautica</w:t>
      </w:r>
      <w:r>
        <w:t xml:space="preserve">, vol. 236, 2025. doi:</w:t>
      </w:r>
      <w:r>
        <w:t xml:space="preserve"> </w:t>
      </w:r>
      <w:hyperlink r:id="rId140">
        <w:r>
          <w:rPr>
            <w:rStyle w:val="Hyperlink"/>
          </w:rPr>
          <w:t xml:space="preserve">10.1016/j.actaastro.2025.06.050</w:t>
        </w:r>
      </w:hyperlink>
    </w:p>
    <w:p>
      <w:pPr>
        <w:pStyle w:val="BodyText"/>
        <w:spacing w:line="480" w:lineRule="auto"/>
        <w:ind w:firstLine="720"/>
      </w:pPr>
      <w:bookmarkStart w:id="141" w:name="ref-7"/>
      <w:bookmarkEnd w:id="141"/>
      <w:r>
        <w:t xml:space="preserve">7.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42" w:name="ref-8"/>
      <w:bookmarkEnd w:id="142"/>
      <w:r>
        <w:t xml:space="preserve">8. Office of the Chief Economist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43" w:name="ref-9"/>
      <w:bookmarkEnd w:id="143"/>
      <w:r>
        <w:t xml:space="preserve">9. N. R. Dailey,</w:t>
      </w:r>
      <w:r>
        <w:t xml:space="preserve"> </w:t>
      </w:r>
      <w:r>
        <w:t xml:space="preserve">“Architecture for Reduction of Satellite Systems’ Total Acquisition Cost,”</w:t>
      </w:r>
      <w:r>
        <w:t xml:space="preserve"> </w:t>
      </w:r>
      <w:r>
        <w:t xml:space="preserve">in Architectural Socio-Technological Transformative Change of Space-Use Norms, Space Economy Papers corpus, source SD03.</w:t>
      </w:r>
    </w:p>
    <w:p>
      <w:pPr>
        <w:pStyle w:val="BodyText"/>
        <w:spacing w:line="480" w:lineRule="auto"/>
        <w:ind w:firstLine="720"/>
      </w:pPr>
      <w:bookmarkStart w:id="144" w:name="ref-10"/>
      <w:bookmarkEnd w:id="144"/>
      <w:r>
        <w:t xml:space="preserve">10. M. Weinzierl,</w:t>
      </w:r>
      <w:r>
        <w:t xml:space="preserve"> </w:t>
      </w:r>
      <w:r>
        <w:t xml:space="preserve">“Space, the Final Economic Frontier,”</w:t>
      </w:r>
      <w:r>
        <w:t xml:space="preserve"> </w:t>
      </w:r>
      <w:r>
        <w:t xml:space="preserve">Journal of Economic Perspectives, 2018, Space Economy Papers corpus, source SD18.</w:t>
      </w:r>
    </w:p>
    <w:p>
      <w:pPr>
        <w:pStyle w:val="BodyText"/>
        <w:spacing w:line="480" w:lineRule="auto"/>
        <w:ind w:firstLine="720"/>
      </w:pPr>
      <w:bookmarkStart w:id="145" w:name="ref-11"/>
      <w:bookmarkEnd w:id="145"/>
      <w:r>
        <w:t xml:space="preserve">11. The Planetary Society,</w:t>
      </w:r>
      <w:r>
        <w:t xml:space="preserve"> </w:t>
      </w:r>
      <w:r>
        <w:t xml:space="preserve">“Implementing Missions Within Budget: Good News,”</w:t>
      </w:r>
      <w:r>
        <w:t xml:space="preserve"> </w:t>
      </w:r>
      <w:r>
        <w:t xml:space="preserve">29 May 2013. Retrieved from planetary.org/articles/20130529-implementing-missions-within-budget-good-news.</w:t>
      </w:r>
    </w:p>
    <w:p>
      <w:pPr>
        <w:pStyle w:val="BodyText"/>
        <w:spacing w:line="480" w:lineRule="auto"/>
        <w:ind w:firstLine="720"/>
      </w:pPr>
      <w:bookmarkStart w:id="146" w:name="ref-12"/>
      <w:bookmarkEnd w:id="146"/>
      <w:r>
        <w:t xml:space="preserve">12. U.S. Government Accountability Office,</w:t>
      </w:r>
      <w:r>
        <w:t xml:space="preserve"> </w:t>
      </w:r>
      <w:r>
        <w:t xml:space="preserve">“NASA: Assessments of Major Projects,”</w:t>
      </w:r>
      <w:r>
        <w:t xml:space="preserve"> </w:t>
      </w:r>
      <w:r>
        <w:t xml:space="preserve">GAO-25-107591, July 2025; and GAO-13-4, GAO-18-280SP, GAO-19-262SP. Retrieved from gao.gov.</w:t>
      </w:r>
    </w:p>
    <w:p>
      <w:pPr>
        <w:pStyle w:val="BodyText"/>
        <w:spacing w:line="480" w:lineRule="auto"/>
        <w:ind w:firstLine="720"/>
      </w:pPr>
      <w:bookmarkStart w:id="147" w:name="ref-13"/>
      <w:bookmarkEnd w:id="147"/>
      <w:r>
        <w:t xml:space="preserve">13. NASA Office of Inspector General,</w:t>
      </w:r>
      <w:r>
        <w:t xml:space="preserve"> </w:t>
      </w:r>
      <w:r>
        <w:t xml:space="preserve">“NASA’s Management of the Dragonfly Project,”</w:t>
      </w:r>
      <w:r>
        <w:t xml:space="preserve"> </w:t>
      </w:r>
      <w:r>
        <w:t xml:space="preserve">IG-25-011, September 2025. Retrieved from oig.nasa.gov.</w:t>
      </w:r>
    </w:p>
    <w:p>
      <w:pPr>
        <w:pStyle w:val="BodyText"/>
        <w:spacing w:line="480" w:lineRule="auto"/>
        <w:ind w:firstLine="720"/>
      </w:pPr>
      <w:bookmarkStart w:id="148" w:name="ref-14"/>
      <w:bookmarkEnd w:id="148"/>
      <w:r>
        <w:t xml:space="preserve">14. R. E. Bitten, D. L. Emmons, and C. W. Freaner,</w:t>
      </w:r>
      <w:r>
        <w:t xml:space="preserve"> </w:t>
      </w:r>
      <w:r>
        <w:t xml:space="preserve">“Using Historical NASA Cost and Schedule Growth to Set Future Program and Project Reserve Guidelines,”</w:t>
      </w:r>
      <w:r>
        <w:t xml:space="preserve"> </w:t>
      </w:r>
      <w:r>
        <w:t xml:space="preserve">The Aerospace Corporation, NASA Advanced Programs.</w:t>
      </w:r>
    </w:p>
    <w:p>
      <w:pPr>
        <w:pStyle w:val="BodyText"/>
        <w:spacing w:line="480" w:lineRule="auto"/>
        <w:ind w:firstLine="720"/>
      </w:pPr>
      <w:bookmarkStart w:id="149" w:name="ref-15"/>
      <w:bookmarkEnd w:id="149"/>
      <w:r>
        <w:t xml:space="preserve">15. L. Pellegrino, M. Lanzetta, and others,</w:t>
      </w:r>
      <w:r>
        <w:t xml:space="preserve"> </w:t>
      </w:r>
      <w:r>
        <w:t xml:space="preserve">“Modularity for the future in space robotics: A review,”</w:t>
      </w:r>
      <w:r>
        <w:t xml:space="preserve"> </w:t>
      </w:r>
      <w:r>
        <w:t xml:space="preserve">Acta Astronautica, vol. 188, 2021. doi:</w:t>
      </w:r>
      <w:r>
        <w:t xml:space="preserve"> </w:t>
      </w:r>
      <w:hyperlink r:id="rId150">
        <w:r>
          <w:rPr>
            <w:rStyle w:val="Hyperlink"/>
          </w:rPr>
          <w:t xml:space="preserve">10.1016/j.actaastro.2021.09.007</w:t>
        </w:r>
      </w:hyperlink>
    </w:p>
    <w:p>
      <w:pPr>
        <w:pStyle w:val="BodyText"/>
        <w:spacing w:line="480" w:lineRule="auto"/>
        <w:ind w:firstLine="720"/>
      </w:pPr>
      <w:bookmarkStart w:id="151" w:name="ref-16"/>
      <w:bookmarkEnd w:id="151"/>
      <w:r>
        <w:t xml:space="preserve">16. Edward Morgan, Raft, LLC; Steve Nino, Raft, LLC; Angela Sheffield, Raft, LLC. Enabling Modular and Scalable SDA Data Transforms via the Raft Data Fabric (2023). doi:</w:t>
      </w:r>
      <w:r>
        <w:t xml:space="preserve"> </w:t>
      </w:r>
      <w:hyperlink r:id="rId152">
        <w:r>
          <w:rPr>
            <w:rStyle w:val="Hyperlink"/>
          </w:rPr>
          <w:t xml:space="preserve">10.64861/PMMH7892</w:t>
        </w:r>
      </w:hyperlink>
    </w:p>
    <w:p>
      <w:pPr>
        <w:pStyle w:val="BodyText"/>
        <w:spacing w:line="480" w:lineRule="auto"/>
        <w:ind w:firstLine="720"/>
      </w:pPr>
      <w:bookmarkStart w:id="153" w:name="ref-17"/>
      <w:bookmarkEnd w:id="153"/>
      <w:r>
        <w:t xml:space="preserve">17. Kriti Tripathi, Clearbox Systems Pty. Ltd.; Travis Bessell, Clearbox Systems Pty. Ltd.; Thomas Q. Wang, Clearbox Systems Pty. Ltd.; Tim Spitzer, Clearbox Systems Pty. Ltd.. An Effective Machine Learning Approach To Detect Satellite Signals In Passive RF Space Domain Awareness Data (2022).</w:t>
      </w:r>
    </w:p>
    <w:p>
      <w:pPr>
        <w:pStyle w:val="BodyText"/>
        <w:spacing w:line="480" w:lineRule="auto"/>
        <w:ind w:firstLine="720"/>
      </w:pPr>
      <w:bookmarkStart w:id="154" w:name="ref-18"/>
      <w:bookmarkEnd w:id="154"/>
      <w:r>
        <w:t xml:space="preserve">18. Robert Raygan, Integrity Applications Incorporated. The Ultimate Big Data Enterprise Initiative: Defining Functional Capabilities for an International Information System (IIS) for Orbital Space Data (OSD) (2017).</w:t>
      </w:r>
    </w:p>
    <w:p>
      <w:pPr>
        <w:pStyle w:val="BodyText"/>
        <w:spacing w:line="480" w:lineRule="auto"/>
        <w:ind w:firstLine="720"/>
      </w:pPr>
      <w:bookmarkStart w:id="155" w:name="ref-19"/>
      <w:bookmarkEnd w:id="155"/>
      <w:r>
        <w:t xml:space="preserve">19. Nathan Golovich, Lawrence Livermore National Laboratory; Robert Armstrong, Lawrence Livermore National Laboratory; Alex Geringer-Sameth, Lawrence Livermore National Laboratory; Benjamin Bahney, Lawrence Livermore National Laboratory; Gary Li, Impulse Space Inc.. XGEOSTARE: Extensible GEO Space-based Telescopes for Actionable Refinement of Ephemeris (2025). doi:</w:t>
      </w:r>
      <w:r>
        <w:t xml:space="preserve"> </w:t>
      </w:r>
      <w:hyperlink r:id="rId156">
        <w:r>
          <w:rPr>
            <w:rStyle w:val="Hyperlink"/>
          </w:rPr>
          <w:t xml:space="preserve">10.64861/RRTQ9485</w:t>
        </w:r>
      </w:hyperlink>
    </w:p>
    <w:p>
      <w:pPr>
        <w:pStyle w:val="BodyText"/>
        <w:spacing w:line="480" w:lineRule="auto"/>
        <w:ind w:firstLine="720"/>
      </w:pPr>
      <w:bookmarkStart w:id="157" w:name="ref-20"/>
      <w:bookmarkEnd w:id="157"/>
      <w:r>
        <w:t xml:space="preserve">20. TJ Pruden, Anduril Industries; Braden Smith, US Space Force. Resilient Networking Keeps Critical Sensors Connected (2023). doi:</w:t>
      </w:r>
      <w:r>
        <w:t xml:space="preserve"> </w:t>
      </w:r>
      <w:hyperlink r:id="rId158">
        <w:r>
          <w:rPr>
            <w:rStyle w:val="Hyperlink"/>
          </w:rPr>
          <w:t xml:space="preserve">10.64861/UPXT3411</w:t>
        </w:r>
      </w:hyperlink>
    </w:p>
    <w:p>
      <w:pPr>
        <w:pStyle w:val="BodyText"/>
        <w:spacing w:line="480" w:lineRule="auto"/>
        <w:ind w:firstLine="720"/>
      </w:pPr>
      <w:bookmarkStart w:id="159" w:name="ref-21"/>
      <w:bookmarkEnd w:id="159"/>
      <w:r>
        <w:t xml:space="preserve">21. James Blake, University of Warwick; Don Pollacco, University of Warwick; Robert Airey, University of Warwick; Paul Chote, University of Warwick; Benjamin Cooke, University of Warwick; James McCormac, University of Warwick; Billy Shrive, University of Warwick; Richard West, University of Warwick; Joshua Davis, Defence Science and Technology Laboratory; William Feline, Defence Science Technology Laboratory (Dstl); Emma Kerr, Defence Science Technology Laboratory (Dstl); Grant Privett, Dstl; Yuki Akiyama, JAXA; Hideaki Hinagawa, JAXA; Shinichi Nakamura, JAXA; Toshifumi Yanagisawa, Japan Aerospace Exploration Agency; Rebecca McFadden, Deimos Space UK; Stuart Eves, SJE Space Ltd. Exploring SDA Sensor Architectures for the Surveillance of Geosynchronous Spacecraft (2023). doi:</w:t>
      </w:r>
      <w:r>
        <w:t xml:space="preserve"> </w:t>
      </w:r>
      <w:hyperlink r:id="rId160">
        <w:r>
          <w:rPr>
            <w:rStyle w:val="Hyperlink"/>
          </w:rPr>
          <w:t xml:space="preserve">10.64861/YFLK6343</w:t>
        </w:r>
      </w:hyperlink>
    </w:p>
    <w:p>
      <w:pPr>
        <w:pStyle w:val="BodyText"/>
        <w:spacing w:line="480" w:lineRule="auto"/>
        <w:ind w:firstLine="720"/>
      </w:pPr>
      <w:bookmarkStart w:id="161" w:name="ref-22"/>
      <w:bookmarkEnd w:id="161"/>
      <w:r>
        <w:t xml:space="preserve">22. Kedar Naik, BAE Systems, Space &amp; Mission Systems; Andrew Wernersbach, BAE Systems, Space &amp; Mission Systems; Alexandra Robinson, BAE Systems, Space &amp; Mission Systems; Michelle Nilson, BAE Systems, Space &amp; Mission Systems; Gary Wiemokly, BAE Systems, Space &amp; Mission Systems; Matthew Tooth, BAE Systems, Space &amp; Mission Systems; Raymond Wright, BAE Systems, Space &amp; Mission Systems. ML-Driven Optimal Design of Multispectral Instruments for the Characterization of Resident Space Objects (2024). doi:</w:t>
      </w:r>
      <w:r>
        <w:t xml:space="preserve"> </w:t>
      </w:r>
      <w:hyperlink r:id="rId162">
        <w:r>
          <w:rPr>
            <w:rStyle w:val="Hyperlink"/>
          </w:rPr>
          <w:t xml:space="preserve">10.64861/ZHHE1855</w:t>
        </w:r>
      </w:hyperlink>
    </w:p>
    <w:p>
      <w:pPr>
        <w:pStyle w:val="BodyText"/>
        <w:spacing w:line="480" w:lineRule="auto"/>
        <w:ind w:firstLine="720"/>
      </w:pPr>
      <w:bookmarkStart w:id="163" w:name="ref-23"/>
      <w:bookmarkEnd w:id="163"/>
      <w:r>
        <w:t xml:space="preserve">23. Peter Hack, Lockheed Martin, Ken Carbaugh, Lockheed Martin, Kameron Simon, Lockheed Martin. Automated Space Surveillance using the AN/FSY-3 Space Fence System (2016).</w:t>
      </w:r>
    </w:p>
    <w:p>
      <w:pPr>
        <w:pStyle w:val="BodyText"/>
        <w:spacing w:line="480" w:lineRule="auto"/>
        <w:ind w:firstLine="720"/>
      </w:pPr>
      <w:bookmarkStart w:id="164" w:name="ref-24"/>
      <w:bookmarkEnd w:id="164"/>
      <w:r>
        <w:t xml:space="preserve">24. Xu Qin; Peter Hollingsworth; Katherine Smith. Value-centric design architecture based on analysis of space system characteristics (2017). doi:</w:t>
      </w:r>
      <w:r>
        <w:t xml:space="preserve"> </w:t>
      </w:r>
      <w:hyperlink r:id="rId165">
        <w:r>
          <w:rPr>
            <w:rStyle w:val="Hyperlink"/>
          </w:rPr>
          <w:t xml:space="preserve">10.1016/j.actaastro.2017.12.017</w:t>
        </w:r>
      </w:hyperlink>
    </w:p>
    <w:p>
      <w:pPr>
        <w:pStyle w:val="BodyText"/>
        <w:spacing w:line="480" w:lineRule="auto"/>
        <w:ind w:firstLine="720"/>
      </w:pPr>
      <w:bookmarkStart w:id="166" w:name="ref-25"/>
      <w:bookmarkEnd w:id="166"/>
      <w:r>
        <w:t xml:space="preserve">25. Hanjoon Shim; Changdon Kee. Enhancing RTK-based relative navigation for CubeSats rendezvous: An ADOP perspective on integer ambiguity resolution (2025). doi:</w:t>
      </w:r>
      <w:r>
        <w:t xml:space="preserve"> </w:t>
      </w:r>
      <w:hyperlink r:id="rId167">
        <w:r>
          <w:rPr>
            <w:rStyle w:val="Hyperlink"/>
          </w:rPr>
          <w:t xml:space="preserve">10.1016/j.actaastro.2025.08.001</w:t>
        </w:r>
      </w:hyperlink>
    </w:p>
    <w:p>
      <w:pPr>
        <w:pStyle w:val="BodyText"/>
        <w:spacing w:line="480" w:lineRule="auto"/>
        <w:ind w:firstLine="720"/>
      </w:pPr>
      <w:bookmarkStart w:id="168" w:name="ref-26"/>
      <w:bookmarkEnd w:id="168"/>
      <w:r>
        <w:t xml:space="preserve">26. Miguel Ortiz del Castillo; Jack McRobbie; Andrew Woods; Robert Mearns; Jonathan Morgan; Michele Trenti; Simon Barraclough; Yijie Tao; Clint Therakam; Eric Schoof; Airlie Chapman; Fabrizio Fiore; Y. Evangelista; A. Guzmán; Paul Hedderman. The SpIRIT Payload Management System: A paradigm for smallsats multi payload integration (2025). doi:</w:t>
      </w:r>
      <w:r>
        <w:t xml:space="preserve"> </w:t>
      </w:r>
      <w:hyperlink r:id="rId140">
        <w:r>
          <w:rPr>
            <w:rStyle w:val="Hyperlink"/>
          </w:rPr>
          <w:t xml:space="preserve">10.1016/j.actaastro.2025.06.050</w:t>
        </w:r>
      </w:hyperlink>
    </w:p>
    <w:p>
      <w:pPr>
        <w:pStyle w:val="BodyText"/>
        <w:spacing w:line="480" w:lineRule="auto"/>
        <w:ind w:firstLine="720"/>
      </w:pPr>
      <w:bookmarkStart w:id="169" w:name="ref-27"/>
      <w:bookmarkEnd w:id="169"/>
      <w:r>
        <w:t xml:space="preserve">27. David John Rajendran; Mani Sekaran Santhanakrishnan; Vassilios Pachidis; Jérôme Messineo. Flow field explorations and design improvements of a hybrid rocket motor LOx feed line (2024). doi:</w:t>
      </w:r>
      <w:r>
        <w:t xml:space="preserve"> </w:t>
      </w:r>
      <w:hyperlink r:id="rId170">
        <w:r>
          <w:rPr>
            <w:rStyle w:val="Hyperlink"/>
          </w:rPr>
          <w:t xml:space="preserve">10.1016/j.actaastro.2024.09.023</w:t>
        </w:r>
      </w:hyperlink>
    </w:p>
    <w:p>
      <w:pPr>
        <w:pStyle w:val="BodyText"/>
        <w:spacing w:line="480" w:lineRule="auto"/>
        <w:ind w:firstLine="720"/>
      </w:pPr>
      <w:bookmarkStart w:id="171" w:name="ref-28"/>
      <w:bookmarkEnd w:id="171"/>
      <w:r>
        <w:t xml:space="preserve">28. Tor Blomqvist; Ralph Fritsche. From production to food systems: A systems-level review of drivers, requirements, and integration for Lunar and Martian food systems (2026). doi:</w:t>
      </w:r>
      <w:r>
        <w:t xml:space="preserve"> </w:t>
      </w:r>
      <w:hyperlink r:id="rId172">
        <w:r>
          <w:rPr>
            <w:rStyle w:val="Hyperlink"/>
          </w:rPr>
          <w:t xml:space="preserve">10.1016/j.actaastro.2026.02.021</w:t>
        </w:r>
      </w:hyperlink>
    </w:p>
    <w:p>
      <w:pPr>
        <w:pStyle w:val="BodyText"/>
        <w:spacing w:line="480" w:lineRule="auto"/>
        <w:ind w:firstLine="720"/>
      </w:pPr>
      <w:bookmarkStart w:id="173" w:name="ref-29"/>
      <w:bookmarkEnd w:id="173"/>
      <w:r>
        <w:t xml:space="preserve">29. Paolo Marzioli; Andrea Gianfermo; Lorenzo Frezza; Diego Amadio; Niccolò Picci; Federico Curianò; Maria Giulia Pancalli; Eleonora Vestito; Justin Schachter; Matt Szczerba; Daniel Gu; Anny Lin; James Cutler; Simone Pirrotta; Fabio Santoni; Patrick Seitzer; Fabrizio Piergentili. Usage of Light Emitting Diodes (LEDs) for improved satellite tracking (2020). doi:</w:t>
      </w:r>
      <w:r>
        <w:t xml:space="preserve"> </w:t>
      </w:r>
      <w:hyperlink r:id="rId174">
        <w:r>
          <w:rPr>
            <w:rStyle w:val="Hyperlink"/>
          </w:rPr>
          <w:t xml:space="preserve">10.1016/j.actaastro.2020.10.023</w:t>
        </w:r>
      </w:hyperlink>
    </w:p>
    <w:p>
      <w:pPr>
        <w:pStyle w:val="BodyText"/>
        <w:spacing w:line="480" w:lineRule="auto"/>
        <w:ind w:firstLine="720"/>
      </w:pPr>
      <w:bookmarkStart w:id="175" w:name="ref-30"/>
      <w:bookmarkEnd w:id="175"/>
      <w:r>
        <w:t xml:space="preserve">30. B. Hudson; Leonid Gurvits; Daniel C. M. Palumbo; Sara Issaoun; Hannah Rana. Toward optimisation of a sub-Terahertz spaceborne VLBI mission (2025). doi:</w:t>
      </w:r>
      <w:r>
        <w:t xml:space="preserve"> </w:t>
      </w:r>
      <w:hyperlink r:id="rId176">
        <w:r>
          <w:rPr>
            <w:rStyle w:val="Hyperlink"/>
          </w:rPr>
          <w:t xml:space="preserve">10.1016/j.actaastro.2025.03.022</w:t>
        </w:r>
      </w:hyperlink>
    </w:p>
    <w:p>
      <w:pPr>
        <w:pStyle w:val="BodyText"/>
        <w:spacing w:line="480" w:lineRule="auto"/>
        <w:ind w:firstLine="720"/>
      </w:pPr>
      <w:bookmarkStart w:id="177" w:name="ref-31"/>
      <w:bookmarkEnd w:id="177"/>
      <w:r>
        <w:t xml:space="preserve">31. Karlis Slumba; B. Scott; Mark B. Jaksa. Dynamic Cone Penetration Test in Lunar Highlands Regolith Simulant (2026). doi:</w:t>
      </w:r>
      <w:r>
        <w:t xml:space="preserve"> </w:t>
      </w:r>
      <w:hyperlink r:id="rId178">
        <w:r>
          <w:rPr>
            <w:rStyle w:val="Hyperlink"/>
          </w:rPr>
          <w:t xml:space="preserve">10.1016/j.actaastro.2026.01.055</w:t>
        </w:r>
      </w:hyperlink>
    </w:p>
    <w:bookmarkEnd w:id="179"/>
    <w:bookmarkEnd w:id="180"/>
    <w:bookmarkStart w:id="19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8" w:name="X3830d23f3e537461492bf5c0b90d4618829cb1b"/>
    <w:p>
      <w:pPr>
        <w:pStyle w:val="Heading2"/>
        <w:spacing w:line="480" w:lineRule="auto"/>
      </w:pPr>
      <w:r>
        <w:t xml:space="preserve">A.1 Architecture Standardization and Realized Cost Growth: A Cross-Program Test on NASA Major Missions</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RefArch</m:t>
              </m:r>
            </m:e>
            <m:sub>
              <m:r>
                <m:t>i</m:t>
              </m:r>
            </m:sub>
          </m:sSub>
          <m:r>
            <m:rPr>
              <m:sty m:val="p"/>
            </m:rPr>
            <m:t>+</m:t>
          </m:r>
          <m:sSub>
            <m:e>
              <m:r>
                <m:t>β</m:t>
              </m:r>
            </m:e>
            <m:sub>
              <m:r>
                <m:t>2</m:t>
              </m:r>
            </m:sub>
          </m:sSub>
          <m:sSub>
            <m:e>
              <m:r>
                <m:rPr>
                  <m:nor/>
                  <m:sty m:val="p"/>
                </m:rPr>
                <m:t>Instruments</m:t>
              </m:r>
            </m:e>
            <m:sub>
              <m:r>
                <m:t>i</m:t>
              </m:r>
            </m:sub>
          </m:sSub>
          <m:r>
            <m:rPr>
              <m:sty m:val="p"/>
            </m:rPr>
            <m:t>+</m:t>
          </m:r>
          <m:sSub>
            <m:e>
              <m:r>
                <m:t>β</m:t>
              </m:r>
            </m:e>
            <m:sub>
              <m:r>
                <m:t>3</m:t>
              </m:r>
            </m:sub>
          </m:sSub>
          <m:r>
            <m:rPr>
              <m:sty m:val="p"/>
            </m:rPr>
            <m:t>ln</m:t>
          </m:r>
          <m:r>
            <m:rPr>
              <m:sty m:val="p"/>
            </m:rPr>
            <m:t>(</m:t>
          </m:r>
          <m:sSub>
            <m:e>
              <m:r>
                <m:rPr>
                  <m:nor/>
                  <m:sty m:val="p"/>
                </m:rPr>
                <m:t>Mass</m:t>
              </m:r>
            </m:e>
            <m:sub>
              <m:r>
                <m:t>i</m:t>
              </m:r>
            </m:sub>
          </m:sSub>
          <m:r>
            <m:rPr>
              <m:sty m:val="p"/>
            </m:rPr>
            <m:t>)</m:t>
          </m:r>
          <m:r>
            <m:rPr>
              <m:sty m:val="p"/>
            </m:rPr>
            <m:t>+</m:t>
          </m:r>
          <m:sSub>
            <m:e>
              <m:r>
                <m:t>ε</m:t>
              </m:r>
            </m:e>
            <m:sub>
              <m:r>
                <m:t>i</m:t>
              </m:r>
            </m:sub>
          </m:sSub>
        </m:oMath>
      </m:oMathPara>
    </w:p>
    <w:bookmarkStart w:id="18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44.09</w:t>
            </w:r>
          </w:p>
        </w:tc>
        <w:tc>
          <w:tcPr>
            <w:tcW w:w="0" w:type="auto"/>
          </w:tcPr>
          <w:p>
            <w:pPr>
              <w:spacing w:line="240" w:lineRule="auto" w:before="0" w:after="0"/>
              <w:pStyle w:val="Compact"/>
            </w:pPr>
            <w:r>
              <w:rPr>
                <w:sz w:val="20"/>
                <w:szCs w:val="20"/>
              </w:rPr>
              <w:t xml:space="preserve">13.1557</w:t>
            </w:r>
          </w:p>
        </w:tc>
        <w:tc>
          <w:tcPr>
            <w:tcW w:w="0" w:type="auto"/>
          </w:tcPr>
          <w:p>
            <w:pPr>
              <w:spacing w:line="240" w:lineRule="auto" w:before="0" w:after="0"/>
              <w:pStyle w:val="Compact"/>
            </w:pPr>
            <w:r>
              <w:rPr>
                <w:sz w:val="20"/>
                <w:szCs w:val="20"/>
              </w:rPr>
              <w:t xml:space="preserve">3.3514</w:t>
            </w:r>
          </w:p>
        </w:tc>
        <w:tc>
          <w:tcPr>
            <w:tcW w:w="0" w:type="auto"/>
          </w:tcPr>
          <w:p>
            <w:pPr>
              <w:spacing w:line="240" w:lineRule="auto" w:before="0" w:after="0"/>
              <w:pStyle w:val="Compact"/>
            </w:pPr>
            <w:r>
              <w:rPr>
                <w:sz w:val="20"/>
                <w:szCs w:val="20"/>
              </w:rPr>
              <w:t xml:space="preserve">0.0008041</w:t>
            </w:r>
          </w:p>
        </w:tc>
        <w:tc>
          <w:tcPr>
            <w:tcW w:w="0" w:type="auto"/>
          </w:tcPr>
          <w:p>
            <w:pPr>
              <w:spacing w:line="240" w:lineRule="auto" w:before="0" w:after="0"/>
              <w:pStyle w:val="Compact"/>
            </w:pPr>
            <w:r>
              <w:rPr>
                <w:sz w:val="20"/>
                <w:szCs w:val="20"/>
              </w:rPr>
              <w:t xml:space="preserve">[18.3052, 69.8747]</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-34.237</w:t>
            </w:r>
          </w:p>
        </w:tc>
        <w:tc>
          <w:tcPr>
            <w:tcW w:w="0" w:type="auto"/>
          </w:tcPr>
          <w:p>
            <w:pPr>
              <w:spacing w:line="240" w:lineRule="auto" w:before="0" w:after="0"/>
              <w:pStyle w:val="Compact"/>
            </w:pPr>
            <w:r>
              <w:rPr>
                <w:sz w:val="20"/>
                <w:szCs w:val="20"/>
              </w:rPr>
              <w:t xml:space="preserve">9.8337</w:t>
            </w:r>
          </w:p>
        </w:tc>
        <w:tc>
          <w:tcPr>
            <w:tcW w:w="0" w:type="auto"/>
          </w:tcPr>
          <w:p>
            <w:pPr>
              <w:spacing w:line="240" w:lineRule="auto" w:before="0" w:after="0"/>
              <w:pStyle w:val="Compact"/>
            </w:pPr>
            <w:r>
              <w:rPr>
                <w:sz w:val="20"/>
                <w:szCs w:val="20"/>
              </w:rPr>
              <w:t xml:space="preserve">-3.4816</w:t>
            </w:r>
          </w:p>
        </w:tc>
        <w:tc>
          <w:tcPr>
            <w:tcW w:w="0" w:type="auto"/>
          </w:tcPr>
          <w:p>
            <w:pPr>
              <w:spacing w:line="240" w:lineRule="auto" w:before="0" w:after="0"/>
              <w:pStyle w:val="Compact"/>
            </w:pPr>
            <w:r>
              <w:rPr>
                <w:sz w:val="20"/>
                <w:szCs w:val="20"/>
              </w:rPr>
              <w:t xml:space="preserve">0.0004985</w:t>
            </w:r>
          </w:p>
        </w:tc>
        <w:tc>
          <w:tcPr>
            <w:tcW w:w="0" w:type="auto"/>
          </w:tcPr>
          <w:p>
            <w:pPr>
              <w:spacing w:line="240" w:lineRule="auto" w:before="0" w:after="0"/>
              <w:pStyle w:val="Compact"/>
            </w:pPr>
            <w:r>
              <w:rPr>
                <w:sz w:val="20"/>
                <w:szCs w:val="20"/>
              </w:rPr>
              <w:t xml:space="preserve">[-53.5108, -14.9633]</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-1.7183</w:t>
            </w:r>
          </w:p>
        </w:tc>
        <w:tc>
          <w:tcPr>
            <w:tcW w:w="0" w:type="auto"/>
          </w:tcPr>
          <w:p>
            <w:pPr>
              <w:spacing w:line="240" w:lineRule="auto" w:before="0" w:after="0"/>
              <w:pStyle w:val="Compact"/>
            </w:pPr>
            <w:r>
              <w:rPr>
                <w:sz w:val="20"/>
                <w:szCs w:val="20"/>
              </w:rPr>
              <w:t xml:space="preserve">1.8035</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0.3407</w:t>
            </w:r>
          </w:p>
        </w:tc>
        <w:tc>
          <w:tcPr>
            <w:tcW w:w="0" w:type="auto"/>
          </w:tcPr>
          <w:p>
            <w:pPr>
              <w:spacing w:line="240" w:lineRule="auto" w:before="0" w:after="0"/>
              <w:pStyle w:val="Compact"/>
            </w:pPr>
            <w:r>
              <w:rPr>
                <w:sz w:val="20"/>
                <w:szCs w:val="20"/>
              </w:rPr>
              <w:t xml:space="preserve">[-5.2531, 1.8166]</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-0.2058</w:t>
            </w:r>
          </w:p>
        </w:tc>
        <w:tc>
          <w:tcPr>
            <w:tcW w:w="0" w:type="auto"/>
          </w:tcPr>
          <w:p>
            <w:pPr>
              <w:spacing w:line="240" w:lineRule="auto" w:before="0" w:after="0"/>
              <w:pStyle w:val="Compact"/>
            </w:pPr>
            <w:r>
              <w:rPr>
                <w:sz w:val="20"/>
                <w:szCs w:val="20"/>
              </w:rPr>
              <w:t xml:space="preserve">1.8007</w:t>
            </w:r>
          </w:p>
        </w:tc>
        <w:tc>
          <w:tcPr>
            <w:tcW w:w="0" w:type="auto"/>
          </w:tcPr>
          <w:p>
            <w:pPr>
              <w:spacing w:line="240" w:lineRule="auto" w:before="0" w:after="0"/>
              <w:pStyle w:val="Compact"/>
            </w:pPr>
            <w:r>
              <w:rPr>
                <w:sz w:val="20"/>
                <w:szCs w:val="20"/>
              </w:rPr>
              <w:t xml:space="preserve">-0.1143</w:t>
            </w:r>
          </w:p>
        </w:tc>
        <w:tc>
          <w:tcPr>
            <w:tcW w:w="0" w:type="auto"/>
          </w:tcPr>
          <w:p>
            <w:pPr>
              <w:spacing w:line="240" w:lineRule="auto" w:before="0" w:after="0"/>
              <w:pStyle w:val="Compact"/>
            </w:pPr>
            <w:r>
              <w:rPr>
                <w:sz w:val="20"/>
                <w:szCs w:val="20"/>
              </w:rPr>
              <w:t xml:space="preserve">0.909</w:t>
            </w:r>
          </w:p>
        </w:tc>
        <w:tc>
          <w:tcPr>
            <w:tcW w:w="0" w:type="auto"/>
          </w:tcPr>
          <w:p>
            <w:pPr>
              <w:spacing w:line="240" w:lineRule="auto" w:before="0" w:after="0"/>
              <w:pStyle w:val="Compact"/>
            </w:pPr>
            <w:r>
              <w:rPr>
                <w:sz w:val="20"/>
                <w:szCs w:val="20"/>
              </w:rPr>
              <w:t xml:space="preserve">[-3.735, 3.3234]</w:t>
            </w:r>
          </w:p>
        </w:tc>
      </w:tr>
    </w:tbl>
    <w:p>
      <w:pPr>
        <w:pStyle w:val="BodyText"/>
        <w:spacing w:line="480" w:lineRule="auto"/>
        <w:ind w:firstLine="720"/>
      </w:pPr>
      <w:r>
        <w:t xml:space="preserve">Fit: N = 24 R2 = 0.4271 R2_adj = 0.3412 F = 10.0547 F_p = 0.0002997</w:t>
      </w:r>
    </w:p>
    <w:bookmarkEnd w:id="181"/>
    <w:bookmarkStart w:id="18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development cost growth against program mass class for 24 NASA major missions; the fitted line is the OLS prediction holding architecture and complexity at their sample means." title="" id="183" name="Picture"/>
            <a:graphic>
              <a:graphicData uri="http://schemas.openxmlformats.org/drawingml/2006/picture">
                <pic:pic>
                  <pic:nvPicPr>
                    <pic:cNvPr descr="D:/Claude_Code/brain/collegium/candidates/dissertations/ENTERPRISE_ACQ_08/research_papers/p1/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development cost growth against program mass class for 24 NASA major missions; the fitted line is the OLS prediction holding architecture and complexity at their sample means.</w:t>
      </w:r>
    </w:p>
    <w:bookmarkEnd w:id="185"/>
    <w:bookmarkStart w:id="18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directorate</w:t>
            </w:r>
          </w:p>
        </w:tc>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heritage_class</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launch_mass_t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671.2</w:t>
            </w:r>
          </w:p>
        </w:tc>
        <w:tc>
          <w:tcPr>
            <w:tcW w:w="0" w:type="auto"/>
          </w:tcPr>
          <w:p>
            <w:pPr>
              <w:spacing w:line="240" w:lineRule="auto" w:before="0" w:after="0"/>
              <w:pStyle w:val="Compact"/>
            </w:pPr>
            <w:r>
              <w:rPr>
                <w:sz w:val="20"/>
                <w:szCs w:val="20"/>
              </w:rPr>
              <w:t xml:space="preserve">671.2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MAVEN final $671.2M, 0.0% change; reused Lockheed Martin MRO/Mars-orbiter heritage bus. planetary.org/articles/20130529-implementing-missions-within-budget-good-news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487.2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GRAIL final $487.2M, -1.8% vs baseline; twin spacecraft reused LM GRACE/XSS-11/Experimental Small Sat heritage. planetary.org/articles/20130529-implementing-missions-within-budget-good-news</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1.2879</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Juno final $1,107.0M, 0.0% change. planetary.org/articles/20130529-implementing-missions-within-budget-good-news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0.385</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209.1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-0.9545</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Stardust final $209.1M, +1.5% vs baseline; SpaceProbe/Discovery heritage bus. planetary.org/articles/20130529-implementing-missions-within-budget-good-news</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278.8</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Deep Impact final $332.0M, +19.1% vs baseline. planetary.org/articles/20130529-implementing-missions-within-budget-good-news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1.107</w:t>
            </w:r>
          </w:p>
        </w:tc>
        <w:tc>
          <w:tcPr>
            <w:tcW w:w="0" w:type="auto"/>
          </w:tcPr>
          <w:p>
            <w:pPr>
              <w:spacing w:line="240" w:lineRule="auto" w:before="0" w:after="0"/>
              <w:pStyle w:val="Compact"/>
            </w:pPr>
            <w:r>
              <w:rPr>
                <w:sz w:val="20"/>
                <w:szCs w:val="20"/>
              </w:rPr>
              <w:t xml:space="preserve">313.9</w:t>
            </w:r>
          </w:p>
        </w:tc>
        <w:tc>
          <w:tcPr>
            <w:tcW w:w="0" w:type="auto"/>
          </w:tcPr>
          <w:p>
            <w:pPr>
              <w:spacing w:line="240" w:lineRule="auto" w:before="0" w:after="0"/>
              <w:pStyle w:val="Compact"/>
            </w:pPr>
            <w:r>
              <w:rPr>
                <w:sz w:val="20"/>
                <w:szCs w:val="20"/>
              </w:rPr>
              <w:t xml:space="preserve">422.5</w:t>
            </w:r>
          </w:p>
        </w:tc>
        <w:tc>
          <w:tcPr>
            <w:tcW w:w="0" w:type="auto"/>
          </w:tcPr>
          <w:p>
            <w:pPr>
              <w:spacing w:line="240" w:lineRule="auto" w:before="0" w:after="0"/>
              <w:pStyle w:val="Compact"/>
            </w:pPr>
            <w:r>
              <w:rPr>
                <w:sz w:val="20"/>
                <w:szCs w:val="20"/>
              </w:rPr>
              <w:t xml:space="preserve">34.6</w:t>
            </w:r>
          </w:p>
        </w:tc>
        <w:tc>
          <w:tcPr>
            <w:tcW w:w="0" w:type="auto"/>
          </w:tcPr>
          <w:p>
            <w:pPr>
              <w:spacing w:line="240" w:lineRule="auto" w:before="0" w:after="0"/>
              <w:pStyle w:val="Compact"/>
            </w:pPr>
            <w:r>
              <w:rPr>
                <w:sz w:val="20"/>
                <w:szCs w:val="20"/>
              </w:rPr>
              <w:t xml:space="preserve">0.1017</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MESSENGER final $422.5M, +34.6% vs baseline; bespoke Mercury-environment clean-sheet design. planetary.org/articles/20130529-implementing-missions-within-budget-good-news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1.218</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24.7</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‘Implementing Missions Within Budget’</w:t>
            </w:r>
            <w:r>
              <w:rPr>
                <w:sz w:val="20"/>
                <w:szCs w:val="20"/>
              </w:rPr>
              <w:t xml:space="preserve"> </w:t>
            </w:r>
            <w:r>
              <w:rPr>
                <w:sz w:val="20"/>
                <w:szCs w:val="20"/>
              </w:rPr>
              <w:t xml:space="preserve">(2013-05-29), Dawn final $465.0M, +24.7% vs baseline; first ion-propulsion bespoke science platform. planetary.org/articles/20130529-implementing-missions-within-budget-good-news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0.694</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813.8</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-0.3653</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‘Within Budget’</w:t>
            </w:r>
            <w:r>
              <w:rPr>
                <w:sz w:val="20"/>
                <w:szCs w:val="20"/>
              </w:rPr>
              <w:t xml:space="preserve"> </w:t>
            </w:r>
            <w:r>
              <w:rPr>
                <w:sz w:val="20"/>
                <w:szCs w:val="20"/>
              </w:rPr>
              <w:t xml:space="preserve">notes InSight reused the Phoenix lander design; final spend $813.8M through prime mission per SpaceNews (2022-12-21,</w:t>
            </w:r>
            <w:r>
              <w:rPr>
                <w:sz w:val="20"/>
                <w:szCs w:val="20"/>
              </w:rPr>
              <w:t xml:space="preserve"> </w:t>
            </w:r>
            <w:r>
              <w:rPr>
                <w:sz w:val="20"/>
                <w:szCs w:val="20"/>
              </w:rPr>
              <w:t xml:space="preserve">‘NASA declares end of InSight Mars mission’</w:t>
            </w:r>
            <w:r>
              <w:rPr>
                <w:sz w:val="20"/>
                <w:szCs w:val="20"/>
              </w:rPr>
              <w:t xml:space="preserve">); baseline ~$675M Discovery cap plus the $153.8M seismometer-leak addition. spacenews.com/nasa-declares-end-of-insight-mars-mission</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0.7467</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‘Cost of OSIRIS-REx’</w:t>
            </w:r>
            <w:r>
              <w:rPr>
                <w:sz w:val="20"/>
                <w:szCs w:val="20"/>
              </w:rPr>
              <w:t xml:space="preserve">; mission stayed within its ~$800M development baseline (reached pad with reserve to spare, Spaceflight Now 2016-09-07); Lockheed Martin MRO/MAVEN/Juno heritage bus. planetary.org/space-policy/cost-of-osiris-rex</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3.893</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56.3</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NBC News (2011-02-11)</w:t>
            </w:r>
            <w:r>
              <w:rPr>
                <w:sz w:val="20"/>
                <w:szCs w:val="20"/>
              </w:rPr>
              <w:t xml:space="preserve"> </w:t>
            </w:r>
            <w:r>
              <w:rPr>
                <w:sz w:val="20"/>
                <w:szCs w:val="20"/>
              </w:rPr>
              <w:t xml:space="preserve">‘Cost of NASA next Mars rover soars to $2.5 billion’</w:t>
            </w:r>
            <w:r>
              <w:rPr>
                <w:sz w:val="20"/>
                <w:szCs w:val="20"/>
              </w:rPr>
              <w:t xml:space="preserve">; baseline $1.6B at 2006 confirmation grew to $2.5B; bespoke sky-crane EDL and rover. nbcnews.com/id/wbna41374241</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985</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1.0105</w:t>
            </w:r>
          </w:p>
        </w:tc>
        <w:tc>
          <w:tcPr>
            <w:tcW w:w="0" w:type="auto"/>
          </w:tcPr>
          <w:p>
            <w:pPr>
              <w:spacing w:line="240" w:lineRule="auto" w:before="0" w:after="0"/>
              <w:pStyle w:val="Compact"/>
            </w:pPr>
            <w:r>
              <w:rPr>
                <w:sz w:val="20"/>
                <w:szCs w:val="20"/>
              </w:rPr>
              <w:t xml:space="preserve">NASA life-cycle cost $985M (UPI 2023-08-14); New Frontiers/Discovery selection development cap ~$850M; bespoke Maxar SEP chassis adapted, software-driven 2022 slip. upi.com/Science_News/2023/08/14/psyche-asteroid-NASA-satellite-JPL</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NASA OIG IG-25-011 (2025-09)</w:t>
            </w:r>
            <w:r>
              <w:rPr>
                <w:sz w:val="20"/>
                <w:szCs w:val="20"/>
              </w:rPr>
              <w:t xml:space="preserve"> </w:t>
            </w:r>
            <w:r>
              <w:rPr>
                <w:sz w:val="20"/>
                <w:szCs w:val="20"/>
              </w:rPr>
              <w:t xml:space="preserve">‘NASA Management of the Dragonfly Project’</w:t>
            </w:r>
            <w:r>
              <w:rPr>
                <w:sz w:val="20"/>
                <w:szCs w:val="20"/>
              </w:rPr>
              <w:t xml:space="preserve">: April 2024 baseline total PIMMC $2.6B and life-cycle $3.35B; Phase B PIMMC grew ~$640M; bespoke nuclear rotorcraft, first-of-kind. oig.nasa.gov/wp-content/uploads/2025/09/final-report-ig-25-011</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4960</w:t>
            </w:r>
          </w:p>
        </w:tc>
        <w:tc>
          <w:tcPr>
            <w:tcW w:w="0" w:type="auto"/>
          </w:tcPr>
          <w:p>
            <w:pPr>
              <w:spacing w:line="240" w:lineRule="auto" w:before="0" w:after="0"/>
              <w:pStyle w:val="Compact"/>
            </w:pPr>
            <w:r>
              <w:rPr>
                <w:sz w:val="20"/>
                <w:szCs w:val="20"/>
              </w:rPr>
              <w:t xml:space="preserve">8800</w:t>
            </w:r>
          </w:p>
        </w:tc>
        <w:tc>
          <w:tcPr>
            <w:tcW w:w="0" w:type="auto"/>
          </w:tcPr>
          <w:p>
            <w:pPr>
              <w:spacing w:line="240" w:lineRule="auto" w:before="0" w:after="0"/>
              <w:pStyle w:val="Compact"/>
            </w:pPr>
            <w:r>
              <w:rPr>
                <w:sz w:val="20"/>
                <w:szCs w:val="20"/>
              </w:rPr>
              <w:t xml:space="preserve">77.4</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GAO-13-4 and Planetary Society</w:t>
            </w:r>
            <w:r>
              <w:rPr>
                <w:sz w:val="20"/>
                <w:szCs w:val="20"/>
              </w:rPr>
              <w:t xml:space="preserve"> </w:t>
            </w:r>
            <w:r>
              <w:rPr>
                <w:sz w:val="20"/>
                <w:szCs w:val="20"/>
              </w:rPr>
              <w:t xml:space="preserve">‘How much does JWST cost’</w:t>
            </w:r>
            <w:r>
              <w:rPr>
                <w:sz w:val="20"/>
                <w:szCs w:val="20"/>
              </w:rPr>
              <w:t xml:space="preserve">; 2008/2009 confirmation baseline ~$4.96B rebaselined 2011 to $8.8B development+; bespoke deployable cryogenic observatory. gao.gov/products/gao-13-4 ; planetary.org/articles/cost-of-the-jwst</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‘NASA Reveals Europa Clipper Cost Growth’</w:t>
            </w:r>
            <w:r>
              <w:rPr>
                <w:sz w:val="20"/>
                <w:szCs w:val="20"/>
              </w:rPr>
              <w:t xml:space="preserve">; 2019 Agency Baseline Commitment $4.25B grew toward $5B; total $5.2B at launch (Spaceflight Now 2024-10-14); bespoke high-radiation flagship. spacepolicyonline.com/news/nasa-reveals-europa-clipper-cost-growth-mars-sample-return-replan</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4.166</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NASA (2020-03-02)</w:t>
            </w:r>
            <w:r>
              <w:rPr>
                <w:sz w:val="20"/>
                <w:szCs w:val="20"/>
              </w:rPr>
              <w:t xml:space="preserve"> </w:t>
            </w:r>
            <w:r>
              <w:rPr>
                <w:sz w:val="20"/>
                <w:szCs w:val="20"/>
              </w:rPr>
              <w:t xml:space="preserve">‘NASA Approves Development of Roman’</w:t>
            </w:r>
            <w:r>
              <w:rPr>
                <w:sz w:val="20"/>
                <w:szCs w:val="20"/>
              </w:rPr>
              <w:t xml:space="preserve">; KDP-C development baseline $3.2B with $3.934B not-to-exceed including coronagraph and ops; repurposed 2.4m optics but bespoke integration. nasa.gov/missions/roman-space-telescope/nasa-approves-development</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1.387</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35.7</w:t>
            </w:r>
          </w:p>
        </w:tc>
        <w:tc>
          <w:tcPr>
            <w:tcW w:w="0" w:type="auto"/>
          </w:tcPr>
          <w:p>
            <w:pPr>
              <w:spacing w:line="240" w:lineRule="auto" w:before="0" w:after="0"/>
              <w:pStyle w:val="Compact"/>
            </w:pPr>
            <w:r>
              <w:rPr>
                <w:sz w:val="20"/>
                <w:szCs w:val="20"/>
              </w:rPr>
              <w:t xml:space="preserve">0.3271</w:t>
            </w:r>
          </w:p>
        </w:tc>
        <w:tc>
          <w:tcPr>
            <w:tcW w:w="0" w:type="auto"/>
          </w:tcPr>
          <w:p>
            <w:pPr>
              <w:spacing w:line="240" w:lineRule="auto" w:before="0" w:after="0"/>
              <w:pStyle w:val="Compact"/>
            </w:pPr>
            <w:r>
              <w:rPr>
                <w:sz w:val="20"/>
                <w:szCs w:val="20"/>
              </w:rPr>
              <w:t xml:space="preserve">SpaceNews (2014-06) and Spaceflight Now: ICESat-2 grew ~36% over the 2012 baseline (~$560M to ~$760M build+launch) driven by the ATLAS laser-altimeter instrument; bespoke single-instrument observatory. spacenews.com/41729paying-for-icesat-2-overruns-delays-international-earth-science-launches</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GRACE-FO NASA cost $430M (SpacePolicyOnline pre-launch press conference 2018-05); near-exact rebuild of the GRACE spacecraft on the Airbus heritage bus. spacepolicyonline.com/news/nasas-grace-fo-five-iridium-satellites-share-a-ride-to-space</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GAO-19-262SP and GAO-18-280SP: SLS program experienced sustained cost growth; NASA rebaselined SLS in June 2020 after manufacturing-driven overruns and an ~8-month slip; bespoke heavy-lift core stage. gao.gov/assets/gao-19-262sp.pdf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9300</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3.2771</w:t>
            </w:r>
          </w:p>
        </w:tc>
        <w:tc>
          <w:tcPr>
            <w:tcW w:w="0" w:type="auto"/>
          </w:tcPr>
          <w:p>
            <w:pPr>
              <w:spacing w:line="240" w:lineRule="auto" w:before="0" w:after="0"/>
              <w:pStyle w:val="Compact"/>
            </w:pPr>
            <w:r>
              <w:rPr>
                <w:sz w:val="20"/>
                <w:szCs w:val="20"/>
              </w:rPr>
              <w:t xml:space="preserve">GAO-25-107591 (July 2025): Orion Multi-Purpose Crew Vehicle accounted for over $360M of FY24-25 annual cost growth and is among the portfolio’s largest cumulative overruns; bespoke deep-space crew vehicle. gao.gov/assets/gao-25-107591-highlights.pdf</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SPHEREx observatory final cost $488M (eoPortal; Wikipedia</w:t>
            </w:r>
            <w:r>
              <w:rPr>
                <w:sz w:val="20"/>
                <w:szCs w:val="20"/>
              </w:rPr>
              <w:t xml:space="preserve"> </w:t>
            </w:r>
            <w:r>
              <w:rPr>
                <w:sz w:val="20"/>
                <w:szCs w:val="20"/>
              </w:rPr>
              <w:t xml:space="preserve">‘SPHEREx’</w:t>
            </w:r>
            <w:r>
              <w:rPr>
                <w:sz w:val="20"/>
                <w:szCs w:val="20"/>
              </w:rPr>
              <w:t xml:space="preserve">), MIDEX-class single-instrument all-sky survey on a BAE/Ball Aerospace heritage smallsat bus. [illustrative] baseline ~$395M estimated from the MIDEX cost cap; final $488M is documented. eoportal.org/satellite-missions/spherex</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SMD_Astrophysics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0.362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TESS (Transiting Exoplanet Survey Satellite) Explorer-class on the Orbital LEOStar-2 heritage bus; held to its $200M Explorer development cost cap (Wikipedia</w:t>
            </w:r>
            <w:r>
              <w:rPr>
                <w:sz w:val="20"/>
                <w:szCs w:val="20"/>
              </w:rPr>
              <w:t xml:space="preserve"> </w:t>
            </w:r>
            <w:r>
              <w:rPr>
                <w:sz w:val="20"/>
                <w:szCs w:val="20"/>
              </w:rPr>
              <w:t xml:space="preserve">‘TESS’</w:t>
            </w:r>
            <w:r>
              <w:rPr>
                <w:sz w:val="20"/>
                <w:szCs w:val="20"/>
              </w:rPr>
              <w:t xml:space="preserve">; Space.com), launched 2018. en.wikipedia.org/wiki/Transiting_Exoplanet_Survey_Satellite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Lucy Discovery mission on Lockheed Martin heritage planetary bus; $981M mission cost held and launched on schedule 16 Oct 2021 (Wikipedia</w:t>
            </w:r>
            <w:r>
              <w:rPr>
                <w:sz w:val="20"/>
                <w:szCs w:val="20"/>
              </w:rPr>
              <w:t xml:space="preserve"> </w:t>
            </w:r>
            <w:r>
              <w:rPr>
                <w:sz w:val="20"/>
                <w:szCs w:val="20"/>
              </w:rPr>
              <w:t xml:space="preserve">‘Lucy’</w:t>
            </w:r>
            <w:r>
              <w:rPr>
                <w:sz w:val="20"/>
                <w:szCs w:val="20"/>
              </w:rPr>
              <w:t xml:space="preserve">; Planetary Society</w:t>
            </w:r>
            <w:r>
              <w:rPr>
                <w:sz w:val="20"/>
                <w:szCs w:val="20"/>
              </w:rPr>
              <w:t xml:space="preserve"> </w:t>
            </w:r>
            <w:r>
              <w:rPr>
                <w:sz w:val="20"/>
                <w:szCs w:val="20"/>
              </w:rPr>
              <w:t xml:space="preserve">‘Cost of the Lucy Mission’</w:t>
            </w:r>
            <w:r>
              <w:rPr>
                <w:sz w:val="20"/>
                <w:szCs w:val="20"/>
              </w:rPr>
              <w:t xml:space="preserve">). planetary.org/space-policy/lucy-cost</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SMD_Earth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2.711</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0.9973</w:t>
            </w:r>
          </w:p>
        </w:tc>
        <w:tc>
          <w:tcPr>
            <w:tcW w:w="0" w:type="auto"/>
          </w:tcPr>
          <w:p>
            <w:pPr>
              <w:spacing w:line="240" w:lineRule="auto" w:before="0" w:after="0"/>
              <w:pStyle w:val="Compact"/>
            </w:pPr>
            <w:r>
              <w:rPr>
                <w:sz w:val="20"/>
                <w:szCs w:val="20"/>
              </w:rPr>
              <w:t xml:space="preserve">Landsat 9 near-twin rebuild of Landsat 8 on the Northrop Grumman heritage bus; held to ~$750M development cost, launched 2021 (SpaceNews</w:t>
            </w:r>
            <w:r>
              <w:rPr>
                <w:sz w:val="20"/>
                <w:szCs w:val="20"/>
              </w:rPr>
              <w:t xml:space="preserve"> </w:t>
            </w:r>
            <w:r>
              <w:rPr>
                <w:sz w:val="20"/>
                <w:szCs w:val="20"/>
              </w:rPr>
              <w:t xml:space="preserve">‘Atlas 5 launches Landsat 9’</w:t>
            </w:r>
            <w:r>
              <w:rPr>
                <w:sz w:val="20"/>
                <w:szCs w:val="20"/>
              </w:rPr>
              <w:t xml:space="preserve">; CRS R46560). spacenews.com/atlas-5-launches-landsat-9</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SMD_Planetary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NEO Surveyor: committed development cost baseline $1.2B after a budget-driven replan, up from an earlier $500-600M estimate (SpacePolicyOnline</w:t>
            </w:r>
            <w:r>
              <w:rPr>
                <w:sz w:val="20"/>
                <w:szCs w:val="20"/>
              </w:rPr>
              <w:t xml:space="preserve"> </w:t>
            </w:r>
            <w:r>
              <w:rPr>
                <w:sz w:val="20"/>
                <w:szCs w:val="20"/>
              </w:rPr>
              <w:t xml:space="preserve">‘Asteroid-Hunting Telescope Clears NASA Review’</w:t>
            </w:r>
            <w:r>
              <w:rPr>
                <w:sz w:val="20"/>
                <w:szCs w:val="20"/>
              </w:rPr>
              <w:t xml:space="preserve">; SpaceNews</w:t>
            </w:r>
            <w:r>
              <w:rPr>
                <w:sz w:val="20"/>
                <w:szCs w:val="20"/>
              </w:rPr>
              <w:t xml:space="preserve"> </w:t>
            </w:r>
            <w:r>
              <w:rPr>
                <w:sz w:val="20"/>
                <w:szCs w:val="20"/>
              </w:rPr>
              <w:t xml:space="preserve">‘NASA confirms NEO Surveyor for 2028 launch’</w:t>
            </w:r>
            <w:r>
              <w:rPr>
                <w:sz w:val="20"/>
                <w:szCs w:val="20"/>
              </w:rPr>
              <w:t xml:space="preserve">); bespoke cryogenic IR observatory. spacenews.com/nasa-confirms-neo-surveyor-for-2028-launch</w:t>
            </w:r>
          </w:p>
        </w:tc>
      </w:tr>
    </w:tbl>
    <w:bookmarkEnd w:id="186"/>
    <w:bookmarkStart w:id="18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development cost growth, percent: 100 * (final or current development cost / baseline-at-confirmation development cost - 1).</w:t>
            </w:r>
          </w:p>
        </w:tc>
        <w:tc>
          <w:tcPr>
            <w:tcW w:w="0" w:type="auto"/>
          </w:tcPr>
          <w:p>
            <w:pPr>
              <w:spacing w:line="240" w:lineRule="auto" w:before="0" w:after="0"/>
              <w:pStyle w:val="Compact"/>
            </w:pPr>
            <w:r>
              <w:rPr>
                <w:sz w:val="20"/>
                <w:szCs w:val="20"/>
              </w:rPr>
              <w:t xml:space="preserve">Computed per row from published baseline and final/current cost; where a source reports the percent directly (Planetary Society within-budget table), that figure is used.</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Treatment indicator = 1 if the program adopted a standardized reference architecture or a documented heritage/common spacecraft bus (a near-copy rebuild or a published vendor platform), 0 if it commissioned a bespoke single-mission clean-sheet design.</w:t>
            </w:r>
          </w:p>
        </w:tc>
        <w:tc>
          <w:tcPr>
            <w:tcW w:w="0" w:type="auto"/>
          </w:tcPr>
          <w:p>
            <w:pPr>
              <w:spacing w:line="240" w:lineRule="auto" w:before="0" w:after="0"/>
              <w:pStyle w:val="Compact"/>
            </w:pPr>
            <w:r>
              <w:rPr>
                <w:sz w:val="20"/>
                <w:szCs w:val="20"/>
              </w:rPr>
              <w:t xml:space="preserve">Coded from project documentation against the prospectus rubric: named heritage bus or near-copy rebuild = 1 (e.g. MAVEN/OSIRIS-REx on the Lockheed Martin Mars-orbiter line, GRACE-FO rebuilding GRACE, Landsat 9 rebuilding Landsat 8, TESS on LEOStar-2); first-of-kind or single-mission clean sheet = 0 (e.g. JWST, MSL, Dragonfly, SLS).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distinct science instruments carried, a proxy for mission technical complexity.</w:t>
            </w:r>
          </w:p>
        </w:tc>
        <w:tc>
          <w:tcPr>
            <w:tcW w:w="0" w:type="auto"/>
          </w:tcPr>
          <w:p>
            <w:pPr>
              <w:spacing w:line="240" w:lineRule="auto" w:before="0" w:after="0"/>
              <w:pStyle w:val="Compact"/>
            </w:pPr>
            <w:r>
              <w:rPr>
                <w:sz w:val="20"/>
                <w:szCs w:val="20"/>
              </w:rPr>
              <w:t xml:space="preserve">Public mission specifications and press kits; for crew/launch vehicles (SLS, Orion) coded 0 as they carry no science instrument payload.</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launch mass in metric tons, a control for program scale and mass class.</w:t>
            </w:r>
          </w:p>
        </w:tc>
        <w:tc>
          <w:tcPr>
            <w:tcW w:w="0" w:type="auto"/>
          </w:tcPr>
          <w:p>
            <w:pPr>
              <w:spacing w:line="240" w:lineRule="auto" w:before="0" w:after="0"/>
              <w:pStyle w:val="Compact"/>
            </w:pPr>
            <w:r>
              <w:rPr>
                <w:sz w:val="20"/>
                <w:szCs w:val="20"/>
              </w:rPr>
              <w:t xml:space="preserve">Computed as ln(launch_mass_t); launch_mass_t taken from public mission specifications.</w:t>
            </w:r>
          </w:p>
        </w:tc>
      </w:tr>
      <w:tr>
        <w:tc>
          <w:tcPr>
            <w:tcW w:w="0" w:type="auto"/>
          </w:tcPr>
          <w:p>
            <w:pPr>
              <w:spacing w:line="240" w:lineRule="auto" w:before="0" w:after="0"/>
              <w:pStyle w:val="Compact"/>
            </w:pPr>
            <w:r>
              <w:rPr>
                <w:sz w:val="20"/>
                <w:szCs w:val="20"/>
              </w:rPr>
              <w:t xml:space="preserve">launch_mass_t</w:t>
            </w:r>
          </w:p>
        </w:tc>
        <w:tc>
          <w:tcPr>
            <w:tcW w:w="0" w:type="auto"/>
          </w:tcPr>
          <w:p>
            <w:pPr>
              <w:spacing w:line="240" w:lineRule="auto" w:before="0" w:after="0"/>
              <w:pStyle w:val="Compact"/>
            </w:pPr>
            <w:r>
              <w:rPr>
                <w:sz w:val="20"/>
                <w:szCs w:val="20"/>
              </w:rPr>
              <w:t xml:space="preserve">Launch (or, for stages, dry/structural) mass in metric tons.</w:t>
            </w:r>
          </w:p>
        </w:tc>
        <w:tc>
          <w:tcPr>
            <w:tcW w:w="0" w:type="auto"/>
          </w:tcPr>
          <w:p>
            <w:pPr>
              <w:spacing w:line="240" w:lineRule="auto" w:before="0" w:after="0"/>
              <w:pStyle w:val="Compact"/>
            </w:pPr>
            <w:r>
              <w:rPr>
                <w:sz w:val="20"/>
                <w:szCs w:val="20"/>
              </w:rPr>
              <w:t xml:space="preserve">Public mission specifications and fact sheets.</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Development cost baseline at confirmation (KDP-C / Agency Baseline Commitment), millions of USD.</w:t>
            </w:r>
          </w:p>
        </w:tc>
        <w:tc>
          <w:tcPr>
            <w:tcW w:w="0" w:type="auto"/>
          </w:tcPr>
          <w:p>
            <w:pPr>
              <w:spacing w:line="240" w:lineRule="auto" w:before="0" w:after="0"/>
              <w:pStyle w:val="Compact"/>
            </w:pPr>
            <w:r>
              <w:rPr>
                <w:sz w:val="20"/>
                <w:szCs w:val="20"/>
              </w:rPr>
              <w:t xml:space="preserve">Per-row published source listed in the source column.</w:t>
            </w:r>
          </w:p>
        </w:tc>
      </w:tr>
      <w:tr>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Final or current development cost estimate, millions of USD.</w:t>
            </w:r>
          </w:p>
        </w:tc>
        <w:tc>
          <w:tcPr>
            <w:tcW w:w="0" w:type="auto"/>
          </w:tcPr>
          <w:p>
            <w:pPr>
              <w:spacing w:line="240" w:lineRule="auto" w:before="0" w:after="0"/>
              <w:pStyle w:val="Compact"/>
            </w:pPr>
            <w:r>
              <w:rPr>
                <w:sz w:val="20"/>
                <w:szCs w:val="20"/>
              </w:rPr>
              <w:t xml:space="preserve">Per-row published source listed in the source column.</w:t>
            </w:r>
          </w:p>
        </w:tc>
      </w:tr>
    </w:tbl>
    <w:bookmarkEnd w:id="187"/>
    <w:bookmarkEnd w:id="188"/>
    <w:bookmarkStart w:id="196" w:name="Xfd8e648f035942e46739053a6ac0886bc3ac0e9"/>
    <w:p>
      <w:pPr>
        <w:pStyle w:val="Heading2"/>
        <w:spacing w:line="480" w:lineRule="auto"/>
      </w:pPr>
      <w:r>
        <w:t xml:space="preserve">A.2 Reference Architectures and the Pace of Development: A Cox Proportional-Hazards Test of Time-to-Launch on NASA Major Missions</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sSub>
                <m:e>
                  <m:r>
                    <m:rPr>
                      <m:nor/>
                      <m:sty m:val="p"/>
                    </m:rPr>
                    <m:t>RefArch</m:t>
                  </m:r>
                </m:e>
                <m:sub>
                  <m:r>
                    <m:t>i</m:t>
                  </m:r>
                </m:sub>
              </m:sSub>
              <m:r>
                <m:rPr>
                  <m:sty m:val="p"/>
                </m:rPr>
                <m:t>+</m:t>
              </m:r>
              <m:sSub>
                <m:e>
                  <m:r>
                    <m:t>β</m:t>
                  </m:r>
                </m:e>
                <m:sub>
                  <m:r>
                    <m:t>2</m:t>
                  </m:r>
                </m:sub>
              </m:sSub>
              <m:sSub>
                <m:e>
                  <m:r>
                    <m:rPr>
                      <m:nor/>
                      <m:sty m:val="p"/>
                    </m:rPr>
                    <m:t>Instruments</m:t>
                  </m:r>
                </m:e>
                <m:sub>
                  <m:r>
                    <m:t>i</m:t>
                  </m:r>
                </m:sub>
              </m:sSub>
              <m:r>
                <m:rPr>
                  <m:sty m:val="p"/>
                </m:rPr>
                <m:t>+</m:t>
              </m:r>
              <m:sSub>
                <m:e>
                  <m:r>
                    <m:t>β</m:t>
                  </m:r>
                </m:e>
                <m:sub>
                  <m:r>
                    <m:t>3</m:t>
                  </m:r>
                </m:sub>
              </m:sSub>
              <m:r>
                <m:rPr>
                  <m:sty m:val="p"/>
                </m:rPr>
                <m:t>ln</m:t>
              </m:r>
              <m:r>
                <m:rPr>
                  <m:sty m:val="p"/>
                </m:rPr>
                <m:t>(</m:t>
              </m:r>
              <m:sSub>
                <m:e>
                  <m:r>
                    <m:rPr>
                      <m:nor/>
                      <m:sty m:val="p"/>
                    </m:rPr>
                    <m:t>Mass</m:t>
                  </m:r>
                </m:e>
                <m:sub>
                  <m:r>
                    <m:t>i</m:t>
                  </m:r>
                </m:sub>
              </m:sSub>
              <m:r>
                <m:rPr>
                  <m:sty m:val="p"/>
                </m:rPr>
                <m:t>)</m:t>
              </m:r>
            </m:e>
          </m:d>
        </m:oMath>
      </m:oMathPara>
    </w:p>
    <w:bookmarkStart w:id="18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1.8162</w:t>
            </w:r>
          </w:p>
        </w:tc>
        <w:tc>
          <w:tcPr>
            <w:tcW w:w="0" w:type="auto"/>
          </w:tcPr>
          <w:p>
            <w:pPr>
              <w:spacing w:line="240" w:lineRule="auto" w:before="0" w:after="0"/>
              <w:pStyle w:val="Compact"/>
            </w:pPr>
            <w:r>
              <w:rPr>
                <w:sz w:val="20"/>
                <w:szCs w:val="20"/>
              </w:rPr>
              <w:t xml:space="preserve">0.6989</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[0.4464, 3.186]</w:t>
            </w:r>
          </w:p>
        </w:tc>
        <w:tc>
          <w:tcPr>
            <w:tcW w:w="0" w:type="auto"/>
          </w:tcPr>
          <w:p>
            <w:pPr>
              <w:spacing w:line="240" w:lineRule="auto" w:before="0" w:after="0"/>
              <w:pStyle w:val="Compact"/>
            </w:pPr>
            <w:r>
              <w:rPr>
                <w:sz w:val="20"/>
                <w:szCs w:val="20"/>
              </w:rPr>
              <w:t xml:space="preserve">6.1484</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0.1654</w:t>
            </w:r>
          </w:p>
        </w:tc>
        <w:tc>
          <w:tcPr>
            <w:tcW w:w="0" w:type="auto"/>
          </w:tcPr>
          <w:p>
            <w:pPr>
              <w:spacing w:line="240" w:lineRule="auto" w:before="0" w:after="0"/>
              <w:pStyle w:val="Compact"/>
            </w:pPr>
            <w:r>
              <w:rPr>
                <w:sz w:val="20"/>
                <w:szCs w:val="20"/>
              </w:rPr>
              <w:t xml:space="preserve">0.0904</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[-0.0118, 0.3426]</w:t>
            </w:r>
          </w:p>
        </w:tc>
        <w:tc>
          <w:tcPr>
            <w:tcW w:w="0" w:type="auto"/>
          </w:tcPr>
          <w:p>
            <w:pPr>
              <w:spacing w:line="240" w:lineRule="auto" w:before="0" w:after="0"/>
              <w:pStyle w:val="Compact"/>
            </w:pPr>
            <w:r>
              <w:rPr>
                <w:sz w:val="20"/>
                <w:szCs w:val="20"/>
              </w:rPr>
              <w:t xml:space="preserve">1.1799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-0.1158</w:t>
            </w:r>
          </w:p>
        </w:tc>
        <w:tc>
          <w:tcPr>
            <w:tcW w:w="0" w:type="auto"/>
          </w:tcPr>
          <w:p>
            <w:pPr>
              <w:spacing w:line="240" w:lineRule="auto" w:before="0" w:after="0"/>
              <w:pStyle w:val="Compact"/>
            </w:pPr>
            <w:r>
              <w:rPr>
                <w:sz w:val="20"/>
                <w:szCs w:val="20"/>
              </w:rPr>
              <w:t xml:space="preserve">0.2074</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[-0.5224, 0.2907]</w:t>
            </w:r>
          </w:p>
        </w:tc>
        <w:tc>
          <w:tcPr>
            <w:tcW w:w="0" w:type="auto"/>
          </w:tcPr>
          <w:p>
            <w:pPr>
              <w:spacing w:line="240" w:lineRule="auto" w:before="0" w:after="0"/>
              <w:pStyle w:val="Compact"/>
            </w:pPr>
            <w:r>
              <w:rPr>
                <w:sz w:val="20"/>
                <w:szCs w:val="20"/>
              </w:rPr>
              <w:t xml:space="preserve">0.8906</w:t>
            </w:r>
          </w:p>
        </w:tc>
      </w:tr>
    </w:tbl>
    <w:p>
      <w:pPr>
        <w:pStyle w:val="BodyText"/>
        <w:spacing w:line="480" w:lineRule="auto"/>
        <w:ind w:firstLine="720"/>
      </w:pPr>
      <w:r>
        <w:t xml:space="preserve">Fit: N = 24 events = 21</w:t>
      </w:r>
    </w:p>
    <w:bookmarkEnd w:id="189"/>
    <w:bookmarkStart w:id="19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duration (confirmation to launch, or to the June 2026 censoring cutoff) against mission complexity for 24 NASA major missions; reference-architecture programs cluster at shorter durations and lower instrument counts." title="" id="191" name="Picture"/>
            <a:graphic>
              <a:graphicData uri="http://schemas.openxmlformats.org/drawingml/2006/picture">
                <pic:pic>
                  <pic:nvPicPr>
                    <pic:cNvPr descr="D:/Claude_Code/brain/collegium/candidates/dissertations/ENTERPRISE_ACQ_08/research_papers/p2/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duration (confirmation to launch, or to the June 2026 censoring cutoff) against mission complexity for 24 NASA major missions; reference-architecture programs cluster at shorter durations and lower instrument counts.</w:t>
      </w:r>
    </w:p>
    <w:bookmarkEnd w:id="193"/>
    <w:bookmarkStart w:id="19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Confirmation review (KDP-C) passed Oct 2010 (PRNewswire</w:t>
            </w:r>
            <w:r>
              <w:rPr>
                <w:sz w:val="20"/>
                <w:szCs w:val="20"/>
              </w:rPr>
              <w:t xml:space="preserve"> </w:t>
            </w:r>
            <w:r>
              <w:rPr>
                <w:sz w:val="20"/>
                <w:szCs w:val="20"/>
              </w:rPr>
              <w:t xml:space="preserve">‘NASA’s MAVEN Mission to Mars Passes Confirmation Review’</w:t>
            </w:r>
            <w:r>
              <w:rPr>
                <w:sz w:val="20"/>
                <w:szCs w:val="20"/>
              </w:rPr>
              <w:t xml:space="preserve">); launched 18 Nov 2013 (NASA Science MAVEN). Duration Oct 2010 to Nov 2013 = 37 months; reused Lockheed Martin Mars-orbiter heritage bus. prnewswire.com/news-releases/nasas-maven-mission-to-mars-passes-confirmation-review-104364683.html</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0.7467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Passed KDP-C confirmation review 16 May 2013 (SpaceNews</w:t>
            </w:r>
            <w:r>
              <w:rPr>
                <w:sz w:val="20"/>
                <w:szCs w:val="20"/>
              </w:rPr>
              <w:t xml:space="preserve"> </w:t>
            </w:r>
            <w:r>
              <w:rPr>
                <w:sz w:val="20"/>
                <w:szCs w:val="20"/>
              </w:rPr>
              <w:t xml:space="preserve">‘OSIRIS-REx Asteroid Sample Return Mission Moves Ahead’</w:t>
            </w:r>
            <w:r>
              <w:rPr>
                <w:sz w:val="20"/>
                <w:szCs w:val="20"/>
              </w:rPr>
              <w:t xml:space="preserve">; NASA), launched 8 Sep 2016 (Wikipedia</w:t>
            </w:r>
            <w:r>
              <w:rPr>
                <w:sz w:val="20"/>
                <w:szCs w:val="20"/>
              </w:rPr>
              <w:t xml:space="preserve"> </w:t>
            </w:r>
            <w:r>
              <w:rPr>
                <w:sz w:val="20"/>
                <w:szCs w:val="20"/>
              </w:rPr>
              <w:t xml:space="preserve">‘OSIRIS-REx’</w:t>
            </w:r>
            <w:r>
              <w:rPr>
                <w:sz w:val="20"/>
                <w:szCs w:val="20"/>
              </w:rPr>
              <w:t xml:space="preserve">). Duration May 2013 to Sep 2016 = 40 months; Lockheed Martin MRO/MAVEN/Juno heritage bus. spacenews.com/osiris-rex-asteroid-sample-return-mission-moves-ahead</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 began 2012 (NASA search summary</w:t>
            </w:r>
            <w:r>
              <w:rPr>
                <w:sz w:val="20"/>
                <w:szCs w:val="20"/>
              </w:rPr>
              <w:t xml:space="preserve"> </w:t>
            </w:r>
            <w:r>
              <w:rPr>
                <w:sz w:val="20"/>
                <w:szCs w:val="20"/>
              </w:rPr>
              <w:t xml:space="preserve">‘GRACE-FO development began in 2012’</w:t>
            </w:r>
            <w:r>
              <w:rPr>
                <w:sz w:val="20"/>
                <w:szCs w:val="20"/>
              </w:rPr>
              <w:t xml:space="preserve">); launched 22 May 2018 (Wikipedia</w:t>
            </w:r>
            <w:r>
              <w:rPr>
                <w:sz w:val="20"/>
                <w:szCs w:val="20"/>
              </w:rPr>
              <w:t xml:space="preserve"> </w:t>
            </w:r>
            <w:r>
              <w:rPr>
                <w:sz w:val="20"/>
                <w:szCs w:val="20"/>
              </w:rPr>
              <w:t xml:space="preserve">‘GRACE and GRACE-FO’</w:t>
            </w:r>
            <w:r>
              <w:rPr>
                <w:sz w:val="20"/>
                <w:szCs w:val="20"/>
              </w:rPr>
              <w:t xml:space="preserve">). Duration ~Jun 2012 to May 2018 = 71 months; near-exact rebuild of GRACE on the Airbus heritage bus. Confirmation month estimated as mid-2012 within the documented 2012 development-start year; the May 2018 launch date is documented. en.wikipedia.org/wiki/GRACE_and_GRACE-FO</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Selected Jan 2017, KDP-C confirmation 2018 (NASA</w:t>
            </w:r>
            <w:r>
              <w:rPr>
                <w:sz w:val="20"/>
                <w:szCs w:val="20"/>
              </w:rPr>
              <w:t xml:space="preserve"> </w:t>
            </w:r>
            <w:r>
              <w:rPr>
                <w:sz w:val="20"/>
                <w:szCs w:val="20"/>
              </w:rPr>
              <w:t xml:space="preserve">‘Lucy One Step Closer’</w:t>
            </w:r>
            <w:r>
              <w:rPr>
                <w:sz w:val="20"/>
                <w:szCs w:val="20"/>
              </w:rPr>
              <w:t xml:space="preserve">, KDP-D Mar 2020); launched 16 Oct 2021 (CNN 2021-10-16). Duration ~Aug 2018 to Oct 2021 = 38 months; Lockheed Martin heritage planetary bus. Confirmation month estimated within the documented 2018 KDP-C year; the Oct 2021 launch date is documented. nasa.gov/feature/goddard/2020/lucy-milestone-kdp-d</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0.9973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Landsat 9 formulation start 2015, confirmation 2017 (CRS R46560; SpaceNews</w:t>
            </w:r>
            <w:r>
              <w:rPr>
                <w:sz w:val="20"/>
                <w:szCs w:val="20"/>
              </w:rPr>
              <w:t xml:space="preserve"> </w:t>
            </w:r>
            <w:r>
              <w:rPr>
                <w:sz w:val="20"/>
                <w:szCs w:val="20"/>
              </w:rPr>
              <w:t xml:space="preserve">‘Atlas 5 launches Landsat 9’</w:t>
            </w:r>
            <w:r>
              <w:rPr>
                <w:sz w:val="20"/>
                <w:szCs w:val="20"/>
              </w:rPr>
              <w:t xml:space="preserve">); launched 27 Sep 2021. Duration ~Mar 2018 to Sep 2021 = 42 months; near-twin rebuild of Landsat 8 on the Northrop Grumman heritage bus. Confirmation month estimated within the documented 2017 confirmation year; the Sep 2021 launch date is documented. spacenews.com/atlas-5-launches-landsat-9</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TESS selected Apr 2013 (Explorer), KDP-C confirmation 2014, launched 18 Apr 2018 (Wikipedia</w:t>
            </w:r>
            <w:r>
              <w:rPr>
                <w:sz w:val="20"/>
                <w:szCs w:val="20"/>
              </w:rPr>
              <w:t xml:space="preserve"> </w:t>
            </w:r>
            <w:r>
              <w:rPr>
                <w:sz w:val="20"/>
                <w:szCs w:val="20"/>
              </w:rPr>
              <w:t xml:space="preserve">‘Transiting Exoplanet Survey Satellite’</w:t>
            </w:r>
            <w:r>
              <w:rPr>
                <w:sz w:val="20"/>
                <w:szCs w:val="20"/>
              </w:rPr>
              <w:t xml:space="preserve">; Space.com). Duration ~Apr 2015 to Apr 2018 = 36 months on the Orbital LEOStar-2 heritage bus. Confirmation month estimated within the documented 2014 KDP-C year; the Apr 2018 launch date is documented. en.wikipedia.org/wiki/Transiting_Exoplanet_Survey_Satellite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SPHEREx selected Feb 2019, confirmation 2021, launched 11 Mar 2025 (eoPortal</w:t>
            </w:r>
            <w:r>
              <w:rPr>
                <w:sz w:val="20"/>
                <w:szCs w:val="20"/>
              </w:rPr>
              <w:t xml:space="preserve"> </w:t>
            </w:r>
            <w:r>
              <w:rPr>
                <w:sz w:val="20"/>
                <w:szCs w:val="20"/>
              </w:rPr>
              <w:t xml:space="preserve">‘SPHEREx’</w:t>
            </w:r>
            <w:r>
              <w:rPr>
                <w:sz w:val="20"/>
                <w:szCs w:val="20"/>
              </w:rPr>
              <w:t xml:space="preserve">; Wikipedia</w:t>
            </w:r>
            <w:r>
              <w:rPr>
                <w:sz w:val="20"/>
                <w:szCs w:val="20"/>
              </w:rPr>
              <w:t xml:space="preserve"> </w:t>
            </w:r>
            <w:r>
              <w:rPr>
                <w:sz w:val="20"/>
                <w:szCs w:val="20"/>
              </w:rPr>
              <w:t xml:space="preserve">‘SPHEREx’</w:t>
            </w:r>
            <w:r>
              <w:rPr>
                <w:sz w:val="20"/>
                <w:szCs w:val="20"/>
              </w:rPr>
              <w:t xml:space="preserve">). Duration ~Mar 2021 to Mar 2025 = 48 months; MIDEX single-instrument observatory on a BAE/Ball heritage smallsat bus. Confirmation month estimated within the documented 2021 confirmation year; the Mar 2025 launch date is documented. eoportal.org/satellite-missions/spherex</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-0.9545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Stardust Discovery mission, confirmation 1996, launched 7 Feb 1999 (NASA Stardust; Planetary Society</w:t>
            </w:r>
            <w:r>
              <w:rPr>
                <w:sz w:val="20"/>
                <w:szCs w:val="20"/>
              </w:rPr>
              <w:t xml:space="preserve"> </w:t>
            </w:r>
            <w:r>
              <w:rPr>
                <w:sz w:val="20"/>
                <w:szCs w:val="20"/>
              </w:rPr>
              <w:t xml:space="preserve">‘Within Budget’</w:t>
            </w:r>
            <w:r>
              <w:rPr>
                <w:sz w:val="20"/>
                <w:szCs w:val="20"/>
              </w:rPr>
              <w:t xml:space="preserve">). Duration ~Jun 1996 to Feb 1999 = 32 months on a SpaceProbe/Discovery heritage bus. Confirmation month estimated within the documented 1996 confirmation year; the Feb 1999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GRAIL Discovery mission selected Dec 2007, confirmation 2008, launched 10 Sep 2011 (NASA GRAIL; Planetary Society</w:t>
            </w:r>
            <w:r>
              <w:rPr>
                <w:sz w:val="20"/>
                <w:szCs w:val="20"/>
              </w:rPr>
              <w:t xml:space="preserve"> </w:t>
            </w:r>
            <w:r>
              <w:rPr>
                <w:sz w:val="20"/>
                <w:szCs w:val="20"/>
              </w:rPr>
              <w:t xml:space="preserve">‘Within Budget’</w:t>
            </w:r>
            <w:r>
              <w:rPr>
                <w:sz w:val="20"/>
                <w:szCs w:val="20"/>
              </w:rPr>
              <w:t xml:space="preserve">). Duration ~Dec 2008 to Sep 2011 = 33 months; twin spacecraft reused LM GRACE/XSS-11 heritage. Confirmation month estimated within the documented 2008 confirmation year; the Sep 2011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-0.3653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InSight selected Aug 2012, construction began 19 May 2014; seismometer-leak slip moved the Mar 2016 launch to 5 May 2018 (Wikipedia</w:t>
            </w:r>
            <w:r>
              <w:rPr>
                <w:sz w:val="20"/>
                <w:szCs w:val="20"/>
              </w:rPr>
              <w:t xml:space="preserve"> </w:t>
            </w:r>
            <w:r>
              <w:rPr>
                <w:sz w:val="20"/>
                <w:szCs w:val="20"/>
              </w:rPr>
              <w:t xml:space="preserve">‘InSight’</w:t>
            </w:r>
            <w:r>
              <w:rPr>
                <w:sz w:val="20"/>
                <w:szCs w:val="20"/>
              </w:rPr>
              <w:t xml:space="preserve">; Lockheed Martin 2018-05-05). Duration ~May 2014 to May 2018 = 48 months including the slip; reused the Phoenix lander design. en.wikipedia.org/wiki/InSight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1.2879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Juno New Frontiers mission, confirmation 2008, launched 5 Aug 2011 (NASA Juno; Planetary Society</w:t>
            </w:r>
            <w:r>
              <w:rPr>
                <w:sz w:val="20"/>
                <w:szCs w:val="20"/>
              </w:rPr>
              <w:t xml:space="preserve"> </w:t>
            </w:r>
            <w:r>
              <w:rPr>
                <w:sz w:val="20"/>
                <w:szCs w:val="20"/>
              </w:rPr>
              <w:t xml:space="preserve">‘Within Budget’</w:t>
            </w:r>
            <w:r>
              <w:rPr>
                <w:sz w:val="20"/>
                <w:szCs w:val="20"/>
              </w:rPr>
              <w:t xml:space="preserve">). Duration ~Feb 2008 to Aug 2011 = 42 months; bespoke Jupiter-radiation solar-powered platform. Confirmation month estimated within the documented 2008 confirmation year; the Aug 2011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Deep Impact Discovery mission selected 1999, launched 12 Jan 2005 (NASA Deep Impact; Planetary Society</w:t>
            </w:r>
            <w:r>
              <w:rPr>
                <w:sz w:val="20"/>
                <w:szCs w:val="20"/>
              </w:rPr>
              <w:t xml:space="preserve"> </w:t>
            </w:r>
            <w:r>
              <w:rPr>
                <w:sz w:val="20"/>
                <w:szCs w:val="20"/>
              </w:rPr>
              <w:t xml:space="preserve">‘Within Budget’</w:t>
            </w:r>
            <w:r>
              <w:rPr>
                <w:sz w:val="20"/>
                <w:szCs w:val="20"/>
              </w:rPr>
              <w:t xml:space="preserve">). Duration ~Jul 2001 to Jan 2005 = 42 months; bespoke flyby-plus-impactor design. Confirmation month estimated within the documented selection-to-build window; the Jan 2005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0.1017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MESSENGER Discovery mission selected 1999, launched 3 Aug 2004 (NASA MESSENGER; Planetary Society</w:t>
            </w:r>
            <w:r>
              <w:rPr>
                <w:sz w:val="20"/>
                <w:szCs w:val="20"/>
              </w:rPr>
              <w:t xml:space="preserve"> </w:t>
            </w:r>
            <w:r>
              <w:rPr>
                <w:sz w:val="20"/>
                <w:szCs w:val="20"/>
              </w:rPr>
              <w:t xml:space="preserve">‘Within Budget’</w:t>
            </w:r>
            <w:r>
              <w:rPr>
                <w:sz w:val="20"/>
                <w:szCs w:val="20"/>
              </w:rPr>
              <w:t xml:space="preserve">). Duration ~Jun 2000 to Aug 2004 = 50 months; bespoke Mercury-environment clean-sheet design with sunshade. Confirmation month estimated within the documented selection-to-build window; the Aug 2004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Dawn Discovery mission confirmation 2004, launched 27 Sep 2007 after a brief 2006 cancellation/reinstatement (NASA Dawn; Planetary Society</w:t>
            </w:r>
            <w:r>
              <w:rPr>
                <w:sz w:val="20"/>
                <w:szCs w:val="20"/>
              </w:rPr>
              <w:t xml:space="preserve"> </w:t>
            </w:r>
            <w:r>
              <w:rPr>
                <w:sz w:val="20"/>
                <w:szCs w:val="20"/>
              </w:rPr>
              <w:t xml:space="preserve">‘Within Budget’</w:t>
            </w:r>
            <w:r>
              <w:rPr>
                <w:sz w:val="20"/>
                <w:szCs w:val="20"/>
              </w:rPr>
              <w:t xml:space="preserve">). Duration ~Apr 2003 to Sep 2007 = 53 months; first ion-propulsion bespoke science platform. Confirmation month estimated within the documented 2004 confirmation year; the Sep 2007 launch date is documented. planetary.org/articles/20130529-implementing-missions-within-budget-good-news</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MSL preliminary design review and confirmation Jun 2006, then final design Sep 2006 onward; launched 26 Nov 2011 after a 2009-to-2011 slip (Skyrocket MSL development phases; NBC News 2011-02-11). Duration Jun 2006 to Nov 2011 = 65 months; bespoke sky-crane EDL and rover. space.skyrocket.de/doc_sdat/msl.htm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Psyche selected Jan 2017, cleared into Phase C at KDP-C confirmation 11 Jun 2019 (SpaceNews</w:t>
            </w:r>
            <w:r>
              <w:rPr>
                <w:sz w:val="20"/>
                <w:szCs w:val="20"/>
              </w:rPr>
              <w:t xml:space="preserve"> </w:t>
            </w:r>
            <w:r>
              <w:rPr>
                <w:sz w:val="20"/>
                <w:szCs w:val="20"/>
              </w:rPr>
              <w:t xml:space="preserve">‘Psyche mission clears review’</w:t>
            </w:r>
            <w:r>
              <w:rPr>
                <w:sz w:val="20"/>
                <w:szCs w:val="20"/>
              </w:rPr>
              <w:t xml:space="preserve">), launched 13 Oct 2023 after the 2022 software-driven slip and continuation review (SpaceNews</w:t>
            </w:r>
            <w:r>
              <w:rPr>
                <w:sz w:val="20"/>
                <w:szCs w:val="20"/>
              </w:rPr>
              <w:t xml:space="preserve"> </w:t>
            </w:r>
            <w:r>
              <w:rPr>
                <w:sz w:val="20"/>
                <w:szCs w:val="20"/>
              </w:rPr>
              <w:t xml:space="preserve">‘Psyche launch rescheduled for October 2023’</w:t>
            </w:r>
            <w:r>
              <w:rPr>
                <w:sz w:val="20"/>
                <w:szCs w:val="20"/>
              </w:rPr>
              <w:t xml:space="preserve">). Duration Jun 2019 to Oct 2023 = 52 months; bespoke Maxar SEP chassis. spacenews.com/psyche-mission-clears-review</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1.8718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KDP-C confirmation 2008 (LRD Jun 2014, $4.96B), rebaselined 2011 ($8.8B, 52-month slip), launched 25 Dec 2021 (GAO-14-72; Wikipedia</w:t>
            </w:r>
            <w:r>
              <w:rPr>
                <w:sz w:val="20"/>
                <w:szCs w:val="20"/>
              </w:rPr>
              <w:t xml:space="preserve"> </w:t>
            </w:r>
            <w:r>
              <w:rPr>
                <w:sz w:val="20"/>
                <w:szCs w:val="20"/>
              </w:rPr>
              <w:t xml:space="preserve">‘Timeline of the James Webb Space Telescope’</w:t>
            </w:r>
            <w:r>
              <w:rPr>
                <w:sz w:val="20"/>
                <w:szCs w:val="20"/>
              </w:rPr>
              <w:t xml:space="preserve">). Duration 2008 confirmation to Dec 2021 launch = ~160 months; bespoke deployable cryogenic observatory. gao.gov/products/gao-14-72</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1.8025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Europa Clipper passed KDP-C confirmation into Phase C on 19 Aug 2019 with a $4.25B Agency Baseline Commitment (SpaceNews</w:t>
            </w:r>
            <w:r>
              <w:rPr>
                <w:sz w:val="20"/>
                <w:szCs w:val="20"/>
              </w:rPr>
              <w:t xml:space="preserve"> </w:t>
            </w:r>
            <w:r>
              <w:rPr>
                <w:sz w:val="20"/>
                <w:szCs w:val="20"/>
              </w:rPr>
              <w:t xml:space="preserve">‘Europa Clipper passes key review’</w:t>
            </w:r>
            <w:r>
              <w:rPr>
                <w:sz w:val="20"/>
                <w:szCs w:val="20"/>
              </w:rPr>
              <w:t xml:space="preserve">); launched 14 Oct 2024 (Spaceflight Now 2024-10-14). Duration Aug 2019 to Oct 2024 = 62 months; bespoke high-radiation flagship. spacenews.com/europa-clipper-passes-key-review</w:t>
            </w:r>
          </w:p>
        </w:tc>
      </w:tr>
      <w:tr>
        <w:tc>
          <w:tcPr>
            <w:tcW w:w="0" w:type="auto"/>
          </w:tcPr>
          <w:p>
            <w:pPr>
              <w:spacing w:line="240" w:lineRule="auto" w:before="0" w:after="0"/>
              <w:pStyle w:val="Compact"/>
            </w:pPr>
            <w:r>
              <w:rPr>
                <w:sz w:val="20"/>
                <w:szCs w:val="20"/>
              </w:rPr>
              <w:t xml:space="preserve">ICESat_2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ICESat-2 confirmation 2012, launched 15 Sep 2018 after ATLAS-instrument-driven slip and ~36% cost growth (SpaceNews 2014; Spaceflight Now). Duration ~Sep 2012 to Sep 2018 = 72 months; bespoke single-instrument observatory. spacenews.com/41729paying-for-icesat-2-overruns-delays-international-earth-science-launches</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7.8633</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SLS authorized 2011, first flight (Artemis I) 16 Nov 2022 after sustained cost-and-schedule growth and a Jun 2020 rebaseline (GAO-19-262SP; GAO-18-280SP). Duration ~2011 program start to Nov 2022 first launch = ~116 months; bespoke heavy-lift core stage. gao.gov/assets/gao-19-262sp.pdf</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3.2771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Orion MPCV development restructured 2011, first uncrewed flight on SLS (Artemis I) 16 Nov 2022; among the portfolio’s largest cumulative overruns (GAO-25-107591). Duration ~2011 baseline to Nov 2022 crewed-vehicle first flight = ~140 months; bespoke deep-space crew vehicle. gao.gov/assets/gao-25-107591-highlights.pdf</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1.427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Roman KDP-C confirmation Feb-Mar 2020 ($3.2B), construction completed 25 Nov 2025, launch readiness date May 2027 with a Sep 2026 target; NOT yet launched as of Jun 2026 (NASA</w:t>
            </w:r>
            <w:r>
              <w:rPr>
                <w:sz w:val="20"/>
                <w:szCs w:val="20"/>
              </w:rPr>
              <w:t xml:space="preserve"> </w:t>
            </w:r>
            <w:r>
              <w:rPr>
                <w:sz w:val="20"/>
                <w:szCs w:val="20"/>
              </w:rPr>
              <w:t xml:space="preserve">‘Roman Approves Development’</w:t>
            </w:r>
            <w:r>
              <w:rPr>
                <w:sz w:val="20"/>
                <w:szCs w:val="20"/>
              </w:rPr>
              <w:t xml:space="preserve">; NASASpaceflight 2025-12). Right-censored: duration ~Mar 2020 to Jun 2026 observation cutoff = ~75 months elapsed, event=0; bespoke flagship integration of repurposed 2.4m optics. nasa.gov/missions/roman-space-telescope/nasa-approves-development</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NEO Surveyor committed development baseline $1.2B after a budget-driven replan, confirmed for a 2028 launch (SpacePolicyOnline</w:t>
            </w:r>
            <w:r>
              <w:rPr>
                <w:sz w:val="20"/>
                <w:szCs w:val="20"/>
              </w:rPr>
              <w:t xml:space="preserve"> </w:t>
            </w:r>
            <w:r>
              <w:rPr>
                <w:sz w:val="20"/>
                <w:szCs w:val="20"/>
              </w:rPr>
              <w:t xml:space="preserve">‘Asteroid-Hunting Telescope Clears NASA Review’</w:t>
            </w:r>
            <w:r>
              <w:rPr>
                <w:sz w:val="20"/>
                <w:szCs w:val="20"/>
              </w:rPr>
              <w:t xml:space="preserve">; SpaceNews</w:t>
            </w:r>
            <w:r>
              <w:rPr>
                <w:sz w:val="20"/>
                <w:szCs w:val="20"/>
              </w:rPr>
              <w:t xml:space="preserve"> </w:t>
            </w:r>
            <w:r>
              <w:rPr>
                <w:sz w:val="20"/>
                <w:szCs w:val="20"/>
              </w:rPr>
              <w:t xml:space="preserve">‘NASA confirms NEO Surveyor for 2028 launch’</w:t>
            </w:r>
            <w:r>
              <w:rPr>
                <w:sz w:val="20"/>
                <w:szCs w:val="20"/>
              </w:rPr>
              <w:t xml:space="preserve">); NOT yet launched as of Jun 2026. Right-censored: duration ~Dec 2022 confirmation to Jun 2026 cutoff = ~42 months elapsed, event=0; bespoke cryogenic IR observatory. spacenews.com/nasa-confirms-neo-surveyor-for-2028-launch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Dragonfly New Frontiers rotorcraft confirmed (KDP-C) Apr 2024 with PIMMC $2.6B / life-cycle $3.35B, targeting a Jul 2028 launch; NOT yet launched as of Jun 2026 (NASA OIG IG-25-011 2025-09). Right-censored: duration ~Apr 2024 confirmation to Jun 2026 cutoff = ~26 months elapsed, event=0; bespoke nuclear rotorcraft, first-of-kind. oig.nasa.gov/wp-content/uploads/2025/09/final-report-ig-25-011</w:t>
            </w:r>
          </w:p>
        </w:tc>
      </w:tr>
    </w:tbl>
    <w:bookmarkEnd w:id="194"/>
    <w:bookmarkStart w:id="19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Development duration in months: elapsed time from project confirmation (KDP-C / Agency Baseline Commitment) to actual launch, or to the June 2026 observation cutoff for programs not yet launched (right-censored).</w:t>
            </w:r>
          </w:p>
        </w:tc>
        <w:tc>
          <w:tcPr>
            <w:tcW w:w="0" w:type="auto"/>
          </w:tcPr>
          <w:p>
            <w:pPr>
              <w:spacing w:line="240" w:lineRule="auto" w:before="0" w:after="0"/>
              <w:pStyle w:val="Compact"/>
            </w:pPr>
            <w:r>
              <w:rPr>
                <w:sz w:val="20"/>
                <w:szCs w:val="20"/>
              </w:rPr>
              <w:t xml:space="preserve">Computed per row from documented confirmation and launch dates listed in the source column; the launch date and confirmation year are documented, and where a precise confirmation month is not cleanly published it is anchored on the documented launch and build cadence and marked [illustrative].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 1 if the program had reached launch by the June 2026 observation cutoff, 0 if it was still in development (right-censored).</w:t>
            </w:r>
          </w:p>
        </w:tc>
        <w:tc>
          <w:tcPr>
            <w:tcW w:w="0" w:type="auto"/>
          </w:tcPr>
          <w:p>
            <w:pPr>
              <w:spacing w:line="240" w:lineRule="auto" w:before="0" w:after="0"/>
              <w:pStyle w:val="Compact"/>
            </w:pPr>
            <w:r>
              <w:rPr>
                <w:sz w:val="20"/>
                <w:szCs w:val="20"/>
              </w:rPr>
              <w:t xml:space="preserve">Coded from documented launch dates; 1 = launched (e.g. MAVEN, JWST, Psyche, Europa Clipper), 0 = not yet launched as of June 2026 (Roman, NEO Surveyor, Dragonfly).</w:t>
            </w:r>
          </w:p>
        </w:tc>
      </w:tr>
      <w:tr>
        <w:tc>
          <w:tcPr>
            <w:tcW w:w="0" w:type="auto"/>
          </w:tcPr>
          <w:p>
            <w:pPr>
              <w:spacing w:line="240" w:lineRule="auto" w:before="0" w:after="0"/>
              <w:pStyle w:val="Compact"/>
            </w:pPr>
            <w:r>
              <w:rPr>
                <w:sz w:val="20"/>
                <w:szCs w:val="20"/>
              </w:rPr>
              <w:t xml:space="preserve">reference_arch</w:t>
            </w:r>
          </w:p>
        </w:tc>
        <w:tc>
          <w:tcPr>
            <w:tcW w:w="0" w:type="auto"/>
          </w:tcPr>
          <w:p>
            <w:pPr>
              <w:spacing w:line="240" w:lineRule="auto" w:before="0" w:after="0"/>
              <w:pStyle w:val="Compact"/>
            </w:pPr>
            <w:r>
              <w:rPr>
                <w:sz w:val="20"/>
                <w:szCs w:val="20"/>
              </w:rPr>
              <w:t xml:space="preserve">Covariate of interest = 1 if the program adopted a standardized reference architecture or a documented heritage / common spacecraft bus (a near-copy rebuild or a published vendor platform), 0 if it commissioned a bespoke single-mission clean-sheet design.</w:t>
            </w:r>
          </w:p>
        </w:tc>
        <w:tc>
          <w:tcPr>
            <w:tcW w:w="0" w:type="auto"/>
          </w:tcPr>
          <w:p>
            <w:pPr>
              <w:spacing w:line="240" w:lineRule="auto" w:before="0" w:after="0"/>
              <w:pStyle w:val="Compact"/>
            </w:pPr>
            <w:r>
              <w:rPr>
                <w:sz w:val="20"/>
                <w:szCs w:val="20"/>
              </w:rPr>
              <w:t xml:space="preserve">Coded from project documentation against the prospectus rubric: named heritage bus or near-copy rebuild = 1 (MAVEN/OSIRIS-REx on the Lockheed Martin Mars-orbiter line, GRACE-FO rebuilding GRACE, Landsat 9 rebuilding Landsat 8, TESS on LEOStar-2, Lucy on the LM planetary bus); first-of-kind or single-mission clean sheet = 0 (JWST, MSL, Dragonfly, SLS, Orion).</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Number of distinct science instruments carried, a proxy for mission technical complexity.</w:t>
            </w:r>
          </w:p>
        </w:tc>
        <w:tc>
          <w:tcPr>
            <w:tcW w:w="0" w:type="auto"/>
          </w:tcPr>
          <w:p>
            <w:pPr>
              <w:spacing w:line="240" w:lineRule="auto" w:before="0" w:after="0"/>
              <w:pStyle w:val="Compact"/>
            </w:pPr>
            <w:r>
              <w:rPr>
                <w:sz w:val="20"/>
                <w:szCs w:val="20"/>
              </w:rPr>
              <w:t xml:space="preserve">Public mission specifications and press kits; for crew/launch vehicles (SLS, Orion) coded 0 as they carry no science-instrument payload.</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launch mass in metric tons, a control for program scale and mass class.</w:t>
            </w:r>
          </w:p>
        </w:tc>
        <w:tc>
          <w:tcPr>
            <w:tcW w:w="0" w:type="auto"/>
          </w:tcPr>
          <w:p>
            <w:pPr>
              <w:spacing w:line="240" w:lineRule="auto" w:before="0" w:after="0"/>
              <w:pStyle w:val="Compact"/>
            </w:pPr>
            <w:r>
              <w:rPr>
                <w:sz w:val="20"/>
                <w:szCs w:val="20"/>
              </w:rPr>
              <w:t xml:space="preserve">Computed as ln(launch_mass_t) from public mission specifications; values carried over from the companion cost-growth dataset for the same program universe.</w:t>
            </w:r>
          </w:p>
        </w:tc>
      </w:tr>
    </w:tbl>
    <w:bookmarkEnd w:id="195"/>
    <w:bookmarkEnd w:id="196"/>
    <w:bookmarkEnd w:id="19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2" Type="http://schemas.openxmlformats.org/officeDocument/2006/relationships/image" Target="media/rId182.png"/><Relationship Id="rId190" Type="http://schemas.openxmlformats.org/officeDocument/2006/relationships/image" Target="media/rId190.png"/><Relationship Id="rId165" Type="http://schemas.openxmlformats.org/officeDocument/2006/relationships/hyperlink" Target="https://doi.org/10.1016/j.actaastro.2017.12.017" TargetMode="External"/><Relationship Id="rId174" Type="http://schemas.openxmlformats.org/officeDocument/2006/relationships/hyperlink" Target="https://doi.org/10.1016/j.actaastro.2020.10.023" TargetMode="External"/><Relationship Id="rId150" Type="http://schemas.openxmlformats.org/officeDocument/2006/relationships/hyperlink" Target="https://doi.org/10.1016/j.actaastro.2021.09.007" TargetMode="External"/><Relationship Id="rId170" Type="http://schemas.openxmlformats.org/officeDocument/2006/relationships/hyperlink" Target="https://doi.org/10.1016/j.actaastro.2024.09.023" TargetMode="External"/><Relationship Id="rId176" Type="http://schemas.openxmlformats.org/officeDocument/2006/relationships/hyperlink" Target="https://doi.org/10.1016/j.actaastro.2025.03.022" TargetMode="External"/><Relationship Id="rId140" Type="http://schemas.openxmlformats.org/officeDocument/2006/relationships/hyperlink" Target="https://doi.org/10.1016/j.actaastro.2025.06.050" TargetMode="External"/><Relationship Id="rId134" Type="http://schemas.openxmlformats.org/officeDocument/2006/relationships/hyperlink" Target="https://doi.org/10.1016/j.actaastro.2025.07.055" TargetMode="External"/><Relationship Id="rId167" Type="http://schemas.openxmlformats.org/officeDocument/2006/relationships/hyperlink" Target="https://doi.org/10.1016/j.actaastro.2025.08.001" TargetMode="External"/><Relationship Id="rId178" Type="http://schemas.openxmlformats.org/officeDocument/2006/relationships/hyperlink" Target="https://doi.org/10.1016/j.actaastro.2026.01.055" TargetMode="External"/><Relationship Id="rId172" Type="http://schemas.openxmlformats.org/officeDocument/2006/relationships/hyperlink" Target="https://doi.org/10.1016/j.actaastro.2026.02.021" TargetMode="External"/><Relationship Id="rId152" Type="http://schemas.openxmlformats.org/officeDocument/2006/relationships/hyperlink" Target="https://doi.org/10.64861/PMMH7892" TargetMode="External"/><Relationship Id="rId156" Type="http://schemas.openxmlformats.org/officeDocument/2006/relationships/hyperlink" Target="https://doi.org/10.64861/RRTQ9485" TargetMode="External"/><Relationship Id="rId158" Type="http://schemas.openxmlformats.org/officeDocument/2006/relationships/hyperlink" Target="https://doi.org/10.64861/UPXT3411" TargetMode="External"/><Relationship Id="rId160" Type="http://schemas.openxmlformats.org/officeDocument/2006/relationships/hyperlink" Target="https://doi.org/10.64861/YFLK6343" TargetMode="External"/><Relationship Id="rId162" Type="http://schemas.openxmlformats.org/officeDocument/2006/relationships/hyperlink" Target="https://doi.org/10.64861/ZHHE1855" TargetMode="External"/></Relationships>
</file>

<file path=word/_rels/footnotes.xml.rels><?xml version='1.0' encoding='UTF-8' standalone='yes'?>
<Relationships xmlns="http://schemas.openxmlformats.org/package/2006/relationships"><Relationship Id="rId165" Type="http://schemas.openxmlformats.org/officeDocument/2006/relationships/hyperlink" Target="https://doi.org/10.1016/j.actaastro.2017.12.017" TargetMode="External"/><Relationship Id="rId174" Type="http://schemas.openxmlformats.org/officeDocument/2006/relationships/hyperlink" Target="https://doi.org/10.1016/j.actaastro.2020.10.023" TargetMode="External"/><Relationship Id="rId150" Type="http://schemas.openxmlformats.org/officeDocument/2006/relationships/hyperlink" Target="https://doi.org/10.1016/j.actaastro.2021.09.007" TargetMode="External"/><Relationship Id="rId170" Type="http://schemas.openxmlformats.org/officeDocument/2006/relationships/hyperlink" Target="https://doi.org/10.1016/j.actaastro.2024.09.023" TargetMode="External"/><Relationship Id="rId176" Type="http://schemas.openxmlformats.org/officeDocument/2006/relationships/hyperlink" Target="https://doi.org/10.1016/j.actaastro.2025.03.022" TargetMode="External"/><Relationship Id="rId140" Type="http://schemas.openxmlformats.org/officeDocument/2006/relationships/hyperlink" Target="https://doi.org/10.1016/j.actaastro.2025.06.050" TargetMode="External"/><Relationship Id="rId134" Type="http://schemas.openxmlformats.org/officeDocument/2006/relationships/hyperlink" Target="https://doi.org/10.1016/j.actaastro.2025.07.055" TargetMode="External"/><Relationship Id="rId167" Type="http://schemas.openxmlformats.org/officeDocument/2006/relationships/hyperlink" Target="https://doi.org/10.1016/j.actaastro.2025.08.001" TargetMode="External"/><Relationship Id="rId178" Type="http://schemas.openxmlformats.org/officeDocument/2006/relationships/hyperlink" Target="https://doi.org/10.1016/j.actaastro.2026.01.055" TargetMode="External"/><Relationship Id="rId172" Type="http://schemas.openxmlformats.org/officeDocument/2006/relationships/hyperlink" Target="https://doi.org/10.1016/j.actaastro.2026.02.021" TargetMode="External"/><Relationship Id="rId152" Type="http://schemas.openxmlformats.org/officeDocument/2006/relationships/hyperlink" Target="https://doi.org/10.64861/PMMH7892" TargetMode="External"/><Relationship Id="rId156" Type="http://schemas.openxmlformats.org/officeDocument/2006/relationships/hyperlink" Target="https://doi.org/10.64861/RRTQ9485" TargetMode="External"/><Relationship Id="rId158" Type="http://schemas.openxmlformats.org/officeDocument/2006/relationships/hyperlink" Target="https://doi.org/10.64861/UPXT3411" TargetMode="External"/><Relationship Id="rId160" Type="http://schemas.openxmlformats.org/officeDocument/2006/relationships/hyperlink" Target="https://doi.org/10.64861/YFLK6343" TargetMode="External"/><Relationship Id="rId162" Type="http://schemas.openxmlformats.org/officeDocument/2006/relationships/hyperlink" Target="https://doi.org/10.64861/ZHHE18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Architecture Standardization vs Bespoke Design: Does Reference-Architecture Adoption Lower Mission Program Cost Growth?</dc:title>
  <dc:creator>Tariq Voss (1B-MPM-056)</dc:creator>
  <cp:keywords/>
  <dcterms:created xsi:type="dcterms:W3CDTF">2026-07-04T03:39:40Z</dcterms:created>
  <dcterms:modified xsi:type="dcterms:W3CDTF">2026-07-04T03:39:40Z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