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6da14f28793e859a12b0e2125d306a7a2ea05fc"/>
    <w:p>
      <w:pPr>
        <w:pStyle w:val="Heading1"/>
      </w:pPr>
      <w:r>
        <w:t xml:space="preserve">Attention Accumulation in Other Transaction Authority and the Speed-Quality Tradeoff Do OT Agreements Buy: A Learning-Curve Analysis of Citation Growth by Article Age</w:t>
      </w:r>
    </w:p>
    <w:bookmarkStart w:id="61" w:name="introduction"/>
    <w:p>
      <w:pPr>
        <w:pStyle w:val="Heading2"/>
      </w:pPr>
      <w:r>
        <w:t xml:space="preserve">1. Introduction</w:t>
      </w:r>
    </w:p>
    <w:p>
      <w:pPr>
        <w:pStyle w:val="FirstParagraph"/>
      </w:pPr>
      <w:r>
        <w:t xml:space="preserve">This empirical paper supports Hana Hoffmann (1B-MPM-194) and the dissertation project</w:t>
      </w:r>
      <w:r>
        <w:t xml:space="preserve"> </w:t>
      </w:r>
      <w:r>
        <w:rPr>
          <w:i/>
          <w:iCs/>
        </w:rPr>
        <w:t xml:space="preserve">Other Transaction Authority and the Speed-Quality Tradeoff: Do OT Agreements Buy</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R2=0.02530615123489588, elasticity_b=-0.44483145086324033, progress_ratio_2^b=0.7346701426673503. The exact term summary is: const coef=1.6050746331374781 p=0.040805322228097296; _ln_x coef=-0.44483145086324033 p=0.33905588225957495.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6" w:name="references"/>
    <w:p>
      <w:pPr>
        <w:pStyle w:val="Heading2"/>
      </w:pPr>
      <w:r>
        <w:t xml:space="preserve">References</w:t>
      </w:r>
    </w:p>
    <w:p>
      <w:pPr>
        <w:pStyle w:val="FirstParagraph"/>
      </w:pPr>
      <w:bookmarkStart w:id="67" w:name="ref-1"/>
      <w:bookmarkEnd w:id="67"/>
      <w:r>
        <w:t xml:space="preserve">1. Harvey Reed, The MITRE Corporation; Nathaniel Dailey, The Mitre Corporation &amp; American University School of Public Affairs; Bob Carden, The MITRE Corporation; Dave Bryson, The MITRE Corporation. Blockchain Enabled Space Traffic Awareness (BESTA) (2019). [AMOS]</w:t>
      </w:r>
      <w:r>
        <w:t xml:space="preserve"> </w:t>
      </w:r>
      <w:bookmarkStart w:id="68" w:name="ref-2"/>
      <w:bookmarkEnd w:id="68"/>
      <w:r>
        <w:t xml:space="preserve">2. Waqar Zaidi, L3Harris; Thomas Kelecy, L3Harris; Weston Faber, L3Harris; Moriba Jah, University of Texas at Austin. Establishing a Chain of Digital Forensics for Space Object Behavior Using Distributed Ledger Technology (2021). [AMOS]</w:t>
      </w:r>
      <w:r>
        <w:t xml:space="preserve"> </w:t>
      </w:r>
      <w:bookmarkStart w:id="69" w:name="ref-3"/>
      <w:bookmarkEnd w:id="69"/>
      <w:r>
        <w:t xml:space="preserve">3. Audrey Allison, Boeing. WRC-19: New Space Law Enabling the Sustainability of LEO (2020). [AMOS]</w:t>
      </w:r>
      <w:r>
        <w:t xml:space="preserve"> </w:t>
      </w:r>
      <w:bookmarkStart w:id="70" w:name="ref-4"/>
      <w:bookmarkEnd w:id="70"/>
      <w:r>
        <w:t xml:space="preserve">4. Harvey Reed, MITRE; Nathaniel Dailey, The MITRE Corporation &amp; JHU School of Advanced International Studies; Bob Carden, MITRE; Dave Bryson, The MITRE Corporation. Blockchain Enabled Space Traffic Awareness (BESTA): Automated Comparison of SSA to Agreed Behavior for Discovery of Anomalous Behavior (2020). [AMOS]</w:t>
      </w:r>
      <w:r>
        <w:t xml:space="preserve"> </w:t>
      </w:r>
      <w:bookmarkStart w:id="71" w:name="ref-5"/>
      <w:bookmarkEnd w:id="71"/>
      <w:r>
        <w:t xml:space="preserve">5. Nathaniel Dailey, MITRE &amp; Space Force Association; Braden McGrath, MITRE Australia; Harvey Reed, MITRE; Jonathon Wotton, MITRE Australia. Global Space Domain Awareness, Partnering to Win with AUKUS (2023). doi:</w:t>
      </w:r>
      <w:r>
        <w:t xml:space="preserve"> </w:t>
      </w:r>
      <w:hyperlink r:id="rId72">
        <w:r>
          <w:rPr>
            <w:rStyle w:val="Hyperlink"/>
          </w:rPr>
          <w:t xml:space="preserve">10.64861/FWBL2094</w:t>
        </w:r>
      </w:hyperlink>
      <w:r>
        <w:t xml:space="preserve"> </w:t>
      </w:r>
      <w:bookmarkStart w:id="73" w:name="ref-6"/>
      <w:bookmarkEnd w:id="73"/>
      <w:r>
        <w:t xml:space="preserve">6. Eric Felt, Space Vehicles Directorate, Air Force Research Laboratory; Timothy Sejba, Advanced Systems and Development Directorate, Space &amp; Missile Systems Center. S&amp;T Challenges of SSA Sensor Proliferation (2018). [AMOS]</w:t>
      </w:r>
      <w:r>
        <w:t xml:space="preserve"> </w:t>
      </w:r>
      <w:bookmarkStart w:id="74" w:name="ref-7"/>
      <w:bookmarkEnd w:id="74"/>
      <w:r>
        <w:t xml:space="preserve">7. Richard Linderman (AFRL), Scott Spetka (ITT AES), Susan Emeny (ITT AES), Dennis Fitzgerald (ITT AES). Enhancing Image Processing Performance for PCID in a Heterogeneous Network of Multi-code Processors (2009). [AMOS]</w:t>
      </w:r>
      <w:r>
        <w:t xml:space="preserve"> </w:t>
      </w:r>
      <w:bookmarkStart w:id="75" w:name="ref-8"/>
      <w:bookmarkEnd w:id="75"/>
      <w:r>
        <w:t xml:space="preserve">8. Jason Moore, Air Force Research Laboratory, Paul Havig, AFRL/RH. Project UNITY: Cross Domain Visualization Collaboration (2015). [AMOS]</w:t>
      </w:r>
    </w:p>
    <w:bookmarkEnd w:id="76"/>
    <w:bookmarkStart w:id="77"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1.6051</w:t>
            </w:r>
          </w:p>
        </w:tc>
        <w:tc>
          <w:tcPr>
            <w:tcW w:w="0" w:type="auto"/>
          </w:tcPr>
          <w:p>
            <w:pPr>
              <w:spacing w:line="240" w:lineRule="auto" w:before="0" w:after="0"/>
              <w:pStyle w:val="Compact"/>
            </w:pPr>
            <w:r>
              <w:rPr>
                <w:sz w:val="20"/>
                <w:szCs w:val="20"/>
              </w:rPr>
              <w:t xml:space="preserve">0.7847</w:t>
            </w:r>
          </w:p>
        </w:tc>
        <w:tc>
          <w:tcPr>
            <w:tcW w:w="0" w:type="auto"/>
          </w:tcPr>
          <w:p>
            <w:pPr>
              <w:spacing w:line="240" w:lineRule="auto" w:before="0" w:after="0"/>
              <w:pStyle w:val="Compact"/>
            </w:pPr>
            <w:r>
              <w:rPr>
                <w:sz w:val="20"/>
                <w:szCs w:val="20"/>
              </w:rPr>
              <w:t xml:space="preserve">2.0455</w:t>
            </w:r>
          </w:p>
        </w:tc>
        <w:tc>
          <w:tcPr>
            <w:tcW w:w="0" w:type="auto"/>
          </w:tcPr>
          <w:p>
            <w:pPr>
              <w:spacing w:line="240" w:lineRule="auto" w:before="0" w:after="0"/>
              <w:pStyle w:val="Compact"/>
            </w:pPr>
            <w:r>
              <w:rPr>
                <w:sz w:val="20"/>
                <w:szCs w:val="20"/>
              </w:rPr>
              <w:t xml:space="preserve">0.0408</w:t>
            </w:r>
          </w:p>
        </w:tc>
        <w:tc>
          <w:tcPr>
            <w:tcW w:w="0" w:type="auto"/>
          </w:tcPr>
          <w:p>
            <w:pPr>
              <w:spacing w:line="240" w:lineRule="auto" w:before="0" w:after="0"/>
              <w:pStyle w:val="Compact"/>
            </w:pPr>
            <w:r>
              <w:rPr>
                <w:sz w:val="20"/>
                <w:szCs w:val="20"/>
              </w:rPr>
              <w:t xml:space="preserve">[0.0671, 3.143]</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-0.4448</w:t>
            </w:r>
          </w:p>
        </w:tc>
        <w:tc>
          <w:tcPr>
            <w:tcW w:w="0" w:type="auto"/>
          </w:tcPr>
          <w:p>
            <w:pPr>
              <w:spacing w:line="240" w:lineRule="auto" w:before="0" w:after="0"/>
              <w:pStyle w:val="Compact"/>
            </w:pPr>
            <w:r>
              <w:rPr>
                <w:sz w:val="20"/>
                <w:szCs w:val="20"/>
              </w:rPr>
              <w:t xml:space="preserve">0.4653</w:t>
            </w:r>
          </w:p>
        </w:tc>
        <w:tc>
          <w:tcPr>
            <w:tcW w:w="0" w:type="auto"/>
          </w:tcPr>
          <w:p>
            <w:pPr>
              <w:spacing w:line="240" w:lineRule="auto" w:before="0" w:after="0"/>
              <w:pStyle w:val="Compact"/>
            </w:pPr>
            <w:r>
              <w:rPr>
                <w:sz w:val="20"/>
                <w:szCs w:val="20"/>
              </w:rPr>
              <w:t xml:space="preserve">-0.956</w:t>
            </w:r>
          </w:p>
        </w:tc>
        <w:tc>
          <w:tcPr>
            <w:tcW w:w="0" w:type="auto"/>
          </w:tcPr>
          <w:p>
            <w:pPr>
              <w:spacing w:line="240" w:lineRule="auto" w:before="0" w:after="0"/>
              <w:pStyle w:val="Compact"/>
            </w:pPr>
            <w:r>
              <w:rPr>
                <w:sz w:val="20"/>
                <w:szCs w:val="20"/>
              </w:rPr>
              <w:t xml:space="preserve">0.3391</w:t>
            </w:r>
          </w:p>
        </w:tc>
        <w:tc>
          <w:tcPr>
            <w:tcW w:w="0" w:type="auto"/>
          </w:tcPr>
          <w:p>
            <w:pPr>
              <w:spacing w:line="240" w:lineRule="auto" w:before="0" w:after="0"/>
              <w:pStyle w:val="Compact"/>
            </w:pPr>
            <w:r>
              <w:rPr>
                <w:sz w:val="20"/>
                <w:szCs w:val="20"/>
              </w:rPr>
              <w:t xml:space="preserve">[-1.3568, 0.4671]</w:t>
            </w:r>
          </w:p>
        </w:tc>
      </w:tr>
    </w:tbl>
    <w:p>
      <w:pPr>
        <w:pStyle w:val="BodyText"/>
      </w:pPr>
      <w:r>
        <w:t xml:space="preserve">Fit: N = 30 R2 = 0.0253 elasticity_b = -0.4448 progress_ratio_2^b = 0.7347</w:t>
      </w:r>
    </w:p>
    <w:p>
      <w:pPr>
        <w:pStyle w:val="CaptionedFigure"/>
      </w:pPr>
      <w:r>
        <w:drawing>
          <wp:inline>
            <wp:extent cx="5669280" cy="3657600"/>
            <wp:effectExtent b="0" l="0" r="0" t="0"/>
            <wp:docPr descr="Figure 1. Citation accumulation against article age in the retrieved topic literature." title="" id="79" name="Picture"/>
            <a:graphic>
              <a:graphicData uri="http://schemas.openxmlformats.org/drawingml/2006/picture">
                <pic:pic>
                  <pic:nvPicPr>
                    <pic:cNvPr descr="D:\Claude_Code\brain\collegium\candidates\dissertations\ENTERPRISE_ACQ_07\research_papers\p2\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https://amostech.space/year/2019/blockchain-enabled-space-traffic-awareness-besta/</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https://amostech.space/year/2021/establishing-a-chain-of-digital-forensics-for-space-object-behavior-using-distributed-ledger-technology/</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https://amostech.space/year/2020/wrc-19-new-space-law-enabling-the-sustainability-of-leo/</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https://amostech.space/year/2020/blockchain-enabled-space-traffic-awareness-besta-automated-comparison-of-ssa-to-agreed-behavior-for-discovery-of-anomalous-behavior/</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10.64861/FWBL2094</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https://amostech.space/year/2018/st-challenges-of-ssa-sensor-proliferation/</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https://amostech.space/year/2009/enhancing-image-processing-performance-for-pcid-in-a-heterogeneous-network-of-multi-code-processors/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https://amostech.space/year/2015/project-unity-cross-domain-visualization-collaboration/</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https://amostech.space/year/2022/buying-space-trends-in-u-s-sda-acquisition/</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https://amostech.space/year/2022/ares-a-versatile-benchtop-testbed-for-evaluating-techniques-for-imaging-through-atmospheric-turbulence/</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https://amostech.space/year/2017/simulations-for-improved-imaging-of-faint-objects-at-maui-space-surveillance-site/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https://amostech.space/year/2020/artificial-intelligence-and-autonomy-in-space-balancing-risks-and-benefits-for-deterrence-and-escalation-control/</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10.1016/j.actaastro.2024.08.035</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10.1016/j.actaastro.2025.02.009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10.1016/j.actaastro.2022.04.020</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10.1016/j.actaastro.2017.04.034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10.1016/j.actaastro.2023.11.028</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10.1016/j.actaastro.2022.03.038</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10.1016/j.actaastro.2022.01.022</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10.1016/j.actaastro.2025.07.043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10.1016/j.actaastro.2020.04.046</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10.1016/j.actaastro.2022.12.036</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10.1016/j.actaastro.2023.06.047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IAC 2024 Orbital Capacity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Effective Fisheries Management Improves Fish Stock Status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Stilwell et al. (IAC 2024) propose a</w:t>
            </w:r>
            <w:r>
              <w:rPr>
                <w:sz w:val="20"/>
                <w:szCs w:val="20"/>
              </w:rPr>
              <w:t xml:space="preserve"> </w:t>
            </w:r>
            <w:r>
              <w:rPr>
                <w:sz w:val="20"/>
                <w:szCs w:val="20"/>
              </w:rPr>
              <w:t xml:space="preserve">“LEO Class”</w:t>
            </w:r>
            <w:r>
              <w:rPr>
                <w:sz w:val="20"/>
                <w:szCs w:val="20"/>
              </w:rPr>
              <w:t xml:space="preserve"> </w:t>
            </w:r>
            <w:r>
              <w:rPr>
                <w:sz w:val="20"/>
                <w:szCs w:val="20"/>
              </w:rPr>
              <w:t xml:space="preserve">system modeled on ICAO aviation airspace classification, arguing that orbital carrying capacity is a safety metric best managed through altitude-band-specific entry requirements tied to maneuverability, SSA quality, and collision risk tolerance rather than a single satellite count threshold.</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The Missing Ingredients for a Polycentric Governance System of Orbital Debris</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1.6051</w:t>
            </w:r>
          </w:p>
        </w:tc>
        <w:tc>
          <w:tcPr>
            <w:tcW w:w="0" w:type="auto"/>
          </w:tcPr>
          <w:p>
            <w:pPr>
              <w:spacing w:line="240" w:lineRule="auto" w:before="0" w:after="0"/>
              <w:pStyle w:val="Compact"/>
            </w:pPr>
            <w:r>
              <w:rPr>
                <w:sz w:val="20"/>
                <w:szCs w:val="20"/>
              </w:rPr>
              <w:t xml:space="preserve">0.7847</w:t>
            </w:r>
          </w:p>
        </w:tc>
        <w:tc>
          <w:tcPr>
            <w:tcW w:w="0" w:type="auto"/>
          </w:tcPr>
          <w:p>
            <w:pPr>
              <w:spacing w:line="240" w:lineRule="auto" w:before="0" w:after="0"/>
              <w:pStyle w:val="Compact"/>
            </w:pPr>
            <w:r>
              <w:rPr>
                <w:sz w:val="20"/>
                <w:szCs w:val="20"/>
              </w:rPr>
              <w:t xml:space="preserve">2.0455</w:t>
            </w:r>
          </w:p>
        </w:tc>
        <w:tc>
          <w:tcPr>
            <w:tcW w:w="0" w:type="auto"/>
          </w:tcPr>
          <w:p>
            <w:pPr>
              <w:spacing w:line="240" w:lineRule="auto" w:before="0" w:after="0"/>
              <w:pStyle w:val="Compact"/>
            </w:pPr>
            <w:r>
              <w:rPr>
                <w:sz w:val="20"/>
                <w:szCs w:val="20"/>
              </w:rPr>
              <w:t xml:space="preserve">0.0408</w:t>
            </w:r>
          </w:p>
        </w:tc>
        <w:tc>
          <w:tcPr>
            <w:tcW w:w="0" w:type="auto"/>
          </w:tcPr>
          <w:p>
            <w:pPr>
              <w:spacing w:line="240" w:lineRule="auto" w:before="0" w:after="0"/>
              <w:pStyle w:val="Compact"/>
            </w:pPr>
            <w:r>
              <w:rPr>
                <w:sz w:val="20"/>
                <w:szCs w:val="20"/>
              </w:rPr>
              <w:t xml:space="preserve">[0.0671, 3.143]</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-0.4448</w:t>
            </w:r>
          </w:p>
        </w:tc>
        <w:tc>
          <w:tcPr>
            <w:tcW w:w="0" w:type="auto"/>
          </w:tcPr>
          <w:p>
            <w:pPr>
              <w:spacing w:line="240" w:lineRule="auto" w:before="0" w:after="0"/>
              <w:pStyle w:val="Compact"/>
            </w:pPr>
            <w:r>
              <w:rPr>
                <w:sz w:val="20"/>
                <w:szCs w:val="20"/>
              </w:rPr>
              <w:t xml:space="preserve">0.4653</w:t>
            </w:r>
          </w:p>
        </w:tc>
        <w:tc>
          <w:tcPr>
            <w:tcW w:w="0" w:type="auto"/>
          </w:tcPr>
          <w:p>
            <w:pPr>
              <w:spacing w:line="240" w:lineRule="auto" w:before="0" w:after="0"/>
              <w:pStyle w:val="Compact"/>
            </w:pPr>
            <w:r>
              <w:rPr>
                <w:sz w:val="20"/>
                <w:szCs w:val="20"/>
              </w:rPr>
              <w:t xml:space="preserve">-0.956</w:t>
            </w:r>
          </w:p>
        </w:tc>
        <w:tc>
          <w:tcPr>
            <w:tcW w:w="0" w:type="auto"/>
          </w:tcPr>
          <w:p>
            <w:pPr>
              <w:spacing w:line="240" w:lineRule="auto" w:before="0" w:after="0"/>
              <w:pStyle w:val="Compact"/>
            </w:pPr>
            <w:r>
              <w:rPr>
                <w:sz w:val="20"/>
                <w:szCs w:val="20"/>
              </w:rPr>
              <w:t xml:space="preserve">0.3391</w:t>
            </w:r>
          </w:p>
        </w:tc>
        <w:tc>
          <w:tcPr>
            <w:tcW w:w="0" w:type="auto"/>
          </w:tcPr>
          <w:p>
            <w:pPr>
              <w:spacing w:line="240" w:lineRule="auto" w:before="0" w:after="0"/>
              <w:pStyle w:val="Compact"/>
            </w:pPr>
            <w:r>
              <w:rPr>
                <w:sz w:val="20"/>
                <w:szCs w:val="20"/>
              </w:rPr>
              <w:t xml:space="preserve">[-1.3568, 0.4671]</w:t>
            </w:r>
          </w:p>
        </w:tc>
      </w:tr>
    </w:tbl>
    <w:p>
      <w:pPr>
        <w:pStyle w:val="BodyText"/>
      </w:pPr>
      <w:r>
        <w:t xml:space="preserve">Fit: N = 30 R2 = 0.0253 elasticity_b = -0.4448 progress_ratio_2^b = 0.7347</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72" Target="https://doi.org/10.64861/FWBL2094"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64861/FWBL209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2026-06-29T09:36:21Z</dcterms:created>
  <dcterms:modified xsi:type="dcterms:W3CDTF">2026-06-29T09:36:21Z</dcterms:modified>
</cp:coreProperties>
</file>

<file path=docProps/custom.xml><?xml version="1.0" encoding="utf-8"?>
<Properties xmlns="http://schemas.openxmlformats.org/officeDocument/2006/custom-properties" xmlns:vt="http://schemas.openxmlformats.org/officeDocument/2006/docPropsVTypes"/>
</file>