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OTHER TRANSACTION AUTHORITY AND THE SPEED-QUALITY TRADEOFF: DO OT AGREEMENTS BUY</w:t>
      </w:r>
    </w:p>
    <w:p>
      <w:pPr>
        <w:jc w:val="center"/>
      </w:pPr>
    </w:p>
    <w:p>
      <w:pPr>
        <w:jc w:val="center"/>
      </w:pPr>
      <w:r>
        <w:rPr>
          <w:rFonts w:ascii="Times New Roman" w:hAnsi="Times New Roman"/>
          <w:sz w:val="24"/>
        </w:rPr>
        <w:t>by</w:t>
      </w:r>
    </w:p>
    <w:p>
      <w:pPr>
        <w:jc w:val="center"/>
      </w:pPr>
      <w:r>
        <w:rPr>
          <w:rFonts w:ascii="Times New Roman" w:hAnsi="Times New Roman"/>
          <w:b/>
          <w:sz w:val="28"/>
        </w:rPr>
        <w:t>Hana Hoffmann</w:t>
      </w:r>
    </w:p>
    <w:p>
      <w:pPr>
        <w:jc w:val="center"/>
      </w:pPr>
      <w:r>
        <w:rPr>
          <w:rFonts w:ascii="Times New Roman" w:hAnsi="Times New Roman"/>
          <w:sz w:val="24"/>
        </w:rPr>
        <w:t>1B-MPM-194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Hana Hoffmann’s dissertation,</w:t>
      </w:r>
      <w:r>
        <w:t xml:space="preserve"> </w:t>
      </w:r>
      <w:r>
        <w:rPr>
          <w:i/>
          <w:iCs/>
        </w:rPr>
        <w:t xml:space="preserve">Other Transaction Authority and the Speed-Quality Tradeoff: Do OT Agreements Buy</w:t>
      </w:r>
      <w:r>
        <w:t xml:space="preserve">, opens on a plain worry that program offices raise whenever budgets tighten and then resolve by gut feel. When a government buyer picks up a flexible instrument to compress schedule, does the delivered capability show up at the standard the mission demands, or is the gained speed quietly borrowed against a bill that comes due later? The worry is not new. What stays scarce is proof, and the proof runs far leaner than the certainty with which practitioners tend to close the matter. This study takes that scarcity as its subject instead of brushing past it</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frame stays deliberately small. Instead of ruling on whether flexible acquisition instruments pay off across the entire federal enterprise, the dissertation poses a tighter and answerable one: within a particular, preserved body of source records the candidate gathered, does the theme show up in the everyday metadata that bibliographic systems retain? Does the signal track the year a source appeared, the notice that source later attracted, and the type of outlet that carried it? A spreadsheet can settle questions like those without begging the reader to trust the author’s hunch</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Two commitments hold the rest together. The first is falsifiability. One null hypothesis is written down, the estimator capable of overturning it is named beforehand, and whatever comes out is reported, flattering or not. The second is traceability, so that each observation in the estimation file carries a source column and a doubting reader can trace a coefficient back to the very record behind it. Neither is ornament. They are the contribution. The rest of the document exists to protect them.</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In space governance, trouble usually shows up in engineering and operations well before any institution agrees on the rule meant to handle it. A collision hazard gets quantified before a right-of-way custom exists, and a frequency clash is logged before any treaty catches up to it</w:t>
      </w:r>
      <w:r>
        <w:t xml:space="preserve"> </w:t>
      </w:r>
      <w:hyperlink w:anchor="ref-3">
        <w:r>
          <w:rPr>
            <w:rStyle w:val="Hyperlink"/>
          </w:rPr>
          <w:t xml:space="preserve">[3]</w:t>
        </w:r>
      </w:hyperlink>
      <w:r>
        <w:t xml:space="preserve">. This sequence, sight arriving ahead of settlement, is the ground the acquisition question grows out of, since buyers grab flexible instruments exactly when the mission need reads clearly but the ordinary process feels too sluggish to serve it</w:t>
      </w:r>
      <w:r>
        <w:t xml:space="preserve"> </w:t>
      </w:r>
      <w:hyperlink w:anchor="ref-1">
        <w:r>
          <w:rPr>
            <w:rStyle w:val="Hyperlink"/>
          </w:rPr>
          <w:t xml:space="preserve">[1]</w:t>
        </w:r>
      </w:hyperlink>
      <w:r>
        <w:t xml:space="preserve"> </w:t>
      </w:r>
      <w:hyperlink w:anchor="ref-14">
        <w:r>
          <w:rPr>
            <w:rStyle w:val="Hyperlink"/>
          </w:rPr>
          <w:t xml:space="preserve">[14]</w:t>
        </w:r>
      </w:hyperlink>
      <w:r>
        <w:t xml:space="preserve">. Such timing opens a chance to measure. Should a subject have truly climbed in importance, the climb ought to leave marks across the paper record: fresher sources, mounting citation notice, drift among outlet types as the discussion ripens from conference rooms toward archival journals. The candidate’s body of records covers precisely those outlet types, stretching from technical conference proceedings through peer-reviewed archival scholarship to policy-leaning economic study</w:t>
      </w:r>
      <w:r>
        <w:t xml:space="preserve"> </w:t>
      </w:r>
      <w:hyperlink w:anchor="ref-2">
        <w:r>
          <w:rPr>
            <w:rStyle w:val="Hyperlink"/>
          </w:rPr>
          <w:t xml:space="preserve">[2]</w:t>
        </w:r>
      </w:hyperlink>
      <w:r>
        <w:t xml:space="preserve"> </w:t>
      </w:r>
      <w:hyperlink w:anchor="ref-6">
        <w:r>
          <w:rPr>
            <w:rStyle w:val="Hyperlink"/>
          </w:rPr>
          <w:t xml:space="preserve">[6]</w:t>
        </w:r>
      </w:hyperlink>
      <w:r>
        <w:t xml:space="preserve">. Whether the marks are truly present is a question for the data, and the candid reply may prove to be that they barely register.</w:t>
      </w:r>
    </w:p>
    <w:p>
      <w:pPr>
        <w:pStyle w:val="BodyText"/>
        <w:spacing w:line="480" w:lineRule="auto"/>
        <w:ind w:firstLine="720"/>
      </w:pPr>
      <w:r>
        <w:t xml:space="preserve">For a doctoral track anchored in program execution, none of this floats free of practice.</w:t>
      </w:r>
    </w:p>
    <w:p>
      <w:pPr>
        <w:pStyle w:val="BodyText"/>
        <w:spacing w:line="480" w:lineRule="auto"/>
        <w:ind w:firstLine="720"/>
      </w:pPr>
      <w:r>
        <w:t xml:space="preserve">A dissertation that hands its reader a confident story with no chain of evidence to inspect drills the wrong habit into the analysts who will later staff acquisition calls. One that lays out how far a slim dataset stretches, and where it goes mute, drills the right one. Inside a program office, calling an imprecise coefficient imprecise buys more than a glossy assertion nobody can replicate</w:t>
      </w:r>
      <w:r>
        <w:t xml:space="preserve"> </w:t>
      </w:r>
      <w:hyperlink w:anchor="ref-5">
        <w:r>
          <w:rPr>
            <w:rStyle w:val="Hyperlink"/>
          </w:rPr>
          <w:t xml:space="preserve">[5]</w:t>
        </w:r>
      </w:hyperlink>
      <w:r>
        <w:t xml:space="preserve">.</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The contribution is a lone document-level test, framed so it can lose.</w:t>
      </w:r>
    </w:p>
    <w:p>
      <w:pPr>
        <w:pStyle w:val="BodyText"/>
        <w:spacing w:line="480" w:lineRule="auto"/>
        <w:ind w:firstLine="720"/>
      </w:pPr>
      <w:r>
        <w:t xml:space="preserve">Across the retrieved source corpus, does the candidate topic signal move in step with publication recency, citation attention, and venue family, or does it not? H0: the candidate topic signal is unrelated to publication recency, citation attention, and venue family in the retrieved source corpus. H1: the candidate topic signal is systematically related to publication recency, citation attention, and venue family in the retrieved source corpus. Neither line claims a causal effect on policy. The test probes whether structure sits inside the corpus, not whether flexible acquisition instruments purchase quality out in the field, and the reserve is chosen on purpose, because a design-stage dissertation keeps its credibility by refusing to dress a corpus screen up as a program evaluation. What the reserve buys back is genuine reproducibility, since any analyst handed the same retained rows reruns the estimator and lands on identical numbers</w:t>
      </w:r>
      <w:r>
        <w:t xml:space="preserve"> </w:t>
      </w:r>
      <w:hyperlink w:anchor="ref-4">
        <w:r>
          <w:rPr>
            <w:rStyle w:val="Hyperlink"/>
          </w:rPr>
          <w:t xml:space="preserve">[4]</w:t>
        </w:r>
      </w:hyperlink>
      <w:r>
        <w:t xml:space="preserve">.</w:t>
      </w:r>
    </w:p>
    <w:bookmarkEnd w:id="62"/>
    <w:bookmarkStart w:id="63" w:name="the-empirical-spine"/>
    <w:p>
      <w:pPr>
        <w:pStyle w:val="Heading2"/>
        <w:spacing w:line="480" w:lineRule="auto"/>
      </w:pPr>
      <w:r>
        <w:t xml:space="preserve">The empirical spine</w:t>
      </w:r>
    </w:p>
    <w:p>
      <w:pPr>
        <w:pStyle w:val="FirstParagraph"/>
        <w:spacing w:line="480" w:lineRule="auto"/>
      </w:pPr>
      <w:r>
        <w:t xml:space="preserve">Two paired analyses carry the weight, and they add to each other rather than repeat.</w:t>
      </w:r>
    </w:p>
    <w:p>
      <w:pPr>
        <w:pStyle w:val="BodyText"/>
        <w:spacing w:line="480" w:lineRule="auto"/>
        <w:ind w:firstLine="720"/>
      </w:pPr>
      <w:r>
        <w:t xml:space="preserve">One examines cross-sectional structure. The other examines how attention piles up over time. Paper 1 fits an ordinary least squares model of a composite topic-signal score onto three predictors: a recency index, a reported citation count, and an ordinal venue-family score, all under robust HC1 standard errors, with the fit disclosed in full. At N = 30, the model yields R2 = 0.1152, adjusted R2 = 0.0131, F = 2.2387, and F_p = 0.1076. The constant is 4.1265 with p = 0.0561. The recency coefficient is 0.0672 with p = 0.6174. The citation coefficient is -0.0183 with p = 0.0754. The venue coefficient is -1.0570 with p = 0.1385. No predictor crosses a standard 0.05 line, and the model overall crosses nothing either. That counts as a result. It does not count as a failure</w:t>
      </w:r>
      <w:r>
        <w:t xml:space="preserve"> </w:t>
      </w:r>
      <w:hyperlink w:anchor="ref-1">
        <w:r>
          <w:rPr>
            <w:rStyle w:val="Hyperlink"/>
          </w:rPr>
          <w:t xml:space="preserve">[1]</w:t>
        </w:r>
      </w:hyperlink>
      <w:r>
        <w:t xml:space="preserve"> </w:t>
      </w:r>
      <w:hyperlink w:anchor="ref-2">
        <w:r>
          <w:rPr>
            <w:rStyle w:val="Hyperlink"/>
          </w:rPr>
          <w:t xml:space="preserve">[2]</w:t>
        </w:r>
      </w:hyperlink>
      <w:r>
        <w:t xml:space="preserve">. Paper 2 pivots to time. It fits a log-log learning-curve model regressing the log of citation-count-plus-one onto the log of an article-age index, again under robust HC1 standard errors, and at N = 30 it yields R2 = 0.0253. The constant is 1.6051 with p = 0.0408. The log-age slope, the elasticity, lands at -0.4448 with p = 0.3391, which works out to a progress ratio of 0.7347. A negative elasticity cuts against the naive guess that older articles just pile up more citations, and its looseness means the corpus underwrites no firm claim about how attention behaves with age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Taken together, the two outcomes sketch one consistent picture of a thin dataset. The theme sits in the corpus, yet its metadata trace is faint, jittery, and quick to wobble when a few stray records tug at it. A dissertation that read these numbers as a verdict would be straining them. Presented instead as a firm limit on what can be inferred, they perform the job the design pledged.</w:t>
      </w:r>
    </w:p>
    <w:bookmarkEnd w:id="63"/>
    <w:bookmarkStart w:id="64" w:name="roadmap"/>
    <w:p>
      <w:pPr>
        <w:pStyle w:val="Heading2"/>
        <w:spacing w:line="480" w:lineRule="auto"/>
      </w:pPr>
      <w:r>
        <w:t xml:space="preserve">Roadmap</w:t>
      </w:r>
    </w:p>
    <w:p>
      <w:pPr>
        <w:pStyle w:val="FirstParagraph"/>
        <w:spacing w:line="480" w:lineRule="auto"/>
      </w:pPr>
      <w:r>
        <w:t xml:space="preserve">The chapters ahead assemble the case in the sequence a reader wants. Chapter 2 sets the inquiry beside earlier work on space governance, acquisition, and the bibliometric signals the analysis leans on, pulling the corpus into dialogue with the reference pool</w:t>
      </w:r>
      <w:r>
        <w:t xml:space="preserve"> </w:t>
      </w:r>
      <w:hyperlink w:anchor="ref-6">
        <w:r>
          <w:rPr>
            <w:rStyle w:val="Hyperlink"/>
          </w:rPr>
          <w:t xml:space="preserve">[6]</w:t>
        </w:r>
      </w:hyperlink>
      <w:r>
        <w:t xml:space="preserve"> </w:t>
      </w:r>
      <w:hyperlink w:anchor="ref-14">
        <w:r>
          <w:rPr>
            <w:rStyle w:val="Hyperlink"/>
          </w:rPr>
          <w:t xml:space="preserve">[14]</w:t>
        </w:r>
      </w:hyperlink>
      <w:r>
        <w:t xml:space="preserve">. Chapter 3 lays down the mechanism that must hold for H1 to be true and squeezes the testable predictions out of it. Chapter 4 presents the estimators and argues why each recovers the association it names, alongside the assumptions whose failure would sink identification. Chapter 5 records the dataset, how each variable was built, the sources behind every row, and the sample size. Chapter 6 relays the estimator output verbatim and reads the signs and magnitudes without puffing them up. Chapter 7 teases out what the findings imply, where the validity threats cut, and what the data flatly cannot reveal. Chapter 8 fixes the contribution, ties it to program and governance practice, and points to the next data collection that would advance the question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One thread runs the length of it, the promise made at the start: expose the chain, state the number, and let a loose result stay loose. Built this way, a dissertation comes out smaller than a broad essay on acquisition policy, and more useful for the smallness, since a program office can genuinely audit it. The narrow question, answered squarely, seeds a larger one that a later and fuller dataset can carry</w:t>
      </w:r>
      <w:r>
        <w:t xml:space="preserve"> </w:t>
      </w:r>
      <w:hyperlink w:anchor="ref-6">
        <w:r>
          <w:rPr>
            <w:rStyle w:val="Hyperlink"/>
          </w:rPr>
          <w:t xml:space="preserve">[6]</w:t>
        </w:r>
      </w:hyperlink>
      <w:r>
        <w:t xml:space="preserve">.</w:t>
      </w:r>
    </w:p>
    <w:bookmarkEnd w:id="64"/>
    <w:bookmarkStart w:id="65" w:name="why-a-bibliometric-proxy-at-all"/>
    <w:p>
      <w:pPr>
        <w:pStyle w:val="Heading2"/>
        <w:spacing w:line="480" w:lineRule="auto"/>
      </w:pPr>
      <w:r>
        <w:t xml:space="preserve">Why a bibliometric proxy at all</w:t>
      </w:r>
    </w:p>
    <w:p>
      <w:pPr>
        <w:pStyle w:val="FirstParagraph"/>
        <w:spacing w:line="480" w:lineRule="auto"/>
      </w:pPr>
      <w:r>
        <w:t xml:space="preserve">A doubting reader raises the obvious objection right away. If the true interest is whether flexible acquisition instruments buy quality, why examine a source corpus at all instead of acquisition outcomes head-on? The reply hinges on what a design-stage inquiry can honestly gather. Records of delivered-capability quality, tied to the instrument that bought them and the schedule that made them, lie scattered, often locked down, and seldom coded in a form that supports estimation, so assembling that dataset amounts to its own program. What can be gathered today, out of the candidate’s retained records, is the paper environment ringing the question, and the sane opening move is to ask what that environment can and cannot show before taking on the costlier collection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bibliometric proxy is thus a chosen first stage, not a stand-in for the outcome study, and it poses a prior question. Ahead of testing whether flexible instruments buy quality, is the theme even readable in the paper record at the grain a metadata screen resolves? Should the theme mark recency, attention, and venue plainly, the proxy gives the later outcome study a chart of where the discussion lives; should it fail to mark them, that too earns its keep, because it cautions the later study against leaning on the very metadata cues a rushed analyst would grab first. Either way the design moves forward, which is the reasoning that warrants devoting a dissertation to a proxy rather than excusing one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A second warrant is methodological, not substantive. The space sector sits mid-shift from a legacy public model to a blended public-private one, its instruments, outlets, and norms all in motion together</w:t>
      </w:r>
      <w:r>
        <w:t xml:space="preserve"> </w:t>
      </w:r>
      <w:hyperlink w:anchor="ref-14">
        <w:r>
          <w:rPr>
            <w:rStyle w:val="Hyperlink"/>
          </w:rPr>
          <w:t xml:space="preserve">[14]</w:t>
        </w:r>
      </w:hyperlink>
      <w:r>
        <w:t xml:space="preserve">. A theme housed inside a shifting governance regime is exactly the sort whose paper trace deserves measuring before its outcomes can be attributed cleanly, because the regime shift itself tangles the link between an instrument and its result. Reading the corpus first gauges the heat of that shift, and the reference pool charts the shift in detail enough to make the reading count</w:t>
      </w:r>
      <w:r>
        <w:t xml:space="preserve"> </w:t>
      </w:r>
      <w:hyperlink w:anchor="ref-10">
        <w:r>
          <w:rPr>
            <w:rStyle w:val="Hyperlink"/>
          </w:rPr>
          <w:t xml:space="preserve">[10]</w:t>
        </w:r>
      </w:hyperlink>
      <w:r>
        <w:t xml:space="preserve"> </w:t>
      </w:r>
      <w:hyperlink w:anchor="ref-3">
        <w:r>
          <w:rPr>
            <w:rStyle w:val="Hyperlink"/>
          </w:rPr>
          <w:t xml:space="preserve">[3]</w:t>
        </w:r>
      </w:hyperlink>
      <w:r>
        <w:t xml:space="preserve">.</w:t>
      </w:r>
    </w:p>
    <w:bookmarkEnd w:id="65"/>
    <w:bookmarkStart w:id="66" w:name="the-shape-of-an-honest-null"/>
    <w:p>
      <w:pPr>
        <w:pStyle w:val="Heading2"/>
        <w:spacing w:line="480" w:lineRule="auto"/>
      </w:pPr>
      <w:r>
        <w:t xml:space="preserve">The shape of an honest null</w:t>
      </w:r>
    </w:p>
    <w:p>
      <w:pPr>
        <w:pStyle w:val="FirstParagraph"/>
        <w:spacing w:line="480" w:lineRule="auto"/>
      </w:pPr>
      <w:r>
        <w:t xml:space="preserve">A good deal of what follows turns on a line ordinary readers often blur: the gap between finding no effect and finding no evidence. A study may fail to reject a null because the effect truly is not there, or because the data run too sparse and too noisy to catch an effect that genuinely is. Those are separate verdicts with separate stakes, and a dissertation that smears them together misleads whoever reads it. This one holds them apart, so that when the estimator returns a faint, loose coefficient, the candid line is that this corpus, gauged this way, surfaces no relationship, not that the world holds none</w:t>
      </w:r>
      <w:r>
        <w:t xml:space="preserve"> </w:t>
      </w:r>
      <w:hyperlink w:anchor="ref-6">
        <w:r>
          <w:rPr>
            <w:rStyle w:val="Hyperlink"/>
          </w:rPr>
          <w:t xml:space="preserve">[6]</w:t>
        </w:r>
      </w:hyperlink>
      <w:r>
        <w:t xml:space="preserve"> </w:t>
      </w:r>
      <w:hyperlink w:anchor="ref-2">
        <w:r>
          <w:rPr>
            <w:rStyle w:val="Hyperlink"/>
          </w:rPr>
          <w:t xml:space="preserve">[2]</w:t>
        </w:r>
      </w:hyperlink>
      <w:r>
        <w:t xml:space="preserve">. That line governs the whole reading stance of Chapter 6 and Chapter 7. The results run weak, and the weakness admits two rival readings the design cannot fully pry apart on thirty records: a true blank where an imprint should be, and a sample too slight and too clustered to register one. The dissertation carries both readings, weighs them against what the diagnostics back, and declines to fold the doubt into a tidier tale than the data justify. Anyone after a firm ruling on flexible acquisition leaves empty-handed, while anyone after a dependable account of what a small, auditable corpus can and cannot say about the theme finds exactly that, and the closing chapter converts the honest null into a working plan for the collection that would settle it</w:t>
      </w:r>
      <w:r>
        <w:t xml:space="preserve"> </w:t>
      </w:r>
      <w:hyperlink w:anchor="ref-5">
        <w:r>
          <w:rPr>
            <w:rStyle w:val="Hyperlink"/>
          </w:rPr>
          <w:t xml:space="preserve">[5]</w:t>
        </w:r>
      </w:hyperlink>
      <w:r>
        <w:t xml:space="preserve"> </w:t>
      </w:r>
      <w:hyperlink w:anchor="ref-4">
        <w:r>
          <w:rPr>
            <w:rStyle w:val="Hyperlink"/>
          </w:rPr>
          <w:t xml:space="preserve">[4]</w:t>
        </w:r>
      </w:hyperlink>
      <w:r>
        <w:t xml:space="preserve">.</w:t>
      </w:r>
    </w:p>
    <w:bookmarkEnd w:id="66"/>
    <w:bookmarkStart w:id="67" w:name="X67e0329d52d3273fee865a7d0330c3932f234b7"/>
    <w:p>
      <w:pPr>
        <w:pStyle w:val="Heading2"/>
        <w:spacing w:line="480" w:lineRule="auto"/>
      </w:pPr>
      <w:r>
        <w:t xml:space="preserve">Situating the study in a doctoral pipeline</w:t>
      </w:r>
    </w:p>
    <w:p>
      <w:pPr>
        <w:pStyle w:val="FirstParagraph"/>
        <w:spacing w:line="480" w:lineRule="auto"/>
      </w:pPr>
      <w:r>
        <w:t xml:space="preserve">This dissertation sits on a program-execution track, and that placement matters to how it ought to be read. Analysts who finish such a track move on to staff acquisition and program calls where the pull to overread thin evidence never lets up and where the price of overreading falls on missions. A training piece for that world ought to model the sound relationship to evidence, not the flashy one, teaching a young analyst just how far a small dataset bends and where the bending has to stop. A dissertation that capped a weak result with a bold recommendation would train the wrong instinct into the very people who most need the sound one</w:t>
      </w:r>
      <w:r>
        <w:t xml:space="preserve"> </w:t>
      </w:r>
      <w:hyperlink w:anchor="ref-5">
        <w:r>
          <w:rPr>
            <w:rStyle w:val="Hyperlink"/>
          </w:rPr>
          <w:t xml:space="preserve">[5]</w:t>
        </w:r>
      </w:hyperlink>
      <w:r>
        <w:t xml:space="preserve">. The space domain hardens the lesson, since its calls are costly, one-way, and made under schedule strain that pays out for speed over checking. A satellite launched on a fast instrument cannot be pulled back to patch a quality gap spotted once it is in orbit. The governance writing the reference pool records brims with episodes where engineering sight outran institutional settlement, and in every one the price of early certainty was real</w:t>
      </w:r>
      <w:r>
        <w:t xml:space="preserve"> </w:t>
      </w:r>
      <w:hyperlink w:anchor="ref-1">
        <w:r>
          <w:rPr>
            <w:rStyle w:val="Hyperlink"/>
          </w:rPr>
          <w:t xml:space="preserve">[1]</w:t>
        </w:r>
      </w:hyperlink>
      <w:r>
        <w:t xml:space="preserve"> </w:t>
      </w:r>
      <w:hyperlink w:anchor="ref-3">
        <w:r>
          <w:rPr>
            <w:rStyle w:val="Hyperlink"/>
          </w:rPr>
          <w:t xml:space="preserve">[3]</w:t>
        </w:r>
      </w:hyperlink>
      <w:r>
        <w:t xml:space="preserve">. Seating a rigorous, self-limiting study at the heart of a program-execution dissertation presses the point that evidentiary discipline is itself a program-execution skill, no less than scheduling or systems engineering.</w:t>
      </w:r>
    </w:p>
    <w:bookmarkEnd w:id="67"/>
    <w:bookmarkStart w:id="68" w:name="X9b1188942ddc15a61ad078ae25ba6f762a4ee8c"/>
    <w:p>
      <w:pPr>
        <w:pStyle w:val="Heading2"/>
        <w:spacing w:line="480" w:lineRule="auto"/>
      </w:pPr>
      <w:r>
        <w:t xml:space="preserve">The reader this dissertation is written for</w:t>
      </w:r>
    </w:p>
    <w:p>
      <w:pPr>
        <w:pStyle w:val="FirstParagraph"/>
        <w:spacing w:line="480" w:lineRule="auto"/>
      </w:pPr>
      <w:r>
        <w:t xml:space="preserve">Naming the reader the argument keeps in mind helps, because the calls about what to report and how flow straight from it. The reader in view is a doubting program analyst who has seen bold claims collapse in the field and cares less about what the author believes than about what the author can actually show. That reader does not want a coefficient with its outlier snipped off and served as a clean effect; that reader wants the full-sample figure plus a chart of where its fragility sits, so the fragility can be weighed rather than tucked away</w:t>
      </w:r>
      <w:r>
        <w:t xml:space="preserve"> </w:t>
      </w:r>
      <w:hyperlink w:anchor="ref-7">
        <w:r>
          <w:rPr>
            <w:rStyle w:val="Hyperlink"/>
          </w:rPr>
          <w:t xml:space="preserve">[7]</w:t>
        </w:r>
      </w:hyperlink>
      <w:r>
        <w:t xml:space="preserve">. Every design call, the source column on each row, the full disclosure of the fit, the refusal to trim the influential record, aims to please that reader. Writing for the doubter reshapes the whole document. Weak results turn into assets rather than embarrassments, because the doubter trusts a study more when it owns a null than when it fabricates significance. The limitations chapter turns load-bearing rather than pro forma, because the doubter reads limitations first. And the contribution turns into a method the doubter can pick up rather than a finding the doubter has to swallow. A dissertation shaped for the doubting program analyst is one a program office can actually deploy, which is the only lasting reason to write one at all</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68"/>
    <w:bookmarkStart w:id="69" w:name="terms-of-art-used-throughout"/>
    <w:p>
      <w:pPr>
        <w:pStyle w:val="Heading2"/>
        <w:spacing w:line="480" w:lineRule="auto"/>
      </w:pPr>
      <w:r>
        <w:t xml:space="preserve">Terms of art used throughout</w:t>
      </w:r>
    </w:p>
    <w:p>
      <w:pPr>
        <w:pStyle w:val="FirstParagraph"/>
        <w:spacing w:line="480" w:lineRule="auto"/>
      </w:pPr>
      <w:r>
        <w:t xml:space="preserve">A handful of terms turn up often enough that pinning them down now spares confusion later. The topic signal is the composite score, cut by a fixed rule, gauging how strongly a source record’s metadata carries the candidate theme, and it is the outcome the cross-sectional model accounts for. Recency and age are mirror indexes of a record’s publication year, one climbing from the oldest record and the other descending from the present, so a statement about recency in one paper lines up directly with a statement about age in the other. Venue family is the ordinal sorting records into conference proceedings, archival journals, and policy-economic study, held as coarse throughout rather than as an exact scale</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Two phrases carry the dissertation’s reading stance and merit the same care. The imprint is the pattern the salience-imprint mechanism forecasts: a theme that has truly gained notice should leave newer, better-cited, higher-venue records bearing stronger signals. A null is an outcome where that imprint stays absent, and the document is careful to split a null that mirrors real absence from a null that mirrors a sample too slight to catch a real effect. These carry the weight, and every chapter deploys them in exactly the senses set here</w:t>
      </w:r>
      <w:r>
        <w:t xml:space="preserve"> </w:t>
      </w:r>
      <w:hyperlink w:anchor="ref-4">
        <w:r>
          <w:rPr>
            <w:rStyle w:val="Hyperlink"/>
          </w:rPr>
          <w:t xml:space="preserve">[4]</w:t>
        </w:r>
      </w:hyperlink>
      <w:r>
        <w:t xml:space="preserve"> </w:t>
      </w:r>
      <w:hyperlink w:anchor="ref-3">
        <w:r>
          <w:rPr>
            <w:rStyle w:val="Hyperlink"/>
          </w:rPr>
          <w:t xml:space="preserve">[3]</w:t>
        </w:r>
      </w:hyperlink>
      <w:r>
        <w:t xml:space="preserve">.</w:t>
      </w:r>
    </w:p>
    <w:bookmarkEnd w:id="69"/>
    <w:bookmarkStart w:id="70" w:name="the-stance-in-one-sentence"/>
    <w:p>
      <w:pPr>
        <w:pStyle w:val="Heading2"/>
        <w:spacing w:line="480" w:lineRule="auto"/>
      </w:pPr>
      <w:r>
        <w:t xml:space="preserve">The stance in one sentence</w:t>
      </w:r>
    </w:p>
    <w:p>
      <w:pPr>
        <w:pStyle w:val="FirstParagraph"/>
        <w:spacing w:line="480" w:lineRule="auto"/>
      </w:pPr>
      <w:r>
        <w:t xml:space="preserve">Boiled to one sentence, the dissertation reads thus: a modest, auditable corpus was put one falsifiable question about whether a policy theme marks its paper record, the reply came back a disciplined no, and the worth lies in how checkably the no was reached rather than in the no itself. All that follows unpacks that sentence, from the mechanism defining the imprint, through the estimators probing for it and the dataset grounding them, to the results that complete the scorecard and the honest reckoning with what a thirty-record corpus can and cannot say. A reader who keeps that sentence in view will meet the chapters ahead not as a march toward a bold claim but as a patient showing of evidentiary discipline turned on a real question in a domain that sorely needs it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70"/>
    <w:bookmarkEnd w:id="71"/>
    <w:bookmarkStart w:id="81" w:name="X6def47fadca1c1251839ead273e5f1add87db22"/>
    <w:p>
      <w:pPr>
        <w:pStyle w:val="Heading1"/>
        <w:spacing w:line="480" w:lineRule="auto"/>
      </w:pPr>
      <w:r>
        <w:t xml:space="preserve">Chapter 2. Literature and Situating the Inquiry</w:t>
      </w:r>
    </w:p>
    <w:p>
      <w:pPr>
        <w:pStyle w:val="FirstParagraph"/>
        <w:spacing w:line="480" w:lineRule="auto"/>
      </w:pPr>
      <w:r>
        <w:t xml:space="preserve">This chapter seats the dissertation among three discussions that seldom cross paths. One covers how governments purchase difficult things in a hurry when the usual process drags. Another covers how the space sector regulates itself as it moves from a legacy public model toward a blended public-private one. A third runs quieter and more methodological: what can bibliometric cues, meaning recency, citation attention, and venue, genuinely reveal to an analyst about a subject, and what stays beyond their reach? The candidate’s reference pool lands where all three meet. The task here is to read that pool candidly instead of parading it as trim.</w:t>
      </w:r>
    </w:p>
    <w:bookmarkStart w:id="72" w:name="X3a9a05248f36ed0c6595db2c72768a8a45f423d"/>
    <w:p>
      <w:pPr>
        <w:pStyle w:val="Heading2"/>
        <w:spacing w:line="480" w:lineRule="auto"/>
      </w:pPr>
      <w:r>
        <w:t xml:space="preserve">Flexible acquisition and the speed-quality question</w:t>
      </w:r>
    </w:p>
    <w:p>
      <w:pPr>
        <w:pStyle w:val="FirstParagraph"/>
        <w:spacing w:line="480" w:lineRule="auto"/>
      </w:pPr>
      <w:r>
        <w:t xml:space="preserve">The driving policy question, whether a flexible instrument trades quality away for speed, carries a long history in acquisition practice even where the reference pool skirts it directly.</w:t>
      </w:r>
    </w:p>
    <w:p>
      <w:pPr>
        <w:pStyle w:val="BodyText"/>
        <w:spacing w:line="480" w:lineRule="auto"/>
        <w:ind w:firstLine="720"/>
      </w:pPr>
      <w:r>
        <w:t xml:space="preserve">What the pool furnishes instead is the terrain the question inhabits: space systems purchased under schedule strain, where the mission need reads early and the institutional rule meant to steer it trails behind. Reed and colleagues, at work on blockchain-enabled space traffic awareness, portray precisely this state, a technical capability specified and proven far ahead of the governance framework obliged to accept it later</w:t>
      </w:r>
      <w:r>
        <w:t xml:space="preserve"> </w:t>
      </w:r>
      <w:hyperlink w:anchor="ref-1">
        <w:r>
          <w:rPr>
            <w:rStyle w:val="Hyperlink"/>
          </w:rPr>
          <w:t xml:space="preserve">[1]</w:t>
        </w:r>
      </w:hyperlink>
      <w:r>
        <w:t xml:space="preserve">. Their later work carries the idea forward by automating the check of observed behavior against agreed behavior, a governance chore wearing engineering clothes</w:t>
      </w:r>
      <w:r>
        <w:t xml:space="preserve"> </w:t>
      </w:r>
      <w:hyperlink w:anchor="ref-4">
        <w:r>
          <w:rPr>
            <w:rStyle w:val="Hyperlink"/>
          </w:rPr>
          <w:t xml:space="preserve">[4]</w:t>
        </w:r>
      </w:hyperlink>
      <w:r>
        <w:t xml:space="preserve">. The speed-quality strain is not the buyer’s alone. It also turns on whether the purchased thing holds up once deployed. Zaidi and colleagues ground this in space object behavior, forging a trail of digital forensics through distributed ledger technology so a claim about what a satellite did can be checked afterward</w:t>
      </w:r>
      <w:r>
        <w:t xml:space="preserve"> </w:t>
      </w:r>
      <w:hyperlink w:anchor="ref-2">
        <w:r>
          <w:rPr>
            <w:rStyle w:val="Hyperlink"/>
          </w:rPr>
          <w:t xml:space="preserve">[2]</w:t>
        </w:r>
      </w:hyperlink>
      <w:r>
        <w:t xml:space="preserve">. Confidence after delivery is the quality half of the bargain, and speed carries a price on that side of the books, because a rushed acquisition yielding an uncheckable capability has spared the program nothing and simply shoved the cost downstream. The dissertation’s demand for a source-traced estimation file is the same reflex aimed at its own proof.</w:t>
      </w:r>
    </w:p>
    <w:p>
      <w:pPr>
        <w:pStyle w:val="BodyText"/>
        <w:spacing w:line="480" w:lineRule="auto"/>
        <w:ind w:firstLine="720"/>
      </w:pPr>
      <w:r>
        <w:t xml:space="preserve">Felt and Sejba stretch the frame to the science-and-technology strains of sensor proliferation, where the push to deploy many capable sensors fast collides with matters of quality, calibration, and interoperability</w:t>
      </w:r>
      <w:r>
        <w:t xml:space="preserve"> </w:t>
      </w:r>
      <w:hyperlink w:anchor="ref-6">
        <w:r>
          <w:rPr>
            <w:rStyle w:val="Hyperlink"/>
          </w:rPr>
          <w:t xml:space="preserve">[6]</w:t>
        </w:r>
      </w:hyperlink>
      <w:r>
        <w:t xml:space="preserve">.</w:t>
      </w:r>
    </w:p>
    <w:p>
      <w:pPr>
        <w:pStyle w:val="BodyText"/>
        <w:spacing w:line="480" w:lineRule="auto"/>
        <w:ind w:firstLine="720"/>
      </w:pPr>
      <w:r>
        <w:t xml:space="preserve">Their account declines to price speed at zero. More sensors sooner does not equal more capability sooner unless the quality problem gets solved alongside. That is the contour of the bargain the dissertation names in its title, watched here in a domain the reference pool charts well.</w:t>
      </w:r>
    </w:p>
    <w:bookmarkEnd w:id="72"/>
    <w:bookmarkStart w:id="73" w:name="X654b861fef84f2818fcaf2a7d105092a360ddb4"/>
    <w:p>
      <w:pPr>
        <w:pStyle w:val="Heading2"/>
        <w:spacing w:line="480" w:lineRule="auto"/>
      </w:pPr>
      <w:r>
        <w:t xml:space="preserve">Governance in transition: legacy space to new space</w:t>
      </w:r>
    </w:p>
    <w:p>
      <w:pPr>
        <w:pStyle w:val="FirstParagraph"/>
        <w:spacing w:line="480" w:lineRule="auto"/>
      </w:pPr>
      <w:r>
        <w:t xml:space="preserve">The second discussion concerns how the sector rules itself while its economics shift beneath it.</w:t>
      </w:r>
    </w:p>
    <w:p>
      <w:pPr>
        <w:pStyle w:val="BodyText"/>
        <w:spacing w:line="480" w:lineRule="auto"/>
        <w:ind w:firstLine="720"/>
      </w:pPr>
      <w:r>
        <w:t xml:space="preserve">Zancan and colleagues draw the clearest recent chart, following governance as it evolves from legacy space models toward new space models and showing that the governance instruments are themselves unsettled, not merely the actors wielding them</w:t>
      </w:r>
      <w:r>
        <w:t xml:space="preserve"> </w:t>
      </w:r>
      <w:hyperlink w:anchor="ref-14">
        <w:r>
          <w:rPr>
            <w:rStyle w:val="Hyperlink"/>
          </w:rPr>
          <w:t xml:space="preserve">[14]</w:t>
        </w:r>
      </w:hyperlink>
      <w:r>
        <w:t xml:space="preserve">. This bears on the acquisition question because the instrument a buyer reaches for is lodged within a governance regime that is itself in motion, and a flexible instrument inside a settled regime performs differently from the same instrument inside a regime still weighing what it prizes. Takata and Hidaka meet the same shift from the partnership angle, sketching a new public-private partnership model resting on interactive collaboration across the space sector</w:t>
      </w:r>
      <w:r>
        <w:t xml:space="preserve"> </w:t>
      </w:r>
      <w:hyperlink w:anchor="ref-10">
        <w:r>
          <w:rPr>
            <w:rStyle w:val="Hyperlink"/>
          </w:rPr>
          <w:t xml:space="preserve">[10]</w:t>
        </w:r>
      </w:hyperlink>
      <w:r>
        <w:t xml:space="preserve">. Their offering is to show that the line between buyer and supplier is turning permeable, which muddies any clean speed-versus-quality tally, because once the supplier helps design the requirement, the quality of the delivered capability grows partly out of the acquisition relationship rather than sitting fixed beforehand. Allison’s reading of the WRC-19 process layers on the international-law dimension, showing how new space law can support the sustainability of low Earth orbit, the institutional settlement that engineering sight eventually compels</w:t>
      </w:r>
      <w:r>
        <w:t xml:space="preserve"> </w:t>
      </w:r>
      <w:hyperlink w:anchor="ref-3">
        <w:r>
          <w:rPr>
            <w:rStyle w:val="Hyperlink"/>
          </w:rPr>
          <w:t xml:space="preserve">[3]</w:t>
        </w:r>
      </w:hyperlink>
      <w:r>
        <w:t xml:space="preserve">.</w:t>
      </w:r>
    </w:p>
    <w:p>
      <w:pPr>
        <w:pStyle w:val="BodyText"/>
        <w:spacing w:line="480" w:lineRule="auto"/>
        <w:ind w:firstLine="720"/>
      </w:pPr>
      <w:r>
        <w:t xml:space="preserve">Denis and colleagues, writing on likely disruptions in Earth observation and the rise of new systems and markets, provide the market-structure backdrop</w:t>
      </w:r>
      <w:r>
        <w:t xml:space="preserve"> </w:t>
      </w:r>
      <w:hyperlink w:anchor="ref-12">
        <w:r>
          <w:rPr>
            <w:rStyle w:val="Hyperlink"/>
          </w:rPr>
          <w:t xml:space="preserve">[12]</w:t>
        </w:r>
      </w:hyperlink>
      <w:r>
        <w:t xml:space="preserve">. Their scenario work reminds us that the venue where a subject shows up is itself a clue about where the discussion falls on the legacy-to-new-space arc. A subject taken up in a commercial market-scenario venue holds a different institutional footing than the same subject on a technical conference floor, and the dissertation’s venue-family variable tries, however bluntly, to register that gap.</w:t>
      </w:r>
    </w:p>
    <w:bookmarkEnd w:id="73"/>
    <w:bookmarkStart w:id="74" w:name="X4319adcb839327b6b5b52782fb5e2a7a24961f0"/>
    <w:p>
      <w:pPr>
        <w:pStyle w:val="Heading2"/>
        <w:spacing w:line="480" w:lineRule="auto"/>
      </w:pPr>
      <w:r>
        <w:t xml:space="preserve">What bibliometric signals can and cannot say</w:t>
      </w:r>
    </w:p>
    <w:p>
      <w:pPr>
        <w:pStyle w:val="FirstParagraph"/>
        <w:spacing w:line="480" w:lineRule="auto"/>
      </w:pPr>
      <w:r>
        <w:t xml:space="preserve">The third discussion is methodological, and it is where the dissertation walks most carefully. The design rests on three metadata cues, recency, citation attention, and venue family, and the surrounding scholarship urges modesty about each. Citation counts run noisy, venue-bound, and steeply lopsided, with a few records pulling most of the attention while the rest pull nearly none. The candidate’s own corpus wears this lopsidedness plainly, and later chapters show how one high-citation outlier warps the view, which is why the safest reading of any lone cue treats it as a faint indicator that turns informative only when joined to the others. Recency is the tamest of the three yet hardly blameless, because a subject can seem recent in a retrieved corpus merely because the retrieval leaned toward recent venues rather than because the underlying importance climbed. Venue family is the bluntest cue of all, coded here as an ordinal running from conference proceedings through archival journals to policy-economic study, and ordinal codings tempt the error of reading a one-step gap as a fixed quantity of something, so the dissertation states outright that the venue score must not be stretched into a cardinal measure. The learning-curve tradition Paper 2 draws on, where an outcome scales with a log of practice or age, is a disciplined way to ask whether attention gathers in a steady shape, yet it assumes enough spread in the age variable to fit a slope, and a corpus packed into a few recent years may withhold it.</w:t>
      </w:r>
    </w:p>
    <w:bookmarkEnd w:id="74"/>
    <w:bookmarkStart w:id="75" w:name="Xcf2b5b1ff16c2ea03edee89976fb5ff2660da42"/>
    <w:p>
      <w:pPr>
        <w:pStyle w:val="Heading2"/>
        <w:spacing w:line="480" w:lineRule="auto"/>
      </w:pPr>
      <w:r>
        <w:t xml:space="preserve">Adjacent technical work as venue evidence</w:t>
      </w:r>
    </w:p>
    <w:p>
      <w:pPr>
        <w:pStyle w:val="FirstParagraph"/>
        <w:spacing w:line="480" w:lineRule="auto"/>
      </w:pPr>
      <w:r>
        <w:t xml:space="preserve">Several records in the pool have nothing to do with acquisition or governance, and their presence tells us something on its own. Linderman and colleagues on image-processing performance across a heterogeneous network of processors</w:t>
      </w:r>
      <w:r>
        <w:t xml:space="preserve"> </w:t>
      </w:r>
      <w:hyperlink w:anchor="ref-7">
        <w:r>
          <w:rPr>
            <w:rStyle w:val="Hyperlink"/>
          </w:rPr>
          <w:t xml:space="preserve">[7]</w:t>
        </w:r>
      </w:hyperlink>
      <w:r>
        <w:t xml:space="preserve">, Moore and Havig on cross-domain visualization collaboration</w:t>
      </w:r>
      <w:r>
        <w:t xml:space="preserve"> </w:t>
      </w:r>
      <w:hyperlink w:anchor="ref-8">
        <w:r>
          <w:rPr>
            <w:rStyle w:val="Hyperlink"/>
          </w:rPr>
          <w:t xml:space="preserve">[8]</w:t>
        </w:r>
      </w:hyperlink>
      <w:r>
        <w:t xml:space="preserve">, Tisaev and colleagues on an air-breathing microwave plasma cathode</w:t>
      </w:r>
      <w:r>
        <w:t xml:space="preserve"> </w:t>
      </w:r>
      <w:hyperlink w:anchor="ref-13">
        <w:r>
          <w:rPr>
            <w:rStyle w:val="Hyperlink"/>
          </w:rPr>
          <w:t xml:space="preserve">[13]</w:t>
        </w:r>
      </w:hyperlink>
      <w:r>
        <w:t xml:space="preserve">, Viola and colleagues on a technology roadmapping methodology for hypersonic transportation</w:t>
      </w:r>
      <w:r>
        <w:t xml:space="preserve"> </w:t>
      </w:r>
      <w:hyperlink w:anchor="ref-15">
        <w:r>
          <w:rPr>
            <w:rStyle w:val="Hyperlink"/>
          </w:rPr>
          <w:t xml:space="preserve">[15]</w:t>
        </w:r>
      </w:hyperlink>
      <w:r>
        <w:t xml:space="preserve">, Lara on perturbation solutions in the restricted three-body problem</w:t>
      </w:r>
      <w:r>
        <w:t xml:space="preserve"> </w:t>
      </w:r>
      <w:hyperlink w:anchor="ref-16">
        <w:r>
          <w:rPr>
            <w:rStyle w:val="Hyperlink"/>
          </w:rPr>
          <w:t xml:space="preserve">[16]</w:t>
        </w:r>
      </w:hyperlink>
      <w:r>
        <w:t xml:space="preserve">, and Gurvits and colleagues on the science case for space-borne sub-millimeter interferometry</w:t>
      </w:r>
      <w:r>
        <w:t xml:space="preserve"> </w:t>
      </w:r>
      <w:hyperlink w:anchor="ref-11">
        <w:r>
          <w:rPr>
            <w:rStyle w:val="Hyperlink"/>
          </w:rPr>
          <w:t xml:space="preserve">[11]</w:t>
        </w:r>
      </w:hyperlink>
      <w:r>
        <w:t xml:space="preserve"> </w:t>
      </w:r>
      <w:r>
        <w:t xml:space="preserve">jointly mark the technical span of the venues the corpus was pulled from. Long-Fox and colleagues on efficiency metrics for lunar and planetary excavation supply an applied-engineering case with a genuine citation footprint</w:t>
      </w:r>
      <w:r>
        <w:t xml:space="preserve"> </w:t>
      </w:r>
      <w:hyperlink w:anchor="ref-9">
        <w:r>
          <w:rPr>
            <w:rStyle w:val="Hyperlink"/>
          </w:rPr>
          <w:t xml:space="preserve">[9]</w:t>
        </w:r>
      </w:hyperlink>
      <w:r>
        <w:t xml:space="preserve">. These records are not stray noise to throw out. They are the denominator. The candidate topic’s signal has to rise above them, and its rising only barely is a substantive outcome rather than a housekeeping quirk.</w:t>
      </w:r>
    </w:p>
    <w:p>
      <w:pPr>
        <w:pStyle w:val="BodyText"/>
        <w:spacing w:line="480" w:lineRule="auto"/>
        <w:ind w:firstLine="720"/>
      </w:pPr>
      <w:r>
        <w:t xml:space="preserve">Dailey and colleagues on global space domain awareness and partnering with AUKUS fill in the governance-plus-alliance angle, showing how acquisition and awareness capabilities increasingly get cast in coalition terms</w:t>
      </w:r>
      <w:r>
        <w:t xml:space="preserve"> </w:t>
      </w:r>
      <w:hyperlink w:anchor="ref-5">
        <w:r>
          <w:rPr>
            <w:rStyle w:val="Hyperlink"/>
          </w:rPr>
          <w:t xml:space="preserve">[5]</w:t>
        </w:r>
      </w:hyperlink>
      <w:r>
        <w:t xml:space="preserve">. Set against the whole pool, the acquisition-and-governance records make up a minority of the corpus, which is exactly why a metadata screen for the subject yields feeble structure. The literature, taken as a whole, forecasts a faint signal, and the empirical chapters bear it out, and that match between prior expectation and measured outcome is the sturdiest thing a design-stage dissertation can put forward: not a striking effect, but a corpus behaving as the surrounding scholarship says it ought to</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w:t>
      </w:r>
    </w:p>
    <w:bookmarkEnd w:id="75"/>
    <w:bookmarkStart w:id="76" w:name="X844c17ff30661a0827ada901cf1e75e2bcfc3f8"/>
    <w:p>
      <w:pPr>
        <w:pStyle w:val="Heading2"/>
        <w:spacing w:line="480" w:lineRule="auto"/>
      </w:pPr>
      <w:r>
        <w:t xml:space="preserve">The maturation model of a topic’s documentary life</w:t>
      </w:r>
    </w:p>
    <w:p>
      <w:pPr>
        <w:pStyle w:val="FirstParagraph"/>
        <w:spacing w:line="480" w:lineRule="auto"/>
      </w:pPr>
      <w:r>
        <w:t xml:space="preserve">One helpful way to arrange the pool is around a maturation model that several of its records quietly assume. A subject starts in operational and technical practice, moves into conference proceedings where it gets aired fast and loosely, then, if it lasts, enters archival journals and at last policy-economic study where its institutional fallout gets settled. Allison’s WRC-19 account paints the final stage, a subject reaching international-law settlement after years of engineering sight</w:t>
      </w:r>
      <w:r>
        <w:t xml:space="preserve"> </w:t>
      </w:r>
      <w:hyperlink w:anchor="ref-3">
        <w:r>
          <w:rPr>
            <w:rStyle w:val="Hyperlink"/>
          </w:rPr>
          <w:t xml:space="preserve">[3]</w:t>
        </w:r>
      </w:hyperlink>
      <w:r>
        <w:t xml:space="preserve">, while the blockchain-awareness records hold the middle stages, a capability shown and refined in proceedings before any archival consensus gathered around it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This maturation model bears on how the venue variable in the empirical papers is read. Should a subject climb the venue ladder as it ripens, then venue family works as a rough clock, and a subject packed into high venues has spent longer in the discussion. The model carries an exception the reference pool shows off directly, though. Fast-moving operational subjects can linger on conference floors indefinitely, because the crowd that cares about them, program offices and operators, writes and reads there rather than in journals. Felt and Sejba’s sensor-proliferation work is exactly this kind of record: pressing, technical, program-relevant, and unlikely to move to an archival venue on the schedule a maturation clock would predict</w:t>
      </w:r>
      <w:r>
        <w:t xml:space="preserve"> </w:t>
      </w:r>
      <w:hyperlink w:anchor="ref-6">
        <w:r>
          <w:rPr>
            <w:rStyle w:val="Hyperlink"/>
          </w:rPr>
          <w:t xml:space="preserve">[6]</w:t>
        </w:r>
      </w:hyperlink>
      <w:r>
        <w:t xml:space="preserve">. A subject that acts this way will flash its densest signal at the low end of the venue ordinal, flipping the naive maturation reading, and the dissertation’s venue coefficient is where that strain gets gauged.</w:t>
      </w:r>
    </w:p>
    <w:p>
      <w:pPr>
        <w:pStyle w:val="BodyText"/>
        <w:spacing w:line="480" w:lineRule="auto"/>
        <w:ind w:firstLine="720"/>
      </w:pPr>
      <w:r>
        <w:t xml:space="preserve">Zancan and colleagues sharpen the case by showing that the venue landscape is itself being remade by the legacy-to-new-space shift</w:t>
      </w:r>
      <w:r>
        <w:t xml:space="preserve"> </w:t>
      </w:r>
      <w:hyperlink w:anchor="ref-14">
        <w:r>
          <w:rPr>
            <w:rStyle w:val="Hyperlink"/>
          </w:rPr>
          <w:t xml:space="preserve">[14]</w:t>
        </w:r>
      </w:hyperlink>
      <w:r>
        <w:t xml:space="preserve">. As new commercial actors arrive, they carry new venues, market-scenario analyses, industry white papers, and economic studies absent from the legacy model. Denis and colleagues’ Earth-observation scenario work is a specimen of this new venue class</w:t>
      </w:r>
      <w:r>
        <w:t xml:space="preserve"> </w:t>
      </w:r>
      <w:hyperlink w:anchor="ref-12">
        <w:r>
          <w:rPr>
            <w:rStyle w:val="Hyperlink"/>
          </w:rPr>
          <w:t xml:space="preserve">[12]</w:t>
        </w:r>
      </w:hyperlink>
      <w:r>
        <w:t xml:space="preserve">. A subject’s documentary life thus plays out against a moving backdrop of venues, one more reason the venue cue must be read as blunt and provisional rather than as a tidy maturation clock.</w:t>
      </w:r>
    </w:p>
    <w:bookmarkEnd w:id="76"/>
    <w:bookmarkStart w:id="77" w:name="Xe5808f6c9ba8e8adac14f41164ea943f0947e39"/>
    <w:p>
      <w:pPr>
        <w:pStyle w:val="Heading2"/>
        <w:spacing w:line="480" w:lineRule="auto"/>
      </w:pPr>
      <w:r>
        <w:t xml:space="preserve">Attention skew and the citation-count trap</w:t>
      </w:r>
    </w:p>
    <w:p>
      <w:pPr>
        <w:pStyle w:val="FirstParagraph"/>
        <w:spacing w:line="480" w:lineRule="auto"/>
      </w:pPr>
      <w:r>
        <w:t xml:space="preserve">The pool also drives home a hard lesson about citation attention that the empirical chapters later confirm on the candidate’s own data. Citation counts are no neutral gauge of importance; they emerge from a steeply lopsided process where venue, age, field size, and indexing coverage all govern how many citations a record gathers, often more than the record’s substance does. Long-Fox and colleagues on excavation efficiency metrics carry a genuine citation footprint</w:t>
      </w:r>
      <w:r>
        <w:t xml:space="preserve"> </w:t>
      </w:r>
      <w:hyperlink w:anchor="ref-9">
        <w:r>
          <w:rPr>
            <w:rStyle w:val="Hyperlink"/>
          </w:rPr>
          <w:t xml:space="preserve">[9]</w:t>
        </w:r>
      </w:hyperlink>
      <w:r>
        <w:t xml:space="preserve">. Most of the conference records carry none, not for want of worth but because their venue and crowd do not throw off indexed citations at the same clip. Treating raw citation counts as a subject-importance gauge across such mismatched venues is a trap. The scientometrics literature has cautioned against it for decades. The trap takes a particular form in a small mixed corpus, where one high-citation record from a neighboring technical area can rule the citation distribution and drag any regression coefficient that uses citations as a predictor. The candidate’s corpus holds exactly such a record, and Chapter 6 lays out its leverage plainly. The methodological writing the pool brushes, through its venue variety rather than a dedicated scientometrics citation, settles on one caution: never let citation count outweigh the venue and age structure standing behind it. The dissertation keeps that caution by reporting the citation coefficient’s fragility instead of dressing it as a clean effect</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77"/>
    <w:bookmarkStart w:id="78" w:name="X6d2ff2bd37ee46502a51a91e2bcee0802db826f"/>
    <w:p>
      <w:pPr>
        <w:pStyle w:val="Heading2"/>
        <w:spacing w:line="480" w:lineRule="auto"/>
      </w:pPr>
      <w:r>
        <w:t xml:space="preserve">What the pool leaves out, and why that matters</w:t>
      </w:r>
    </w:p>
    <w:p>
      <w:pPr>
        <w:pStyle w:val="FirstParagraph"/>
        <w:spacing w:line="480" w:lineRule="auto"/>
      </w:pPr>
      <w:r>
        <w:t xml:space="preserve">A candid literature chapter names its own blanks, and this pool holds two that mold the whole design. The first is the missing set of direct acquisition-outcome studies, since no record in the pool weighs a delivered-capability quality against the instrument that bought it; the pool charts the domain and its governance, not the speed-quality bargain as an outcome. That absence is why the dissertation examines a documentary proxy rather than the outcome itself, and it is a blank the surrounding scholarship shares rather than one unique to this corpus</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second blank is the thinness of the policy-economic venue family, which holds the records where the institutional fallout of the speed-quality question would be settled and stands as the smallest of the three in the corpus. Takata and Hidaka’s partnership analysis nods toward it</w:t>
      </w:r>
      <w:r>
        <w:t xml:space="preserve"> </w:t>
      </w:r>
      <w:hyperlink w:anchor="ref-10">
        <w:r>
          <w:rPr>
            <w:rStyle w:val="Hyperlink"/>
          </w:rPr>
          <w:t xml:space="preserve">[10]</w:t>
        </w:r>
      </w:hyperlink>
      <w:r>
        <w:t xml:space="preserve">, and the AUKUS awareness work brushes the alliance-economics angle</w:t>
      </w:r>
      <w:r>
        <w:t xml:space="preserve"> </w:t>
      </w:r>
      <w:hyperlink w:anchor="ref-5">
        <w:r>
          <w:rPr>
            <w:rStyle w:val="Hyperlink"/>
          </w:rPr>
          <w:t xml:space="preserve">[5]</w:t>
        </w:r>
      </w:hyperlink>
      <w:r>
        <w:t xml:space="preserve">, yet the family runs too sparse to anchor a strong venue effect. The empirical papers accordingly test a venue cue that is genuine but undersupplied at exactly the end of the ordinal where the subject’s institutional life should be most visible. Naming that thinness beforehand is what lets Chapter 6 read the negative venue coefficient as a fact about a sparse corpus rather than as a settled claim about where the subject lives</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bookmarkEnd w:id="78"/>
    <w:bookmarkStart w:id="79" w:name="X7b96b2fa837cca0fb95b41fcdc1e1d12796925a"/>
    <w:p>
      <w:pPr>
        <w:pStyle w:val="Heading2"/>
        <w:spacing w:line="480" w:lineRule="auto"/>
      </w:pPr>
      <w:r>
        <w:t xml:space="preserve">The technical records as a control on topic detection</w:t>
      </w:r>
    </w:p>
    <w:p>
      <w:pPr>
        <w:pStyle w:val="FirstParagraph"/>
        <w:spacing w:line="480" w:lineRule="auto"/>
      </w:pPr>
      <w:r>
        <w:t xml:space="preserve">The technical records in the pool serve a role easy to undervalue: they are the control that topic detection gets judged against. A theme-word signal score means something only if it can separate an on-topic record from an off-topic one, and the pool hands over a clean batch of off-topic references to test that separation. Lara’s work on perturbation solutions in the restricted three-body problem is pure orbital mechanics carrying no acquisition or governance content</w:t>
      </w:r>
      <w:r>
        <w:t xml:space="preserve"> </w:t>
      </w:r>
      <w:hyperlink w:anchor="ref-16">
        <w:r>
          <w:rPr>
            <w:rStyle w:val="Hyperlink"/>
          </w:rPr>
          <w:t xml:space="preserve">[16]</w:t>
        </w:r>
      </w:hyperlink>
      <w:r>
        <w:t xml:space="preserve">. Gurvits and colleagues on sub-millimeter interferometry is an astronomy science case</w:t>
      </w:r>
      <w:r>
        <w:t xml:space="preserve"> </w:t>
      </w:r>
      <w:hyperlink w:anchor="ref-11">
        <w:r>
          <w:rPr>
            <w:rStyle w:val="Hyperlink"/>
          </w:rPr>
          <w:t xml:space="preserve">[11]</w:t>
        </w:r>
      </w:hyperlink>
      <w:r>
        <w:t xml:space="preserve">. Tisaev and colleagues on a plasma cathode is propulsion hardware</w:t>
      </w:r>
      <w:r>
        <w:t xml:space="preserve"> </w:t>
      </w:r>
      <w:hyperlink w:anchor="ref-13">
        <w:r>
          <w:rPr>
            <w:rStyle w:val="Hyperlink"/>
          </w:rPr>
          <w:t xml:space="preserve">[13]</w:t>
        </w:r>
      </w:hyperlink>
      <w:r>
        <w:t xml:space="preserve">. Were the signal score mere noise, these records would score as high as the acquisition-governance core, and their failure to do so is proof the detector functions at all. This control role is why the technical records have to remain in the corpus rather than being screened out as beside the point. Dropping them would drop the denominator that renders the topic signal interpretable, and it would swell the apparent concentration of the subject by tossing the records concentration is measured against. Viola and colleagues on hypersonic roadmapping</w:t>
      </w:r>
      <w:r>
        <w:t xml:space="preserve"> </w:t>
      </w:r>
      <w:hyperlink w:anchor="ref-15">
        <w:r>
          <w:rPr>
            <w:rStyle w:val="Hyperlink"/>
          </w:rPr>
          <w:t xml:space="preserve">[15]</w:t>
        </w:r>
      </w:hyperlink>
      <w:r>
        <w:t xml:space="preserve"> </w:t>
      </w:r>
      <w:r>
        <w:t xml:space="preserve">and Linderman and colleagues on image processing</w:t>
      </w:r>
      <w:r>
        <w:t xml:space="preserve"> </w:t>
      </w:r>
      <w:hyperlink w:anchor="ref-7">
        <w:r>
          <w:rPr>
            <w:rStyle w:val="Hyperlink"/>
          </w:rPr>
          <w:t xml:space="preserve">[7]</w:t>
        </w:r>
      </w:hyperlink>
      <w:r>
        <w:t xml:space="preserve"> </w:t>
      </w:r>
      <w:r>
        <w:t xml:space="preserve">hold their spot in the estimation file exactly because they are off-topic, since their low signal scores calibrate what a low score means. A corpus made only of on-topic records could not gauge whether the subject imprints, because it would have nothing to imprint against.</w:t>
      </w:r>
    </w:p>
    <w:p>
      <w:pPr>
        <w:pStyle w:val="BodyText"/>
        <w:spacing w:line="480" w:lineRule="auto"/>
        <w:ind w:firstLine="720"/>
      </w:pPr>
      <w:r>
        <w:t xml:space="preserve">The control set also keeps the citation analysis honest. The single most-cited record in the corpus is a technical article, off-topic, and its citations reflect the size and citing customs of its own field rather than any regard for the acquisition subject</w:t>
      </w:r>
      <w:r>
        <w:t xml:space="preserve"> </w:t>
      </w:r>
      <w:hyperlink w:anchor="ref-9">
        <w:r>
          <w:rPr>
            <w:rStyle w:val="Hyperlink"/>
          </w:rPr>
          <w:t xml:space="preserve">[9]</w:t>
        </w:r>
      </w:hyperlink>
      <w:r>
        <w:t xml:space="preserve">. Holding it in view, rather than clipping it as an awkward outlier, is what lets Chapter 6 exhibit the central scientometric lesson of the whole study: that raw citation counts in a mixed corpus follow field size and venue base rates more than subject importance. The technical records are not debris around the argument. They are load-bearing parts of it.</w:t>
      </w:r>
    </w:p>
    <w:bookmarkEnd w:id="79"/>
    <w:bookmarkStart w:id="80" w:name="X148b4bfff208f71b5b20fa30372669604e69a26"/>
    <w:p>
      <w:pPr>
        <w:pStyle w:val="Heading2"/>
        <w:spacing w:line="480" w:lineRule="auto"/>
      </w:pPr>
      <w:r>
        <w:t xml:space="preserve">How this study positions itself against the pool</w:t>
      </w:r>
    </w:p>
    <w:p>
      <w:pPr>
        <w:pStyle w:val="FirstParagraph"/>
        <w:spacing w:line="480" w:lineRule="auto"/>
      </w:pPr>
      <w:r>
        <w:t xml:space="preserve">Against this literature the dissertation takes a knowingly narrow stance. It makes no attempt to advance the governance theory Zancan and colleagues build</w:t>
      </w:r>
      <w:r>
        <w:t xml:space="preserve"> </w:t>
      </w:r>
      <w:hyperlink w:anchor="ref-14">
        <w:r>
          <w:rPr>
            <w:rStyle w:val="Hyperlink"/>
          </w:rPr>
          <w:t xml:space="preserve">[14]</w:t>
        </w:r>
      </w:hyperlink>
      <w:r>
        <w:t xml:space="preserve">, nor the partnership model Takata and Hidaka put forward</w:t>
      </w:r>
      <w:r>
        <w:t xml:space="preserve"> </w:t>
      </w:r>
      <w:hyperlink w:anchor="ref-10">
        <w:r>
          <w:rPr>
            <w:rStyle w:val="Hyperlink"/>
          </w:rPr>
          <w:t xml:space="preserve">[10]</w:t>
        </w:r>
      </w:hyperlink>
      <w:r>
        <w:t xml:space="preserve">, nor the space-law analysis Allison provides</w:t>
      </w:r>
      <w:r>
        <w:t xml:space="preserve"> </w:t>
      </w:r>
      <w:hyperlink w:anchor="ref-3">
        <w:r>
          <w:rPr>
            <w:rStyle w:val="Hyperlink"/>
          </w:rPr>
          <w:t xml:space="preserve">[3]</w:t>
        </w:r>
      </w:hyperlink>
      <w:r>
        <w:t xml:space="preserve">. It borrows instead the domain those works establish and asks a prior, humbler question about it: is the subject even readable in the documentary record at the grain a metadata screen resolves? This is a measurement question sitting under the substantive ones the pool takes on, and answering it is a precondition for the larger studies the pool implies rather than a rival to them. That stance is what keeps the dissertation from overreaching. By refusing to argue governance substance and holding to documentary structure, it delivers an outcome smaller but firmer than the surrounding literature’s claims, and it hands that literature a checkable finding to build on. The reference pool describes a sector in transition and a subject gaining operational weight; this study gauges how faintly that weight has so far marked the sector’s documentary record, and it reports the faintness as the candid launch point for everything the pool next wants to know</w:t>
      </w:r>
      <w:r>
        <w:t xml:space="preserve"> </w:t>
      </w:r>
      <w:hyperlink w:anchor="ref-6">
        <w:r>
          <w:rPr>
            <w:rStyle w:val="Hyperlink"/>
          </w:rPr>
          <w:t xml:space="preserve">[6]</w:t>
        </w:r>
      </w:hyperlink>
      <w:r>
        <w:t xml:space="preserve"> </w:t>
      </w:r>
      <w:hyperlink w:anchor="ref-5">
        <w:r>
          <w:rPr>
            <w:rStyle w:val="Hyperlink"/>
          </w:rPr>
          <w:t xml:space="preserve">[5]</w:t>
        </w:r>
      </w:hyperlink>
      <w:r>
        <w:t xml:space="preserve">.</w:t>
      </w:r>
    </w:p>
    <w:bookmarkEnd w:id="80"/>
    <w:bookmarkEnd w:id="81"/>
    <w:bookmarkStart w:id="93" w:name="chapter-3.-theory-and-hypotheses"/>
    <w:p>
      <w:pPr>
        <w:pStyle w:val="Heading1"/>
        <w:spacing w:line="480" w:lineRule="auto"/>
      </w:pPr>
      <w:r>
        <w:t xml:space="preserve">Chapter 3. Theory and Hypotheses</w:t>
      </w:r>
    </w:p>
    <w:p>
      <w:pPr>
        <w:pStyle w:val="FirstParagraph"/>
        <w:spacing w:line="480" w:lineRule="auto"/>
      </w:pPr>
      <w:r>
        <w:t xml:space="preserve">A test is worth no more than the mechanism it hopes to catch. This chapter sets that mechanism down plainly, draws from it the predictions the estimators are built to check, and, no less vital, spells out what would count as the mechanism being absent. The theory here is no sweeping story of why governments buy as they do. It stays compact, a claim about how a subject’s climb in importance should, if it happened, stamp itself on the everyday metadata of a source corpus.</w:t>
      </w:r>
    </w:p>
    <w:bookmarkStart w:id="82" w:name="the-salience-imprint-mechanism"/>
    <w:p>
      <w:pPr>
        <w:pStyle w:val="Heading2"/>
        <w:spacing w:line="480" w:lineRule="auto"/>
      </w:pPr>
      <w:r>
        <w:t xml:space="preserve">The salience-imprint mechanism</w:t>
      </w:r>
    </w:p>
    <w:p>
      <w:pPr>
        <w:pStyle w:val="FirstParagraph"/>
        <w:spacing w:line="480" w:lineRule="auto"/>
      </w:pPr>
      <w:r>
        <w:t xml:space="preserve">Start with the intuition the dissertation formalizes. When a policy or technical subject truly grows in weight, the crowd that writes about it does three visible things over time. It writes about the subject more recently, so the subject’s records bunch toward the present. It cites the subject’s records more, so notice piles up on them. And it carries the subject across venues as the discussion ripens, from the quick, casual floor of conference proceedings toward the slower, archival standing of peer-reviewed journals and, at last, toward policy and economic study where institutional fallout gets settled</w:t>
      </w:r>
      <w:r>
        <w:t xml:space="preserve"> </w:t>
      </w:r>
      <w:hyperlink w:anchor="ref-3">
        <w:r>
          <w:rPr>
            <w:rStyle w:val="Hyperlink"/>
          </w:rPr>
          <w:t xml:space="preserve">[3]</w:t>
        </w:r>
      </w:hyperlink>
      <w:r>
        <w:t xml:space="preserve"> </w:t>
      </w:r>
      <w:hyperlink w:anchor="ref-14">
        <w:r>
          <w:rPr>
            <w:rStyle w:val="Hyperlink"/>
          </w:rPr>
          <w:t xml:space="preserve">[14]</w:t>
        </w:r>
      </w:hyperlink>
      <w:r>
        <w:t xml:space="preserve">. Call this the salience-imprint mechanism. The reasoning is plain. It is also testable. If the candidate subject, the speed-quality tradeoff in flexible acquisition, has been climbing in the space crowd’s attention, then inside a corpus retrieved on that subject the topic-signal score should track recency, citation count, and venue family together. A record that is fresher, better-cited, and lodged in a more archival venue should, on average, log a stronger topic signal than one older, uncited, and stuck on a conference floor</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mechanism wears an important negative face, because weight does not always stamp.</w:t>
      </w:r>
    </w:p>
    <w:p>
      <w:pPr>
        <w:pStyle w:val="BodyText"/>
        <w:spacing w:line="480" w:lineRule="auto"/>
        <w:ind w:firstLine="720"/>
      </w:pPr>
      <w:r>
        <w:t xml:space="preserve">A subject can matter operationally yet stay documentarily thin, aired in briefings and program reviews that never reach a citation index, or strewn across venues so widely that no coherent trend forms. In that world the same three cues come back weak, jittery, or crosswise, not because the subject is trivial but because the documentary record makes a poor instrument for spotting it. The dissertation treats this negative face as a live chance rather than a bother, which is why the hypotheses are framed so the null is truly within reach</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82"/>
    <w:bookmarkStart w:id="83" w:name="from-mechanism-to-predictions"/>
    <w:p>
      <w:pPr>
        <w:pStyle w:val="Heading2"/>
        <w:spacing w:line="480" w:lineRule="auto"/>
      </w:pPr>
      <w:r>
        <w:t xml:space="preserve">From mechanism to predictions</w:t>
      </w:r>
    </w:p>
    <w:p>
      <w:pPr>
        <w:pStyle w:val="FirstParagraph"/>
        <w:spacing w:line="480" w:lineRule="auto"/>
      </w:pPr>
      <w:r>
        <w:t xml:space="preserve">The salience-imprint mechanism throws off three directional predictions and one joint prediction, and the two papers are built to test them. Prediction one is about recency. If weight is climbing, fresher records should bear stronger topic signals, so the recency coefficient in the cross-sectional model should come out positive and separable from zero, while a flat or negative recency coefficient argues against a clean climb in weight</w:t>
      </w:r>
      <w:r>
        <w:t xml:space="preserve"> </w:t>
      </w:r>
      <w:hyperlink w:anchor="ref-14">
        <w:r>
          <w:rPr>
            <w:rStyle w:val="Hyperlink"/>
          </w:rPr>
          <w:t xml:space="preserve">[14]</w:t>
        </w:r>
      </w:hyperlink>
      <w:r>
        <w:t xml:space="preserve">. Prediction two is about attention. If the crowd is closing on the subject, its records should draw citations, so the citation coefficient should come out positive. A negative or null citation coefficient hints either that the high-signal records are too fresh to have gathered citations yet, or that citation notice in this corpus runs on something other than subject fit, such as one heavily cited record from a neighboring technical area</w:t>
      </w:r>
      <w:r>
        <w:t xml:space="preserve"> </w:t>
      </w:r>
      <w:hyperlink w:anchor="ref-9">
        <w:r>
          <w:rPr>
            <w:rStyle w:val="Hyperlink"/>
          </w:rPr>
          <w:t xml:space="preserve">[9]</w:t>
        </w:r>
      </w:hyperlink>
      <w:r>
        <w:t xml:space="preserve"> </w:t>
      </w:r>
      <w:hyperlink w:anchor="ref-7">
        <w:r>
          <w:rPr>
            <w:rStyle w:val="Hyperlink"/>
          </w:rPr>
          <w:t xml:space="preserve">[7]</w:t>
        </w:r>
      </w:hyperlink>
      <w:r>
        <w:t xml:space="preserve">. Prediction three is about venue. If the discussion is ripening, higher-venue records should bear stronger signals, so the venue coefficient should come out positive under the salience-imprint story. This is the frailest prediction, because the venue score is ordinal and because the subject may in fact live densest in the casual conference literature rather than the archival journals, which would flip the looked-for sign</w:t>
      </w:r>
      <w:r>
        <w:t xml:space="preserve"> </w:t>
      </w:r>
      <w:hyperlink w:anchor="ref-12">
        <w:r>
          <w:rPr>
            <w:rStyle w:val="Hyperlink"/>
          </w:rPr>
          <w:t xml:space="preserve">[12]</w:t>
        </w:r>
      </w:hyperlink>
      <w:r>
        <w:t xml:space="preserve">.</w:t>
      </w:r>
    </w:p>
    <w:p>
      <w:pPr>
        <w:pStyle w:val="BodyText"/>
        <w:spacing w:line="480" w:lineRule="auto"/>
        <w:ind w:firstLine="720"/>
      </w:pPr>
      <w:r>
        <w:t xml:space="preserve">The joint prediction knots them together. Under H1 the three predictors should jointly account for a non-trivial slice of the variation in the topic signal, so the model’s overall fit should be strong enough that the joint test overturns the null of no relationship, while under H0 the joint test fails, the fit runs weak, and no lone coefficient rescues it. This joint framing is what keeps the dissertation honest, since it bars the picking of one suggestive coefficient and calling it a win</w:t>
      </w:r>
      <w:r>
        <w:t xml:space="preserve"> </w:t>
      </w:r>
      <w:hyperlink w:anchor="ref-5">
        <w:r>
          <w:rPr>
            <w:rStyle w:val="Hyperlink"/>
          </w:rPr>
          <w:t xml:space="preserve">[5]</w:t>
        </w:r>
      </w:hyperlink>
      <w:r>
        <w:t xml:space="preserve">.</w:t>
      </w:r>
    </w:p>
    <w:bookmarkEnd w:id="83"/>
    <w:bookmarkStart w:id="84" w:name="the-accumulation-prediction"/>
    <w:p>
      <w:pPr>
        <w:pStyle w:val="Heading2"/>
        <w:spacing w:line="480" w:lineRule="auto"/>
      </w:pPr>
      <w:r>
        <w:t xml:space="preserve">The accumulation prediction</w:t>
      </w:r>
    </w:p>
    <w:p>
      <w:pPr>
        <w:pStyle w:val="FirstParagraph"/>
        <w:spacing w:line="480" w:lineRule="auto"/>
      </w:pPr>
      <w:r>
        <w:t xml:space="preserve">Paper 2 tests a separate temporal claim the cross-sectional model cannot reach.</w:t>
      </w:r>
    </w:p>
    <w:p>
      <w:pPr>
        <w:pStyle w:val="BodyText"/>
        <w:spacing w:line="480" w:lineRule="auto"/>
        <w:ind w:firstLine="720"/>
      </w:pPr>
      <w:r>
        <w:t xml:space="preserve">If attention on a subject gathers in a steady way as records age, then inside the corpus the citation count should scale with article age along a learning-curve shape, where the log of citations climbs with the log of age. A positive age elasticity would say that older records have had time to collect citations, the ordinary ripening of attention, while a negative elasticity would say something odder and more suspect: that in this particular corpus the older records are the less cited ones, pointing to a retrieval tilted toward recent, higher-attention venues rather than a real aging effect</w:t>
      </w:r>
      <w:r>
        <w:t xml:space="preserve"> </w:t>
      </w:r>
      <w:hyperlink w:anchor="ref-3">
        <w:r>
          <w:rPr>
            <w:rStyle w:val="Hyperlink"/>
          </w:rPr>
          <w:t xml:space="preserve">[3]</w:t>
        </w:r>
      </w:hyperlink>
      <w:r>
        <w:t xml:space="preserve">.</w:t>
      </w:r>
    </w:p>
    <w:p>
      <w:pPr>
        <w:pStyle w:val="BodyText"/>
        <w:spacing w:line="480" w:lineRule="auto"/>
        <w:ind w:firstLine="720"/>
      </w:pPr>
      <w:r>
        <w:t xml:space="preserve">The accumulation prediction is set apart from the cross-sectional predictions on purpose, because the two can clash.</w:t>
      </w:r>
    </w:p>
    <w:p>
      <w:pPr>
        <w:pStyle w:val="BodyText"/>
        <w:spacing w:line="480" w:lineRule="auto"/>
        <w:ind w:firstLine="720"/>
      </w:pPr>
      <w:r>
        <w:t xml:space="preserve">That clash is diagnostic. A corpus can show no cross-sectional recency effect yet a clear aging effect, or the other way around. Where both run weak, the candid conclusion is that the corpus is too slight and too clustered to speak with confidence about either, and the design pledges beforehand to draw exactly that conclusion should the numbers demand it</w:t>
      </w:r>
      <w:r>
        <w:t xml:space="preserve"> </w:t>
      </w:r>
      <w:hyperlink w:anchor="ref-2">
        <w:r>
          <w:rPr>
            <w:rStyle w:val="Hyperlink"/>
          </w:rPr>
          <w:t xml:space="preserve">[2]</w:t>
        </w:r>
      </w:hyperlink>
      <w:r>
        <w:t xml:space="preserve">.</w:t>
      </w:r>
    </w:p>
    <w:bookmarkEnd w:id="84"/>
    <w:bookmarkStart w:id="85" w:name="what-the-theory-does-not-claim"/>
    <w:p>
      <w:pPr>
        <w:pStyle w:val="Heading2"/>
        <w:spacing w:line="480" w:lineRule="auto"/>
      </w:pPr>
      <w:r>
        <w:t xml:space="preserve">What the theory does not claim</w:t>
      </w:r>
    </w:p>
    <w:p>
      <w:pPr>
        <w:pStyle w:val="FirstParagraph"/>
        <w:spacing w:line="480" w:lineRule="auto"/>
      </w:pPr>
      <w:r>
        <w:t xml:space="preserve">Three disclaimers keep the mechanism humble. First, no prediction is causal about acquisition outcomes in the field, so a positive recency coefficient would say the subject is stamping the corpus, not that flexible instruments buy quality. Second, the mechanism is a claim about the retrieved corpus, not about the whole universe of writing on the subject, and a different retrieval could yield a different imprint. Third, the mechanism stays agnostic on the direction of the venue effect, because the theory of ripening and the reality of where a subject truly lives can tug the venue coefficient either way</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With the mechanism and its predictions pinned down, the hypotheses can be stated in the form the estimators will test.</w:t>
      </w:r>
    </w:p>
    <w:p>
      <w:pPr>
        <w:pStyle w:val="BodyText"/>
        <w:spacing w:line="480" w:lineRule="auto"/>
        <w:ind w:firstLine="720"/>
      </w:pPr>
      <w:r>
        <w:t xml:space="preserve">H0: the topic-signal score is unrelated to publication recency, citation attention, and venue family, and citation accumulation is unrelated to article age. H1: the topic-signal score is systematically related to those three predictors, and citation accumulation follows a measurable age-based curve. Chapter 4 turns these into estimators, and Chapter 6 reports whether the corpus stamps the subject or stays quiet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85"/>
    <w:bookmarkStart w:id="86" w:name="microfoundations-of-the-imprint"/>
    <w:p>
      <w:pPr>
        <w:pStyle w:val="Heading2"/>
        <w:spacing w:line="480" w:lineRule="auto"/>
      </w:pPr>
      <w:r>
        <w:t xml:space="preserve">Microfoundations of the imprint</w:t>
      </w:r>
    </w:p>
    <w:p>
      <w:pPr>
        <w:pStyle w:val="FirstParagraph"/>
        <w:spacing w:line="480" w:lineRule="auto"/>
      </w:pPr>
      <w:r>
        <w:t xml:space="preserve">It repays a pause to ask why the three cues should move together under H1, because the joint prediction leans on a shared cause rather than on three loose coincidences. That shared cause is crowd attention. When a research and practitioner crowd turns toward a subject, the same turning throws off all three cues at once: members write about it now, which lifts recency; they cite each other’s work on it, which lifts attention; and as the subject earns standing, it moves toward more authoritative venues, which lifts venue family. The three cues correlate under H1 not because recency causes citations or venue causes recency, but because one latent variable, crowd attention, drives all three</w:t>
      </w:r>
      <w:r>
        <w:t xml:space="preserve"> </w:t>
      </w:r>
      <w:hyperlink w:anchor="ref-14">
        <w:r>
          <w:rPr>
            <w:rStyle w:val="Hyperlink"/>
          </w:rPr>
          <w:t xml:space="preserve">[14]</w:t>
        </w:r>
      </w:hyperlink>
      <w:r>
        <w:t xml:space="preserve"> </w:t>
      </w:r>
      <w:hyperlink w:anchor="ref-3">
        <w:r>
          <w:rPr>
            <w:rStyle w:val="Hyperlink"/>
          </w:rPr>
          <w:t xml:space="preserve">[3]</w:t>
        </w:r>
      </w:hyperlink>
      <w:r>
        <w:t xml:space="preserve">. That microfoundation explains why the joint F test is the honest test of H1 rather than any lone coefficient. If crowd attention is the common driver, then even when no single cue is pinned sharply, the three together should account for real variation in the topic score. A design that tested one coefficient could miss the joint imprint or, worse, latch onto one cue that happened to hit significance by chance. The joint test poses the question the microfoundation truly raises: is there a common attention factor structuring these records, or is there not</w:t>
      </w:r>
      <w:r>
        <w:t xml:space="preserve"> </w:t>
      </w:r>
      <w:hyperlink w:anchor="ref-4">
        <w:r>
          <w:rPr>
            <w:rStyle w:val="Hyperlink"/>
          </w:rPr>
          <w:t xml:space="preserve">[4]</w:t>
        </w:r>
      </w:hyperlink>
      <w:r>
        <w:t xml:space="preserve">?</w:t>
      </w:r>
    </w:p>
    <w:p>
      <w:pPr>
        <w:pStyle w:val="BodyText"/>
        <w:spacing w:line="480" w:lineRule="auto"/>
        <w:ind w:firstLine="720"/>
      </w:pPr>
      <w:r>
        <w:t xml:space="preserve">The microfoundation also clears up what a null means. Under H0 the latent attention factor is either gone or too weak to stamp, and the three cues come apart, which can happen for substantive reasons, a subject operators mind but scholars do not cite, or for measurement reasons, cues too blunt to log a real factor. The mechanism does not settle between these; it only forecasts that under H0 the joint structure dissolves. Telling substantive from measurement decoupling is left to the diagnostics of Chapter 6 and the threats of Chapter 7</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86"/>
    <w:bookmarkStart w:id="87" w:name="X33e83bbf9be45608679e197a19814489c1734ac"/>
    <w:p>
      <w:pPr>
        <w:pStyle w:val="Heading2"/>
        <w:spacing w:line="480" w:lineRule="auto"/>
      </w:pPr>
      <w:r>
        <w:t xml:space="preserve">The special status of the citation prediction</w:t>
      </w:r>
    </w:p>
    <w:p>
      <w:pPr>
        <w:pStyle w:val="FirstParagraph"/>
        <w:spacing w:line="480" w:lineRule="auto"/>
      </w:pPr>
      <w:r>
        <w:t xml:space="preserve">Among the three directional predictions, the citation prediction warrants its own handling because it is the one most open to confounding, and the theory should say as much beforehand rather than find it out afterward. Citation notice in a mixed corpus runs on at least two forces the mechanism does not steer: venue base rates, since journal records collect indexed citations faster than conference records whatever the subject, and age, since older records have had longer to collect them. A raw citation coefficient thus blends subject-driven notice with venue-driven and age-driven notice, and its sign can flip depending on which force rules the particular records at hand</w:t>
      </w:r>
      <w:r>
        <w:t xml:space="preserve"> </w:t>
      </w:r>
      <w:hyperlink w:anchor="ref-9">
        <w:r>
          <w:rPr>
            <w:rStyle w:val="Hyperlink"/>
          </w:rPr>
          <w:t xml:space="preserve">[9]</w:t>
        </w:r>
      </w:hyperlink>
      <w:r>
        <w:t xml:space="preserve"> </w:t>
      </w:r>
      <w:hyperlink w:anchor="ref-7">
        <w:r>
          <w:rPr>
            <w:rStyle w:val="Hyperlink"/>
          </w:rPr>
          <w:t xml:space="preserve">[7]</w:t>
        </w:r>
      </w:hyperlink>
      <w:r>
        <w:t xml:space="preserve">. This is why the theory forecasts a positive citation coefficient only conditionally, on the assumption that subject-driven notice rules venue and age base rates within the corpus. If instead the corpus’s citations pool on a few neighboring high-venue records whose topic signal is low, the coefficient can turn negative even while crowd attention on the true subject climbs elsewhere in the corpus. The mechanism thus forecasts the sign but flags its fragility, and Chapter 6 reports exactly the confounded case the theory foresaw: a negative citation coefficient driven by notice that has parted from topic signal</w:t>
      </w:r>
      <w:r>
        <w:t xml:space="preserve"> </w:t>
      </w:r>
      <w:hyperlink w:anchor="ref-12">
        <w:r>
          <w:rPr>
            <w:rStyle w:val="Hyperlink"/>
          </w:rPr>
          <w:t xml:space="preserve">[12]</w:t>
        </w:r>
      </w:hyperlink>
      <w:r>
        <w:t xml:space="preserve">.</w:t>
      </w:r>
    </w:p>
    <w:bookmarkEnd w:id="87"/>
    <w:bookmarkStart w:id="88" w:name="Xc074f6b1063f56064f45d8339270fc452d046dd"/>
    <w:p>
      <w:pPr>
        <w:pStyle w:val="Heading2"/>
        <w:spacing w:line="480" w:lineRule="auto"/>
      </w:pPr>
      <w:r>
        <w:t xml:space="preserve">A falsifiable design, not a confirmatory one</w:t>
      </w:r>
    </w:p>
    <w:p>
      <w:pPr>
        <w:pStyle w:val="FirstParagraph"/>
        <w:spacing w:line="480" w:lineRule="auto"/>
      </w:pPr>
      <w:r>
        <w:t xml:space="preserve">The chapter closes on the property that lends the whole dissertation its standing. The hypotheses are framed so H0 is truly within reach. Nothing in the design promises H1, since the recency, citation, and venue coefficients could all come back null, the joint test could fail, and the age elasticity could point the wrong way, and the design would report every one of those outcomes as stated. A confirmatory design that could only ever find its hypothesis would be worthless here, because a program office needs to know when proof is missing as much as when it is present. The mechanism is compact, its predictions are directional and joint, and its null is real. That is what makes the test worth running, and Chapter 4 now specifies the estimators that run it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88"/>
    <w:bookmarkStart w:id="89" w:name="boundary-conditions-of-the-mechanism"/>
    <w:p>
      <w:pPr>
        <w:pStyle w:val="Heading2"/>
        <w:spacing w:line="480" w:lineRule="auto"/>
      </w:pPr>
      <w:r>
        <w:t xml:space="preserve">Boundary conditions of the mechanism</w:t>
      </w:r>
    </w:p>
    <w:p>
      <w:pPr>
        <w:pStyle w:val="FirstParagraph"/>
        <w:spacing w:line="480" w:lineRule="auto"/>
      </w:pPr>
      <w:r>
        <w:t xml:space="preserve">Every mechanism carries boundary conditions under which it should not be expected to hold, and spelling them out shields the test from being asked to spot something it was never built to spot. The salience-imprint mechanism assumes that the crowd writing about the subject is the same crowd whose venues and citations the corpus captures. When a subject lives mainly in crowds that do not publish in indexed venues, program briefings, operator working groups, and classified assessments, the mechanism forecasts no imprint even under fierce real attention, because the attention never reaches the documentary channels the corpus gauges</w:t>
      </w:r>
      <w:r>
        <w:t xml:space="preserve"> </w:t>
      </w:r>
      <w:hyperlink w:anchor="ref-6">
        <w:r>
          <w:rPr>
            <w:rStyle w:val="Hyperlink"/>
          </w:rPr>
          <w:t xml:space="preserve">[6]</w:t>
        </w:r>
      </w:hyperlink>
      <w:r>
        <w:t xml:space="preserve"> </w:t>
      </w:r>
      <w:hyperlink w:anchor="ref-5">
        <w:r>
          <w:rPr>
            <w:rStyle w:val="Hyperlink"/>
          </w:rPr>
          <w:t xml:space="preserve">[5]</w:t>
        </w:r>
      </w:hyperlink>
      <w:r>
        <w:t xml:space="preserve">. The acquisition subject is oddly exposed to this boundary condition, because acquisition knowledge pools in program offices and industry teams whose weightiest documents are contract deliverables and internal reviews rather than journal articles. A climb in attention to the speed-quality tradeoff among those practitioners could be wholly real and wholly invisible to a bibliometric screen. The mechanism therefore forecasts, candidly, that a null result squares with either a genuinely dormant subject or a fiercely active one whose activity skirts indexed venues. Chapter 3 states this before the data are seen so Chapter 7 can weigh it as a threat rather than conjure it as an excuse</w:t>
      </w:r>
      <w:r>
        <w:t xml:space="preserve"> </w:t>
      </w:r>
      <w:hyperlink w:anchor="ref-1">
        <w:r>
          <w:rPr>
            <w:rStyle w:val="Hyperlink"/>
          </w:rPr>
          <w:t xml:space="preserve">[1]</w:t>
        </w:r>
      </w:hyperlink>
      <w:r>
        <w:t xml:space="preserve">.</w:t>
      </w:r>
    </w:p>
    <w:p>
      <w:pPr>
        <w:pStyle w:val="BodyText"/>
        <w:spacing w:line="480" w:lineRule="auto"/>
        <w:ind w:firstLine="720"/>
      </w:pPr>
      <w:r>
        <w:t xml:space="preserve">A second boundary condition concerns time lag. Even when a subject does stamp indexed venues, the imprint trails the attention that makes it, because writing, review, and publication run years. A subject climbing sharply in the last two or three years would show its climb weakly in a corpus whose citation and venue cues need time to gather. The recency variable can catch the leading edge of such a climb, but the citation and venue variables trail it, which means the three cues can truly clash during a subject’s rise. The mechanism makes room for this by forecasting joint structure only for subjects whose climb is old enough to have run through the publication cycle, and by reading a recency-only cue with trailing citations as an ambiguous rather than a decisive pattern</w:t>
      </w:r>
      <w:r>
        <w:t xml:space="preserve"> </w:t>
      </w:r>
      <w:hyperlink w:anchor="ref-14">
        <w:r>
          <w:rPr>
            <w:rStyle w:val="Hyperlink"/>
          </w:rPr>
          <w:t xml:space="preserve">[14]</w:t>
        </w:r>
      </w:hyperlink>
      <w:r>
        <w:t xml:space="preserve"> </w:t>
      </w:r>
      <w:hyperlink w:anchor="ref-3">
        <w:r>
          <w:rPr>
            <w:rStyle w:val="Hyperlink"/>
          </w:rPr>
          <w:t xml:space="preserve">[3]</w:t>
        </w:r>
      </w:hyperlink>
      <w:r>
        <w:t xml:space="preserve">.</w:t>
      </w:r>
    </w:p>
    <w:bookmarkEnd w:id="89"/>
    <w:bookmarkStart w:id="90" w:name="predictions-restated-as-a-scorecard"/>
    <w:p>
      <w:pPr>
        <w:pStyle w:val="Heading2"/>
        <w:spacing w:line="480" w:lineRule="auto"/>
      </w:pPr>
      <w:r>
        <w:t xml:space="preserve">Predictions restated as a scorecard</w:t>
      </w:r>
    </w:p>
    <w:p>
      <w:pPr>
        <w:pStyle w:val="FirstParagraph"/>
        <w:spacing w:line="480" w:lineRule="auto"/>
      </w:pPr>
      <w:r>
        <w:t xml:space="preserve">To render the test unambiguous, the predictions can be set out as a scorecard the results will complete. A positive, significant recency coefficient scores for H1 on the recency channel, while a null or negative one scores for H0. A positive, significant citation coefficient scores for H1 on attention, while a negative or null one scores for H0, with the negative case flagged as the confounded scenario the citation prediction foresaw. A positive venue coefficient scores for H1 on ripening, and a negative one scores for the conference-lodged exception. A rejecting joint F test scores for H1 overall, and a non-rejecting one scores for H0. A positive age elasticity scores for ordinary ripening, while a negative one scores for a recency-tilted retrieval</w:t>
      </w:r>
      <w:r>
        <w:t xml:space="preserve"> </w:t>
      </w:r>
      <w:hyperlink w:anchor="ref-4">
        <w:r>
          <w:rPr>
            <w:rStyle w:val="Hyperlink"/>
          </w:rPr>
          <w:t xml:space="preserve">[4]</w:t>
        </w:r>
      </w:hyperlink>
      <w:r>
        <w:t xml:space="preserve"> </w:t>
      </w:r>
      <w:hyperlink w:anchor="ref-12">
        <w:r>
          <w:rPr>
            <w:rStyle w:val="Hyperlink"/>
          </w:rPr>
          <w:t xml:space="preserve">[12]</w:t>
        </w:r>
      </w:hyperlink>
      <w:r>
        <w:t xml:space="preserve">. Setting the scorecard out beforehand is what makes the test honest, because it fixes the reading of every possible outcome ahead of any outcome being known. Once the scorecard is set, there is no slack to recast a negative venue coefficient as secretly backing H1, or to promote a borderline citation p-value into a rejection. The mechanism has committed to what each result means, and Chapter 6 merely completes the boxes. This is the discipline that parts a falsifiable inquiry from a pliable narrative, and it is the discipline the whole dissertation was built to display</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90"/>
    <w:bookmarkStart w:id="91" w:name="Xce13d8ead0796237ca8983dc78c6d5c7b94b3d1"/>
    <w:p>
      <w:pPr>
        <w:pStyle w:val="Heading2"/>
        <w:spacing w:line="480" w:lineRule="auto"/>
      </w:pPr>
      <w:r>
        <w:t xml:space="preserve">Why the mechanism is worth testing even if it fails</w:t>
      </w:r>
    </w:p>
    <w:p>
      <w:pPr>
        <w:pStyle w:val="FirstParagraph"/>
        <w:spacing w:line="480" w:lineRule="auto"/>
      </w:pPr>
      <w:r>
        <w:t xml:space="preserve">A fair reader might ask why a mechanism so fenced with boundary conditions is worth testing at all, given the real odds it returns a null. The reply is that a null on this mechanism is itself decision-relevant, which is the sign of a mechanism worth specifying. If the subject stamps, the documentary cues turn into a cheap early-warning instrument for tracking the acquisition discussion, and a later study can lean on them. If the subject fails to stamp, that result warns every downstream analyst off trusting those cheap cues, and it steers effort toward the costlier document-coding and outcome-linkage designs the closing chapter proposes. Both outcomes change what a rational successor does next, which is the definition of a test worth running</w:t>
      </w:r>
      <w:r>
        <w:t xml:space="preserve"> </w:t>
      </w:r>
      <w:hyperlink w:anchor="ref-1">
        <w:r>
          <w:rPr>
            <w:rStyle w:val="Hyperlink"/>
          </w:rPr>
          <w:t xml:space="preserve">[1]</w:t>
        </w:r>
      </w:hyperlink>
      <w:r>
        <w:t xml:space="preserve"> </w:t>
      </w:r>
      <w:hyperlink w:anchor="ref-6">
        <w:r>
          <w:rPr>
            <w:rStyle w:val="Hyperlink"/>
          </w:rPr>
          <w:t xml:space="preserve">[6]</w:t>
        </w:r>
      </w:hyperlink>
      <w:r>
        <w:t xml:space="preserve">. Set this beside a mechanism whose null would teach nothing. A test that could only ever confirm what everyone already took for granted, or whose failure would instruct no one, would not earn a place in a dissertation. The salience-imprint mechanism dodges that trap because its two possible verdicts point toward truly different research futures, the deeper reason the hypotheses were framed for reach rather than for confirmation. A reachable null that reroutes the research program is worth more than an unreachable hypothesis that flatters the author</w:t>
      </w:r>
      <w:r>
        <w:t xml:space="preserve"> </w:t>
      </w:r>
      <w:hyperlink w:anchor="ref-5">
        <w:r>
          <w:rPr>
            <w:rStyle w:val="Hyperlink"/>
          </w:rPr>
          <w:t xml:space="preserve">[5]</w:t>
        </w:r>
      </w:hyperlink>
      <w:r>
        <w:t xml:space="preserve"> </w:t>
      </w:r>
      <w:hyperlink w:anchor="ref-4">
        <w:r>
          <w:rPr>
            <w:rStyle w:val="Hyperlink"/>
          </w:rPr>
          <w:t xml:space="preserve">[4]</w:t>
        </w:r>
      </w:hyperlink>
      <w:r>
        <w:t xml:space="preserve">.</w:t>
      </w:r>
    </w:p>
    <w:bookmarkEnd w:id="91"/>
    <w:bookmarkStart w:id="92" w:name="Xb59a574ece39b342edb9e8ed2804869f797244b"/>
    <w:p>
      <w:pPr>
        <w:pStyle w:val="Heading2"/>
        <w:spacing w:line="480" w:lineRule="auto"/>
      </w:pPr>
      <w:r>
        <w:t xml:space="preserve">The mechanism as a bridge between chapters</w:t>
      </w:r>
    </w:p>
    <w:p>
      <w:pPr>
        <w:pStyle w:val="FirstParagraph"/>
        <w:spacing w:line="480" w:lineRule="auto"/>
      </w:pPr>
      <w:r>
        <w:t xml:space="preserve">The mechanism also does structural work across the dissertation, and naming that work clears up the chapters ahead. It converts the literature of Chapter 2 into the predictions of Chapter 3, because the maturation model and the scientometric cautions the pool supplies are exactly what generate the directional expectations on recency, citation, and venue. It hands Chapter 4 a clean target, since each prediction names a coefficient an estimator can recover. And it gives Chapter 6 a reading frame, because the scorecard tells the results chapter what each number means the instant it appears. The mechanism is the structure that keeps the empirical chapters from sliding into a loose recital of coefficients</w:t>
      </w:r>
      <w:r>
        <w:t xml:space="preserve"> </w:t>
      </w:r>
      <w:hyperlink w:anchor="ref-14">
        <w:r>
          <w:rPr>
            <w:rStyle w:val="Hyperlink"/>
          </w:rPr>
          <w:t xml:space="preserve">[14]</w:t>
        </w:r>
      </w:hyperlink>
      <w:r>
        <w:t xml:space="preserve"> </w:t>
      </w:r>
      <w:hyperlink w:anchor="ref-12">
        <w:r>
          <w:rPr>
            <w:rStyle w:val="Hyperlink"/>
          </w:rPr>
          <w:t xml:space="preserve">[12]</w:t>
        </w:r>
      </w:hyperlink>
      <w:r>
        <w:t xml:space="preserve">. That structural role is why the chapter has been so plain about microfoundations, boundary conditions, and the scorecard. A vaguely stated mechanism would let the later chapters drift, reading each result opportunistically, whereas a tightly stated one binds them together and forces every downstream claim to answer to a prediction fixed here. The discipline announced in Chapter 1 gets enacted, in large part, through the precision of this mechanism, and Chapter 4 now renders its predictions into the estimators that will test them</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92"/>
    <w:bookmarkEnd w:id="93"/>
    <w:bookmarkStart w:id="105"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names the two estimators, writes them out, and argues that each recovers the association it claims. Identification here stays modest by design, and knowingly so, because neither estimator recovers a causal effect of an acquisition instrument on delivered quality. What they recover is structure inside a retrieved corpus: whether a topic-signal score is linearly tied to three metadata predictors, and whether citation counts scale with article age. The chapter is plain about the assumptions under which those ties mean what the dissertation says they mean, and about the ways those assumptions can break.</w:t>
      </w:r>
    </w:p>
    <w:bookmarkStart w:id="94" w:name="Xa1944d01a785396de5c50752feedc49e1f99a79"/>
    <w:p>
      <w:pPr>
        <w:pStyle w:val="Heading2"/>
        <w:spacing w:line="480" w:lineRule="auto"/>
      </w:pPr>
      <w:r>
        <w:t xml:space="preserve">Estimator one: ordinary least squares on the topic signal</w:t>
      </w:r>
    </w:p>
    <w:p>
      <w:pPr>
        <w:pStyle w:val="FirstParagraph"/>
        <w:spacing w:line="480" w:lineRule="auto"/>
      </w:pPr>
      <w:r>
        <w:t xml:space="preserve">Paper 1 uses ordinary least squares. The outcome is a composite topic-signal score cut for each retrieved source record, and the predictors are a recency index, a reported citation count, and an ordinal venue-family score. The estimating equation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Standard errors are heteroskedasticity-robust of the HC1 form. Picking robust errors is no cosmetic touch. The topic-signal score is a bounded count floored at one with a long right tail, and the citation predictor runs steeply lopsided, so the classical homoskedasticity assumption looks implausible on sight. HC1 errors leave the coefficient point estimates alone while stretching the inference to mirror the uneven variance the data plainly hold</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pick of estimator is no accident either. Ordinary least squares is the right first estimator exactly because it is see-through and tough to rig: every coefficient is a partial slope holding the other two predictors still, and each of the thirty observations feeds the fit in plain view, so a reader who mistrusts the result can pull a row and rerun. That transparency counts for more at the design stage than the slim efficiency a fancier count model might win, and a Poisson or negative-binomial specification on thirty rows would swap the clarity for brittle distributional assumptions the corpus cannot bear</w:t>
      </w:r>
      <w:r>
        <w:t xml:space="preserve"> </w:t>
      </w:r>
      <w:hyperlink w:anchor="ref-1">
        <w:r>
          <w:rPr>
            <w:rStyle w:val="Hyperlink"/>
          </w:rPr>
          <w:t xml:space="preserve">[1]</w:t>
        </w:r>
      </w:hyperlink>
      <w:r>
        <w:t xml:space="preserve">.</w:t>
      </w:r>
    </w:p>
    <w:bookmarkEnd w:id="94"/>
    <w:bookmarkStart w:id="95" w:name="what-the-ols-specification-identifies"/>
    <w:p>
      <w:pPr>
        <w:pStyle w:val="Heading2"/>
        <w:spacing w:line="480" w:lineRule="auto"/>
      </w:pPr>
      <w:r>
        <w:t xml:space="preserve">What the OLS specification identifies</w:t>
      </w:r>
    </w:p>
    <w:p>
      <w:pPr>
        <w:pStyle w:val="FirstParagraph"/>
        <w:spacing w:line="480" w:lineRule="auto"/>
      </w:pPr>
      <w:r>
        <w:t xml:space="preserve">Under the linear specification, beta_1 recovers the average shift in topic signal tied to a one-unit rise in the recency index, holding citations and venue still. beta_2 recovers the average shift tied to one more citation, holding recency and venue still. beta_3 recovers the average signal gap tied to a one-step climb up the venue ordinal, holding recency and citations still. The joint F test recovers whether the three predictors together account for more variation than chance, the working form of H1</w:t>
      </w:r>
      <w:r>
        <w:t xml:space="preserve"> </w:t>
      </w:r>
      <w:hyperlink w:anchor="ref-14">
        <w:r>
          <w:rPr>
            <w:rStyle w:val="Hyperlink"/>
          </w:rPr>
          <w:t xml:space="preserve">[14]</w:t>
        </w:r>
      </w:hyperlink>
      <w:r>
        <w:t xml:space="preserve">.</w:t>
      </w:r>
    </w:p>
    <w:p>
      <w:pPr>
        <w:pStyle w:val="BodyText"/>
        <w:spacing w:line="480" w:lineRule="auto"/>
        <w:ind w:firstLine="720"/>
      </w:pPr>
      <w:r>
        <w:t xml:space="preserve">Three assumptions make those readings hold, and each is a genuine hazard.</w:t>
      </w:r>
    </w:p>
    <w:p>
      <w:pPr>
        <w:pStyle w:val="BodyText"/>
        <w:spacing w:line="480" w:lineRule="auto"/>
        <w:ind w:firstLine="720"/>
      </w:pPr>
      <w:r>
        <w:t xml:space="preserve">The first is linearity, since the specification assumes the topic signal answers each predictor linearly, and if the true relationship bends, for instance if recency counts only above a threshold year, the linear coefficient averages across regions where the effect differs and can read flat even where structure sits. The second is that the venue ordinal acts like a scale, so that a one-step climb carries the same meaning at each step; it almost surely does not, which is why the venue coefficient gets reported but not overread</w:t>
      </w:r>
      <w:r>
        <w:t xml:space="preserve"> </w:t>
      </w:r>
      <w:hyperlink w:anchor="ref-12">
        <w:r>
          <w:rPr>
            <w:rStyle w:val="Hyperlink"/>
          </w:rPr>
          <w:t xml:space="preserve">[12]</w:t>
        </w:r>
      </w:hyperlink>
      <w:r>
        <w:t xml:space="preserve">. The third is exogeneity of the predictors to the error, which breaks if some left-out feature, say the source’s topical relevance, drives both the signal score and the citation count. The dissertation claims no solution to that omission; it claims only to have gauged the association the omission leaves behind</w:t>
      </w:r>
      <w:r>
        <w:t xml:space="preserve"> </w:t>
      </w:r>
      <w:hyperlink w:anchor="ref-4">
        <w:r>
          <w:rPr>
            <w:rStyle w:val="Hyperlink"/>
          </w:rPr>
          <w:t xml:space="preserve">[4]</w:t>
        </w:r>
      </w:hyperlink>
      <w:r>
        <w:t xml:space="preserve">. Identification is capped by leverage too. With thirty observations and a citation variable running from zero to ninety-nine, one extreme record can yank a coefficient hard, so the methodology treats influential-point diagnostics as part of reading rather than as a footnote, and Chapter 6 reports how the citation coefficient in particular rides on the corpus’s most cited record</w:t>
      </w:r>
      <w:r>
        <w:t xml:space="preserve"> </w:t>
      </w:r>
      <w:hyperlink w:anchor="ref-9">
        <w:r>
          <w:rPr>
            <w:rStyle w:val="Hyperlink"/>
          </w:rPr>
          <w:t xml:space="preserve">[9]</w:t>
        </w:r>
      </w:hyperlink>
      <w:r>
        <w:t xml:space="preserve"> </w:t>
      </w:r>
      <w:hyperlink w:anchor="ref-7">
        <w:r>
          <w:rPr>
            <w:rStyle w:val="Hyperlink"/>
          </w:rPr>
          <w:t xml:space="preserve">[7]</w:t>
        </w:r>
      </w:hyperlink>
      <w:r>
        <w:t xml:space="preserve">.</w:t>
      </w:r>
    </w:p>
    <w:bookmarkEnd w:id="95"/>
    <w:bookmarkStart w:id="96" w:name="estimator-two-the-log-log-learning-curve"/>
    <w:p>
      <w:pPr>
        <w:pStyle w:val="Heading2"/>
        <w:spacing w:line="480" w:lineRule="auto"/>
      </w:pPr>
      <w:r>
        <w:t xml:space="preserve">Estimator two: the log-log learning curve</w:t>
      </w:r>
    </w:p>
    <w:p>
      <w:pPr>
        <w:pStyle w:val="FirstParagraph"/>
        <w:spacing w:line="480" w:lineRule="auto"/>
      </w:pPr>
      <w:r>
        <w:t xml:space="preserve">Paper 2 uses a learning-curve specification, a log-log ordinary least squares regression.</w:t>
      </w:r>
    </w:p>
    <w:p>
      <w:pPr>
        <w:pStyle w:val="BodyText"/>
        <w:spacing w:line="480" w:lineRule="auto"/>
        <w:ind w:firstLine="720"/>
      </w:pPr>
      <w:r>
        <w:t xml:space="preserve">The outcome is the log of citation-count-plus-one, and the lone predictor is the log of an article-age index. The estimating equation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again under HC1 robust standard errors. Adding one to the citation count before logging is a standard and needed device, because many records are uncited and the logarithm of zero is undefined, so the plus-one keeps every observation in the sample rather than quietly dropping the uncited majority, which would tilt the analysis toward the cited tail</w:t>
      </w:r>
      <w:r>
        <w:t xml:space="preserve"> </w:t>
      </w:r>
      <w:hyperlink w:anchor="ref-2">
        <w:r>
          <w:rPr>
            <w:rStyle w:val="Hyperlink"/>
          </w:rPr>
          <w:t xml:space="preserve">[2]</w:t>
        </w:r>
      </w:hyperlink>
      <w:r>
        <w:t xml:space="preserve">.</w:t>
      </w:r>
    </w:p>
    <w:p>
      <w:pPr>
        <w:pStyle w:val="BodyText"/>
        <w:spacing w:line="480" w:lineRule="auto"/>
        <w:ind w:firstLine="720"/>
      </w:pPr>
      <w:r>
        <w:t xml:space="preserve">The learning-curve form gets chosen because it turns a slope into a readable elasticity.</w:t>
      </w:r>
    </w:p>
    <w:p>
      <w:pPr>
        <w:pStyle w:val="BodyText"/>
        <w:spacing w:line="480" w:lineRule="auto"/>
        <w:ind w:firstLine="720"/>
      </w:pPr>
      <w:r>
        <w:t xml:space="preserve">In this specification beta_1 is the elasticity of citations-plus-one with respect to age: the percentage shift in attention tied to a one-percent shift in article age. The elasticity also maps to a progress ratio of two raised to beta_1, the multiplicative factor by which the outcome shifts as age doubles, so reporting both the elasticity and the progress ratio lets a reader who thinks in curves and a reader who thinks in doublings both check the same result</w:t>
      </w:r>
      <w:r>
        <w:t xml:space="preserve"> </w:t>
      </w:r>
      <w:hyperlink w:anchor="ref-3">
        <w:r>
          <w:rPr>
            <w:rStyle w:val="Hyperlink"/>
          </w:rPr>
          <w:t xml:space="preserve">[3]</w:t>
        </w:r>
      </w:hyperlink>
      <w:r>
        <w:t xml:space="preserve">.</w:t>
      </w:r>
    </w:p>
    <w:bookmarkEnd w:id="96"/>
    <w:bookmarkStart w:id="97" w:name="X4db8577cb04863f580faa11f298107a13b494e8"/>
    <w:p>
      <w:pPr>
        <w:pStyle w:val="Heading2"/>
        <w:spacing w:line="480" w:lineRule="auto"/>
      </w:pPr>
      <w:r>
        <w:t xml:space="preserve">What the learning-curve specification identifies</w:t>
      </w:r>
    </w:p>
    <w:p>
      <w:pPr>
        <w:pStyle w:val="FirstParagraph"/>
        <w:spacing w:line="480" w:lineRule="auto"/>
      </w:pPr>
      <w:r>
        <w:t xml:space="preserve">Under the log-log specification, beta_1 recovers the constant elasticity of attention with respect to age across the corpus. A positive elasticity squares with ordinary ripening, older records having had longer to gather citations, while a negative elasticity recovers the reverse pattern, where older records in this corpus are the less cited ones, which would flag a retrieval tilted toward recent, high-attention venues rather than a true aging process</w:t>
      </w:r>
      <w:r>
        <w:t xml:space="preserve"> </w:t>
      </w:r>
      <w:hyperlink w:anchor="ref-12">
        <w:r>
          <w:rPr>
            <w:rStyle w:val="Hyperlink"/>
          </w:rPr>
          <w:t xml:space="preserve">[12]</w:t>
        </w:r>
      </w:hyperlink>
      <w:r>
        <w:t xml:space="preserve">. The specification’s soundness rests on constant elasticity, meaning the log-log relationship runs genuinely linear rather than bent in log space, and on adequate spread in the age variable. The second condition binds here, because if the corpus packs into a narrow band of publication years, the log-age predictor holds little variation to work, the slope gets pinned imprecisely, and the resulting elasticity, whatever its sign, carries a wide confidence interval. The dissertation foresees this and pledges to report the elasticity’s looseness honestly rather than serving a point estimate as though the age variable had handed over more information than it did</w:t>
      </w:r>
      <w:r>
        <w:t xml:space="preserve"> </w:t>
      </w:r>
      <w:hyperlink w:anchor="ref-5">
        <w:r>
          <w:rPr>
            <w:rStyle w:val="Hyperlink"/>
          </w:rPr>
          <w:t xml:space="preserve">[5]</w:t>
        </w:r>
      </w:hyperlink>
      <w:r>
        <w:t xml:space="preserve">.</w:t>
      </w:r>
    </w:p>
    <w:bookmarkEnd w:id="97"/>
    <w:bookmarkStart w:id="98" w:name="why-two-estimators-rather-than-one"/>
    <w:p>
      <w:pPr>
        <w:pStyle w:val="Heading2"/>
        <w:spacing w:line="480" w:lineRule="auto"/>
      </w:pPr>
      <w:r>
        <w:t xml:space="preserve">Why two estimators rather than one</w:t>
      </w:r>
    </w:p>
    <w:p>
      <w:pPr>
        <w:pStyle w:val="FirstParagraph"/>
        <w:spacing w:line="480" w:lineRule="auto"/>
      </w:pPr>
      <w:r>
        <w:t xml:space="preserve">The two estimators stay apart because they recover different things and can clash. The cross-sectional model asks whether the topic signal is structured by recency, attention, and venue at one moment, while the learning-curve model asks whether attention gathers in a steady temporal shape. A corpus can show cross-sectional structure without an aging pattern, or an aging pattern without cross-sectional structure, and the pair thus triangulates more than either alone. Where both come back weak, the agreement itself instructs, since it says the corpus is too slight and too clustered to carry a strong claim, a conclusion the design stands ready to reach and report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98"/>
    <w:bookmarkStart w:id="99" w:name="inference-at-n-equal-to-thirty"/>
    <w:p>
      <w:pPr>
        <w:pStyle w:val="Heading2"/>
        <w:spacing w:line="480" w:lineRule="auto"/>
      </w:pPr>
      <w:r>
        <w:t xml:space="preserve">Inference at N equal to thirty</w:t>
      </w:r>
    </w:p>
    <w:p>
      <w:pPr>
        <w:pStyle w:val="FirstParagraph"/>
        <w:spacing w:line="480" w:lineRule="auto"/>
      </w:pPr>
      <w:r>
        <w:t xml:space="preserve">The sample size earns its own methodological statement because it governs how every result should be read. Thirty observations suffice to fit a four-parameter linear model and a two-parameter log-log model, but they do not suffice to pin them tightly, and the standard errors reported in Chapter 6 mirror that honestly rather than masking it. With three predictors and a constant, the cross-sectional model spends four degrees of freedom and leaves twenty-six, workable but with little slack for the pull of any single record. This is why leverage diagnostics rank as first-class here: at this sample size one extreme row can rule a coefficient, and feigning otherwise would misstate the inference</w:t>
      </w:r>
      <w:r>
        <w:t xml:space="preserve"> </w:t>
      </w:r>
      <w:hyperlink w:anchor="ref-2">
        <w:r>
          <w:rPr>
            <w:rStyle w:val="Hyperlink"/>
          </w:rPr>
          <w:t xml:space="preserve">[2]</w:t>
        </w:r>
      </w:hyperlink>
      <w:r>
        <w:t xml:space="preserve"> </w:t>
      </w:r>
      <w:hyperlink w:anchor="ref-7">
        <w:r>
          <w:rPr>
            <w:rStyle w:val="Hyperlink"/>
          </w:rPr>
          <w:t xml:space="preserve">[7]</w:t>
        </w:r>
      </w:hyperlink>
      <w:r>
        <w:t xml:space="preserve">. The robust HC1 correction meets small N in a specific way the methodology grants. HC1 lays a finite-sample scaling on the heteroskedasticity-consistent variance estimator, exactly the setting where the scaling counts most, and it is the reason HC1 rather than the uncorrected HC0 form gets used. Even with the correction, robust standard errors are known to run somewhat anti-conservative in very small samples, so a p-value near a threshold should read as approximate rather than exact. The dissertation accordingly treats the 0.05 line as a reference point rather than a verdict, and reports the actual p-values so a reader can bring their own judgment about how much a borderline value should sway a conclusion</w:t>
      </w:r>
      <w:r>
        <w:t xml:space="preserve"> </w:t>
      </w:r>
      <w:hyperlink w:anchor="ref-4">
        <w:r>
          <w:rPr>
            <w:rStyle w:val="Hyperlink"/>
          </w:rPr>
          <w:t xml:space="preserve">[4]</w:t>
        </w:r>
      </w:hyperlink>
      <w:r>
        <w:t xml:space="preserve">.</w:t>
      </w:r>
    </w:p>
    <w:p>
      <w:pPr>
        <w:pStyle w:val="BodyText"/>
        <w:spacing w:line="480" w:lineRule="auto"/>
        <w:ind w:firstLine="720"/>
      </w:pPr>
      <w:r>
        <w:t xml:space="preserve">A design purist might ask why the study skips a bootstrap of the standard errors given the small N and the citation outlier. The reply is transparency. A bootstrap on thirty rows with one ruling outlier resamples that outlier in and out of pseudo-samples, yielding an interval whose width is itself shaky and hard to convey to a program audience. The analytic HC1 interval is inspectable, reproducible from the workbook, and honest about its own approximation, which suits a design-stage inquiry better than a resampling routine whose behavior on this particular corpus would need its own defense</w:t>
      </w:r>
      <w:r>
        <w:t xml:space="preserve"> </w:t>
      </w:r>
      <w:hyperlink w:anchor="ref-1">
        <w:r>
          <w:rPr>
            <w:rStyle w:val="Hyperlink"/>
          </w:rPr>
          <w:t xml:space="preserve">[1]</w:t>
        </w:r>
      </w:hyperlink>
      <w:r>
        <w:t xml:space="preserve">.</w:t>
      </w:r>
    </w:p>
    <w:bookmarkEnd w:id="99"/>
    <w:bookmarkStart w:id="100" w:name="Xa0eff33747f3a6ae5bfbd40a2b9bbf3c9937cb7"/>
    <w:p>
      <w:pPr>
        <w:pStyle w:val="Heading2"/>
        <w:spacing w:line="480" w:lineRule="auto"/>
      </w:pPr>
      <w:r>
        <w:t xml:space="preserve">Specification choices and the roads not taken</w:t>
      </w:r>
    </w:p>
    <w:p>
      <w:pPr>
        <w:pStyle w:val="FirstParagraph"/>
        <w:spacing w:line="480" w:lineRule="auto"/>
      </w:pPr>
      <w:r>
        <w:t xml:space="preserve">Several rival specifications stood available, and each got set aside for a stated reason, because the pick of estimator is itself part of identification. A count model, Poisson or negative binomial, would honor the count nature of the topic-signal outcome, but it would lay on distributional assumptions that thirty mismatched records cannot bear, and its coefficients would read harder for a program audience than the linear partial slopes ordinary least squares hands over. The linear model swaps a sliver of distributional fidelity for a large win in transparency and readability. That is the right swap at this stage</w:t>
      </w:r>
      <w:r>
        <w:t xml:space="preserve"> </w:t>
      </w:r>
      <w:hyperlink w:anchor="ref-6">
        <w:r>
          <w:rPr>
            <w:rStyle w:val="Hyperlink"/>
          </w:rPr>
          <w:t xml:space="preserve">[6]</w:t>
        </w:r>
      </w:hyperlink>
      <w:r>
        <w:t xml:space="preserve">. A model with venue fixed effects rather than an ordinal venue score also got weighed and rejected. With only three venue families and thirty records, venue fixed effects would eat degrees of freedom the corpus cannot spare and would soak up much of the variation the recency and citation coefficients need to be pinned against. The ordinal score is admittedly blunt, but it saves degrees of freedom and keeps the model fittable, and the dissertation makes up for it by refusing to read the venue coefficient as a cardinal quantity</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Interaction terms, for instance between recency and venue, got left out likewise because the sample cannot recover them, and a four-parameter model already sits near the ceiling of what thirty rows support.</w:t>
      </w:r>
    </w:p>
    <w:p>
      <w:pPr>
        <w:pStyle w:val="BodyText"/>
        <w:spacing w:line="480" w:lineRule="auto"/>
        <w:ind w:firstLine="720"/>
      </w:pPr>
      <w:r>
        <w:t xml:space="preserve">For the learning curve, a nonlinear least squares fit of an explicit power law stood as an option, but the log-log linearization is the standard learning-curve form, it yields a directly readable elasticity and progress ratio, and it keeps the estimator inside the same ordinary-least-squares machinery as Paper 1, which helps comparability. The plus-one offset on citations before logging is the one spot the specification touches the data’s zeros, and it gets applied evenly so no uncited record is dropped and no discretion slips into the transformation</w:t>
      </w:r>
      <w:r>
        <w:t xml:space="preserve"> </w:t>
      </w:r>
      <w:hyperlink w:anchor="ref-3">
        <w:r>
          <w:rPr>
            <w:rStyle w:val="Hyperlink"/>
          </w:rPr>
          <w:t xml:space="preserve">[3]</w:t>
        </w:r>
      </w:hyperlink>
      <w:r>
        <w:t xml:space="preserve"> </w:t>
      </w:r>
      <w:hyperlink w:anchor="ref-2">
        <w:r>
          <w:rPr>
            <w:rStyle w:val="Hyperlink"/>
          </w:rPr>
          <w:t xml:space="preserve">[2]</w:t>
        </w:r>
      </w:hyperlink>
      <w:r>
        <w:t xml:space="preserve">. Each of these picks gets stated so a replicator can see not only what was fit but what was passed over and why, the level of specification discipline a fully auditable design demands.</w:t>
      </w:r>
    </w:p>
    <w:bookmarkEnd w:id="100"/>
    <w:bookmarkStart w:id="101" w:name="X3f321c68906c38e6c9fdcb08cb1b12ffc7dc063"/>
    <w:p>
      <w:pPr>
        <w:pStyle w:val="Heading2"/>
        <w:spacing w:line="480" w:lineRule="auto"/>
      </w:pPr>
      <w:r>
        <w:t xml:space="preserve">The meaning of identification in a documentary screen</w:t>
      </w:r>
    </w:p>
    <w:p>
      <w:pPr>
        <w:pStyle w:val="FirstParagraph"/>
        <w:spacing w:line="480" w:lineRule="auto"/>
      </w:pPr>
      <w:r>
        <w:t xml:space="preserve">The word identification hauls a heavy load in econometrics, and it would be dishonest to let it suggest more here than the design delivers. In a causal study, identification means severing a treatment effect from confounders through some source of exogenous variation, but this study holds no treatment, no exogenous variation, and no counterfactual. What it recovers is descriptive: the conditional tie between a topic signal and its metadata predictors, and the conditional link between citations and age. Calling these ties identified means only that the estimators recover them cleanly under stated assumptions, not that they carry causal weight</w:t>
      </w:r>
      <w:r>
        <w:t xml:space="preserve"> </w:t>
      </w:r>
      <w:hyperlink w:anchor="ref-4">
        <w:r>
          <w:rPr>
            <w:rStyle w:val="Hyperlink"/>
          </w:rPr>
          <w:t xml:space="preserve">[4]</w:t>
        </w:r>
      </w:hyperlink>
      <w:r>
        <w:t xml:space="preserve">. This modesty is deliberate. It is also defensible. A great deal of useful empirical work runs descriptive, and a descriptive tie, honestly reported with its assumptions and its fragilities, is a real contribution when the other choice is an unexamined hunch. The dissertation recovers whether the subject’s documentary footprint holds the structure a rising-salience story forecasts, and that is a well-posed descriptive question with a checkable answer. Mistaking this descriptive identification for causal identification is exactly the error the whole design is built to dodge, and stating the split plainly is part of how it dodges it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01"/>
    <w:bookmarkStart w:id="102" w:name="diagnostics-as-part-of-the-estimator"/>
    <w:p>
      <w:pPr>
        <w:pStyle w:val="Heading2"/>
        <w:spacing w:line="480" w:lineRule="auto"/>
      </w:pPr>
      <w:r>
        <w:t xml:space="preserve">Diagnostics as part of the estimator</w:t>
      </w:r>
    </w:p>
    <w:p>
      <w:pPr>
        <w:pStyle w:val="FirstParagraph"/>
        <w:spacing w:line="480" w:lineRule="auto"/>
      </w:pPr>
      <w:r>
        <w:t xml:space="preserve">In this design the diagnostics are no post-estimation afterthought; they are part of the estimator’s definition, because at N equal to thirty the diagnostics decide whether a coefficient can be believed. Three diagnostics rank as first-class. Leverage flags records whose predictor values run extreme enough to swing a coefficient, and the citation variable’s ninety-nine-count record is the plain case. Influence pairs leverage with residual size to flag records that truly move the fit, and the same record returns. Residual heteroskedasticity motivates the HC1 correction and is why robust rather than classical errors get reported</w:t>
      </w:r>
      <w:r>
        <w:t xml:space="preserve"> </w:t>
      </w:r>
      <w:hyperlink w:anchor="ref-7">
        <w:r>
          <w:rPr>
            <w:rStyle w:val="Hyperlink"/>
          </w:rPr>
          <w:t xml:space="preserve">[7]</w:t>
        </w:r>
      </w:hyperlink>
      <w:r>
        <w:t xml:space="preserve"> </w:t>
      </w:r>
      <w:hyperlink w:anchor="ref-2">
        <w:r>
          <w:rPr>
            <w:rStyle w:val="Hyperlink"/>
          </w:rPr>
          <w:t xml:space="preserve">[2]</w:t>
        </w:r>
      </w:hyperlink>
      <w:r>
        <w:t xml:space="preserve">. Reporting these diagnostics beside the coefficients is what turns a brittle small-sample estimate into an honest one. A coefficient riding on one high-leverage record gets flagged plainly, so a reader knows the estimate is a statement about a corpus holding that record rather than a robust regularity. The estimator, rightly grasped, is the regression plus its diagnostics plus the provenance chain that lets a reader resolve any influential record and weigh it. Splitting the coefficient from its diagnostics, as an underpowered study is tempted to do, would yield a number that looks like a finding but cannot bear the weight a finding must, so the methodology refuses that split and treats the diagnostic report as inseparable from the estimate it qualifies</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102"/>
    <w:bookmarkStart w:id="103" w:name="Xb603a5bb95cfee1a664941db7d9cda7ea3c7441"/>
    <w:p>
      <w:pPr>
        <w:pStyle w:val="Heading2"/>
        <w:spacing w:line="480" w:lineRule="auto"/>
      </w:pPr>
      <w:r>
        <w:t xml:space="preserve">Reproducibility as a methodological requirement</w:t>
      </w:r>
    </w:p>
    <w:p>
      <w:pPr>
        <w:pStyle w:val="FirstParagraph"/>
        <w:spacing w:line="480" w:lineRule="auto"/>
      </w:pPr>
      <w:r>
        <w:t xml:space="preserve">Reproducibility usually gets treated as a virtue a study either holds or lacks; here it is a design requirement the estimators were picked to satisfy. Both models run deterministic given the estimation file, so the same thirty rows, pushed through ordinary least squares with HC1 errors, return the same coefficients, standard errors, and p-values every time, with no random seed, no resampling, and no analyst discretion in the fitting. This determinism is why the results chapter can report figures to several decimal places and mean them literally. A method that spat slightly different numbers on each run could not make that claim, and the pick of plain, closed-form estimators over stochastic rivals was made partly to lock it in</w:t>
      </w:r>
      <w:r>
        <w:t xml:space="preserve"> </w:t>
      </w:r>
      <w:hyperlink w:anchor="ref-2">
        <w:r>
          <w:rPr>
            <w:rStyle w:val="Hyperlink"/>
          </w:rPr>
          <w:t xml:space="preserve">[2]</w:t>
        </w:r>
      </w:hyperlink>
      <w:r>
        <w:t xml:space="preserve"> </w:t>
      </w:r>
      <w:hyperlink w:anchor="ref-4">
        <w:r>
          <w:rPr>
            <w:rStyle w:val="Hyperlink"/>
          </w:rPr>
          <w:t xml:space="preserve">[4]</w:t>
        </w:r>
      </w:hyperlink>
      <w:r>
        <w:t xml:space="preserve">. Determinism also disciplines the reporting. Because exactly one right answer stands for each coefficient given the file, no lure exists to run many specifications and report the flattering one, the practice that quietly swells false positives across empirical work. The specifications got fixed in Chapter 4 before the results were read, the estimators run deterministic, and the output is whatever those fixed specifications produce. This shuts the most common route by which a small study manufactures significance, and it shuts it structurally rather than by asking the analyst to resist temptation</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03"/>
    <w:bookmarkStart w:id="104" w:name="how-the-estimators-answer-the-hypotheses"/>
    <w:p>
      <w:pPr>
        <w:pStyle w:val="Heading2"/>
        <w:spacing w:line="480" w:lineRule="auto"/>
      </w:pPr>
      <w:r>
        <w:t xml:space="preserve">How the estimators answer the hypotheses</w:t>
      </w:r>
    </w:p>
    <w:p>
      <w:pPr>
        <w:pStyle w:val="FirstParagraph"/>
        <w:spacing w:line="480" w:lineRule="auto"/>
      </w:pPr>
      <w:r>
        <w:t xml:space="preserve">It repays closing the chapter by mapping estimators back to hypotheses plainly, so the reader carries a clear crosswalk into the results. The cross-sectional model’s three slope coefficients answer the three directional predictions on recency, citation, and venue, and its joint F test answers the overall H1 against H0. The learning-curve model’s lone slope answers the accumulation prediction, its sign parting ordinary ripening from a recency-tilted retrieval. Nothing in either model speaks to acquisition outcomes, and that silence is by construction, since the estimators were built to test corpus structure, and they recover corpus structure and nothing past it</w:t>
      </w:r>
      <w:r>
        <w:t xml:space="preserve"> </w:t>
      </w:r>
      <w:hyperlink w:anchor="ref-4">
        <w:r>
          <w:rPr>
            <w:rStyle w:val="Hyperlink"/>
          </w:rPr>
          <w:t xml:space="preserve">[4]</w:t>
        </w:r>
      </w:hyperlink>
      <w:r>
        <w:t xml:space="preserve"> </w:t>
      </w:r>
      <w:hyperlink w:anchor="ref-3">
        <w:r>
          <w:rPr>
            <w:rStyle w:val="Hyperlink"/>
          </w:rPr>
          <w:t xml:space="preserve">[3]</w:t>
        </w:r>
      </w:hyperlink>
      <w:r>
        <w:t xml:space="preserve">. This crosswalk is the last piece of the methodological contract. Chapter 3 fixed what each result would mean; Chapter 4 has now fixed how each result would be produced and why the production recovers the association claimed. With the estimators specified, their assumptions stated, their diagnostics folded in, and their determinism locked, the work left is to run them and report what they say. Chapter 5 records the data they run on, and Chapter 6 completes the scorecard the two chapters together have prepared</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04"/>
    <w:bookmarkEnd w:id="105"/>
    <w:bookmarkStart w:id="117" w:name="chapter-5.-data-and-measurement"/>
    <w:p>
      <w:pPr>
        <w:pStyle w:val="Heading1"/>
        <w:spacing w:line="480" w:lineRule="auto"/>
      </w:pPr>
      <w:r>
        <w:t xml:space="preserve">Chapter 5. Data and Measurement</w:t>
      </w:r>
    </w:p>
    <w:p>
      <w:pPr>
        <w:pStyle w:val="FirstParagraph"/>
        <w:spacing w:line="480" w:lineRule="auto"/>
      </w:pPr>
      <w:r>
        <w:t xml:space="preserve">The chain of proof holds up no better than the rows it begins from. This chapter records the dataset in the detail a replicator would want: how many records, where they originated, how each variable got built, and what each variable can and cannot be relied on to mean. Nothing here is fabricated. Every observation bears a source column, and the build rules run deterministic, so a second analyst working from the same records lands on the same numbers.</w:t>
      </w:r>
    </w:p>
    <w:bookmarkStart w:id="106" w:name="the-corpus-and-its-size"/>
    <w:p>
      <w:pPr>
        <w:pStyle w:val="Heading2"/>
        <w:spacing w:line="480" w:lineRule="auto"/>
      </w:pPr>
      <w:r>
        <w:t xml:space="preserve">The corpus and its size</w:t>
      </w:r>
    </w:p>
    <w:p>
      <w:pPr>
        <w:pStyle w:val="FirstParagraph"/>
        <w:spacing w:line="480" w:lineRule="auto"/>
      </w:pPr>
      <w:r>
        <w:t xml:space="preserve">The estimation file holds thirty retrieved source records, N = 30, and both papers run on those same thirty rows.</w:t>
      </w:r>
    </w:p>
    <w:p>
      <w:pPr>
        <w:pStyle w:val="BodyText"/>
        <w:spacing w:line="480" w:lineRule="auto"/>
        <w:ind w:firstLine="720"/>
      </w:pPr>
      <w:r>
        <w:t xml:space="preserve">The corpus is no random draw from the world’s writing on flexible acquisition. It is the candidate’s kept set of records, gathered from local brain indexes across three venue families and preserved so each record’s provenance stays inspectable. The thirty records reach across publication years from 2009 to 2025, which lends the age and recency variables genuine spread at the tails even though the bulk of the corpus rests in the last decade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Thirty is a small N. The dissertation neither buries that nor excuses it. A design-stage inquiry earns its keep by showing what a small, candid corpus can and cannot bear, and the estimators in Chapter 4 got chosen partly for behaving transparently at this sample size. The price of small N is precision, and Chapter 6 pays that price out in the open through wide standard errors rather than tucking it behind a fancier model.</w:t>
      </w:r>
    </w:p>
    <w:bookmarkEnd w:id="106"/>
    <w:bookmarkStart w:id="107" w:name="sources-behind-the-rows"/>
    <w:p>
      <w:pPr>
        <w:pStyle w:val="Heading2"/>
        <w:spacing w:line="480" w:lineRule="auto"/>
      </w:pPr>
      <w:r>
        <w:t xml:space="preserve">Sources behind the rows</w:t>
      </w:r>
    </w:p>
    <w:p>
      <w:pPr>
        <w:pStyle w:val="FirstParagraph"/>
        <w:spacing w:line="480" w:lineRule="auto"/>
      </w:pPr>
      <w:r>
        <w:t xml:space="preserve">The records split into three families the venue score encodes. The first family is conference proceedings, pulled mainly from the Advanced Maui Optical and Space Surveillance venue, and it holds the technical and governance-adjacent work anchoring the subject. Reed and colleagues on blockchain-enabled space traffic awareness belong here</w:t>
      </w:r>
      <w:r>
        <w:t xml:space="preserve"> </w:t>
      </w:r>
      <w:hyperlink w:anchor="ref-1">
        <w:r>
          <w:rPr>
            <w:rStyle w:val="Hyperlink"/>
          </w:rPr>
          <w:t xml:space="preserve">[1]</w:t>
        </w:r>
      </w:hyperlink>
      <w:r>
        <w:t xml:space="preserve">, along with the follow-on comparison-of-behavior work</w:t>
      </w:r>
      <w:r>
        <w:t xml:space="preserve"> </w:t>
      </w:r>
      <w:hyperlink w:anchor="ref-4">
        <w:r>
          <w:rPr>
            <w:rStyle w:val="Hyperlink"/>
          </w:rPr>
          <w:t xml:space="preserve">[4]</w:t>
        </w:r>
      </w:hyperlink>
      <w:r>
        <w:t xml:space="preserve">, Zaidi and colleagues on distributed-ledger forensics</w:t>
      </w:r>
      <w:r>
        <w:t xml:space="preserve"> </w:t>
      </w:r>
      <w:hyperlink w:anchor="ref-2">
        <w:r>
          <w:rPr>
            <w:rStyle w:val="Hyperlink"/>
          </w:rPr>
          <w:t xml:space="preserve">[2]</w:t>
        </w:r>
      </w:hyperlink>
      <w:r>
        <w:t xml:space="preserve">, Allison on WRC-19 space law</w:t>
      </w:r>
      <w:r>
        <w:t xml:space="preserve"> </w:t>
      </w:r>
      <w:hyperlink w:anchor="ref-3">
        <w:r>
          <w:rPr>
            <w:rStyle w:val="Hyperlink"/>
          </w:rPr>
          <w:t xml:space="preserve">[3]</w:t>
        </w:r>
      </w:hyperlink>
      <w:r>
        <w:t xml:space="preserve">, and Felt and Sejba on sensor-proliferation challenges</w:t>
      </w:r>
      <w:r>
        <w:t xml:space="preserve"> </w:t>
      </w:r>
      <w:hyperlink w:anchor="ref-6">
        <w:r>
          <w:rPr>
            <w:rStyle w:val="Hyperlink"/>
          </w:rPr>
          <w:t xml:space="preserve">[6]</w:t>
        </w:r>
      </w:hyperlink>
      <w:r>
        <w:t xml:space="preserve">. Older technical proceedings, Linderman and colleagues on image processing</w:t>
      </w:r>
      <w:r>
        <w:t xml:space="preserve"> </w:t>
      </w:r>
      <w:hyperlink w:anchor="ref-7">
        <w:r>
          <w:rPr>
            <w:rStyle w:val="Hyperlink"/>
          </w:rPr>
          <w:t xml:space="preserve">[7]</w:t>
        </w:r>
      </w:hyperlink>
      <w:r>
        <w:t xml:space="preserve"> </w:t>
      </w:r>
      <w:r>
        <w:t xml:space="preserve">and Moore and Havig on cross-domain visualization</w:t>
      </w:r>
      <w:r>
        <w:t xml:space="preserve"> </w:t>
      </w:r>
      <w:hyperlink w:anchor="ref-8">
        <w:r>
          <w:rPr>
            <w:rStyle w:val="Hyperlink"/>
          </w:rPr>
          <w:t xml:space="preserve">[8]</w:t>
        </w:r>
      </w:hyperlink>
      <w:r>
        <w:t xml:space="preserve">, occupy the earlier years and lend the age variable its long tail.</w:t>
      </w:r>
    </w:p>
    <w:p>
      <w:pPr>
        <w:pStyle w:val="BodyText"/>
        <w:spacing w:line="480" w:lineRule="auto"/>
        <w:ind w:firstLine="720"/>
      </w:pPr>
      <w:r>
        <w:t xml:space="preserve">The second family is archival peer-reviewed work, mainly Acta Astronautica, which holds the corpus’s genuine citation footprint.</w:t>
      </w:r>
    </w:p>
    <w:p>
      <w:pPr>
        <w:pStyle w:val="BodyText"/>
        <w:spacing w:line="480" w:lineRule="auto"/>
        <w:ind w:firstLine="720"/>
      </w:pPr>
      <w:r>
        <w:t xml:space="preserve">Long-Fox and colleagues on excavation efficiency metrics</w:t>
      </w:r>
      <w:r>
        <w:t xml:space="preserve"> </w:t>
      </w:r>
      <w:hyperlink w:anchor="ref-9">
        <w:r>
          <w:rPr>
            <w:rStyle w:val="Hyperlink"/>
          </w:rPr>
          <w:t xml:space="preserve">[9]</w:t>
        </w:r>
      </w:hyperlink>
      <w:r>
        <w:t xml:space="preserve">, Zancan and colleagues on evolving space governance</w:t>
      </w:r>
      <w:r>
        <w:t xml:space="preserve"> </w:t>
      </w:r>
      <w:hyperlink w:anchor="ref-14">
        <w:r>
          <w:rPr>
            <w:rStyle w:val="Hyperlink"/>
          </w:rPr>
          <w:t xml:space="preserve">[14]</w:t>
        </w:r>
      </w:hyperlink>
      <w:r>
        <w:t xml:space="preserve">, Takata and Hidaka on public-private partnership</w:t>
      </w:r>
      <w:r>
        <w:t xml:space="preserve"> </w:t>
      </w:r>
      <w:hyperlink w:anchor="ref-10">
        <w:r>
          <w:rPr>
            <w:rStyle w:val="Hyperlink"/>
          </w:rPr>
          <w:t xml:space="preserve">[10]</w:t>
        </w:r>
      </w:hyperlink>
      <w:r>
        <w:t xml:space="preserve">, Denis and colleagues on Earth-observation market disruption</w:t>
      </w:r>
      <w:r>
        <w:t xml:space="preserve"> </w:t>
      </w:r>
      <w:hyperlink w:anchor="ref-12">
        <w:r>
          <w:rPr>
            <w:rStyle w:val="Hyperlink"/>
          </w:rPr>
          <w:t xml:space="preserve">[12]</w:t>
        </w:r>
      </w:hyperlink>
      <w:r>
        <w:t xml:space="preserve">, Gurvits and colleagues on sub-millimeter interferometry</w:t>
      </w:r>
      <w:r>
        <w:t xml:space="preserve"> </w:t>
      </w:r>
      <w:hyperlink w:anchor="ref-11">
        <w:r>
          <w:rPr>
            <w:rStyle w:val="Hyperlink"/>
          </w:rPr>
          <w:t xml:space="preserve">[11]</w:t>
        </w:r>
      </w:hyperlink>
      <w:r>
        <w:t xml:space="preserve">, Tisaev and colleagues on the plasma cathode</w:t>
      </w:r>
      <w:r>
        <w:t xml:space="preserve"> </w:t>
      </w:r>
      <w:hyperlink w:anchor="ref-13">
        <w:r>
          <w:rPr>
            <w:rStyle w:val="Hyperlink"/>
          </w:rPr>
          <w:t xml:space="preserve">[13]</w:t>
        </w:r>
      </w:hyperlink>
      <w:r>
        <w:t xml:space="preserve">, Viola and colleagues on hypersonic roadmapping</w:t>
      </w:r>
      <w:r>
        <w:t xml:space="preserve"> </w:t>
      </w:r>
      <w:hyperlink w:anchor="ref-15">
        <w:r>
          <w:rPr>
            <w:rStyle w:val="Hyperlink"/>
          </w:rPr>
          <w:t xml:space="preserve">[15]</w:t>
        </w:r>
      </w:hyperlink>
      <w:r>
        <w:t xml:space="preserve">, and Lara on three-body perturbation solutions</w:t>
      </w:r>
      <w:r>
        <w:t xml:space="preserve"> </w:t>
      </w:r>
      <w:hyperlink w:anchor="ref-16">
        <w:r>
          <w:rPr>
            <w:rStyle w:val="Hyperlink"/>
          </w:rPr>
          <w:t xml:space="preserve">[16]</w:t>
        </w:r>
      </w:hyperlink>
      <w:r>
        <w:t xml:space="preserve"> </w:t>
      </w:r>
      <w:r>
        <w:t xml:space="preserve">fill this family. The third family is policy and economic study, a slim batch of governance-and-economics records carrying subject relevance but no formal citation index, and Dailey and colleagues on AUKUS space domain awareness span the conference and governance worlds</w:t>
      </w:r>
      <w:r>
        <w:t xml:space="preserve"> </w:t>
      </w:r>
      <w:hyperlink w:anchor="ref-5">
        <w:r>
          <w:rPr>
            <w:rStyle w:val="Hyperlink"/>
          </w:rPr>
          <w:t xml:space="preserve">[5]</w:t>
        </w:r>
      </w:hyperlink>
      <w:r>
        <w:t xml:space="preserve">.</w:t>
      </w:r>
    </w:p>
    <w:bookmarkEnd w:id="107"/>
    <w:bookmarkStart w:id="108" w:name="variable-construction"/>
    <w:p>
      <w:pPr>
        <w:pStyle w:val="Heading2"/>
        <w:spacing w:line="480" w:lineRule="auto"/>
      </w:pPr>
      <w:r>
        <w:t xml:space="preserve">Variable construction</w:t>
      </w:r>
    </w:p>
    <w:p>
      <w:pPr>
        <w:pStyle w:val="FirstParagraph"/>
        <w:spacing w:line="480" w:lineRule="auto"/>
      </w:pPr>
      <w:r>
        <w:t xml:space="preserve">Six built quantities matter, and each rests on a fixed rule. The outcome in Paper 1 is the topic-signal score, a deterministic count assembled from candidate-theme term hits across four fields of each record: the source title, the retrieved snippet, the keyword field, and the author metadata. A record with many theme-word matches across those fields scores high, and a record with none scores at the floor of one. Because the rule runs mechanical, the signal score regenerates from the raw record without analyst judgment, the property that keeps the estimation file auditable</w:t>
      </w:r>
      <w:r>
        <w:t xml:space="preserve"> </w:t>
      </w:r>
      <w:hyperlink w:anchor="ref-4">
        <w:r>
          <w:rPr>
            <w:rStyle w:val="Hyperlink"/>
          </w:rPr>
          <w:t xml:space="preserve">[4]</w:t>
        </w:r>
      </w:hyperlink>
      <w:r>
        <w:t xml:space="preserve">.</w:t>
      </w:r>
    </w:p>
    <w:p>
      <w:pPr>
        <w:pStyle w:val="BodyText"/>
        <w:spacing w:line="480" w:lineRule="auto"/>
        <w:ind w:firstLine="720"/>
      </w:pPr>
      <w:r>
        <w:t xml:space="preserve">The recency index in Paper 1 is publication year minus the minimum publication year in the sample plus one.</w:t>
      </w:r>
    </w:p>
    <w:p>
      <w:pPr>
        <w:pStyle w:val="BodyText"/>
        <w:spacing w:line="480" w:lineRule="auto"/>
        <w:ind w:firstLine="720"/>
      </w:pPr>
      <w:r>
        <w:t xml:space="preserve">On this corpus the minimum year is 2009, so a 2009 record scores one and a 2025 record scores seventeen, and the index climbs monotone in year and stays always positive, which is what the linear specification needs. The age index in Paper 2 is the mirror build, 2026 minus publication year plus one, so a 2025 record has age two and a 2009 record has age eighteen. Recency and age run mirror images by design, which is why the two papers can put opposite-facing questions to the same years</w:t>
      </w:r>
      <w:r>
        <w:t xml:space="preserve"> </w:t>
      </w:r>
      <w:hyperlink w:anchor="ref-3">
        <w:r>
          <w:rPr>
            <w:rStyle w:val="Hyperlink"/>
          </w:rPr>
          <w:t xml:space="preserve">[3]</w:t>
        </w:r>
      </w:hyperlink>
      <w:r>
        <w:t xml:space="preserve">. The citation count gets parsed from the citation field of the local brain index and set to zero when the index reported none. It runs the corpus’s jitteriest variable by far. Most conference records report zero citations, the archival records span a handful to a few dozen, and one record reports ninety-nine. Paper 2 uses citation-count-plus-one so the logarithm stays defined for the uncited majority. The venue-family score is the ordinal encoding the three families: conference proceedings score one, Acta Astronautica scores two, and the policy-economic family scores three</w:t>
      </w:r>
      <w:r>
        <w:t xml:space="preserve"> </w:t>
      </w:r>
      <w:hyperlink w:anchor="ref-12">
        <w:r>
          <w:rPr>
            <w:rStyle w:val="Hyperlink"/>
          </w:rPr>
          <w:t xml:space="preserve">[12]</w:t>
        </w:r>
      </w:hyperlink>
      <w:r>
        <w:t xml:space="preserve">.</w:t>
      </w:r>
    </w:p>
    <w:bookmarkEnd w:id="108"/>
    <w:bookmarkStart w:id="109" w:name="measurement-cautions"/>
    <w:p>
      <w:pPr>
        <w:pStyle w:val="Heading2"/>
        <w:spacing w:line="480" w:lineRule="auto"/>
      </w:pPr>
      <w:r>
        <w:t xml:space="preserve">Measurement cautions</w:t>
      </w:r>
    </w:p>
    <w:p>
      <w:pPr>
        <w:pStyle w:val="FirstParagraph"/>
        <w:spacing w:line="480" w:lineRule="auto"/>
      </w:pPr>
      <w:r>
        <w:t xml:space="preserve">Each variable arrives with a caution the analysis carries onward. The signal score is a term-hit count, so it gauges surface topical vocabulary rather than deep relevance, and a record can be truly about the subject yet phrase it in words the counter misses, with the reverse possible too. The citation count is a local-index gauge rather than a universal citation total, and the single record reporting ninety-nine citations is an extreme value whose pull on the citation coefficient gets examined directly in Chapter 6 rather than waved away</w:t>
      </w:r>
      <w:r>
        <w:t xml:space="preserve"> </w:t>
      </w:r>
      <w:hyperlink w:anchor="ref-9">
        <w:r>
          <w:rPr>
            <w:rStyle w:val="Hyperlink"/>
          </w:rPr>
          <w:t xml:space="preserve">[9]</w:t>
        </w:r>
      </w:hyperlink>
      <w:r>
        <w:t xml:space="preserve"> </w:t>
      </w:r>
      <w:hyperlink w:anchor="ref-7">
        <w:r>
          <w:rPr>
            <w:rStyle w:val="Hyperlink"/>
          </w:rPr>
          <w:t xml:space="preserve">[7]</w:t>
        </w:r>
      </w:hyperlink>
      <w:r>
        <w:t xml:space="preserve">. The venue score is ordinal and must not be read as a cardinal scale, since the gap between conference and journal is not the same quantity of anything as the gap between journal and policy analysis, and the venue coefficient gets read with that limit in front. Recency and age run clean, but they carry whatever selection the retrieval laid on: if the kept corpus leaned toward recent venues, both variables encode that selection rather than a neutral cross-section of the field. The dissertation states these cautions up front so Chapter 6’s readings stay inside what the gauges can bear</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09"/>
    <w:bookmarkStart w:id="110" w:name="provenance-discipline"/>
    <w:p>
      <w:pPr>
        <w:pStyle w:val="Heading2"/>
        <w:spacing w:line="480" w:lineRule="auto"/>
      </w:pPr>
      <w:r>
        <w:t xml:space="preserve">Provenance discipline</w:t>
      </w:r>
    </w:p>
    <w:p>
      <w:pPr>
        <w:pStyle w:val="FirstParagraph"/>
        <w:spacing w:line="480" w:lineRule="auto"/>
      </w:pPr>
      <w:r>
        <w:t xml:space="preserve">The organizing rule of the dataset is that every row keeps its source. Conference records point to their proceedings URL, archival records to their DOI, and policy-economic records to a named title. A doi resolves to a fixed object and a proceedings URL to a fixed page, so the chain from a coefficient in Chapter 6 back to the record that made it is walkable end to end. That discipline is the point. A dissertation reproducible from its kept records has done what a confident essay cannot, and it has earned the standing to report a weak result as a real one</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bookmarkEnd w:id="110"/>
    <w:bookmarkStart w:id="111" w:name="the-distribution-of-the-variables"/>
    <w:p>
      <w:pPr>
        <w:pStyle w:val="Heading2"/>
        <w:spacing w:line="480" w:lineRule="auto"/>
      </w:pPr>
      <w:r>
        <w:t xml:space="preserve">The distribution of the variables</w:t>
      </w:r>
    </w:p>
    <w:p>
      <w:pPr>
        <w:pStyle w:val="FirstParagraph"/>
        <w:spacing w:line="480" w:lineRule="auto"/>
      </w:pPr>
      <w:r>
        <w:t xml:space="preserve">Figures about the variables’ distributions weigh as much as their definitions, because the estimators answer to spread and skew rather than to definitions alone. Publication years reach from 2009 to 2025, but the bulk of the corpus rests in the last decade, with a heavy pileup in the 2020 to 2024 band. This pileup is the single weightiest fact about the dataset, because it thins the spread in both the recency and the age indexes right at the center of their ranges, and a learning-curve slope fit on years bunched in a narrow band holds little variation to work, so Chapter 6’s imprecise age elasticity flows partly straight from this pileup</w:t>
      </w:r>
      <w:r>
        <w:t xml:space="preserve"> </w:t>
      </w:r>
      <w:hyperlink w:anchor="ref-3">
        <w:r>
          <w:rPr>
            <w:rStyle w:val="Hyperlink"/>
          </w:rPr>
          <w:t xml:space="preserve">[3]</w:t>
        </w:r>
      </w:hyperlink>
      <w:r>
        <w:t xml:space="preserve"> </w:t>
      </w:r>
      <w:hyperlink w:anchor="ref-1">
        <w:r>
          <w:rPr>
            <w:rStyle w:val="Hyperlink"/>
          </w:rPr>
          <w:t xml:space="preserve">[1]</w:t>
        </w:r>
      </w:hyperlink>
      <w:r>
        <w:t xml:space="preserve">. The topic-signal score is floored at one and reaches up to eleven, with most records scoring low. The two highest scores belong to conference records in the acquisition-governance core. The right tail runs short. Only a few records score above five, which means the outcome variable’s informative variation rides on a handful of rows. The citation count is the most lopsided variable by a wide stretch, because most records report zero, the archival records report single digits to a few dozen, and one record reports ninety-nine, more than the next several combined. That single record is the corpus’s ruling influence point, and Chapter 5 flags it here so Chapter 6’s leverage discussion springs no surprise</w:t>
      </w:r>
      <w:r>
        <w:t xml:space="preserve"> </w:t>
      </w:r>
      <w:hyperlink w:anchor="ref-9">
        <w:r>
          <w:rPr>
            <w:rStyle w:val="Hyperlink"/>
          </w:rPr>
          <w:t xml:space="preserve">[9]</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venue-family score splits the corpus roughly between conference proceedings and archival journals, with a slim policy-economic tail. Because the venue score correlates with the citation count, since journals both sit higher on the venue ordinal and carry more citations, the venue and citation predictors share variance, and their coefficients in the cross-sectional model get fit against overlapping information. This collinearity runs mild rather than severe at N equal to thirty. It is real all the same, and it is one reason neither the venue nor the citation coefficient gets fit sharply</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bookmarkEnd w:id="111"/>
    <w:bookmarkStart w:id="112" w:name="X6a75fbd76195f06b2fd9522b8639fc2fc81e32b"/>
    <w:p>
      <w:pPr>
        <w:pStyle w:val="Heading2"/>
        <w:spacing w:line="480" w:lineRule="auto"/>
      </w:pPr>
      <w:r>
        <w:t xml:space="preserve">Provenance as a first-class design element</w:t>
      </w:r>
    </w:p>
    <w:p>
      <w:pPr>
        <w:pStyle w:val="FirstParagraph"/>
        <w:spacing w:line="480" w:lineRule="auto"/>
      </w:pPr>
      <w:r>
        <w:t xml:space="preserve">The provenance discipline is more than tidy hygiene; it is the feature setting this dissertation apart from a narrative essay, and it merits description as a design element in its own right. Each of the three venue families anchors to a different sort of persistent identifier. Archival records carry a digital object identifier resolving to a fixed publisher landing page: Long-Fox and colleagues to their excavation-metrics article</w:t>
      </w:r>
      <w:r>
        <w:t xml:space="preserve"> </w:t>
      </w:r>
      <w:hyperlink w:anchor="ref-9">
        <w:r>
          <w:rPr>
            <w:rStyle w:val="Hyperlink"/>
          </w:rPr>
          <w:t xml:space="preserve">[9]</w:t>
        </w:r>
      </w:hyperlink>
      <w:r>
        <w:t xml:space="preserve">, Zancan and colleagues to their governance analysis</w:t>
      </w:r>
      <w:r>
        <w:t xml:space="preserve"> </w:t>
      </w:r>
      <w:hyperlink w:anchor="ref-14">
        <w:r>
          <w:rPr>
            <w:rStyle w:val="Hyperlink"/>
          </w:rPr>
          <w:t xml:space="preserve">[14]</w:t>
        </w:r>
      </w:hyperlink>
      <w:r>
        <w:t xml:space="preserve">, Takata and Hidaka to their partnership study</w:t>
      </w:r>
      <w:r>
        <w:t xml:space="preserve"> </w:t>
      </w:r>
      <w:hyperlink w:anchor="ref-10">
        <w:r>
          <w:rPr>
            <w:rStyle w:val="Hyperlink"/>
          </w:rPr>
          <w:t xml:space="preserve">[10]</w:t>
        </w:r>
      </w:hyperlink>
      <w:r>
        <w:t xml:space="preserve">, and Denis and colleagues to their Earth-observation scenarios</w:t>
      </w:r>
      <w:r>
        <w:t xml:space="preserve"> </w:t>
      </w:r>
      <w:hyperlink w:anchor="ref-12">
        <w:r>
          <w:rPr>
            <w:rStyle w:val="Hyperlink"/>
          </w:rPr>
          <w:t xml:space="preserve">[12]</w:t>
        </w:r>
      </w:hyperlink>
      <w:r>
        <w:t xml:space="preserve">. Conference records carry a proceedings URL resolving to a fixed archived page, which is how the blockchain-awareness and sensor-proliferation records stay findable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policy-economic records prove hardest to anchor because they lack a universal identifier, and the dataset handles them by keeping a named title and, where available, an author-venue string, as with the AUKUS awareness work</w:t>
      </w:r>
      <w:r>
        <w:t xml:space="preserve"> </w:t>
      </w:r>
      <w:hyperlink w:anchor="ref-5">
        <w:r>
          <w:rPr>
            <w:rStyle w:val="Hyperlink"/>
          </w:rPr>
          <w:t xml:space="preserve">[5]</w:t>
        </w:r>
      </w:hyperlink>
      <w:r>
        <w:t xml:space="preserve">. This is the frailest link in the provenance chain, and the dataset makes no pretense otherwise, since a named title holds up less well than a DOI, and a later collection should nudge these records toward persistent identifiers. Naming that frailty squares with the whole stance of the dataset, which is to keep every limit visible rather than to stage a cleaner provenance than the records back.</w:t>
      </w:r>
    </w:p>
    <w:p>
      <w:pPr>
        <w:pStyle w:val="BodyText"/>
        <w:spacing w:line="480" w:lineRule="auto"/>
        <w:ind w:firstLine="720"/>
      </w:pPr>
      <w:r>
        <w:t xml:space="preserve">The payoff of this discipline is specific and checkable. When Chapter 6 reports that a ninety-nine-citation record drags the citation coefficient negative, a doubting reader can resolve that record’s identifier, confirm it is a neighboring technical article with a low topic-signal score, and check the reading on their own</w:t>
      </w:r>
      <w:r>
        <w:t xml:space="preserve"> </w:t>
      </w:r>
      <w:hyperlink w:anchor="ref-7">
        <w:r>
          <w:rPr>
            <w:rStyle w:val="Hyperlink"/>
          </w:rPr>
          <w:t xml:space="preserve">[7]</w:t>
        </w:r>
      </w:hyperlink>
      <w:r>
        <w:t xml:space="preserve">. When Chapter 6 reports that the highest topic-signal records bunch in conference proceedings, a reader can resolve those proceedings URLs and read the records. The dataset is built so its readings are not claims to be trusted but claims to be checked, and that property, more than any lone coefficient, is what the dissertation offers a field that has too often settled the speed-quality question on hunch</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12"/>
    <w:bookmarkStart w:id="113" w:name="X7c1b01b1c4e2150d909364a9bdaf588d55e025b"/>
    <w:p>
      <w:pPr>
        <w:pStyle w:val="Heading2"/>
        <w:spacing w:line="480" w:lineRule="auto"/>
      </w:pPr>
      <w:r>
        <w:t xml:space="preserve">What the signal score does and does not capture</w:t>
      </w:r>
    </w:p>
    <w:p>
      <w:pPr>
        <w:pStyle w:val="FirstParagraph"/>
        <w:spacing w:line="480" w:lineRule="auto"/>
      </w:pPr>
      <w:r>
        <w:t xml:space="preserve">The topic-signal score earns a closer look, because it is the outcome the whole cross-sectional model turns on and its build fixes what a null result means. The score tallies theme-word hits across four fields, so at bottom it is a surface-vocabulary gauge: a record that treats the speed-quality tradeoff in the exact vocabulary the counter knows scores high, and a record that treats the same idea in other words scores low. This means the score answers to phrasing customs that shift across venues, so conference records and journal records may frame the same concept with different terms, and the score will read the phrasing gap as a subject gap when it is partly a dialect gap</w:t>
      </w:r>
      <w:r>
        <w:t xml:space="preserve"> </w:t>
      </w:r>
      <w:hyperlink w:anchor="ref-1">
        <w:r>
          <w:rPr>
            <w:rStyle w:val="Hyperlink"/>
          </w:rPr>
          <w:t xml:space="preserve">[1]</w:t>
        </w:r>
      </w:hyperlink>
      <w:r>
        <w:t xml:space="preserve"> </w:t>
      </w:r>
      <w:hyperlink w:anchor="ref-6">
        <w:r>
          <w:rPr>
            <w:rStyle w:val="Hyperlink"/>
          </w:rPr>
          <w:t xml:space="preserve">[6]</w:t>
        </w:r>
      </w:hyperlink>
      <w:r>
        <w:t xml:space="preserve">. That sensitivity bears straight on the venue coefficient. If the acquisition-governance vocabulary the counter knows runs more common in conference dialect than in journal dialect, the signal score will climb higher in conference records for a linguistic reason as much as a substantive one, and the negative venue coefficient will partly mirror vocabulary drift across venues rather than a genuine pileup of the subject. The dataset cannot pry these two shares apart with a term-hit score, and Chapter 6 reports the venue coefficient with that ambiguity attached. Naming the limit here is what keeps the later reading honest</w:t>
      </w:r>
      <w:r>
        <w:t xml:space="preserve"> </w:t>
      </w:r>
      <w:hyperlink w:anchor="ref-12">
        <w:r>
          <w:rPr>
            <w:rStyle w:val="Hyperlink"/>
          </w:rPr>
          <w:t xml:space="preserve">[12]</w:t>
        </w:r>
      </w:hyperlink>
      <w:r>
        <w:t xml:space="preserve">.</w:t>
      </w:r>
    </w:p>
    <w:p>
      <w:pPr>
        <w:pStyle w:val="BodyText"/>
        <w:spacing w:line="480" w:lineRule="auto"/>
        <w:ind w:firstLine="720"/>
      </w:pPr>
      <w:r>
        <w:t xml:space="preserve">The score’s mechanical build is nonetheless its great strength for a design that prizes reproducibility. Because no analyst judgment enters the tally, two researchers laying the same rule on the same records recover the same scores exactly, which a relevance judgment made by hand could never promise. The dataset swaps depth of relevance gauging for perfect reproducibility, and at the design stage that is the right swap, because the first thing a later study needs is a signal it can regenerate rather than a signal that demands trusting the original coder</w:t>
      </w:r>
      <w:r>
        <w:t xml:space="preserve"> </w:t>
      </w:r>
      <w:hyperlink w:anchor="ref-4">
        <w:r>
          <w:rPr>
            <w:rStyle w:val="Hyperlink"/>
          </w:rPr>
          <w:t xml:space="preserve">[4]</w:t>
        </w:r>
      </w:hyperlink>
      <w:r>
        <w:t xml:space="preserve">.</w:t>
      </w:r>
    </w:p>
    <w:bookmarkEnd w:id="113"/>
    <w:bookmarkStart w:id="114" w:name="the-dataset-as-a-template-for-scale"/>
    <w:p>
      <w:pPr>
        <w:pStyle w:val="Heading2"/>
        <w:spacing w:line="480" w:lineRule="auto"/>
      </w:pPr>
      <w:r>
        <w:t xml:space="preserve">The dataset as a template for scale</w:t>
      </w:r>
    </w:p>
    <w:p>
      <w:pPr>
        <w:pStyle w:val="FirstParagraph"/>
        <w:spacing w:line="480" w:lineRule="auto"/>
      </w:pPr>
      <w:r>
        <w:t xml:space="preserve">A last property of the dataset is that it is built to scale, and describing that property closes the loop to the future work later chapters propose. Each row is a self-describing record: a source identifier, a publication year, a venue family, a citation count, and the deterministic fields the signal score computes from. Nothing in the row’s structure hangs on the corpus being exactly thirty records, so the same schema takes three hundred records or three thousand, and the same deterministic rules regenerate every derived variable at any scale</w:t>
      </w:r>
      <w:r>
        <w:t xml:space="preserve"> </w:t>
      </w:r>
      <w:hyperlink w:anchor="ref-14">
        <w:r>
          <w:rPr>
            <w:rStyle w:val="Hyperlink"/>
          </w:rPr>
          <w:t xml:space="preserve">[14]</w:t>
        </w:r>
      </w:hyperlink>
      <w:r>
        <w:t xml:space="preserve">. This scalability is what renders the honest null actionable rather than terminal. A weak result on thirty rows is not the close of the inquiry if the dataset is a template a larger collection can fill without redesign. The variable definitions, the venue coding, the signal-score rule, and the provenance discipline all carry over intact to a bigger corpus, so the successor study inherits the gauging instrument rather than rebuilding it. The dataset recorded in this chapter is thus two things at once: the proof for this dissertation’s bounded result, and the seed of the larger evidence base its conclusion calls for</w:t>
      </w:r>
      <w:r>
        <w:t xml:space="preserve"> </w:t>
      </w:r>
      <w:hyperlink w:anchor="ref-9">
        <w:r>
          <w:rPr>
            <w:rStyle w:val="Hyperlink"/>
          </w:rPr>
          <w:t xml:space="preserve">[9]</w:t>
        </w:r>
      </w:hyperlink>
      <w:r>
        <w:t xml:space="preserve"> </w:t>
      </w:r>
      <w:hyperlink w:anchor="ref-5">
        <w:r>
          <w:rPr>
            <w:rStyle w:val="Hyperlink"/>
          </w:rPr>
          <w:t xml:space="preserve">[5]</w:t>
        </w:r>
      </w:hyperlink>
      <w:r>
        <w:t xml:space="preserve">.</w:t>
      </w:r>
    </w:p>
    <w:bookmarkEnd w:id="114"/>
    <w:bookmarkStart w:id="115" w:name="X0e4afcce4c2ef88e9607d3a44cd194179bef935"/>
    <w:p>
      <w:pPr>
        <w:pStyle w:val="Heading2"/>
        <w:spacing w:line="480" w:lineRule="auto"/>
      </w:pPr>
      <w:r>
        <w:t xml:space="preserve">Correlation structure among the predictors</w:t>
      </w:r>
    </w:p>
    <w:p>
      <w:pPr>
        <w:pStyle w:val="FirstParagraph"/>
        <w:spacing w:line="480" w:lineRule="auto"/>
      </w:pPr>
      <w:r>
        <w:t xml:space="preserve">Before the estimators run, the reader should grasp how the three cross-sectional predictors relate to one another, because that structure molds how their coefficients read. Recency and venue relate only loosely in this corpus, since both conference and journal records show up across the year range, so the recency signal is not tangled with venue in any strong way. The weighty relationship is between venue and citations: journal records sit at venue score two and carry most of the corpus’s citations, while conference records sit at venue score one and carry almost none, so venue and citation count share a hefty share of their variation</w:t>
      </w:r>
      <w:r>
        <w:t xml:space="preserve"> </w:t>
      </w:r>
      <w:hyperlink w:anchor="ref-12">
        <w:r>
          <w:rPr>
            <w:rStyle w:val="Hyperlink"/>
          </w:rPr>
          <w:t xml:space="preserve">[12]</w:t>
        </w:r>
      </w:hyperlink>
      <w:r>
        <w:t xml:space="preserve"> </w:t>
      </w:r>
      <w:hyperlink w:anchor="ref-9">
        <w:r>
          <w:rPr>
            <w:rStyle w:val="Hyperlink"/>
          </w:rPr>
          <w:t xml:space="preserve">[9]</w:t>
        </w:r>
      </w:hyperlink>
      <w:r>
        <w:t xml:space="preserve">. This shared variation means the venue and citation coefficients in the cross-sectional model partly vie to explain the same records, which widens both their standard errors and makes each harder to fit sharply. The dataset does not patch this by orthogonalizing the predictors, because doing so would hide the substantive fact that in this corpus venue and attention travel together. Instead the chapter names the overlap so Chapter 6’s imprecise venue and citation coefficients get read in that light, as estimates drawn against overlapping information rather than against clean independent variation</w:t>
      </w:r>
      <w:r>
        <w:t xml:space="preserve"> </w:t>
      </w:r>
      <w:hyperlink w:anchor="ref-7">
        <w:r>
          <w:rPr>
            <w:rStyle w:val="Hyperlink"/>
          </w:rPr>
          <w:t xml:space="preserve">[7]</w:t>
        </w:r>
      </w:hyperlink>
      <w:r>
        <w:t xml:space="preserve">.</w:t>
      </w:r>
    </w:p>
    <w:bookmarkEnd w:id="115"/>
    <w:bookmarkStart w:id="116" w:name="X4b79191f355796df50990483ba8f846cd7b6f16"/>
    <w:p>
      <w:pPr>
        <w:pStyle w:val="Heading2"/>
        <w:spacing w:line="480" w:lineRule="auto"/>
      </w:pPr>
      <w:r>
        <w:t xml:space="preserve">The dataset’s honest limits as documented facts</w:t>
      </w:r>
    </w:p>
    <w:p>
      <w:pPr>
        <w:pStyle w:val="FirstParagraph"/>
        <w:spacing w:line="480" w:lineRule="auto"/>
      </w:pPr>
      <w:r>
        <w:t xml:space="preserve">The chapter ends by gathering the dataset’s limits into one recorded list, so no limit surfaces later as a shock. The sample is thirty records, small enough that one influential row can move a coefficient. The year distribution bunches in the recent band, thinning the spread the learning curve needs. The citation variable is ruled by a single ninety-nine-count record from an off-topic technical article. The venue score is ordinal and correlated with citations. The signal score gauges surface vocabulary rather than deep relevance and answers to venue dialect. And the policy-economic family runs too sparse to anchor the high end of the venue ordinal</w:t>
      </w:r>
      <w:r>
        <w:t xml:space="preserve"> </w:t>
      </w:r>
      <w:hyperlink w:anchor="ref-1">
        <w:r>
          <w:rPr>
            <w:rStyle w:val="Hyperlink"/>
          </w:rPr>
          <w:t xml:space="preserve">[1]</w:t>
        </w:r>
      </w:hyperlink>
      <w:r>
        <w:t xml:space="preserve"> </w:t>
      </w:r>
      <w:hyperlink w:anchor="ref-14">
        <w:r>
          <w:rPr>
            <w:rStyle w:val="Hyperlink"/>
          </w:rPr>
          <w:t xml:space="preserve">[14]</w:t>
        </w:r>
      </w:hyperlink>
      <w:r>
        <w:t xml:space="preserve">. Each of these limits was a knowing acceptance rather than an oversight, taken in trade for a property the dissertation values more: perfect reproducibility, walkable provenance, and a template that scales. A study that hid these limits behind a cleaner staging would run less honest and, in the end, less useful, because a successor could not see what to mend. Recording them in full is the last act of the data chapter, and it hands Chapter 6 a set of reading cautions it will lay on every coefficient it reports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6"/>
    <w:bookmarkEnd w:id="117"/>
    <w:bookmarkStart w:id="127" w:name="chapter-6.-results"/>
    <w:p>
      <w:pPr>
        <w:pStyle w:val="Heading1"/>
        <w:spacing w:line="480" w:lineRule="auto"/>
      </w:pPr>
      <w:r>
        <w:t xml:space="preserve">Chapter 6. Results</w:t>
      </w:r>
    </w:p>
    <w:p>
      <w:pPr>
        <w:pStyle w:val="FirstParagraph"/>
        <w:spacing w:line="480" w:lineRule="auto"/>
      </w:pPr>
      <w:r>
        <w:t xml:space="preserve">This chapter relays the two estimators exactly as they ran and reads their signs and magnitudes without puffing them up. The numbers are the numbers. Nothing is staged. Where a coefficient is tight, the chapter says so, and where it is loose, the chapter takes that looseness as information rather than as shame. The discipline announced in Chapter 1 gets honored here in the one place it finally counts, where the estimator output meets reading</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Start w:id="118" w:name="paper-1-the-cross-sectional-model"/>
    <w:p>
      <w:pPr>
        <w:pStyle w:val="Heading2"/>
        <w:spacing w:line="480" w:lineRule="auto"/>
      </w:pPr>
      <w:r>
        <w:t xml:space="preserve">Paper 1: the cross-sectional model</w:t>
      </w:r>
    </w:p>
    <w:p>
      <w:pPr>
        <w:pStyle w:val="FirstParagraph"/>
        <w:spacing w:line="480" w:lineRule="auto"/>
      </w:pPr>
      <w:r>
        <w:t xml:space="preserve">The ordinary least squares model of the topic-signal score on recency, citation count, and venue family got fit on all thirty records under HC1 robust standard errors, and the overall fit runs weak by any yardstick.</w:t>
      </w:r>
    </w:p>
    <w:p>
      <w:pPr>
        <w:pStyle w:val="BodyText"/>
        <w:spacing w:line="480" w:lineRule="auto"/>
        <w:ind w:firstLine="720"/>
      </w:pPr>
      <w:r>
        <w:t xml:space="preserve">The model returns N = 30, R2 = 0.1152, adjusted R2 = 0.0131, F = 2.2387, and F_p = 0.1076. The three predictors jointly account for roughly eleven and a half percent of the variation in the topic signal, and once the estimate takes a penalty for spending three predictors on thirty observations the adjusted figure drops to about one and a third percent. The joint F test does not reject the null of no relationship at any standard level, since F_p = 0.1076 sits above 0.05. On the joint prediction from Chapter 3, this is a failure to reject H0</w:t>
      </w:r>
      <w:r>
        <w:t xml:space="preserve"> </w:t>
      </w:r>
      <w:hyperlink w:anchor="ref-4">
        <w:r>
          <w:rPr>
            <w:rStyle w:val="Hyperlink"/>
          </w:rPr>
          <w:t xml:space="preserve">[4]</w:t>
        </w:r>
      </w:hyperlink>
      <w:r>
        <w:t xml:space="preserve">. The term-by-term output runs thus. The constant is 4.1265 with p = 0.0561. The recency coefficient is 0.0672 with p = 0.6174. The citation coefficient is -0.0183 with p = 0.0754. The venue coefficient is -1.0570 with p = 0.1385. No predictor clears the 0.05 threshold. The constant sits just outside it, and the citation coefficient runs nearest of the three predictors to significance, at p = 0.0754, suggestive short of decisive</w:t>
      </w:r>
      <w:r>
        <w:t xml:space="preserve"> </w:t>
      </w:r>
      <w:hyperlink w:anchor="ref-6">
        <w:r>
          <w:rPr>
            <w:rStyle w:val="Hyperlink"/>
          </w:rPr>
          <w:t xml:space="preserve">[6]</w:t>
        </w:r>
      </w:hyperlink>
      <w:r>
        <w:t xml:space="preserve">.</w:t>
      </w:r>
    </w:p>
    <w:p>
      <w:pPr>
        <w:pStyle w:val="BodyText"/>
        <w:spacing w:line="480" w:lineRule="auto"/>
        <w:ind w:firstLine="720"/>
      </w:pPr>
      <w:r>
        <w:t xml:space="preserve">Held against the three directional predictions, the results instruct through their clash with the salience-imprint story.</w:t>
      </w:r>
    </w:p>
    <w:p>
      <w:pPr>
        <w:pStyle w:val="BodyText"/>
        <w:spacing w:line="480" w:lineRule="auto"/>
        <w:ind w:firstLine="720"/>
      </w:pPr>
      <w:r>
        <w:t xml:space="preserve">Recency was forecast to bear a positive, separable coefficient if the subject were climbing; instead it comes back small and positive at 0.0672 with a p-value of 0.6174, which cannot be told from zero. Fresher records in this corpus do not bear meaningfully stronger topic signals. Whatever climb in weight the surrounding literature describes fails to stamp cleanly on the recency dimension of these thirty records</w:t>
      </w:r>
      <w:r>
        <w:t xml:space="preserve"> </w:t>
      </w:r>
      <w:hyperlink w:anchor="ref-14">
        <w:r>
          <w:rPr>
            <w:rStyle w:val="Hyperlink"/>
          </w:rPr>
          <w:t xml:space="preserve">[14]</w:t>
        </w:r>
      </w:hyperlink>
      <w:r>
        <w:t xml:space="preserve">.</w:t>
      </w:r>
    </w:p>
    <w:p>
      <w:pPr>
        <w:pStyle w:val="BodyText"/>
        <w:spacing w:line="480" w:lineRule="auto"/>
        <w:ind w:firstLine="720"/>
      </w:pPr>
      <w:r>
        <w:t xml:space="preserve">The citation coefficient is the most striking number in the model, and its sign runs opposite the prediction.</w:t>
      </w:r>
    </w:p>
    <w:p>
      <w:pPr>
        <w:pStyle w:val="BodyText"/>
        <w:spacing w:line="480" w:lineRule="auto"/>
        <w:ind w:firstLine="720"/>
      </w:pPr>
      <w:r>
        <w:t xml:space="preserve">It is negative, -0.0183, meaning that inside this corpus the better-cited records tend to bear slightly weaker topic signals rather than stronger ones. The magnitude runs small, since each added citation ties to a topic-signal drop of about two hundredths of a point, so it takes fifty citations to shift the signal by a full point. The direction, though, weighs more than the size: it says the corpus’s citation notice pools on records that are not its highest topic-signal records, which squares with a citation footprint driven by neighboring technical work rather than by the acquisition-governance core of the corpus</w:t>
      </w:r>
      <w:r>
        <w:t xml:space="preserve"> </w:t>
      </w:r>
      <w:hyperlink w:anchor="ref-9">
        <w:r>
          <w:rPr>
            <w:rStyle w:val="Hyperlink"/>
          </w:rPr>
          <w:t xml:space="preserve">[9]</w:t>
        </w:r>
      </w:hyperlink>
      <w:r>
        <w:t xml:space="preserve"> </w:t>
      </w:r>
      <w:hyperlink w:anchor="ref-7">
        <w:r>
          <w:rPr>
            <w:rStyle w:val="Hyperlink"/>
          </w:rPr>
          <w:t xml:space="preserve">[7]</w:t>
        </w:r>
      </w:hyperlink>
      <w:r>
        <w:t xml:space="preserve">. The venue coefficient is negative and the largest in absolute terms, -1.0570, with p = 0.1385. Read at face value it says that climbing the venue ordinal, from conference proceedings toward archival journals and policy analysis, ties to roughly a one-point fall in topic signal, holding recency and citations still. This too cuts against the maturation prediction, which looked for higher venues to bear stronger signals, and the likely reading is the one Chapter 3 flagged as a live chance: the subject in fact lives densest in the casual conference literature, where the acquisition-governance records bunch, rather than in the archival journals that carry the corpus’s citation weight but not its topic vocabulary</w:t>
      </w:r>
      <w:r>
        <w:t xml:space="preserve"> </w:t>
      </w:r>
      <w:hyperlink w:anchor="ref-12">
        <w:r>
          <w:rPr>
            <w:rStyle w:val="Hyperlink"/>
          </w:rPr>
          <w:t xml:space="preserve">[12]</w:t>
        </w:r>
      </w:hyperlink>
      <w:r>
        <w:t xml:space="preserve">. Because p = 0.1385, this reading gets offered as a reading of a signed but loose coefficient, not as an established fact.</w:t>
      </w:r>
    </w:p>
    <w:p>
      <w:pPr>
        <w:pStyle w:val="BodyText"/>
        <w:spacing w:line="480" w:lineRule="auto"/>
        <w:ind w:firstLine="720"/>
      </w:pPr>
      <w:r>
        <w:t xml:space="preserve">The whole of Paper 1 therefore settles on a coherent negative result. The subject sits in the corpus, but its metadata footprint fails to track recency, attention, or venue in the direction the salience-imprint mechanism forecasts, and the joint test cannot reject the null. This is exactly the outcome the design was built to be able to report without flinching</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18"/>
    <w:bookmarkStart w:id="119" w:name="paper-2-the-learning-curve-model"/>
    <w:p>
      <w:pPr>
        <w:pStyle w:val="Heading2"/>
        <w:spacing w:line="480" w:lineRule="auto"/>
      </w:pPr>
      <w:r>
        <w:t xml:space="preserve">Paper 2: the learning-curve model</w:t>
      </w:r>
    </w:p>
    <w:p>
      <w:pPr>
        <w:pStyle w:val="FirstParagraph"/>
        <w:spacing w:line="480" w:lineRule="auto"/>
      </w:pPr>
      <w:r>
        <w:t xml:space="preserve">The log-log learning-curve model regressed the log of citation-count-plus-one on the log of the article-age index, on the same thirty records under HC1 robust standard errors, and it returns N = 30 and R2 = 0.0253. Article age accounts for about two and a half percent of the variation in logged citation notice, weaker still than the cross-sectional fit. The constant is 1.6051 with p = 0.0408. The log-age slope, the elasticity, is -0.4448 with p = 0.3391, and it works out to a progress ratio of 0.7347</w:t>
      </w:r>
      <w:r>
        <w:t xml:space="preserve"> </w:t>
      </w:r>
      <w:hyperlink w:anchor="ref-3">
        <w:r>
          <w:rPr>
            <w:rStyle w:val="Hyperlink"/>
          </w:rPr>
          <w:t xml:space="preserve">[3]</w:t>
        </w:r>
      </w:hyperlink>
      <w:r>
        <w:t xml:space="preserve">. The constant is the only tightly fit quantity in either paper, at p = 0.0408, but a constant in a log-log model is not the substantive parameter; it merely sets the curve’s level at unit log-age. The parameter carrying the theory is the elasticity, and it comes out both signed against expectation and loose. At -0.4448 with a p-value of 0.3391, the elasticity says that as article age doubles, citation-count-plus-one falls to about seventy-three percent of its prior value, which is the meaning of the 0.7347 progress ratio. Older records in this corpus are, on average, the less cited ones</w:t>
      </w:r>
      <w:r>
        <w:t xml:space="preserve"> </w:t>
      </w:r>
      <w:hyperlink w:anchor="ref-1">
        <w:r>
          <w:rPr>
            <w:rStyle w:val="Hyperlink"/>
          </w:rPr>
          <w:t xml:space="preserve">[1]</w:t>
        </w:r>
      </w:hyperlink>
      <w:r>
        <w:t xml:space="preserve">.</w:t>
      </w:r>
    </w:p>
    <w:p>
      <w:pPr>
        <w:pStyle w:val="BodyText"/>
        <w:spacing w:line="480" w:lineRule="auto"/>
        <w:ind w:firstLine="720"/>
      </w:pPr>
      <w:r>
        <w:t xml:space="preserve">That negative elasticity reads as diagnostic rather than shocking once the corpus is grasped. Chapter 5 recorded a retrieval tilted toward recent archival venues, and Chapter 6’s cross-sectional result already showed citation notice parted from topic signal, so a negative age elasticity fits: the corpus’s citations pool on newer archival records, and aging does not gather attention here the way ordinary ripening would forecast. The p-value of 0.3391 keeps this firmly in the ground of a loose, suggestive pattern, because the corpus is too slight and too clustered in age to fit the elasticity sharply, and the wide inference is the honest upshot of that clustering</w:t>
      </w:r>
      <w:r>
        <w:t xml:space="preserve"> </w:t>
      </w:r>
      <w:hyperlink w:anchor="ref-9">
        <w:r>
          <w:rPr>
            <w:rStyle w:val="Hyperlink"/>
          </w:rPr>
          <w:t xml:space="preserve">[9]</w:t>
        </w:r>
      </w:hyperlink>
      <w:r>
        <w:t xml:space="preserve"> </w:t>
      </w:r>
      <w:hyperlink w:anchor="ref-12">
        <w:r>
          <w:rPr>
            <w:rStyle w:val="Hyperlink"/>
          </w:rPr>
          <w:t xml:space="preserve">[12]</w:t>
        </w:r>
      </w:hyperlink>
      <w:r>
        <w:t xml:space="preserve">.</w:t>
      </w:r>
    </w:p>
    <w:bookmarkEnd w:id="119"/>
    <w:bookmarkStart w:id="120" w:name="reading-the-two-together"/>
    <w:p>
      <w:pPr>
        <w:pStyle w:val="Heading2"/>
        <w:spacing w:line="480" w:lineRule="auto"/>
      </w:pPr>
      <w:r>
        <w:t xml:space="preserve">Reading the two together</w:t>
      </w:r>
    </w:p>
    <w:p>
      <w:pPr>
        <w:pStyle w:val="FirstParagraph"/>
        <w:spacing w:line="480" w:lineRule="auto"/>
      </w:pPr>
      <w:r>
        <w:t xml:space="preserve">The two papers converge. That convergence is the finding. Both return weak overall fit, R2 = 0.1152 in the cross-section and R2 = 0.0253 across age, and both land the theory-bearing coefficients on the wrong side of significance and, for citations and venue and age, on the opposite sign from the salience-imprint prediction. Neither joint nor single test rejects a null of no meaningful relationship for the parameters the theory minds. Held apart, either result could be brushed off as an artifact of small N; held together they sketch a corpus where the subject is real but documentarily faint, its citation notice borrowed from neighboring technical work, and its weight not yet stamped on the metadata in any direction a linear or log-log model can catch</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pull of the corpus’s single ninety-nine-citation record earns one direct sentence, because it turns up in both models. That record is a neighboring technical article with a low topic-signal score, and it at once drags the citation coefficient negative in Paper 1 and steepens the negative age elasticity in Paper 2. Its pull is exactly why Chapter 4 insisted on treating leverage as part of reading. The point estimates reported here are the full-sample estimates the workbook produced, and the right way to read them is as full-sample facts about a corpus holding one very influential outlier, not as effects scrubbed of it</w:t>
      </w:r>
      <w:r>
        <w:t xml:space="preserve"> </w:t>
      </w:r>
      <w:hyperlink w:anchor="ref-7">
        <w:r>
          <w:rPr>
            <w:rStyle w:val="Hyperlink"/>
          </w:rPr>
          <w:t xml:space="preserve">[7]</w:t>
        </w:r>
      </w:hyperlink>
      <w:r>
        <w:t xml:space="preserve">. Chapter 7 carries these results into what they do and do not license the dissertation to say</w:t>
      </w:r>
      <w:r>
        <w:t xml:space="preserve"> </w:t>
      </w:r>
      <w:hyperlink w:anchor="ref-5">
        <w:r>
          <w:rPr>
            <w:rStyle w:val="Hyperlink"/>
          </w:rPr>
          <w:t xml:space="preserve">[5]</w:t>
        </w:r>
      </w:hyperlink>
      <w:r>
        <w:t xml:space="preserve">.</w:t>
      </w:r>
    </w:p>
    <w:bookmarkEnd w:id="120"/>
    <w:bookmarkStart w:id="121" w:name="magnitudes-in-context"/>
    <w:p>
      <w:pPr>
        <w:pStyle w:val="Heading2"/>
        <w:spacing w:line="480" w:lineRule="auto"/>
      </w:pPr>
      <w:r>
        <w:t xml:space="preserve">Magnitudes in context</w:t>
      </w:r>
    </w:p>
    <w:p>
      <w:pPr>
        <w:pStyle w:val="FirstParagraph"/>
        <w:spacing w:line="480" w:lineRule="auto"/>
      </w:pPr>
      <w:r>
        <w:t xml:space="preserve">A p-value tells you whether a coefficient can be told from zero, while a magnitude tells you whether it would matter if it could, and both papers reward reading the magnitudes even where the p-values urge care, because the sizes themselves carry substantive meaning. Take the recency coefficient of 0.0672. The recency index reaches from one to seventeen across the corpus, so going from the oldest record to the newest, holding citations and venue still, shifts the predicted topic signal by about 0.0672 times sixteen, roughly one point. Against an outcome reaching from one to eleven, a one-point shift across the whole recency span runs modest, and its p-value of 0.6174 confirms that even this modest slope cannot be told from no slope at all</w:t>
      </w:r>
      <w:r>
        <w:t xml:space="preserve"> </w:t>
      </w:r>
      <w:hyperlink w:anchor="ref-14">
        <w:r>
          <w:rPr>
            <w:rStyle w:val="Hyperlink"/>
          </w:rPr>
          <w:t xml:space="preserve">[14]</w:t>
        </w:r>
      </w:hyperlink>
      <w:r>
        <w:t xml:space="preserve">. The venue coefficient of -1.0570 is the largest magnitude in the cross-sectional model, and its size is what lends it interest despite its p-value of 0.1385. A full point of topic signal parts, on average, a conference record from a journal record one step above it, with the conference record scoring higher, and that is a hefty gap against the outcome’s range, so if a larger corpus sharpened it to significance, it would say something concrete: that this subject’s vocabulary pools in the casual literature. The magnitude runs large enough to matter; the sample runs too small to confirm it. Reporting both facts is the honest stance the design demanded</w:t>
      </w:r>
      <w:r>
        <w:t xml:space="preserve"> </w:t>
      </w:r>
      <w:hyperlink w:anchor="ref-12">
        <w:r>
          <w:rPr>
            <w:rStyle w:val="Hyperlink"/>
          </w:rPr>
          <w:t xml:space="preserve">[12]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citation coefficient of -0.0183 runs small in magnitude but weighty in direction. Its nearness to significance, p = 0.0754, is wholly a function of the corpus’s citation distribution, where the ninety-nine-citation outlier and a cluster of low-signal journal records together bend the slope negative. Fifty citations move the predicted signal down by less than one point, so no lone record’s citations reshape the outcome sharply, yet the systematic negative tilt is what parts attention from topic across the corpus</w:t>
      </w:r>
      <w:r>
        <w:t xml:space="preserve"> </w:t>
      </w:r>
      <w:hyperlink w:anchor="ref-9">
        <w:r>
          <w:rPr>
            <w:rStyle w:val="Hyperlink"/>
          </w:rPr>
          <w:t xml:space="preserve">[9]</w:t>
        </w:r>
      </w:hyperlink>
      <w:r>
        <w:t xml:space="preserve"> </w:t>
      </w:r>
      <w:hyperlink w:anchor="ref-7">
        <w:r>
          <w:rPr>
            <w:rStyle w:val="Hyperlink"/>
          </w:rPr>
          <w:t xml:space="preserve">[7]</w:t>
        </w:r>
      </w:hyperlink>
      <w:r>
        <w:t xml:space="preserve">.</w:t>
      </w:r>
    </w:p>
    <w:bookmarkEnd w:id="121"/>
    <w:bookmarkStart w:id="122" w:name="X8829b6ff181a72081360bf48ce49804a964bbba"/>
    <w:p>
      <w:pPr>
        <w:pStyle w:val="Heading2"/>
        <w:spacing w:line="480" w:lineRule="auto"/>
      </w:pPr>
      <w:r>
        <w:t xml:space="preserve">The learning curve read against maturation</w:t>
      </w:r>
    </w:p>
    <w:p>
      <w:pPr>
        <w:pStyle w:val="FirstParagraph"/>
        <w:spacing w:line="480" w:lineRule="auto"/>
      </w:pPr>
      <w:r>
        <w:t xml:space="preserve">Paper 2’s elasticity of -0.4448 repays translation into the language a maturation story would use. A field whose citations ripen normally would show a positive age elasticity: double an article’s age and its gathered citations rise. This corpus shows the reverse, because doubling age multiplies citation-count-plus-one by 0.7347, a fall of roughly a quarter per doubling. On its face that reads anti-maturational, and the explanation is not that citations shrink as records age, which is impossible, but that the corpus’s older records were pulled from lower-citation venues while its newer records were pulled from higher-citation archival venues</w:t>
      </w:r>
      <w:r>
        <w:t xml:space="preserve"> </w:t>
      </w:r>
      <w:hyperlink w:anchor="ref-3">
        <w:r>
          <w:rPr>
            <w:rStyle w:val="Hyperlink"/>
          </w:rPr>
          <w:t xml:space="preserve">[3]</w:t>
        </w:r>
      </w:hyperlink>
      <w:r>
        <w:t xml:space="preserve">. The elasticity’s p-value of 0.3391 keeps this reading provisional. The corpus’s age variation runs thin, bunched in the recent band recorded in Chapter 5, so the slope gets fit against little spread and its confidence interval runs wide enough to hold zero comfortably. The right summary is that Paper 2 catches a negative age tilt consistent with a recency-tilted retrieval but cannot rule out that the true elasticity is flat. The constant of 1.6051, tight at p = 0.0408, anchors the curve’s level but says nothing about its slope, and it is the slope that carries the theory</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22"/>
    <w:bookmarkStart w:id="123" w:name="robustness-the-corpus-permits"/>
    <w:p>
      <w:pPr>
        <w:pStyle w:val="Heading2"/>
        <w:spacing w:line="480" w:lineRule="auto"/>
      </w:pPr>
      <w:r>
        <w:t xml:space="preserve">Robustness the corpus permits</w:t>
      </w:r>
    </w:p>
    <w:p>
      <w:pPr>
        <w:pStyle w:val="FirstParagraph"/>
        <w:spacing w:line="480" w:lineRule="auto"/>
      </w:pPr>
      <w:r>
        <w:t xml:space="preserve">A full robustness suite lies past what thirty rows support, but the corpus allows one honest robustness note that both papers share. The pull of the ninety-nine-citation record is the pivot the citation-related results turn on. In the cross-sectional model that record tugs the citation coefficient toward its negative value, and in the learning-curve model it steepens the negative elasticity. A reader who wants to know how much of the citation story rides on one row has been told exactly where to look, and the provenance discipline of Chapter 5 lets them resolve that row and decide for themselves whether its nearness to the subject warrants the weight it carries</w:t>
      </w:r>
      <w:r>
        <w:t xml:space="preserve"> </w:t>
      </w:r>
      <w:hyperlink w:anchor="ref-7">
        <w:r>
          <w:rPr>
            <w:rStyle w:val="Hyperlink"/>
          </w:rPr>
          <w:t xml:space="preserve">[7]</w:t>
        </w:r>
      </w:hyperlink>
      <w:r>
        <w:t xml:space="preserve"> </w:t>
      </w:r>
      <w:hyperlink w:anchor="ref-9">
        <w:r>
          <w:rPr>
            <w:rStyle w:val="Hyperlink"/>
          </w:rPr>
          <w:t xml:space="preserve">[9]</w:t>
        </w:r>
      </w:hyperlink>
      <w:r>
        <w:t xml:space="preserve">. By contrast, the recency and venue results ride on no single record; they run weak because the corpus is small and its cues are blunt, not because one outlier rules them. This asymmetry is itself a finding, since it says the citation channel runs fragile and outlier-driven in this corpus while the recency and venue channels run simply underpowered. A larger, less lopsided corpus would firm up the recency and venue estimates through added observations, and would tame the citation estimate by thinning the outlier, which is precisely the collection Chapter 8 recommends</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bookmarkEnd w:id="123"/>
    <w:bookmarkStart w:id="124" w:name="filling-in-the-scorecard"/>
    <w:p>
      <w:pPr>
        <w:pStyle w:val="Heading2"/>
        <w:spacing w:line="480" w:lineRule="auto"/>
      </w:pPr>
      <w:r>
        <w:t xml:space="preserve">Filling in the scorecard</w:t>
      </w:r>
    </w:p>
    <w:p>
      <w:pPr>
        <w:pStyle w:val="FirstParagraph"/>
        <w:spacing w:line="480" w:lineRule="auto"/>
      </w:pPr>
      <w:r>
        <w:t xml:space="preserve">Chapter 3 committed to a scorecard, and honesty demands filling every box exactly as the results dictate rather than as the hypothesis might wish. On the recency channel the coefficient is 0.0672 with p = 0.6174: null, scoring for H0. On the attention channel the coefficient is -0.0183 with p = 0.0754: negative and nearly significant, scoring for H0 in the confounded-scenario form the citation prediction plainly foresaw. On the venue channel the coefficient is -1.0570 with p = 0.1385: negative, scoring for the conference-lodged exception rather than for maturation. On the joint test F_p = 0.1076: non-rejecting, scoring for H0 overall. And on the age channel the elasticity is -0.4448: negative, scoring for a recency-tilted retrieval rather than ordinary maturation</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The scorecard reads uniformly against H1, and because the reading of each box got fixed beforehand, no box can be reread now to blunt the verdict. This is the moment the design’s discipline pays off. A study that had not committed its scorecard ahead of time could, faced with these numbers, promote the p = 0.0754 citation coefficient into a near-win for attention, or recast the negative venue slope as covert backing for the subject living somewhere in the venue structure. The pre-committed scorecard bars both moves. The subject does not stamp this corpus in the direction H1 forecast, and every channel says so in the language the mechanism handed it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24"/>
    <w:bookmarkStart w:id="125" w:name="Xbd96b3fdcb2c4315c442d8e607b7f74100b94e1"/>
    <w:p>
      <w:pPr>
        <w:pStyle w:val="Heading2"/>
        <w:spacing w:line="480" w:lineRule="auto"/>
      </w:pPr>
      <w:r>
        <w:t xml:space="preserve">What a rejecting result would have looked like</w:t>
      </w:r>
    </w:p>
    <w:p>
      <w:pPr>
        <w:pStyle w:val="FirstParagraph"/>
        <w:spacing w:line="480" w:lineRule="auto"/>
      </w:pPr>
      <w:r>
        <w:t xml:space="preserve">Describing its opposite, the pattern that would have rejected H0, clears up the negative finding, so the reader can see how far the actual data fall from it. A rejecting result would have shown a positive recency coefficient large enough to clear significance, so that fresher records bore visibly stronger topic signals. It would have shown a positive citation coefficient, so that the corpus’s attention pooled on its highest-topic records rather than on neighboring technical work. It would have shown a positive venue coefficient, so that the subject climbed the venue ladder as the maturation model forecasts. And the joint F test would have rejected, with an F_p well below 0.05</w:t>
      </w:r>
      <w:r>
        <w:t xml:space="preserve"> </w:t>
      </w:r>
      <w:hyperlink w:anchor="ref-14">
        <w:r>
          <w:rPr>
            <w:rStyle w:val="Hyperlink"/>
          </w:rPr>
          <w:t xml:space="preserve">[14]</w:t>
        </w:r>
      </w:hyperlink>
      <w:r>
        <w:t xml:space="preserve"> </w:t>
      </w:r>
      <w:hyperlink w:anchor="ref-3">
        <w:r>
          <w:rPr>
            <w:rStyle w:val="Hyperlink"/>
          </w:rPr>
          <w:t xml:space="preserve">[3]</w:t>
        </w:r>
      </w:hyperlink>
      <w:r>
        <w:t xml:space="preserve">. None of that shows. The recency coefficient is flat, the citation and venue coefficients are negative, and the joint test does not reject at F_p = 0.1076. The gap between the observed pattern and the rejecting pattern is not marginal. It is categorical. This is not a case of a real effect narrowly missing significance for want of sample. It is a case of the cues pointing, where they point at all, in the directions H0 and the confounding scenarios forecast. The small sample widens the intervals, but it is not the reason the point estimates sit where they do, and Chapter 7 takes up exactly that split between an underpowered null and a substantive one</w:t>
      </w:r>
      <w:r>
        <w:t xml:space="preserve"> </w:t>
      </w:r>
      <w:hyperlink w:anchor="ref-7">
        <w:r>
          <w:rPr>
            <w:rStyle w:val="Hyperlink"/>
          </w:rPr>
          <w:t xml:space="preserve">[7]</w:t>
        </w:r>
      </w:hyperlink>
      <w:r>
        <w:t xml:space="preserve"> </w:t>
      </w:r>
      <w:hyperlink w:anchor="ref-6">
        <w:r>
          <w:rPr>
            <w:rStyle w:val="Hyperlink"/>
          </w:rPr>
          <w:t xml:space="preserve">[6]</w:t>
        </w:r>
      </w:hyperlink>
      <w:r>
        <w:t xml:space="preserve">.</w:t>
      </w:r>
    </w:p>
    <w:bookmarkEnd w:id="125"/>
    <w:bookmarkStart w:id="126" w:name="a-note-on-the-constant-terms"/>
    <w:p>
      <w:pPr>
        <w:pStyle w:val="Heading2"/>
        <w:spacing w:line="480" w:lineRule="auto"/>
      </w:pPr>
      <w:r>
        <w:t xml:space="preserve">A note on the constant terms</w:t>
      </w:r>
    </w:p>
    <w:p>
      <w:pPr>
        <w:pStyle w:val="FirstParagraph"/>
        <w:spacing w:line="480" w:lineRule="auto"/>
      </w:pPr>
      <w:r>
        <w:t xml:space="preserve">The two constants earn a brief, honest word so they are not misread. In Paper 1 the constant of 4.1265 at p = 0.0561 is the predicted topic signal for a hypothetical record at zero recency, zero citations, and zero venue score, a point past the data’s support, so the constant is a mathematical anchor rather than a substantive quantity. In Paper 2 the constant of 1.6051 at p = 0.0408 is the only coefficient in either model to clear significance, but it fixes the level of the learning curve at unit log-age and says nothing about the slope carrying the theory. Reporting these constants tightly, while refusing to load them with meaning they cannot bear, squares with the discipline that governs the whole results chapter</w:t>
      </w:r>
      <w:r>
        <w:t xml:space="preserve"> </w:t>
      </w:r>
      <w:hyperlink w:anchor="ref-1">
        <w:r>
          <w:rPr>
            <w:rStyle w:val="Hyperlink"/>
          </w:rPr>
          <w:t xml:space="preserve">[1]</w:t>
        </w:r>
      </w:hyperlink>
      <w:r>
        <w:t xml:space="preserve"> </w:t>
      </w:r>
      <w:hyperlink w:anchor="ref-2">
        <w:r>
          <w:rPr>
            <w:rStyle w:val="Hyperlink"/>
          </w:rPr>
          <w:t xml:space="preserve">[2]</w:t>
        </w:r>
      </w:hyperlink>
      <w:r>
        <w:t xml:space="preserve">. Chapter 7 now carries these results into what they do and do not license the dissertation to say</w:t>
      </w:r>
      <w:r>
        <w:t xml:space="preserve"> </w:t>
      </w:r>
      <w:hyperlink w:anchor="ref-5">
        <w:r>
          <w:rPr>
            <w:rStyle w:val="Hyperlink"/>
          </w:rPr>
          <w:t xml:space="preserve">[5]</w:t>
        </w:r>
      </w:hyperlink>
      <w:r>
        <w:t xml:space="preserve">.</w:t>
      </w:r>
    </w:p>
    <w:bookmarkEnd w:id="126"/>
    <w:bookmarkEnd w:id="127"/>
    <w:bookmarkStart w:id="138" w:name="chapter-7.-discussion-and-limitations"/>
    <w:p>
      <w:pPr>
        <w:pStyle w:val="Heading1"/>
        <w:spacing w:line="480" w:lineRule="auto"/>
      </w:pPr>
      <w:r>
        <w:t xml:space="preserve">Chapter 7. Discussion and Limitations</w:t>
      </w:r>
    </w:p>
    <w:p>
      <w:pPr>
        <w:pStyle w:val="FirstParagraph"/>
        <w:spacing w:line="480" w:lineRule="auto"/>
      </w:pPr>
      <w:r>
        <w:t xml:space="preserve">The results run weak. Weak is not the same as empty. This chapter reads the two estimators for what they license the dissertation to say, sets out the validity threats that qualify even those modest claims, and marks the line past which the data cannot speak at all. The stance throughout is the one the design pledged: read precisely, concede candidly, and never let a corpus screen pose as a program evaluation</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Start w:id="128" w:name="what-the-findings-mean"/>
    <w:p>
      <w:pPr>
        <w:pStyle w:val="Heading2"/>
        <w:spacing w:line="480" w:lineRule="auto"/>
      </w:pPr>
      <w:r>
        <w:t xml:space="preserve">What the findings mean</w:t>
      </w:r>
    </w:p>
    <w:p>
      <w:pPr>
        <w:pStyle w:val="FirstParagraph"/>
        <w:spacing w:line="480" w:lineRule="auto"/>
      </w:pPr>
      <w:r>
        <w:t xml:space="preserve">The central substantive claim the results back is a negative one, and it repays careful stating because negative findings slide easily into overclaim in either direction. Inside the candidate’s thirty-record corpus, the speed-quality subject fails to stamp the metadata the way a rising-salience story would forecast. Recency does not tug the topic signal up. Citation notice runs slightly against it. Venue family runs against it too, and article age fails to gather citations in the ordinary shape. None of these coefficients reaches significance, and the joint test does not reject the null</w:t>
      </w:r>
      <w:r>
        <w:t xml:space="preserve"> </w:t>
      </w:r>
      <w:hyperlink w:anchor="ref-4">
        <w:r>
          <w:rPr>
            <w:rStyle w:val="Hyperlink"/>
          </w:rPr>
          <w:t xml:space="preserve">[4]</w:t>
        </w:r>
      </w:hyperlink>
      <w:r>
        <w:t xml:space="preserve">. The right reading is not that the subject is trivial. The point runs narrower. The documentary record pulled here makes a weak instrument for spotting the subject’s weight. The salience-imprint mechanism from Chapter 3 wears a negative face, a world where an operationally real subject stays documentarily thin, and the results plant this corpus squarely in that world. The acquisition-and-governance discussion the subject belongs to seems to live in the casual conference literature, where the highest topic-signal records bunch, rather than in the archival journals that carry the corpus’s citation weight but treat neighboring technical matters</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That reading gains support from the direction of the venue coefficient. A negative venue slope, even at p = 0.1385, squares with a subject whose densest showing sits on conference floors rather than in journals, a likely institutional fact about an acquisition subject that program crowds hash out faster than journals publish</w:t>
      </w:r>
      <w:r>
        <w:t xml:space="preserve"> </w:t>
      </w:r>
      <w:hyperlink w:anchor="ref-14">
        <w:r>
          <w:rPr>
            <w:rStyle w:val="Hyperlink"/>
          </w:rPr>
          <w:t xml:space="preserve">[14]</w:t>
        </w:r>
      </w:hyperlink>
      <w:r>
        <w:t xml:space="preserve">. The negative citation coefficient tells the matching story, in that the corpus’s attention pools on records that are not its subject core, so citation count and topic signal have parted. For a dissertation about whether flexible instruments buy quality, the meta-lesson lands pointed: the proof a rushed analyst would grab first, citation counts, is precisely the cue least aligned with the subject in this corpus</w:t>
      </w:r>
      <w:r>
        <w:t xml:space="preserve"> </w:t>
      </w:r>
      <w:hyperlink w:anchor="ref-9">
        <w:r>
          <w:rPr>
            <w:rStyle w:val="Hyperlink"/>
          </w:rPr>
          <w:t xml:space="preserve">[9]</w:t>
        </w:r>
      </w:hyperlink>
      <w:r>
        <w:t xml:space="preserve">. Paper 2 deepens rather than crosses this. The negative age elasticity, seventy-three percent per doubling of age, says the corpus does not ripen attention the way a stable field would, and joined to the cross-sectional parting of citations from topic signal, it points to a pulled corpus tilted toward recent, higher-attention archival venues whose subject matter drifts from the acquisition-governance core. The two papers agree. Their agreement is the most defensible thing the dissertation reports</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bookmarkEnd w:id="128"/>
    <w:bookmarkStart w:id="129" w:name="threats-to-validity"/>
    <w:p>
      <w:pPr>
        <w:pStyle w:val="Heading2"/>
        <w:spacing w:line="480" w:lineRule="auto"/>
      </w:pPr>
      <w:r>
        <w:t xml:space="preserve">Threats to validity</w:t>
      </w:r>
    </w:p>
    <w:p>
      <w:pPr>
        <w:pStyle w:val="FirstParagraph"/>
        <w:spacing w:line="480" w:lineRule="auto"/>
      </w:pPr>
      <w:r>
        <w:t xml:space="preserve">Several threats qualify even these bounded readings, and honesty demands naming them without hedging them into thin air. The first threat, and the plain one, is small N. Thirty observations with three predictors leave few degrees of freedom, so the estimates run imprecise almost by build, and the wide standard errors in Chapter 6 flow partly from sample size rather than from pure proof of no effect. A larger corpus could sharpen coefficients that run merely noisy here, and the dissertation makes no claim that a null on thirty rows would hold up on three hundred</w:t>
      </w:r>
      <w:r>
        <w:t xml:space="preserve"> </w:t>
      </w:r>
      <w:hyperlink w:anchor="ref-1">
        <w:r>
          <w:rPr>
            <w:rStyle w:val="Hyperlink"/>
          </w:rPr>
          <w:t xml:space="preserve">[1]</w:t>
        </w:r>
      </w:hyperlink>
      <w:r>
        <w:t xml:space="preserve">. The second threat is the influential outlier. The single ninety-nine-citation record molds both the negative citation coefficient and the negative age elasticity, and that record is a neighboring technical article, low in topic signal, whose leverage means the citation-related results run partly a story about one row. Chapter 6 reported the full-sample estimates on purpose, but a reader should hold the citation and age findings looser than the recency and venue findings for exactly this reason</w:t>
      </w:r>
      <w:r>
        <w:t xml:space="preserve"> </w:t>
      </w:r>
      <w:hyperlink w:anchor="ref-7">
        <w:r>
          <w:rPr>
            <w:rStyle w:val="Hyperlink"/>
          </w:rPr>
          <w:t xml:space="preserve">[7]</w:t>
        </w:r>
      </w:hyperlink>
      <w:r>
        <w:t xml:space="preserve">.</w:t>
      </w:r>
    </w:p>
    <w:p>
      <w:pPr>
        <w:pStyle w:val="BodyText"/>
        <w:spacing w:line="480" w:lineRule="auto"/>
        <w:ind w:firstLine="720"/>
      </w:pPr>
      <w:r>
        <w:t xml:space="preserve">The third threat is measurement. The topic-signal score tallies theme-word hits across four metadata fields, so it catches surface vocabulary and can miss a record genuinely on-topic but framed otherwise. The venue score is ordinal and handled in the linear model as though its steps were even, which they are not, and the citation counts are local-index figures rather than universal totals. Each of these gauging picks was needed to keep the estimation file deterministic, and each imports a specific warp the coefficients then carry</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The fourth threat is selection in the retrieval. The corpus is the candidate’s kept pack, not a random draw from the field, so any imprint the results catch or miss stands conditional on that retrieval. A recency-tilted retrieval will manufacture a negative age elasticity whether or not the underlying field ripens its citations that way, which is precisely why the age finding gets presented as diagnostic of the corpus rather than of the discipline</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129"/>
    <w:bookmarkStart w:id="130" w:name="what-the-data-cannot-show"/>
    <w:p>
      <w:pPr>
        <w:pStyle w:val="Heading2"/>
        <w:spacing w:line="480" w:lineRule="auto"/>
      </w:pPr>
      <w:r>
        <w:t xml:space="preserve">What the data cannot show</w:t>
      </w:r>
    </w:p>
    <w:p>
      <w:pPr>
        <w:pStyle w:val="FirstParagraph"/>
        <w:spacing w:line="480" w:lineRule="auto"/>
      </w:pPr>
      <w:r>
        <w:t xml:space="preserve">Past these qualified threats sits a firmer line. The data cannot show whether flexible acquisition instruments truly buy speed at the cost of quality in the field, because that question wants program-level outcome data, delivered-capability quality gauges, and schedule records a bibliometric corpus simply does not hold. Nothing in the two estimators speaks to a real acquisition outcome, and the dissertation asserts no such thing</w:t>
      </w:r>
      <w:r>
        <w:t xml:space="preserve"> </w:t>
      </w:r>
      <w:hyperlink w:anchor="ref-5">
        <w:r>
          <w:rPr>
            <w:rStyle w:val="Hyperlink"/>
          </w:rPr>
          <w:t xml:space="preserve">[5]</w:t>
        </w:r>
      </w:hyperlink>
      <w:r>
        <w:t xml:space="preserve">. The data also cannot pin causality of any kind, even inside the corpus.</w:t>
      </w:r>
    </w:p>
    <w:p>
      <w:pPr>
        <w:pStyle w:val="BodyText"/>
        <w:spacing w:line="480" w:lineRule="auto"/>
        <w:ind w:firstLine="720"/>
      </w:pPr>
      <w:r>
        <w:t xml:space="preserve">The ties are partial correlations under a linear or log-log form, open to left-out features such as a record’s true topical relevance that could drive both the signal score and its citation count. A null tie is not proof of no underlying relationship; it is proof that this corpus, gauged this way, surfaces none</w:t>
      </w:r>
      <w:r>
        <w:t xml:space="preserve"> </w:t>
      </w:r>
      <w:hyperlink w:anchor="ref-6">
        <w:r>
          <w:rPr>
            <w:rStyle w:val="Hyperlink"/>
          </w:rPr>
          <w:t xml:space="preserve">[6]</w:t>
        </w:r>
      </w:hyperlink>
      <w:r>
        <w:t xml:space="preserve">. Finally, the data cannot reach past the pulled records. A different retrieval, a different venue mix, or a different theme-word set could yield a different imprint, and the dissertation’s claims stay indexed to the thirty rows it kept. This is the cost of a fully auditable design, and it is a cost worth paying, because a reproducible weak result on a named corpus is a firmer footing than a striking claim nobody can check, and it points cleanly at the richer data collection Chapter 8 proposes</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bookmarkEnd w:id="130"/>
    <w:bookmarkStart w:id="131" w:name="X5377f1a11cd309d4dab73ca9893afeae28c18ac"/>
    <w:p>
      <w:pPr>
        <w:pStyle w:val="Heading2"/>
        <w:spacing w:line="480" w:lineRule="auto"/>
      </w:pPr>
      <w:r>
        <w:t xml:space="preserve">Reconciling the findings with the literature</w:t>
      </w:r>
    </w:p>
    <w:p>
      <w:pPr>
        <w:pStyle w:val="FirstParagraph"/>
        <w:spacing w:line="480" w:lineRule="auto"/>
      </w:pPr>
      <w:r>
        <w:t xml:space="preserve">Chapter 2 forecast a faint signal, and the results deliver one, so the findings settle comfortably with the surrounding scholarship rather than against it.</w:t>
      </w:r>
    </w:p>
    <w:p>
      <w:pPr>
        <w:pStyle w:val="BodyText"/>
        <w:spacing w:line="480" w:lineRule="auto"/>
        <w:ind w:firstLine="720"/>
      </w:pPr>
      <w:r>
        <w:t xml:space="preserve">The maturation model hinted that a fast-moving operational subject might stay lodged in conference proceedings rather than climbing the venue ladder, and the negative venue coefficient is exactly what that exception forecasts</w:t>
      </w:r>
      <w:r>
        <w:t xml:space="preserve"> </w:t>
      </w:r>
      <w:hyperlink w:anchor="ref-6">
        <w:r>
          <w:rPr>
            <w:rStyle w:val="Hyperlink"/>
          </w:rPr>
          <w:t xml:space="preserve">[6]</w:t>
        </w:r>
      </w:hyperlink>
      <w:r>
        <w:t xml:space="preserve"> </w:t>
      </w:r>
      <w:hyperlink w:anchor="ref-14">
        <w:r>
          <w:rPr>
            <w:rStyle w:val="Hyperlink"/>
          </w:rPr>
          <w:t xml:space="preserve">[14]</w:t>
        </w:r>
      </w:hyperlink>
      <w:r>
        <w:t xml:space="preserve">. The scientometric caution about citation skew hinted that one high-citation record could rule a small corpus, and the leverage of the ninety-nine-citation row confirms it</w:t>
      </w:r>
      <w:r>
        <w:t xml:space="preserve"> </w:t>
      </w:r>
      <w:hyperlink w:anchor="ref-9">
        <w:r>
          <w:rPr>
            <w:rStyle w:val="Hyperlink"/>
          </w:rPr>
          <w:t xml:space="preserve">[9]</w:t>
        </w:r>
      </w:hyperlink>
      <w:r>
        <w:t xml:space="preserve"> </w:t>
      </w:r>
      <w:hyperlink w:anchor="ref-7">
        <w:r>
          <w:rPr>
            <w:rStyle w:val="Hyperlink"/>
          </w:rPr>
          <w:t xml:space="preserve">[7]</w:t>
        </w:r>
      </w:hyperlink>
      <w:r>
        <w:t xml:space="preserve">. The dissertation did not stumble into an odd corpus; it gauged a corpus behaving the way the literature said such a corpus should. This reconciliation reassures more than a striking positive result would have. A strong, clean imprint on thirty mismatched records would have raised suspicion that the gauging was manufacturing structure, whereas a faint imprint matching prior expectation, with the one influential outlier acting as the scientometric literature warns, is the mark of an honest gauging of a genuinely thin documentary footprint. The agreement between Chapter 2’s forecast and Chapter 6’s result is itself a form of validation, not of H1, but of the design’s capacity to report what is actually there</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131"/>
    <w:bookmarkStart w:id="132" w:name="the-asymmetry-between-the-two-failures"/>
    <w:p>
      <w:pPr>
        <w:pStyle w:val="Heading2"/>
        <w:spacing w:line="480" w:lineRule="auto"/>
      </w:pPr>
      <w:r>
        <w:t xml:space="preserve">The asymmetry between the two failures</w:t>
      </w:r>
    </w:p>
    <w:p>
      <w:pPr>
        <w:pStyle w:val="FirstParagraph"/>
        <w:spacing w:line="480" w:lineRule="auto"/>
      </w:pPr>
      <w:r>
        <w:t xml:space="preserve">Chapter 6 noted an asymmetry that earns emphasis in reading, because it changes what a larger study should look for.</w:t>
      </w:r>
    </w:p>
    <w:p>
      <w:pPr>
        <w:pStyle w:val="BodyText"/>
        <w:spacing w:line="480" w:lineRule="auto"/>
        <w:ind w:firstLine="720"/>
      </w:pPr>
      <w:r>
        <w:t xml:space="preserve">The citation channel failed for a fragile, outlier-driven reason, while the recency and venue channels failed for a structural, underpowered reason, and these two sorts of failure hold different futures. Thinning the citation outlier in a larger corpus could plausibly move the citation coefficient toward its true value, whatever that is, whereas the recency and venue channels want added observations to narrow their intervals rather than a single outlier pulled</w:t>
      </w:r>
      <w:r>
        <w:t xml:space="preserve"> </w:t>
      </w:r>
      <w:hyperlink w:anchor="ref-7">
        <w:r>
          <w:rPr>
            <w:rStyle w:val="Hyperlink"/>
          </w:rPr>
          <w:t xml:space="preserve">[7]</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For a program analyst, the asymmetry cashes out as a concrete warning about which cue to mistrust most.</w:t>
      </w:r>
    </w:p>
    <w:p>
      <w:pPr>
        <w:pStyle w:val="BodyText"/>
        <w:spacing w:line="480" w:lineRule="auto"/>
        <w:ind w:firstLine="720"/>
      </w:pPr>
      <w:r>
        <w:t xml:space="preserve">The citation channel is the one likeliest to mislead in a small mixed corpus, because one neighboring record can flip its sign, so an analyst tempted to read citation counts as subject importance in this kind of corpus should treat that reading as the least reliable of the three, flipping the usual instinct that citations are the hardest cue. The dissertation’s most portable practical lesson may be exactly this flip, earned on real data rather than asserted</w:t>
      </w:r>
      <w:r>
        <w:t xml:space="preserve"> </w:t>
      </w:r>
      <w:hyperlink w:anchor="ref-9">
        <w:r>
          <w:rPr>
            <w:rStyle w:val="Hyperlink"/>
          </w:rPr>
          <w:t xml:space="preserve">[9]</w:t>
        </w:r>
      </w:hyperlink>
      <w:r>
        <w:t xml:space="preserve"> </w:t>
      </w:r>
      <w:hyperlink w:anchor="ref-6">
        <w:r>
          <w:rPr>
            <w:rStyle w:val="Hyperlink"/>
          </w:rPr>
          <w:t xml:space="preserve">[6]</w:t>
        </w:r>
      </w:hyperlink>
      <w:r>
        <w:t xml:space="preserve">.</w:t>
      </w:r>
    </w:p>
    <w:bookmarkEnd w:id="132"/>
    <w:bookmarkStart w:id="133" w:name="Xa061422f30c09cd2ca644c8b282a4601d7abd35"/>
    <w:p>
      <w:pPr>
        <w:pStyle w:val="Heading2"/>
        <w:spacing w:line="480" w:lineRule="auto"/>
      </w:pPr>
      <w:r>
        <w:t xml:space="preserve">Holding the conclusion at the right altitude</w:t>
      </w:r>
    </w:p>
    <w:p>
      <w:pPr>
        <w:pStyle w:val="FirstParagraph"/>
        <w:spacing w:line="480" w:lineRule="auto"/>
      </w:pPr>
      <w:r>
        <w:t xml:space="preserve">The discipline closing this chapter is one of altitude. It would be easy to drop from a weak documentary result into a confident policy claim, and it would be wrong. The findings back statements about the pulled corpus and about how bibliometric cues behave within it. They do not back statements about whether flexible acquisition instruments buy quality, about the space sector at large, or about any program’s outcomes. Keeping the conclusion at the altitude of the proof is not timidity; it is the condition under which a design-stage dissertation earns trust</w:t>
      </w:r>
      <w:r>
        <w:t xml:space="preserve"> </w:t>
      </w:r>
      <w:hyperlink w:anchor="ref-5">
        <w:r>
          <w:rPr>
            <w:rStyle w:val="Hyperlink"/>
          </w:rPr>
          <w:t xml:space="preserve">[5]</w:t>
        </w:r>
      </w:hyperlink>
      <w:r>
        <w:t xml:space="preserve"> </w:t>
      </w:r>
      <w:hyperlink w:anchor="ref-1">
        <w:r>
          <w:rPr>
            <w:rStyle w:val="Hyperlink"/>
          </w:rPr>
          <w:t xml:space="preserve">[1]</w:t>
        </w:r>
      </w:hyperlink>
      <w:r>
        <w:t xml:space="preserve">.</w:t>
      </w:r>
    </w:p>
    <w:bookmarkEnd w:id="133"/>
    <w:bookmarkStart w:id="134" w:name="is-this-null-substantive-or-underpowered"/>
    <w:p>
      <w:pPr>
        <w:pStyle w:val="Heading2"/>
        <w:spacing w:line="480" w:lineRule="auto"/>
      </w:pPr>
      <w:r>
        <w:t xml:space="preserve">Is this null substantive or underpowered</w:t>
      </w:r>
    </w:p>
    <w:p>
      <w:pPr>
        <w:pStyle w:val="FirstParagraph"/>
        <w:spacing w:line="480" w:lineRule="auto"/>
      </w:pPr>
      <w:r>
        <w:t xml:space="preserve">The weightiest reading question the chapter must meet head on is whether the uniform null mirrors a real absence of imprint or merely a sample too weak to catch one. The honest reply is that both play a part and the design cannot fully pry them apart, but the diagnostics tip the reading. Two facts point toward a partly substantive null rather than a purely underpowered one. First, the theory-bearing coefficients do not merely miss significance; they carry the wrong signs, negative on citations, venue, and age, where H1 forecast positive, and an underpowered study of a real positive effect would tend to throw off noisy positive estimates rather than steady negative ones</w:t>
      </w:r>
      <w:r>
        <w:t xml:space="preserve"> </w:t>
      </w:r>
      <w:hyperlink w:anchor="ref-4">
        <w:r>
          <w:rPr>
            <w:rStyle w:val="Hyperlink"/>
          </w:rPr>
          <w:t xml:space="preserve">[4]</w:t>
        </w:r>
      </w:hyperlink>
      <w:r>
        <w:t xml:space="preserve"> </w:t>
      </w:r>
      <w:hyperlink w:anchor="ref-12">
        <w:r>
          <w:rPr>
            <w:rStyle w:val="Hyperlink"/>
          </w:rPr>
          <w:t xml:space="preserve">[12]</w:t>
        </w:r>
      </w:hyperlink>
      <w:r>
        <w:t xml:space="preserve">. Second, the negative signs are explainable by mechanisms the design foresaw in advance: citation notice borrowed from neighboring technical work, a subject lodged in conference dialect, and a recency-tilted retrieval. When the wrong-signed coefficients hold ready structural explanations named before the data were seen, the null reads less like the fog of small N and more like a genuine feature of how this subject sits in this corpus</w:t>
      </w:r>
      <w:r>
        <w:t xml:space="preserve"> </w:t>
      </w:r>
      <w:hyperlink w:anchor="ref-7">
        <w:r>
          <w:rPr>
            <w:rStyle w:val="Hyperlink"/>
          </w:rPr>
          <w:t xml:space="preserve">[7]</w:t>
        </w:r>
      </w:hyperlink>
      <w:r>
        <w:t xml:space="preserve"> </w:t>
      </w:r>
      <w:hyperlink w:anchor="ref-6">
        <w:r>
          <w:rPr>
            <w:rStyle w:val="Hyperlink"/>
          </w:rPr>
          <w:t xml:space="preserve">[6]</w:t>
        </w:r>
      </w:hyperlink>
      <w:r>
        <w:t xml:space="preserve">. The sample size still matters, and a larger corpus could move the estimates, but the current pattern is not the mark of a strong positive effect merely veiled by noise. It is the mark of a subject whose documentary footprint runs faint and whose citations follow venue and field rather than subject.</w:t>
      </w:r>
    </w:p>
    <w:p>
      <w:pPr>
        <w:pStyle w:val="BodyText"/>
        <w:spacing w:line="480" w:lineRule="auto"/>
        <w:ind w:firstLine="720"/>
      </w:pPr>
      <w:r>
        <w:t xml:space="preserve">That reading carries a caveat the chapter will not drop. The boundary condition from Chapter 3, that acquisition knowledge may live in venues no index captures, stays live, and if the subject’s real attention flows through program briefings and contract deliverables rather than indexed venues, then the documentary null tells us nothing about the underlying attention, and the study has gauged the silence of the wrong channel rather than the quiet of the subject. The dissertation cannot rule this out, and it makes no pretense of doing so. It reports a documentary null and marks precisely the reading that null cannot exclude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34"/>
    <w:bookmarkStart w:id="135" w:name="practical-guidance-the-findings-can-bear"/>
    <w:p>
      <w:pPr>
        <w:pStyle w:val="Heading2"/>
        <w:spacing w:line="480" w:lineRule="auto"/>
      </w:pPr>
      <w:r>
        <w:t xml:space="preserve">Practical guidance the findings can bear</w:t>
      </w:r>
    </w:p>
    <w:p>
      <w:pPr>
        <w:pStyle w:val="FirstParagraph"/>
        <w:spacing w:line="480" w:lineRule="auto"/>
      </w:pPr>
      <w:r>
        <w:t xml:space="preserve">Even a bounded null yields guidance if the guidance sits at the right altitude. For an analyst building proof about a space-policy subject from a documentary corpus, three practical lessons survive the limits. Mistrust citation counts most in small mixed corpora, because one neighboring record can flip the sign of any citation-based inference, as the ninety-nine-citation record did here</w:t>
      </w:r>
      <w:r>
        <w:t xml:space="preserve"> </w:t>
      </w:r>
      <w:hyperlink w:anchor="ref-9">
        <w:r>
          <w:rPr>
            <w:rStyle w:val="Hyperlink"/>
          </w:rPr>
          <w:t xml:space="preserve">[9]</w:t>
        </w:r>
      </w:hyperlink>
      <w:r>
        <w:t xml:space="preserve"> </w:t>
      </w:r>
      <w:hyperlink w:anchor="ref-7">
        <w:r>
          <w:rPr>
            <w:rStyle w:val="Hyperlink"/>
          </w:rPr>
          <w:t xml:space="preserve">[7]</w:t>
        </w:r>
      </w:hyperlink>
      <w:r>
        <w:t xml:space="preserve">. Read venue as a blunt and possibly flipped cue, because fast operational subjects lodge in conference literature and can score highest at the low end of a venue ordinal</w:t>
      </w:r>
      <w:r>
        <w:t xml:space="preserve"> </w:t>
      </w:r>
      <w:hyperlink w:anchor="ref-6">
        <w:r>
          <w:rPr>
            <w:rStyle w:val="Hyperlink"/>
          </w:rPr>
          <w:t xml:space="preserve">[6]</w:t>
        </w:r>
      </w:hyperlink>
      <w:r>
        <w:t xml:space="preserve">. And treat a recency-tilted retrieval as a maker of negative age elasticities, so an anti-maturational citation curve gets diagnosed as a retrieval artifact before it gets read as a fact about the field</w:t>
      </w:r>
      <w:r>
        <w:t xml:space="preserve"> </w:t>
      </w:r>
      <w:hyperlink w:anchor="ref-3">
        <w:r>
          <w:rPr>
            <w:rStyle w:val="Hyperlink"/>
          </w:rPr>
          <w:t xml:space="preserve">[3]</w:t>
        </w:r>
      </w:hyperlink>
      <w:r>
        <w:t xml:space="preserve">. These lessons are portable and earned, not asserted, which is what parts them from the hunches the field usually runs on. They do not tell a program office whether to use a flexible instrument. They tell an analyst how the documentary cues around such a call behave, and where those cues mislead. That is a smaller and firmer sort of guidance, and it is exactly the sort a study at this altitude is entitled to offer</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bookmarkEnd w:id="135"/>
    <w:bookmarkStart w:id="136" w:name="X53ab92b1182832a842b902093b00c926235d973"/>
    <w:p>
      <w:pPr>
        <w:pStyle w:val="Heading2"/>
        <w:spacing w:line="480" w:lineRule="auto"/>
      </w:pPr>
      <w:r>
        <w:t xml:space="preserve">Alternative explanations considered and set aside</w:t>
      </w:r>
    </w:p>
    <w:p>
      <w:pPr>
        <w:pStyle w:val="FirstParagraph"/>
        <w:spacing w:line="480" w:lineRule="auto"/>
      </w:pPr>
      <w:r>
        <w:t xml:space="preserve">Intellectual honesty demands walking through the rival explanations for the uniform null and saying why each is either taken in or set aside. One rival is that the signal-score gauge is simply broken, scoring noise rather than subject, and this gets set aside because the off-topic technical records score low as they should, which shows the detector separates; a broken detector would score astronomy and propulsion records as high as the acquisition core, and it does not</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gauge runs blunt, but not noise, so the null is not an artifact of a non-working outcome variable. A second rival is that the venue coding runs miscalibrated, inflating conference scores, and this gets partly taken in rather than dismissed, because the signal score answers to venue dialect and some of the negative venue coefficient may mirror vocabulary drift across venues rather than genuine subject pileup. The chapter makes no claim to have pried these shares apart; it reports the venue coefficient with the ambiguity attached, the honest handling of a rival the data cannot fully exclude</w:t>
      </w:r>
      <w:r>
        <w:t xml:space="preserve"> </w:t>
      </w:r>
      <w:hyperlink w:anchor="ref-12">
        <w:r>
          <w:rPr>
            <w:rStyle w:val="Hyperlink"/>
          </w:rPr>
          <w:t xml:space="preserve">[12]</w:t>
        </w:r>
      </w:hyperlink>
      <w:r>
        <w:t xml:space="preserve"> </w:t>
      </w:r>
      <w:hyperlink w:anchor="ref-6">
        <w:r>
          <w:rPr>
            <w:rStyle w:val="Hyperlink"/>
          </w:rPr>
          <w:t xml:space="preserve">[6]</w:t>
        </w:r>
      </w:hyperlink>
      <w:r>
        <w:t xml:space="preserve">. A third rival, that the null runs pure small-sample noise, gets weighed and partly rejected on the grounds already given: the wrong-signed coefficients with ready structural explanations do not fit the profile of a strong positive effect veiled by noise</w:t>
      </w:r>
      <w:r>
        <w:t xml:space="preserve"> </w:t>
      </w:r>
      <w:hyperlink w:anchor="ref-7">
        <w:r>
          <w:rPr>
            <w:rStyle w:val="Hyperlink"/>
          </w:rPr>
          <w:t xml:space="preserve">[7]</w:t>
        </w:r>
      </w:hyperlink>
      <w:r>
        <w:t xml:space="preserve">.</w:t>
      </w:r>
    </w:p>
    <w:p>
      <w:pPr>
        <w:pStyle w:val="BodyText"/>
        <w:spacing w:line="480" w:lineRule="auto"/>
        <w:ind w:firstLine="720"/>
      </w:pPr>
      <w:r>
        <w:t xml:space="preserve">The rival that survives strongest is the boundary-condition one: that acquisition attention flows through unindexed venues the corpus cannot see. This cannot be rejected on the available data, and the chapter carries it forward as the chief caveat on the whole finding. Naming it as the surviving rival, rather than burying it, is what lets the closing chapter propose a document-coding and outcome-linkage program that would reach the channels this study could not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36"/>
    <w:bookmarkStart w:id="137" w:name="X60399777434a7061cf5e07358c56fd1290b66b8"/>
    <w:p>
      <w:pPr>
        <w:pStyle w:val="Heading2"/>
        <w:spacing w:line="480" w:lineRule="auto"/>
      </w:pPr>
      <w:r>
        <w:t xml:space="preserve">The limits as a specification for better work</w:t>
      </w:r>
    </w:p>
    <w:p>
      <w:pPr>
        <w:pStyle w:val="FirstParagraph"/>
        <w:spacing w:line="480" w:lineRule="auto"/>
      </w:pPr>
      <w:r>
        <w:t xml:space="preserve">Read constructively, every limit in this chapter is a specification for the study that should come next. Small N specifies a larger corpus. The influential outlier specifies a universal citation index that thins any single record. The surface-vocabulary gauge specifies full-text document coding. The unindexed-venue boundary specifies reaching for program records the bibliometric screen cannot touch. The validity threats are not merely apologies; they are a design brief, and the closing chapter reads them as one</w:t>
      </w:r>
      <w:r>
        <w:t xml:space="preserve"> </w:t>
      </w:r>
      <w:hyperlink w:anchor="ref-4">
        <w:r>
          <w:rPr>
            <w:rStyle w:val="Hyperlink"/>
          </w:rPr>
          <w:t xml:space="preserve">[4]</w:t>
        </w:r>
      </w:hyperlink>
      <w:r>
        <w:t xml:space="preserve"> </w:t>
      </w:r>
      <w:hyperlink w:anchor="ref-14">
        <w:r>
          <w:rPr>
            <w:rStyle w:val="Hyperlink"/>
          </w:rPr>
          <w:t xml:space="preserve">[14]</w:t>
        </w:r>
      </w:hyperlink>
      <w:r>
        <w:t xml:space="preserve">. The discussion therefore ends where a rigorous discussion should, with the proof and its limits laid flat for inspection and no claim reaching past them. The findings run weak, their weakness runs partly substantive and partly a matter of power, the citation channel runs fragile and outlier-driven, and the one rival the data cannot exclude is that the subject’s real attention flows through venues no index captures. Each of these got stated as a fact about this corpus rather than smoothed into a cleaner tale, which is the discipline the whole dissertation was built to keep</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next chapter draws the contribution and the forward path from exactly this altitude, neither higher nor lower than the two estimators permit.</w:t>
      </w:r>
    </w:p>
    <w:bookmarkEnd w:id="137"/>
    <w:bookmarkEnd w:id="138"/>
    <w:bookmarkStart w:id="177" w:name="chapter-8.-conclusions-and-implications"/>
    <w:p>
      <w:pPr>
        <w:pStyle w:val="Heading1"/>
        <w:spacing w:line="480" w:lineRule="auto"/>
      </w:pPr>
      <w:r>
        <w:t xml:space="preserve">Chapter 8. Conclusions and Implications</w:t>
      </w:r>
    </w:p>
    <w:p>
      <w:pPr>
        <w:pStyle w:val="FirstParagraph"/>
        <w:spacing w:line="480" w:lineRule="auto"/>
      </w:pPr>
      <w:r>
        <w:t xml:space="preserve">A dissertation that stops where its proof stops is doing its job, and this one tries to. This closing chapter states the contribution in one sentence and then unfolds it, ties the bounded findings to the program and governance work they can genuinely inform, and names the next data collection that would let the question grow past what thirty records can carry. The tone holds steady with the rest, exact about the small thing won and frank about the larger thing put off</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Start w:id="139" w:name="the-contribution"/>
    <w:p>
      <w:pPr>
        <w:pStyle w:val="Heading2"/>
        <w:spacing w:line="480" w:lineRule="auto"/>
      </w:pPr>
      <w:r>
        <w:t xml:space="preserve">The contribution</w:t>
      </w:r>
    </w:p>
    <w:p>
      <w:pPr>
        <w:pStyle w:val="FirstParagraph"/>
        <w:spacing w:line="480" w:lineRule="auto"/>
      </w:pPr>
      <w:r>
        <w:t xml:space="preserve">The contribution is a lone falsifiable, fully reproducible test of whether the speed-quality subject stamps a named source corpus, paired with the honest finding that it fails to stamp the way a rising-salience story would forecast.</w:t>
      </w:r>
    </w:p>
    <w:p>
      <w:pPr>
        <w:pStyle w:val="BodyText"/>
        <w:spacing w:line="480" w:lineRule="auto"/>
        <w:ind w:firstLine="720"/>
      </w:pPr>
      <w:r>
        <w:t xml:space="preserve">That is a smaller claim than the title’s question invites, and its smallness is chosen. The dissertation turns a broad policy hunch, that flexible instruments swap quality for speed, into a document-level hypothesis a workbook can reject, states the estimators beforehand, reports their output exactly, and walks the reader from each coefficient back to the record that made it</w:t>
      </w:r>
      <w:r>
        <w:t xml:space="preserve"> </w:t>
      </w:r>
      <w:hyperlink w:anchor="ref-4">
        <w:r>
          <w:rPr>
            <w:rStyle w:val="Hyperlink"/>
          </w:rPr>
          <w:t xml:space="preserve">[4]</w:t>
        </w:r>
      </w:hyperlink>
      <w:r>
        <w:t xml:space="preserve">.</w:t>
      </w:r>
    </w:p>
    <w:p>
      <w:pPr>
        <w:pStyle w:val="BodyText"/>
        <w:spacing w:line="480" w:lineRule="auto"/>
        <w:ind w:firstLine="720"/>
      </w:pPr>
      <w:r>
        <w:t xml:space="preserve">What lends the contribution durability is not the sign of any coefficient.</w:t>
      </w:r>
    </w:p>
    <w:p>
      <w:pPr>
        <w:pStyle w:val="BodyText"/>
        <w:spacing w:line="480" w:lineRule="auto"/>
        <w:ind w:firstLine="720"/>
      </w:pPr>
      <w:r>
        <w:t xml:space="preserve">It is the method by which the sign got earned. The cross-sectional model returned R2 = 0.1152 with a joint F_p = 0.1076, failing to reject the null, and the learning-curve model returned R2 = 0.0253 with an age elasticity of -0.4448 at p = 0.3391. A pipeline that threw off only these numbers and stopped would still have delivered a genuine research object: a reproducible limit on inference, indexed to a corpus anyone can inspect. The discipline of reporting weak results as weak is the transferable lesson, and it transfers well past this subject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39"/>
    <w:bookmarkStart w:id="140" w:name="why-the-negative-result-is-useful"/>
    <w:p>
      <w:pPr>
        <w:pStyle w:val="Heading2"/>
        <w:spacing w:line="480" w:lineRule="auto"/>
      </w:pPr>
      <w:r>
        <w:t xml:space="preserve">Why the negative result is useful</w:t>
      </w:r>
    </w:p>
    <w:p>
      <w:pPr>
        <w:pStyle w:val="FirstParagraph"/>
        <w:spacing w:line="480" w:lineRule="auto"/>
      </w:pPr>
      <w:r>
        <w:t xml:space="preserve">Negative results weigh more in acquisition analysis than the field usually grants, because the other choice is a call made on a cue that turned out to mislead.</w:t>
      </w:r>
    </w:p>
    <w:p>
      <w:pPr>
        <w:pStyle w:val="BodyText"/>
        <w:spacing w:line="480" w:lineRule="auto"/>
        <w:ind w:firstLine="720"/>
      </w:pPr>
      <w:r>
        <w:t xml:space="preserve">Chapter 6 showed that in this corpus the readiest cue, citation count, is the one least aligned with the subject, since citations run slightly against topic signal and attention pools on neighboring technical records rather than on the acquisition-governance core</w:t>
      </w:r>
      <w:r>
        <w:t xml:space="preserve"> </w:t>
      </w:r>
      <w:hyperlink w:anchor="ref-9">
        <w:r>
          <w:rPr>
            <w:rStyle w:val="Hyperlink"/>
          </w:rPr>
          <w:t xml:space="preserve">[9]</w:t>
        </w:r>
      </w:hyperlink>
      <w:r>
        <w:t xml:space="preserve"> </w:t>
      </w:r>
      <w:hyperlink w:anchor="ref-7">
        <w:r>
          <w:rPr>
            <w:rStyle w:val="Hyperlink"/>
          </w:rPr>
          <w:t xml:space="preserve">[7]</w:t>
        </w:r>
      </w:hyperlink>
      <w:r>
        <w:t xml:space="preserve">. An analyst who grabbed citation counts as a stand-in for subject importance here would have been led astray, and the dissertation’s worth lies partly in showing that hazard on real data. The venue finding carries a matching lesson. A negative venue slope, read alongside the bunching of high-signal records in conference proceedings, hints that the acquisition-governance discussion ripens on casual floors faster than it reaches archival journals</w:t>
      </w:r>
      <w:r>
        <w:t xml:space="preserve"> </w:t>
      </w:r>
      <w:hyperlink w:anchor="ref-14">
        <w:r>
          <w:rPr>
            <w:rStyle w:val="Hyperlink"/>
          </w:rPr>
          <w:t xml:space="preserve">[14]</w:t>
        </w:r>
      </w:hyperlink>
      <w:r>
        <w:t xml:space="preserve">. For anyone trying to track where a policy subject truly lives, that is an operational hint: the conference literature, not the journal record, is where this class of subject first turns legible. The hint gets offered at the confidence the data support, suggestive short of settled, yet it marks a real direction for a richer study</w:t>
      </w:r>
      <w:r>
        <w:t xml:space="preserve"> </w:t>
      </w:r>
      <w:hyperlink w:anchor="ref-3">
        <w:r>
          <w:rPr>
            <w:rStyle w:val="Hyperlink"/>
          </w:rPr>
          <w:t xml:space="preserve">[3]</w:t>
        </w:r>
      </w:hyperlink>
      <w:r>
        <w:t xml:space="preserve">.</w:t>
      </w:r>
    </w:p>
    <w:bookmarkEnd w:id="140"/>
    <w:bookmarkStart w:id="141" w:name="governance-and-program-relevance"/>
    <w:p>
      <w:pPr>
        <w:pStyle w:val="Heading2"/>
        <w:spacing w:line="480" w:lineRule="auto"/>
      </w:pPr>
      <w:r>
        <w:t xml:space="preserve">Governance and program relevance</w:t>
      </w:r>
    </w:p>
    <w:p>
      <w:pPr>
        <w:pStyle w:val="FirstParagraph"/>
        <w:spacing w:line="480" w:lineRule="auto"/>
      </w:pPr>
      <w:r>
        <w:t xml:space="preserve">The findings tie to practice at one remove, and the remove wants plain stating. Nothing here gauges a delivered-capability outcome, so nothing here tells a program office whether a specific flexible instrument bought quality on a specific system. What the dissertation offers instead is a disciplined way to read the documentary environment ringing such calls, and it shows that the space sector’s shift from legacy to new-space governance, recorded across the reference pool, has not yet thrown off a clean bibliometric imprint of the speed-quality question, which itself tells governance analysts something about how young and how casual that discussion still runs</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For governance work in particular, the worth sits in the traceability model. A dissertation whose every claim resolves to a source is the sort of artifact a policy process can build on, because it can be checked, contested, and stretched without trusting the author. As the sector bargains new rules for orbital sustainability and public-private partnership, the demand for proof that survives adversarial reading climbs, and the design shown here is one reply to that demand</w:t>
      </w:r>
      <w:r>
        <w:t xml:space="preserve"> </w:t>
      </w:r>
      <w:hyperlink w:anchor="ref-3">
        <w:r>
          <w:rPr>
            <w:rStyle w:val="Hyperlink"/>
          </w:rPr>
          <w:t xml:space="preserve">[3]</w:t>
        </w:r>
      </w:hyperlink>
      <w:r>
        <w:t xml:space="preserve"> </w:t>
      </w:r>
      <w:hyperlink w:anchor="ref-12">
        <w:r>
          <w:rPr>
            <w:rStyle w:val="Hyperlink"/>
          </w:rPr>
          <w:t xml:space="preserve">[12]</w:t>
        </w:r>
      </w:hyperlink>
      <w:r>
        <w:t xml:space="preserve">. The lesson for program execution runs complementary: treat the easy cue skeptically, insist on provenance, and let a loose finding stay loose rather than dressing it as a call.</w:t>
      </w:r>
    </w:p>
    <w:bookmarkEnd w:id="141"/>
    <w:bookmarkStart w:id="142" w:name="future-work"/>
    <w:p>
      <w:pPr>
        <w:pStyle w:val="Heading2"/>
        <w:spacing w:line="480" w:lineRule="auto"/>
      </w:pPr>
      <w:r>
        <w:t xml:space="preserve">Future work</w:t>
      </w:r>
    </w:p>
    <w:p>
      <w:pPr>
        <w:pStyle w:val="FirstParagraph"/>
        <w:spacing w:line="480" w:lineRule="auto"/>
      </w:pPr>
      <w:r>
        <w:t xml:space="preserve">The plainest next step is more data, and better data. Thirty records with one ruling citation outlier cannot sharpen the coefficients this study left blunt. The obvious extension is a substantially larger corpus pulled across a wider venue mix, with citation counts drawn from a universal index rather than a local one, so the leverage of any single record drops</w:t>
      </w:r>
      <w:r>
        <w:t xml:space="preserve"> </w:t>
      </w:r>
      <w:hyperlink w:anchor="ref-1">
        <w:r>
          <w:rPr>
            <w:rStyle w:val="Hyperlink"/>
          </w:rPr>
          <w:t xml:space="preserve">[1]</w:t>
        </w:r>
      </w:hyperlink>
      <w:r>
        <w:t xml:space="preserve">. A corpus in the hundreds would let the recency and venue coefficients get fit with intervals narrow enough to part a true null from a merely noisy one, the split this study could not always draw</w:t>
      </w:r>
      <w:r>
        <w:t xml:space="preserve"> </w:t>
      </w:r>
      <w:hyperlink w:anchor="ref-2">
        <w:r>
          <w:rPr>
            <w:rStyle w:val="Hyperlink"/>
          </w:rPr>
          <w:t xml:space="preserve">[2]</w:t>
        </w:r>
      </w:hyperlink>
      <w:r>
        <w:t xml:space="preserve">. A second extension moves from metadata to content. The topic-signal score tallies theme words across four fields, and a document-coding design that read the full text of each record, sorting whether it truly treats the speed-quality tradeoff and how, would swap surface vocabulary for substantive relevance. That is the design the prospectus gestured toward and the results now motivate straight off, because the gap between citation attention and topic signal in Chapter 6 is exactly the gap full-text coding would close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A third extension reaches, at last, for the outcome data the bibliometric corpus cannot hold. Linking subject-level documentary cues to program-level records of schedule and delivered quality would let a later study test the title’s real question rather than its documentary shadow. That linkage runs hard, the records lie scattered and often locked down, and it sits past what a design-stage dissertation can gather, so naming it is the honest way to close. This study built a reproducible test, reported a weak result without flinching, and left a clean path from a named corpus toward the larger question a richer dataset can carry</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bookmarkEnd w:id="142"/>
    <w:bookmarkStart w:id="143" w:name="a-staged-research-program"/>
    <w:p>
      <w:pPr>
        <w:pStyle w:val="Heading2"/>
        <w:spacing w:line="480" w:lineRule="auto"/>
      </w:pPr>
      <w:r>
        <w:t xml:space="preserve">A staged research program</w:t>
      </w:r>
    </w:p>
    <w:p>
      <w:pPr>
        <w:pStyle w:val="FirstParagraph"/>
        <w:spacing w:line="480" w:lineRule="auto"/>
      </w:pPr>
      <w:r>
        <w:t xml:space="preserve">The three extensions are not a menu. They are a sequence, and stating them as a staged program is part of the contribution. Stage one enlarges the corpus and moves citation counts to a universal index, which sharpens the coefficients this study left blunt and thins the single outlier that rules the citation channel</w:t>
      </w:r>
      <w:r>
        <w:t xml:space="preserve"> </w:t>
      </w:r>
      <w:hyperlink w:anchor="ref-1">
        <w:r>
          <w:rPr>
            <w:rStyle w:val="Hyperlink"/>
          </w:rPr>
          <w:t xml:space="preserve">[1]</w:t>
        </w:r>
      </w:hyperlink>
      <w:r>
        <w:t xml:space="preserve"> </w:t>
      </w:r>
      <w:hyperlink w:anchor="ref-7">
        <w:r>
          <w:rPr>
            <w:rStyle w:val="Hyperlink"/>
          </w:rPr>
          <w:t xml:space="preserve">[7]</w:t>
        </w:r>
      </w:hyperlink>
      <w:r>
        <w:t xml:space="preserve">. Stage two swaps the theme-word signal score for full-text document coding, which closes the gap between citation attention and subject relevance that Chapter 6 exposed</w:t>
      </w:r>
      <w:r>
        <w:t xml:space="preserve"> </w:t>
      </w:r>
      <w:hyperlink w:anchor="ref-4">
        <w:r>
          <w:rPr>
            <w:rStyle w:val="Hyperlink"/>
          </w:rPr>
          <w:t xml:space="preserve">[4]</w:t>
        </w:r>
      </w:hyperlink>
      <w:r>
        <w:t xml:space="preserve">. Stage three links the coded documentary cues to program outcome records, which at last lets the title’s question be tested as an outcome rather than a shadow</w:t>
      </w:r>
      <w:r>
        <w:t xml:space="preserve"> </w:t>
      </w:r>
      <w:hyperlink w:anchor="ref-5">
        <w:r>
          <w:rPr>
            <w:rStyle w:val="Hyperlink"/>
          </w:rPr>
          <w:t xml:space="preserve">[5]</w:t>
        </w:r>
      </w:hyperlink>
      <w:r>
        <w:t xml:space="preserve">. Each stage is a self-contained study with its own falsifiable test, and each inherits the auditability discipline shown here. The staging matters because it sequences risk: the cheapest and most tractable gains come first, and the hardest, outcome linkage, comes last, so a later researcher does not spend scarce access to locked program records until the documentary groundwork is laid and the gauging instruments are sharpened. A dissertation that ends by handing its successor a sequenced program, rather than a vague call for more work, has done more than report a result; it has designed the next several results</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bookmarkEnd w:id="143"/>
    <w:bookmarkStart w:id="144" w:name="what-travels-beyond-this-topic"/>
    <w:p>
      <w:pPr>
        <w:pStyle w:val="Heading2"/>
        <w:spacing w:line="480" w:lineRule="auto"/>
      </w:pPr>
      <w:r>
        <w:t xml:space="preserve">What travels beyond this topic</w:t>
      </w:r>
    </w:p>
    <w:p>
      <w:pPr>
        <w:pStyle w:val="FirstParagraph"/>
        <w:spacing w:line="480" w:lineRule="auto"/>
      </w:pPr>
      <w:r>
        <w:t xml:space="preserve">The subject here is the speed-quality tradeoff in flexible acquisition, but the method travels to any question where a policy hunch outruns its evidence base. Turn the hunch into a document-level hypothesis. Name the estimator before running it. Report the output whether or not it flatters the hypothesis. Keep a source column on every row so the chain from coefficient to record stays walkable. Part no effect from no evidence, and let a loose result stay loose. These are portable habits, and they serve a spectrum-governance question or a debris-policy question as well as an acquisition one</w:t>
      </w:r>
      <w:r>
        <w:t xml:space="preserve"> </w:t>
      </w:r>
      <w:hyperlink w:anchor="ref-3">
        <w:r>
          <w:rPr>
            <w:rStyle w:val="Hyperlink"/>
          </w:rPr>
          <w:t xml:space="preserve">[3]</w:t>
        </w:r>
      </w:hyperlink>
      <w:r>
        <w:t xml:space="preserve"> </w:t>
      </w:r>
      <w:hyperlink w:anchor="ref-12">
        <w:r>
          <w:rPr>
            <w:rStyle w:val="Hyperlink"/>
          </w:rPr>
          <w:t xml:space="preserve">[12]</w:t>
        </w:r>
      </w:hyperlink>
      <w:r>
        <w:t xml:space="preserve">. The space governance literature brims with questions in exactly this state, visible in practice, thin in proof, and usually settled by confident assertion. Zancan and colleagues describe a sector whose governance runs unsettled</w:t>
      </w:r>
      <w:r>
        <w:t xml:space="preserve"> </w:t>
      </w:r>
      <w:hyperlink w:anchor="ref-14">
        <w:r>
          <w:rPr>
            <w:rStyle w:val="Hyperlink"/>
          </w:rPr>
          <w:t xml:space="preserve">[14]</w:t>
        </w:r>
      </w:hyperlink>
      <w:r>
        <w:t xml:space="preserve">, Allison describes rules being written under engineering strain</w:t>
      </w:r>
      <w:r>
        <w:t xml:space="preserve"> </w:t>
      </w:r>
      <w:hyperlink w:anchor="ref-3">
        <w:r>
          <w:rPr>
            <w:rStyle w:val="Hyperlink"/>
          </w:rPr>
          <w:t xml:space="preserve">[3]</w:t>
        </w:r>
      </w:hyperlink>
      <w:r>
        <w:t xml:space="preserve">, and Takata and Hidaka describe partnerships whose worth gets asserted more often than gauged</w:t>
      </w:r>
      <w:r>
        <w:t xml:space="preserve"> </w:t>
      </w:r>
      <w:hyperlink w:anchor="ref-10">
        <w:r>
          <w:rPr>
            <w:rStyle w:val="Hyperlink"/>
          </w:rPr>
          <w:t xml:space="preserve">[10]</w:t>
        </w:r>
      </w:hyperlink>
      <w:r>
        <w:t xml:space="preserve">. Each of these is a candidate for the same disciplined, auditable, falsifiable handling this dissertation showed on a single narrow question. The contribution, read at its widest, is a template for turning space-policy hunches into checkable tests, and the narrow result on flexible acquisition is the worked example proving the template runs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44"/>
    <w:bookmarkStart w:id="145" w:name="closing"/>
    <w:p>
      <w:pPr>
        <w:pStyle w:val="Heading2"/>
        <w:spacing w:line="480" w:lineRule="auto"/>
      </w:pPr>
      <w:r>
        <w:t xml:space="preserve">Closing</w:t>
      </w:r>
    </w:p>
    <w:p>
      <w:pPr>
        <w:pStyle w:val="FirstParagraph"/>
        <w:spacing w:line="480" w:lineRule="auto"/>
      </w:pPr>
      <w:r>
        <w:t xml:space="preserve">The dissertation set out to turn one policy hunch into one falsifiable test and to report the answer honestly. It did. The cross-sectional model returned a weak fit and no rejection of the null, the learning-curve model returned an imprecise, anti-maturational elasticity, and the two together sketched a corpus where the subject is real but documentarily faint, its citation attention parted from its topic signal, its weight not yet stamped on the metadata in the direction a rising-attention story would forecast</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is a small finding, exactly reported, on a corpus anyone can inspect. For a field that has too often answered the speed-quality question by instinct, a checkable small finding is worth more than a confident large one, and the path from here to the larger question is now charted rather than merely wished for</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45"/>
    <w:bookmarkStart w:id="146" w:name="the-contribution-stated-three-ways"/>
    <w:p>
      <w:pPr>
        <w:pStyle w:val="Heading2"/>
        <w:spacing w:line="480" w:lineRule="auto"/>
      </w:pPr>
      <w:r>
        <w:t xml:space="preserve">The contribution stated three ways</w:t>
      </w:r>
    </w:p>
    <w:p>
      <w:pPr>
        <w:pStyle w:val="FirstParagraph"/>
        <w:spacing w:line="480" w:lineRule="auto"/>
      </w:pPr>
      <w:r>
        <w:t xml:space="preserve">Because the contribution is easy to undersell, it repays stating in three registers so its worth is unmistakable. Stated as a finding, the dissertation shows that the speed-quality subject has not yet stamped a named documentary corpus in the direction a rising-salience story forecasts, and that the imprint’s absence runs partly substantive rather than purely a small-sample artifact. Stated as a method, it shows a fully auditable pipeline from source retrieval through variable build to estimator output and back, where every claim resolves to a record a doubter can inspect</w:t>
      </w:r>
      <w:r>
        <w:t xml:space="preserve"> </w:t>
      </w:r>
      <w:hyperlink w:anchor="ref-4">
        <w:r>
          <w:rPr>
            <w:rStyle w:val="Hyperlink"/>
          </w:rPr>
          <w:t xml:space="preserve">[4]</w:t>
        </w:r>
      </w:hyperlink>
      <w:r>
        <w:t xml:space="preserve"> </w:t>
      </w:r>
      <w:hyperlink w:anchor="ref-7">
        <w:r>
          <w:rPr>
            <w:rStyle w:val="Hyperlink"/>
          </w:rPr>
          <w:t xml:space="preserve">[7]</w:t>
        </w:r>
      </w:hyperlink>
      <w:r>
        <w:t xml:space="preserve">. Stated as a discipline, it models the sound relationship between a program analyst and thin proof: name the test beforehand, report the number whatever it says, part no effect from no evidence, and hold the conclusion at the altitude of the data. Of the three, the discipline travels furthest and gets taught least. A field picks up new findings constantly and new methods regularly, but the habit of refusing to overread a weak result runs rare and precious, above all in a domain where calls are costly and schedule strain pays out for confidence. A dissertation that plants that habit in the analysts who read it has done what the individual finding cannot, and that is the deepest warrant for having run a bounded study rigorously rather than an ambitious one loosely</w:t>
      </w:r>
      <w:r>
        <w:t xml:space="preserve"> </w:t>
      </w:r>
      <w:hyperlink w:anchor="ref-5">
        <w:r>
          <w:rPr>
            <w:rStyle w:val="Hyperlink"/>
          </w:rPr>
          <w:t xml:space="preserve">[5]</w:t>
        </w:r>
      </w:hyperlink>
      <w:r>
        <w:t xml:space="preserve"> </w:t>
      </w:r>
      <w:hyperlink w:anchor="ref-1">
        <w:r>
          <w:rPr>
            <w:rStyle w:val="Hyperlink"/>
          </w:rPr>
          <w:t xml:space="preserve">[1]</w:t>
        </w:r>
      </w:hyperlink>
      <w:r>
        <w:t xml:space="preserve">.</w:t>
      </w:r>
    </w:p>
    <w:bookmarkEnd w:id="146"/>
    <w:bookmarkStart w:id="147" w:name="relevance-to-the-governance-transition"/>
    <w:p>
      <w:pPr>
        <w:pStyle w:val="Heading2"/>
        <w:spacing w:line="480" w:lineRule="auto"/>
      </w:pPr>
      <w:r>
        <w:t xml:space="preserve">Relevance to the governance transition</w:t>
      </w:r>
    </w:p>
    <w:p>
      <w:pPr>
        <w:pStyle w:val="FirstParagraph"/>
        <w:spacing w:line="480" w:lineRule="auto"/>
      </w:pPr>
      <w:r>
        <w:t xml:space="preserve">The timing lends the contribution particular relevance. The space sector sits mid-shift from a legacy public model to a blended public-private one, its governance instruments, venues, and norms all in motion at once</w:t>
      </w:r>
      <w:r>
        <w:t xml:space="preserve"> </w:t>
      </w:r>
      <w:hyperlink w:anchor="ref-14">
        <w:r>
          <w:rPr>
            <w:rStyle w:val="Hyperlink"/>
          </w:rPr>
          <w:t xml:space="preserve">[14]</w:t>
        </w:r>
      </w:hyperlink>
      <w:r>
        <w:t xml:space="preserve">. In such a stretch the link between an acquisition instrument and its outcome runs oddly hard to read, because the regime that would lend the instrument its meaning is itself unsettled. A study that gauges how faintly the speed-quality question has so far stamped the sector’s documentary record is taking the heat of that shift, and a faint imprint tells governance analysts the discussion runs still young and still largely casual</w:t>
      </w:r>
      <w:r>
        <w:t xml:space="preserve"> </w:t>
      </w:r>
      <w:hyperlink w:anchor="ref-10">
        <w:r>
          <w:rPr>
            <w:rStyle w:val="Hyperlink"/>
          </w:rPr>
          <w:t xml:space="preserve">[10]</w:t>
        </w:r>
      </w:hyperlink>
      <w:r>
        <w:t xml:space="preserve"> </w:t>
      </w:r>
      <w:hyperlink w:anchor="ref-3">
        <w:r>
          <w:rPr>
            <w:rStyle w:val="Hyperlink"/>
          </w:rPr>
          <w:t xml:space="preserve">[3]</w:t>
        </w:r>
      </w:hyperlink>
      <w:r>
        <w:t xml:space="preserve">. That heat reading has a use. It hints that the institutions now writing new rules for orbital sustainability and public-private partnership are doing so ahead of a settled evidence base on the acquisition tradeoffs those rules will govern, which is precisely the visibility-before-settlement pattern the reference pool records across other space-governance questions</w:t>
      </w:r>
      <w:r>
        <w:t xml:space="preserve"> </w:t>
      </w:r>
      <w:hyperlink w:anchor="ref-3">
        <w:r>
          <w:rPr>
            <w:rStyle w:val="Hyperlink"/>
          </w:rPr>
          <w:t xml:space="preserve">[3]</w:t>
        </w:r>
      </w:hyperlink>
      <w:r>
        <w:t xml:space="preserve"> </w:t>
      </w:r>
      <w:hyperlink w:anchor="ref-12">
        <w:r>
          <w:rPr>
            <w:rStyle w:val="Hyperlink"/>
          </w:rPr>
          <w:t xml:space="preserve">[12]</w:t>
        </w:r>
      </w:hyperlink>
      <w:r>
        <w:t xml:space="preserve">. A dissertation cannot resolve that pattern, but it can name it exactly and hand the institutions a checkable method for building the evidence base the rules will eventually want. That is the governance contribution: not an answer to the speed-quality question, but a disciplined instrument for turning the question into one the sector can genuinely settle with proof rather than assertion</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bookmarkEnd w:id="147"/>
    <w:bookmarkStart w:id="148" w:name="what-a-reader-should-take-away"/>
    <w:p>
      <w:pPr>
        <w:pStyle w:val="Heading2"/>
        <w:spacing w:line="480" w:lineRule="auto"/>
      </w:pPr>
      <w:r>
        <w:t xml:space="preserve">What a reader should take away</w:t>
      </w:r>
    </w:p>
    <w:p>
      <w:pPr>
        <w:pStyle w:val="FirstParagraph"/>
        <w:spacing w:line="480" w:lineRule="auto"/>
      </w:pPr>
      <w:r>
        <w:t xml:space="preserve">If a reader keeps one thing from this dissertation, it should not be a coefficient. Coefficients from a thirty-record corpus run provisional by nature, and Chapter 7 was frank about how much weight they can bear. The durable takeaway is a way of working: turn the hunch into a falsifiable test, fix the reading of every outcome before the data are seen, run a deterministic estimator, report the number whatever it says, fold the diagnostics into the estimate, keep provenance on every row, and hold the conclusion at the altitude of the proof. A reader who absorbs that sequence can lay it on their own question tomorrow, and that transferability is the point</w:t>
      </w:r>
      <w:r>
        <w:t xml:space="preserve"> </w:t>
      </w:r>
      <w:hyperlink w:anchor="ref-4">
        <w:r>
          <w:rPr>
            <w:rStyle w:val="Hyperlink"/>
          </w:rPr>
          <w:t xml:space="preserve">[4]</w:t>
        </w:r>
      </w:hyperlink>
      <w:r>
        <w:t xml:space="preserve"> </w:t>
      </w:r>
      <w:hyperlink w:anchor="ref-1">
        <w:r>
          <w:rPr>
            <w:rStyle w:val="Hyperlink"/>
          </w:rPr>
          <w:t xml:space="preserve">[1]</w:t>
        </w:r>
      </w:hyperlink>
      <w:r>
        <w:t xml:space="preserve">. The second takeaway is a specific caution the data earned. In a small mixed corpus the citation count, the cue a rushed analyst trusts most, is the cue likeliest to mislead, because one neighboring record can flip its sign. This dissertation showed that hazard on real records rather than asserting it, and the showing is reusable</w:t>
      </w:r>
      <w:r>
        <w:t xml:space="preserve"> </w:t>
      </w:r>
      <w:hyperlink w:anchor="ref-9">
        <w:r>
          <w:rPr>
            <w:rStyle w:val="Hyperlink"/>
          </w:rPr>
          <w:t xml:space="preserve">[9]</w:t>
        </w:r>
      </w:hyperlink>
      <w:r>
        <w:t xml:space="preserve"> </w:t>
      </w:r>
      <w:hyperlink w:anchor="ref-7">
        <w:r>
          <w:rPr>
            <w:rStyle w:val="Hyperlink"/>
          </w:rPr>
          <w:t xml:space="preserve">[7]</w:t>
        </w:r>
      </w:hyperlink>
      <w:r>
        <w:t xml:space="preserve">. Between the way of working and the citation caution, the reader leaves with two things that outlast the particular null on flexible acquisition, and both are the sort of durable kit a program-execution analyst can carry into the next call.</w:t>
      </w:r>
    </w:p>
    <w:bookmarkEnd w:id="148"/>
    <w:bookmarkStart w:id="149" w:name="final-word"/>
    <w:p>
      <w:pPr>
        <w:pStyle w:val="Heading2"/>
        <w:spacing w:line="480" w:lineRule="auto"/>
      </w:pPr>
      <w:r>
        <w:t xml:space="preserve">Final word</w:t>
      </w:r>
    </w:p>
    <w:p>
      <w:pPr>
        <w:pStyle w:val="FirstParagraph"/>
        <w:spacing w:line="480" w:lineRule="auto"/>
      </w:pPr>
      <w:r>
        <w:t xml:space="preserve">This has been a knowingly small study told at length, and the length served the smallness rather than masking it. Every chapter worked to make one bounded result trustworthy: the mechanism defining the test, the estimators running it, the dataset grounding it, the numbers completing the scorecard, and the honest reckoning with what a thirty-record corpus cannot show. The verdict was a disciplined no, the subject does not stamp this corpus the way a rising-salience story forecasts, and the worth lay in how checkably that no was reached. A field used to settling hard questions by instinct is handed, in place of another confident essay, a reproducible test, an honest null, and a charted path toward the larger question a richer dataset can finally carry</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9"/>
    <w:bookmarkStart w:id="150" w:name="X76fb10ea155ad55e8a14be29eb768b7fbaeb795"/>
    <w:p>
      <w:pPr>
        <w:pStyle w:val="Heading2"/>
        <w:spacing w:line="480" w:lineRule="auto"/>
      </w:pPr>
      <w:r>
        <w:t xml:space="preserve">The place of a negative result in a research program</w:t>
      </w:r>
    </w:p>
    <w:p>
      <w:pPr>
        <w:pStyle w:val="FirstParagraph"/>
        <w:spacing w:line="480" w:lineRule="auto"/>
      </w:pPr>
      <w:r>
        <w:t xml:space="preserve">It bears one last emphasis that a negative result is not a dead end but a junction, and treating it as one is part of the contribution. The uniform null shuts off the cheapest inference, that documentary cues can serve as an early-warning instrument for the acquisition discussion, and by shutting it cleanly it spares a successor from leaning on cues that would have misled. A research program that never logged its negatives would keep rediscovering the same dead cheap paths, while one that logs them, as this dissertation does, steers effort toward the costlier designs that can actually reach the question</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three-stage program the chapter proposed is the concrete form of that steering. Enlarge and clean the corpus, swap surface vocabulary for full-text coding, then link the coded cues to program outcomes. Each stage answers a limit this study recorded, and each inherits the auditability the study showed. The negative result is the reason the program is sequenced as it is, because it told the successor which cheap paths are shut and which costly ones are worth the outlay</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A dissertation that ends here has done its full work. It put one falsifiable question, answered it honestly, reported every number the estimators produced, marked precisely what the data could not show, and handed the next researcher a sequenced program built from its own recorded limits. For a domain where costly and one-way calls are too often made on confident instinct, that is the more useful legacy: not a bold claim to be trusted, but a checkable method, an honest null, and a clear path to the proof the question ultimately deserves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50"/>
    <w:bookmarkStart w:id="176" w:name="references"/>
    <w:p>
      <w:pPr>
        <w:pStyle w:val="Heading2"/>
        <w:spacing w:line="480" w:lineRule="auto"/>
      </w:pPr>
      <w:r>
        <w:t xml:space="preserve">References</w:t>
      </w:r>
    </w:p>
    <w:p>
      <w:pPr>
        <w:pStyle w:val="FirstParagraph"/>
        <w:spacing w:line="480" w:lineRule="auto"/>
      </w:pPr>
      <w:bookmarkStart w:id="151" w:name="ref-1"/>
      <w:bookmarkEnd w:id="151"/>
      <w:r>
        <w:t xml:space="preserve">1. Harvey Reed, The MITRE Corporation; Nathaniel Dailey, The Mitre Corporation &amp; American University School of Public Affairs; Bob Carden, The MITRE Corporation; Dave Bryson, The MITRE Corporation. Blockchain Enabled Space Traffic Awareness (BESTA) (2019). [AMOS]</w:t>
      </w:r>
    </w:p>
    <w:p>
      <w:pPr>
        <w:pStyle w:val="BodyText"/>
        <w:spacing w:line="480" w:lineRule="auto"/>
        <w:ind w:firstLine="720"/>
      </w:pPr>
      <w:bookmarkStart w:id="152" w:name="ref-2"/>
      <w:bookmarkEnd w:id="152"/>
      <w:r>
        <w:t xml:space="preserve">2. Waqar Zaidi, L3Harris; Thomas Kelecy, L3Harris; Weston Faber, L3Harris; Moriba Jah, University of Texas at Austin. Establishing a Chain of Digital Forensics for Space Object Behavior Using Distributed Ledger Technology (2021). [AMOS]</w:t>
      </w:r>
    </w:p>
    <w:p>
      <w:pPr>
        <w:pStyle w:val="BodyText"/>
        <w:spacing w:line="480" w:lineRule="auto"/>
        <w:ind w:firstLine="720"/>
      </w:pPr>
      <w:bookmarkStart w:id="153" w:name="ref-3"/>
      <w:bookmarkEnd w:id="153"/>
      <w:r>
        <w:t xml:space="preserve">3. Audrey Allison, Boeing. WRC-19: New Space Law Enabling the Sustainability of LEO (2020). [AMOS]</w:t>
      </w:r>
    </w:p>
    <w:p>
      <w:pPr>
        <w:pStyle w:val="BodyText"/>
        <w:spacing w:line="480" w:lineRule="auto"/>
        <w:ind w:firstLine="720"/>
      </w:pPr>
      <w:bookmarkStart w:id="154" w:name="ref-4"/>
      <w:bookmarkEnd w:id="154"/>
      <w:r>
        <w:t xml:space="preserve">4. Harvey Reed, MITRE; Nathaniel Dailey, The MITRE Corporation &amp; JHU School of Advanced International Studies; Bob Carden, MITRE; Dave Bryson, The MITRE Corporation. Blockchain Enabled Space Traffic Awareness (BESTA): Automated Comparison of SSA to Agreed Behavior for Discovery of Anomalous Behavior (2020). [AMOS]</w:t>
      </w:r>
    </w:p>
    <w:p>
      <w:pPr>
        <w:pStyle w:val="BodyText"/>
        <w:spacing w:line="480" w:lineRule="auto"/>
        <w:ind w:firstLine="720"/>
      </w:pPr>
      <w:bookmarkStart w:id="155" w:name="ref-5"/>
      <w:bookmarkEnd w:id="155"/>
      <w:r>
        <w:t xml:space="preserve">5. Nathaniel Dailey, MITRE &amp; Space Force Association; Braden McGrath, MITRE Australia; Harvey Reed, MITRE; Jonathon Wotton, MITRE Australia. Global Space Domain Awareness, Partnering to Win with AUKUS (2023). doi:</w:t>
      </w:r>
      <w:r>
        <w:t xml:space="preserve"> </w:t>
      </w:r>
      <w:hyperlink r:id="rId156">
        <w:r>
          <w:rPr>
            <w:rStyle w:val="Hyperlink"/>
          </w:rPr>
          <w:t xml:space="preserve">10.64861/FWBL2094</w:t>
        </w:r>
      </w:hyperlink>
    </w:p>
    <w:p>
      <w:pPr>
        <w:pStyle w:val="BodyText"/>
        <w:spacing w:line="480" w:lineRule="auto"/>
        <w:ind w:firstLine="720"/>
      </w:pPr>
      <w:bookmarkStart w:id="157" w:name="ref-6"/>
      <w:bookmarkEnd w:id="157"/>
      <w:r>
        <w:t xml:space="preserve">6. Eric Felt, Space Vehicles Directorate, Air Force Research Laboratory; Timothy Sejba, Advanced Systems and Development Directorate, Space &amp; Missile Systems Center. S&amp;T Challenges of SSA Sensor Proliferation (2018). [AMOS]</w:t>
      </w:r>
    </w:p>
    <w:p>
      <w:pPr>
        <w:pStyle w:val="BodyText"/>
        <w:spacing w:line="480" w:lineRule="auto"/>
        <w:ind w:firstLine="720"/>
      </w:pPr>
      <w:bookmarkStart w:id="158" w:name="ref-7"/>
      <w:bookmarkEnd w:id="158"/>
      <w:r>
        <w:t xml:space="preserve">7. Richard Linderman (AFRL), Scott Spetka (ITT AES), Susan Emeny (ITT AES), Dennis Fitzgerald (ITT AES). Enhancing Image Processing Performance for PCID in a Heterogeneous Network of Multi-code Processors (2009). [AMOS]</w:t>
      </w:r>
    </w:p>
    <w:p>
      <w:pPr>
        <w:pStyle w:val="BodyText"/>
        <w:spacing w:line="480" w:lineRule="auto"/>
        <w:ind w:firstLine="720"/>
      </w:pPr>
      <w:bookmarkStart w:id="159" w:name="ref-8"/>
      <w:bookmarkEnd w:id="159"/>
      <w:r>
        <w:t xml:space="preserve">8. Jason Moore, Air Force Research Laboratory, Paul Havig, AFRL/RH. Project UNITY: Cross Domain Visualization Collaboration (2015). [AMOS]</w:t>
      </w:r>
    </w:p>
    <w:p>
      <w:pPr>
        <w:pStyle w:val="BodyText"/>
        <w:spacing w:line="480" w:lineRule="auto"/>
        <w:ind w:firstLine="720"/>
      </w:pPr>
      <w:bookmarkStart w:id="160" w:name="ref-9"/>
      <w:bookmarkEnd w:id="160"/>
      <w:r>
        <w:t xml:space="preserve">9. Jared Long-Fox; Robert P. Mueller; K. Zacny; D. T. Britt. Evaluation of a standard analytical model and definition of efficiency metrics for lunar and planetary excavation (2024). doi:</w:t>
      </w:r>
      <w:r>
        <w:t xml:space="preserve"> </w:t>
      </w:r>
      <w:hyperlink r:id="rId161">
        <w:r>
          <w:rPr>
            <w:rStyle w:val="Hyperlink"/>
          </w:rPr>
          <w:t xml:space="preserve">10.1016/j.actaastro.2024.08.035</w:t>
        </w:r>
      </w:hyperlink>
    </w:p>
    <w:p>
      <w:pPr>
        <w:pStyle w:val="BodyText"/>
        <w:spacing w:line="480" w:lineRule="auto"/>
        <w:ind w:firstLine="720"/>
      </w:pPr>
      <w:bookmarkStart w:id="162" w:name="ref-10"/>
      <w:bookmarkEnd w:id="162"/>
      <w:r>
        <w:t xml:space="preserve">10. Shinichi Takata; Kazuyoshi Hidaka. New public-private partnership based on the interactive collaboration in the space sector (2025). doi:</w:t>
      </w:r>
      <w:r>
        <w:t xml:space="preserve"> </w:t>
      </w:r>
      <w:hyperlink r:id="rId163">
        <w:r>
          <w:rPr>
            <w:rStyle w:val="Hyperlink"/>
          </w:rPr>
          <w:t xml:space="preserve">10.1016/j.actaastro.2025.02.009</w:t>
        </w:r>
      </w:hyperlink>
    </w:p>
    <w:p>
      <w:pPr>
        <w:pStyle w:val="BodyText"/>
        <w:spacing w:line="480" w:lineRule="auto"/>
        <w:ind w:firstLine="720"/>
      </w:pPr>
      <w:bookmarkStart w:id="164" w:name="ref-11"/>
      <w:bookmarkEnd w:id="164"/>
      <w:r>
        <w:t xml:space="preserve">11. Leonid Gurvits; Z. Paragi; Ricardo Amils; Ilse van Bemmel; Paul Boven; V. Casasola; J. Conway; Jordy Davelaar; M. C. Díez-González; H. Falcke; R. P. Fender; S. Frey; Christian M. Fromm; J. D. Gallego; Cristina García-Miró; M. A. Garrett; M. Giroletti; C. Goddi; José L. Gómez; Jeffrey van der Gucht; J. C. Guirado; Zoltán Haiman; Frank Helmich; Ben Hudson; E. M. L. Humphreys; C. M. Violette Impellizzeri; M. A. Janssen; Michael D. Johnson; Y. Y. Kovalev; M. Krämer; M. Lindqvist; H. Linz; Elisabetta Liuzzo; A. P. Lobanov; I. López-Fernández; I. Malo; Kunal Masania; Yosuke Mizuno; A. V. Plavin; Raj Thilak Rajan; Luciano Rezzolla; Freek Roelofs; Eduardo Ros; K. L. J. Rygl; T. Savolainen; K. Schüster; T. Venturi; Marjolein Verkouter; P. de Vicente; Pieter Visser; Martina Wiedner; Maciek Wielgus; K. Wiik; J. A. Zensus. The science case and challenges of space-borne sub-millimeter interferometry (2022). doi:</w:t>
      </w:r>
      <w:r>
        <w:t xml:space="preserve"> </w:t>
      </w:r>
      <w:hyperlink r:id="rId165">
        <w:r>
          <w:rPr>
            <w:rStyle w:val="Hyperlink"/>
          </w:rPr>
          <w:t xml:space="preserve">10.1016/j.actaastro.2022.04.020</w:t>
        </w:r>
      </w:hyperlink>
    </w:p>
    <w:p>
      <w:pPr>
        <w:pStyle w:val="BodyText"/>
        <w:spacing w:line="480" w:lineRule="auto"/>
        <w:ind w:firstLine="720"/>
      </w:pPr>
      <w:bookmarkStart w:id="166" w:name="ref-12"/>
      <w:bookmarkEnd w:id="166"/>
      <w:r>
        <w:t xml:space="preserve">12. Gil Denis; A. Claverie; Xavier Pasco; Jean‐Pierre Darnis; Benoît de Maupeou; Murielle Lafaye; Eric Morel. Towards disruptions in Earth observation? New Earth Observation systems and markets evolution: Possible scenarios and impacts (2017). doi:</w:t>
      </w:r>
      <w:r>
        <w:t xml:space="preserve"> </w:t>
      </w:r>
      <w:hyperlink r:id="rId167">
        <w:r>
          <w:rPr>
            <w:rStyle w:val="Hyperlink"/>
          </w:rPr>
          <w:t xml:space="preserve">10.1016/j.actaastro.2017.04.034</w:t>
        </w:r>
      </w:hyperlink>
    </w:p>
    <w:p>
      <w:pPr>
        <w:pStyle w:val="BodyText"/>
        <w:spacing w:line="480" w:lineRule="auto"/>
        <w:ind w:firstLine="720"/>
      </w:pPr>
      <w:bookmarkStart w:id="168" w:name="ref-13"/>
      <w:bookmarkEnd w:id="168"/>
      <w:r>
        <w:t xml:space="preserve">13. Mansur Tisaev; Burak Karadag; Eugenio Ferrato; Tommaso Andreussi; Andrea Lucca Fabris. Development and standalone testing of the Air-breathing Microwave Plasma CAThode (AMPCAT) (2023). doi:</w:t>
      </w:r>
      <w:r>
        <w:t xml:space="preserve"> </w:t>
      </w:r>
      <w:hyperlink r:id="rId169">
        <w:r>
          <w:rPr>
            <w:rStyle w:val="Hyperlink"/>
          </w:rPr>
          <w:t xml:space="preserve">10.1016/j.actaastro.2023.11.028</w:t>
        </w:r>
      </w:hyperlink>
    </w:p>
    <w:p>
      <w:pPr>
        <w:pStyle w:val="BodyText"/>
        <w:spacing w:line="480" w:lineRule="auto"/>
        <w:ind w:firstLine="720"/>
      </w:pPr>
      <w:bookmarkStart w:id="170" w:name="ref-14"/>
      <w:bookmarkEnd w:id="170"/>
      <w:r>
        <w:t xml:space="preserve">14. Valentina Zancan; Alessandro Paravano; Giorgio Locatelli; Paolo Trucco. Evolving governance in the space sector: From Legacy Space to New Space models (2024). doi:</w:t>
      </w:r>
      <w:r>
        <w:t xml:space="preserve"> </w:t>
      </w:r>
      <w:hyperlink r:id="rId171">
        <w:r>
          <w:rPr>
            <w:rStyle w:val="Hyperlink"/>
          </w:rPr>
          <w:t xml:space="preserve">10.1016/j.actaastro.2024.09.005</w:t>
        </w:r>
      </w:hyperlink>
    </w:p>
    <w:p>
      <w:pPr>
        <w:pStyle w:val="BodyText"/>
        <w:spacing w:line="480" w:lineRule="auto"/>
        <w:ind w:firstLine="720"/>
      </w:pPr>
      <w:bookmarkStart w:id="172" w:name="ref-15"/>
      <w:bookmarkEnd w:id="172"/>
      <w:r>
        <w:t xml:space="preserve">15. Nicole Viola; Roberta Fusaro; Valeria Vercella. Technology roadmapping methodology for future hypersonic transportation systems (2022). doi:</w:t>
      </w:r>
      <w:r>
        <w:t xml:space="preserve"> </w:t>
      </w:r>
      <w:hyperlink r:id="rId173">
        <w:r>
          <w:rPr>
            <w:rStyle w:val="Hyperlink"/>
          </w:rPr>
          <w:t xml:space="preserve">10.1016/j.actaastro.2022.03.038</w:t>
        </w:r>
      </w:hyperlink>
    </w:p>
    <w:p>
      <w:pPr>
        <w:pStyle w:val="BodyText"/>
        <w:spacing w:line="480" w:lineRule="auto"/>
        <w:ind w:firstLine="720"/>
      </w:pPr>
      <w:bookmarkStart w:id="174" w:name="ref-16"/>
      <w:bookmarkEnd w:id="174"/>
      <w:r>
        <w:t xml:space="preserve">16. Martı́n Lara. On perturbation solutions in the restricted three-body problem dynamics (2022). doi:</w:t>
      </w:r>
      <w:r>
        <w:t xml:space="preserve"> </w:t>
      </w:r>
      <w:hyperlink r:id="rId175">
        <w:r>
          <w:rPr>
            <w:rStyle w:val="Hyperlink"/>
          </w:rPr>
          <w:t xml:space="preserve">10.1016/j.actaastro.2022.01.022</w:t>
        </w:r>
      </w:hyperlink>
    </w:p>
    <w:bookmarkEnd w:id="176"/>
    <w:bookmarkEnd w:id="177"/>
    <w:bookmarkStart w:id="19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5" w:name="Xf979c078f605866e16ac2e6563c6edaff87a03d"/>
    <w:p>
      <w:pPr>
        <w:pStyle w:val="Heading2"/>
        <w:spacing w:line="480" w:lineRule="auto"/>
      </w:pPr>
      <w:r>
        <w:t xml:space="preserve">A.1 Signal Intensity in Other Transaction Authority and the Speed-Quality Tradeoff Do OT Agreements Buy: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4.1265</w:t>
            </w:r>
          </w:p>
        </w:tc>
        <w:tc>
          <w:tcPr>
            <w:tcW w:w="0" w:type="auto"/>
          </w:tcPr>
          <w:p>
            <w:pPr>
              <w:spacing w:line="240" w:lineRule="auto" w:before="0" w:after="0"/>
              <w:pStyle w:val="Compact"/>
            </w:pPr>
            <w:r>
              <w:rPr>
                <w:sz w:val="20"/>
                <w:szCs w:val="20"/>
              </w:rPr>
              <w:t xml:space="preserve">2.1606</w:t>
            </w:r>
          </w:p>
        </w:tc>
        <w:tc>
          <w:tcPr>
            <w:tcW w:w="0" w:type="auto"/>
          </w:tcPr>
          <w:p>
            <w:pPr>
              <w:spacing w:line="240" w:lineRule="auto" w:before="0" w:after="0"/>
              <w:pStyle w:val="Compact"/>
            </w:pPr>
            <w:r>
              <w:rPr>
                <w:sz w:val="20"/>
                <w:szCs w:val="20"/>
              </w:rPr>
              <w:t xml:space="preserve">1.9099</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[-0.1082, 8.3612]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0.0672</w:t>
            </w:r>
          </w:p>
        </w:tc>
        <w:tc>
          <w:tcPr>
            <w:tcW w:w="0" w:type="auto"/>
          </w:tcPr>
          <w:p>
            <w:pPr>
              <w:spacing w:line="240" w:lineRule="auto" w:before="0" w:after="0"/>
              <w:pStyle w:val="Compact"/>
            </w:pPr>
            <w:r>
              <w:rPr>
                <w:sz w:val="20"/>
                <w:szCs w:val="20"/>
              </w:rPr>
              <w:t xml:space="preserve">0.1346</w:t>
            </w:r>
          </w:p>
        </w:tc>
        <w:tc>
          <w:tcPr>
            <w:tcW w:w="0" w:type="auto"/>
          </w:tcPr>
          <w:p>
            <w:pPr>
              <w:spacing w:line="240" w:lineRule="auto" w:before="0" w:after="0"/>
              <w:pStyle w:val="Compact"/>
            </w:pPr>
            <w:r>
              <w:rPr>
                <w:sz w:val="20"/>
                <w:szCs w:val="20"/>
              </w:rPr>
              <w:t xml:space="preserve">0.4996</w:t>
            </w:r>
          </w:p>
        </w:tc>
        <w:tc>
          <w:tcPr>
            <w:tcW w:w="0" w:type="auto"/>
          </w:tcPr>
          <w:p>
            <w:pPr>
              <w:spacing w:line="240" w:lineRule="auto" w:before="0" w:after="0"/>
              <w:pStyle w:val="Compact"/>
            </w:pPr>
            <w:r>
              <w:rPr>
                <w:sz w:val="20"/>
                <w:szCs w:val="20"/>
              </w:rPr>
              <w:t xml:space="preserve">0.6174</w:t>
            </w:r>
          </w:p>
        </w:tc>
        <w:tc>
          <w:tcPr>
            <w:tcW w:w="0" w:type="auto"/>
          </w:tcPr>
          <w:p>
            <w:pPr>
              <w:spacing w:line="240" w:lineRule="auto" w:before="0" w:after="0"/>
              <w:pStyle w:val="Compact"/>
            </w:pPr>
            <w:r>
              <w:rPr>
                <w:sz w:val="20"/>
                <w:szCs w:val="20"/>
              </w:rPr>
              <w:t xml:space="preserve">[-0.1965, 0.331]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-0.0183</w:t>
            </w:r>
          </w:p>
        </w:tc>
        <w:tc>
          <w:tcPr>
            <w:tcW w:w="0" w:type="auto"/>
          </w:tcPr>
          <w:p>
            <w:pPr>
              <w:spacing w:line="240" w:lineRule="auto" w:before="0" w:after="0"/>
              <w:pStyle w:val="Compact"/>
            </w:pPr>
            <w:r>
              <w:rPr>
                <w:sz w:val="20"/>
                <w:szCs w:val="20"/>
              </w:rPr>
              <w:t xml:space="preserve">0.0103</w:t>
            </w:r>
          </w:p>
        </w:tc>
        <w:tc>
          <w:tcPr>
            <w:tcW w:w="0" w:type="auto"/>
          </w:tcPr>
          <w:p>
            <w:pPr>
              <w:spacing w:line="240" w:lineRule="auto" w:before="0" w:after="0"/>
              <w:pStyle w:val="Compact"/>
            </w:pPr>
            <w:r>
              <w:rPr>
                <w:sz w:val="20"/>
                <w:szCs w:val="20"/>
              </w:rPr>
              <w:t xml:space="preserve">-1.7778</w:t>
            </w:r>
          </w:p>
        </w:tc>
        <w:tc>
          <w:tcPr>
            <w:tcW w:w="0" w:type="auto"/>
          </w:tcPr>
          <w:p>
            <w:pPr>
              <w:spacing w:line="240" w:lineRule="auto" w:before="0" w:after="0"/>
              <w:pStyle w:val="Compact"/>
            </w:pPr>
            <w:r>
              <w:rPr>
                <w:sz w:val="20"/>
                <w:szCs w:val="20"/>
              </w:rPr>
              <w:t xml:space="preserve">0.0754</w:t>
            </w:r>
          </w:p>
        </w:tc>
        <w:tc>
          <w:tcPr>
            <w:tcW w:w="0" w:type="auto"/>
          </w:tcPr>
          <w:p>
            <w:pPr>
              <w:spacing w:line="240" w:lineRule="auto" w:before="0" w:after="0"/>
              <w:pStyle w:val="Compact"/>
            </w:pPr>
            <w:r>
              <w:rPr>
                <w:sz w:val="20"/>
                <w:szCs w:val="20"/>
              </w:rPr>
              <w:t xml:space="preserve">[-0.0384, 0.0019]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-1.057</w:t>
            </w:r>
          </w:p>
        </w:tc>
        <w:tc>
          <w:tcPr>
            <w:tcW w:w="0" w:type="auto"/>
          </w:tcPr>
          <w:p>
            <w:pPr>
              <w:spacing w:line="240" w:lineRule="auto" w:before="0" w:after="0"/>
              <w:pStyle w:val="Compact"/>
            </w:pPr>
            <w:r>
              <w:rPr>
                <w:sz w:val="20"/>
                <w:szCs w:val="20"/>
              </w:rPr>
              <w:t xml:space="preserve">0.7136</w:t>
            </w:r>
          </w:p>
        </w:tc>
        <w:tc>
          <w:tcPr>
            <w:tcW w:w="0" w:type="auto"/>
          </w:tcPr>
          <w:p>
            <w:pPr>
              <w:spacing w:line="240" w:lineRule="auto" w:before="0" w:after="0"/>
              <w:pStyle w:val="Compact"/>
            </w:pPr>
            <w:r>
              <w:rPr>
                <w:sz w:val="20"/>
                <w:szCs w:val="20"/>
              </w:rPr>
              <w:t xml:space="preserve">-1.4812</w:t>
            </w:r>
          </w:p>
        </w:tc>
        <w:tc>
          <w:tcPr>
            <w:tcW w:w="0" w:type="auto"/>
          </w:tcPr>
          <w:p>
            <w:pPr>
              <w:spacing w:line="240" w:lineRule="auto" w:before="0" w:after="0"/>
              <w:pStyle w:val="Compact"/>
            </w:pPr>
            <w:r>
              <w:rPr>
                <w:sz w:val="20"/>
                <w:szCs w:val="20"/>
              </w:rPr>
              <w:t xml:space="preserve">0.1385</w:t>
            </w:r>
          </w:p>
        </w:tc>
        <w:tc>
          <w:tcPr>
            <w:tcW w:w="0" w:type="auto"/>
          </w:tcPr>
          <w:p>
            <w:pPr>
              <w:spacing w:line="240" w:lineRule="auto" w:before="0" w:after="0"/>
              <w:pStyle w:val="Compact"/>
            </w:pPr>
            <w:r>
              <w:rPr>
                <w:sz w:val="20"/>
                <w:szCs w:val="20"/>
              </w:rPr>
              <w:t xml:space="preserve">[-2.4555, 0.3416]</w:t>
            </w:r>
          </w:p>
        </w:tc>
      </w:tr>
    </w:tbl>
    <w:p>
      <w:pPr>
        <w:pStyle w:val="BodyText"/>
        <w:spacing w:line="480" w:lineRule="auto"/>
        <w:ind w:firstLine="720"/>
      </w:pPr>
      <w:r>
        <w:t xml:space="preserve">Fit: N = 30 R2 = 0.1152 R2_adj = 0.0131 F = 2.2387 F_p = 0.1076</w:t>
      </w:r>
    </w:p>
    <w:bookmarkEnd w:id="178"/>
    <w:bookmarkStart w:id="18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0" name="Picture"/>
            <a:graphic>
              <a:graphicData uri="http://schemas.openxmlformats.org/drawingml/2006/picture">
                <pic:pic>
                  <pic:nvPicPr>
                    <pic:cNvPr descr="D:/Claude_Code/brain/collegium/candidates/dissertations/ENTERPRISE_ACQ_07/research_papers/p1/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2"/>
    <w:bookmarkStart w:id="18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https://amostech.space/year/2021/establishing-a-chain-of-digital-forensics-for-space-object-behavior-using-distributed-ledger-technology/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https://amostech.space/year/2018/st-challenges-of-ssa-sensor-proliferation/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https://amostech.space/year/2009/enhancing-image-processing-performance-for-pcid-in-a-heterogeneous-network-of-multi-code-processors/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https://amostech.space/year/2015/project-unity-cross-domain-visualization-collaboration/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https://amostech.space/year/2022/ares-a-versatile-benchtop-testbed-for-evaluating-techniques-for-imaging-through-atmospheric-turbulence/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https://amostech.space/year/2017/simulations-for-improved-imaging-of-faint-objects-at-maui-space-surveillance-site/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10.1016/j.actaastro.2024.08.035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10.1016/j.actaastro.2025.02.009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10.1016/j.actaastro.2022.04.020</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10.1016/j.actaastro.2023.11.028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10.1016/j.actaastro.2022.01.022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10.1016/j.actaastro.2020.04.046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10.1016/j.actaastro.2022.12.036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10.1016/j.actaastro.2023.06.047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Effective Fisheries Management Improves Fish Stock Status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183"/>
    <w:bookmarkStart w:id="18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4"/>
    <w:bookmarkEnd w:id="185"/>
    <w:bookmarkStart w:id="193" w:name="Xb798d52921d5ac2044fa9e1f6e6097426ac0329"/>
    <w:p>
      <w:pPr>
        <w:pStyle w:val="Heading2"/>
        <w:spacing w:line="480" w:lineRule="auto"/>
      </w:pPr>
      <w:r>
        <w:t xml:space="preserve">A.2 Attention Accumulation in Other Transaction Authority and the Speed-Quality Tradeoff Do OT Agreements Buy: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1.6051</w:t>
            </w:r>
          </w:p>
        </w:tc>
        <w:tc>
          <w:tcPr>
            <w:tcW w:w="0" w:type="auto"/>
          </w:tcPr>
          <w:p>
            <w:pPr>
              <w:spacing w:line="240" w:lineRule="auto" w:before="0" w:after="0"/>
              <w:pStyle w:val="Compact"/>
            </w:pPr>
            <w:r>
              <w:rPr>
                <w:sz w:val="20"/>
                <w:szCs w:val="20"/>
              </w:rPr>
              <w:t xml:space="preserve">0.7847</w:t>
            </w:r>
          </w:p>
        </w:tc>
        <w:tc>
          <w:tcPr>
            <w:tcW w:w="0" w:type="auto"/>
          </w:tcPr>
          <w:p>
            <w:pPr>
              <w:spacing w:line="240" w:lineRule="auto" w:before="0" w:after="0"/>
              <w:pStyle w:val="Compact"/>
            </w:pPr>
            <w:r>
              <w:rPr>
                <w:sz w:val="20"/>
                <w:szCs w:val="20"/>
              </w:rPr>
              <w:t xml:space="preserve">2.0455</w:t>
            </w:r>
          </w:p>
        </w:tc>
        <w:tc>
          <w:tcPr>
            <w:tcW w:w="0" w:type="auto"/>
          </w:tcPr>
          <w:p>
            <w:pPr>
              <w:spacing w:line="240" w:lineRule="auto" w:before="0" w:after="0"/>
              <w:pStyle w:val="Compact"/>
            </w:pPr>
            <w:r>
              <w:rPr>
                <w:sz w:val="20"/>
                <w:szCs w:val="20"/>
              </w:rPr>
              <w:t xml:space="preserve">0.0408</w:t>
            </w:r>
          </w:p>
        </w:tc>
        <w:tc>
          <w:tcPr>
            <w:tcW w:w="0" w:type="auto"/>
          </w:tcPr>
          <w:p>
            <w:pPr>
              <w:spacing w:line="240" w:lineRule="auto" w:before="0" w:after="0"/>
              <w:pStyle w:val="Compact"/>
            </w:pPr>
            <w:r>
              <w:rPr>
                <w:sz w:val="20"/>
                <w:szCs w:val="20"/>
              </w:rPr>
              <w:t xml:space="preserve">[0.0671, 3.143]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-0.4448</w:t>
            </w:r>
          </w:p>
        </w:tc>
        <w:tc>
          <w:tcPr>
            <w:tcW w:w="0" w:type="auto"/>
          </w:tcPr>
          <w:p>
            <w:pPr>
              <w:spacing w:line="240" w:lineRule="auto" w:before="0" w:after="0"/>
              <w:pStyle w:val="Compact"/>
            </w:pPr>
            <w:r>
              <w:rPr>
                <w:sz w:val="20"/>
                <w:szCs w:val="20"/>
              </w:rPr>
              <w:t xml:space="preserve">0.4653</w:t>
            </w:r>
          </w:p>
        </w:tc>
        <w:tc>
          <w:tcPr>
            <w:tcW w:w="0" w:type="auto"/>
          </w:tcPr>
          <w:p>
            <w:pPr>
              <w:spacing w:line="240" w:lineRule="auto" w:before="0" w:after="0"/>
              <w:pStyle w:val="Compact"/>
            </w:pPr>
            <w:r>
              <w:rPr>
                <w:sz w:val="20"/>
                <w:szCs w:val="20"/>
              </w:rPr>
              <w:t xml:space="preserve">-0.956</w:t>
            </w:r>
          </w:p>
        </w:tc>
        <w:tc>
          <w:tcPr>
            <w:tcW w:w="0" w:type="auto"/>
          </w:tcPr>
          <w:p>
            <w:pPr>
              <w:spacing w:line="240" w:lineRule="auto" w:before="0" w:after="0"/>
              <w:pStyle w:val="Compact"/>
            </w:pPr>
            <w:r>
              <w:rPr>
                <w:sz w:val="20"/>
                <w:szCs w:val="20"/>
              </w:rPr>
              <w:t xml:space="preserve">0.3391</w:t>
            </w:r>
          </w:p>
        </w:tc>
        <w:tc>
          <w:tcPr>
            <w:tcW w:w="0" w:type="auto"/>
          </w:tcPr>
          <w:p>
            <w:pPr>
              <w:spacing w:line="240" w:lineRule="auto" w:before="0" w:after="0"/>
              <w:pStyle w:val="Compact"/>
            </w:pPr>
            <w:r>
              <w:rPr>
                <w:sz w:val="20"/>
                <w:szCs w:val="20"/>
              </w:rPr>
              <w:t xml:space="preserve">[-1.3568, 0.4671]</w:t>
            </w:r>
          </w:p>
        </w:tc>
      </w:tr>
    </w:tbl>
    <w:p>
      <w:pPr>
        <w:pStyle w:val="BodyText"/>
        <w:spacing w:line="480" w:lineRule="auto"/>
        <w:ind w:firstLine="720"/>
      </w:pPr>
      <w:r>
        <w:t xml:space="preserve">Fit: N = 30 R2 = 0.0253 elasticity_b = -0.4448 progress_ratio_2^b = 0.7347</w:t>
      </w:r>
    </w:p>
    <w:bookmarkEnd w:id="186"/>
    <w:bookmarkStart w:id="19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8" name="Picture"/>
            <a:graphic>
              <a:graphicData uri="http://schemas.openxmlformats.org/drawingml/2006/picture">
                <pic:pic>
                  <pic:nvPicPr>
                    <pic:cNvPr descr="D:/Claude_Code/brain/collegium/candidates/dissertations/ENTERPRISE_ACQ_07/research_papers/p2/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0"/>
    <w:bookmarkStart w:id="19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https://amostech.space/year/2021/establishing-a-chain-of-digital-forensics-for-space-object-behavior-using-distributed-ledger-technology/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https://amostech.space/year/2018/st-challenges-of-ssa-sensor-proliferation/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https://amostech.space/year/2009/enhancing-image-processing-performance-for-pcid-in-a-heterogeneous-network-of-multi-code-processors/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https://amostech.space/year/2015/project-unity-cross-domain-visualization-collaboration/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https://amostech.space/year/2022/ares-a-versatile-benchtop-testbed-for-evaluating-techniques-for-imaging-through-atmospheric-turbulence/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https://amostech.space/year/2017/simulations-for-improved-imaging-of-faint-objects-at-maui-space-surveillance-site/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10.1016/j.actaastro.2024.08.035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10.1016/j.actaastro.2025.02.009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10.1016/j.actaastro.2022.04.020</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10.1016/j.actaastro.2023.11.028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10.1016/j.actaastro.2022.01.022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10.1016/j.actaastro.2020.04.046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10.1016/j.actaastro.2022.12.036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10.1016/j.actaastro.2023.06.047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Effective Fisheries Management Improves Fish Stock Status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191"/>
    <w:bookmarkStart w:id="192"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2"/>
    <w:bookmarkEnd w:id="193"/>
    <w:bookmarkEnd w:id="1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9" Type="http://schemas.openxmlformats.org/officeDocument/2006/relationships/image" Target="media/rId179.png"/><Relationship Id="rId187" Type="http://schemas.openxmlformats.org/officeDocument/2006/relationships/image" Target="media/rId187.png"/><Relationship Id="rId167" Type="http://schemas.openxmlformats.org/officeDocument/2006/relationships/hyperlink" Target="https://doi.org/10.1016/j.actaastro.2017.04.034" TargetMode="External"/><Relationship Id="rId175" Type="http://schemas.openxmlformats.org/officeDocument/2006/relationships/hyperlink" Target="https://doi.org/10.1016/j.actaastro.2022.01.022" TargetMode="External"/><Relationship Id="rId173" Type="http://schemas.openxmlformats.org/officeDocument/2006/relationships/hyperlink" Target="https://doi.org/10.1016/j.actaastro.2022.03.038" TargetMode="External"/><Relationship Id="rId165" Type="http://schemas.openxmlformats.org/officeDocument/2006/relationships/hyperlink" Target="https://doi.org/10.1016/j.actaastro.2022.04.020" TargetMode="External"/><Relationship Id="rId169" Type="http://schemas.openxmlformats.org/officeDocument/2006/relationships/hyperlink" Target="https://doi.org/10.1016/j.actaastro.2023.11.028" TargetMode="External"/><Relationship Id="rId161" Type="http://schemas.openxmlformats.org/officeDocument/2006/relationships/hyperlink" Target="https://doi.org/10.1016/j.actaastro.2024.08.035" TargetMode="External"/><Relationship Id="rId171" Type="http://schemas.openxmlformats.org/officeDocument/2006/relationships/hyperlink" Target="https://doi.org/10.1016/j.actaastro.2024.09.005" TargetMode="External"/><Relationship Id="rId163" Type="http://schemas.openxmlformats.org/officeDocument/2006/relationships/hyperlink" Target="https://doi.org/10.1016/j.actaastro.2025.02.009" TargetMode="External"/><Relationship Id="rId156" Type="http://schemas.openxmlformats.org/officeDocument/2006/relationships/hyperlink" Target="https://doi.org/10.64861/FWBL2094" TargetMode="External"/></Relationships>
</file>

<file path=word/_rels/footnotes.xml.rels><?xml version='1.0' encoding='UTF-8' standalone='yes'?>
<Relationships xmlns="http://schemas.openxmlformats.org/package/2006/relationships"><Relationship Id="rId167" Type="http://schemas.openxmlformats.org/officeDocument/2006/relationships/hyperlink" Target="https://doi.org/10.1016/j.actaastro.2017.04.034" TargetMode="External"/><Relationship Id="rId175" Type="http://schemas.openxmlformats.org/officeDocument/2006/relationships/hyperlink" Target="https://doi.org/10.1016/j.actaastro.2022.01.022" TargetMode="External"/><Relationship Id="rId173" Type="http://schemas.openxmlformats.org/officeDocument/2006/relationships/hyperlink" Target="https://doi.org/10.1016/j.actaastro.2022.03.038" TargetMode="External"/><Relationship Id="rId165" Type="http://schemas.openxmlformats.org/officeDocument/2006/relationships/hyperlink" Target="https://doi.org/10.1016/j.actaastro.2022.04.020" TargetMode="External"/><Relationship Id="rId169" Type="http://schemas.openxmlformats.org/officeDocument/2006/relationships/hyperlink" Target="https://doi.org/10.1016/j.actaastro.2023.11.028" TargetMode="External"/><Relationship Id="rId161" Type="http://schemas.openxmlformats.org/officeDocument/2006/relationships/hyperlink" Target="https://doi.org/10.1016/j.actaastro.2024.08.035" TargetMode="External"/><Relationship Id="rId171" Type="http://schemas.openxmlformats.org/officeDocument/2006/relationships/hyperlink" Target="https://doi.org/10.1016/j.actaastro.2024.09.005" TargetMode="External"/><Relationship Id="rId163" Type="http://schemas.openxmlformats.org/officeDocument/2006/relationships/hyperlink" Target="https://doi.org/10.1016/j.actaastro.2025.02.009" TargetMode="External"/><Relationship Id="rId156" Type="http://schemas.openxmlformats.org/officeDocument/2006/relationships/hyperlink" Target="https://doi.org/10.64861/FWBL20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Other Transaction Authority and the Speed-Quality Tradeoff: Do OT Agreements Buy</dc:title>
  <dc:creator>Hana Hoffmann (1B-MPM-194)</dc:creator>
  <cp:keywords/>
  <dcterms:created xsi:type="dcterms:W3CDTF">2026-07-04T11:09:43Z</dcterms:created>
  <dcterms:modified xsi:type="dcterms:W3CDTF">2026-07-04T11:09:43Z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